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A03A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ins w:id="0" w:author="Amelie" w:date="2025-05-15T09:11:33Z"/>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w:t>
      </w:r>
    </w:p>
    <w:p w14:paraId="653E688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b w:val="0"/>
          <w:bCs w:val="0"/>
          <w:sz w:val="44"/>
          <w:szCs w:val="44"/>
          <w:lang w:val="en-US" w:eastAsia="zh-CN"/>
        </w:rPr>
      </w:pPr>
      <w:bookmarkStart w:id="0" w:name="_GoBack"/>
      <w:r>
        <w:rPr>
          <w:rFonts w:hint="eastAsia" w:ascii="Times New Roman" w:hAnsi="Times New Roman" w:eastAsia="方正小标宋简体" w:cs="方正小标宋简体"/>
          <w:b w:val="0"/>
          <w:bCs w:val="0"/>
          <w:sz w:val="44"/>
          <w:szCs w:val="44"/>
          <w:lang w:val="en-US" w:eastAsia="zh-CN"/>
        </w:rPr>
        <w:t>遴选意向受让方评审方案</w:t>
      </w:r>
    </w:p>
    <w:bookmarkEnd w:id="0"/>
    <w:p w14:paraId="3F291F0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b/>
          <w:bCs/>
          <w:sz w:val="32"/>
          <w:szCs w:val="32"/>
          <w:lang w:val="en-US" w:eastAsia="zh-CN"/>
        </w:rPr>
      </w:pPr>
    </w:p>
    <w:p w14:paraId="0B9DFC8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8" w:leftChars="304" w:firstLine="0" w:firstLineChars="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评审流程</w:t>
      </w:r>
    </w:p>
    <w:p w14:paraId="38F716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经公开征集期结束后，由转让方对意向受让方根据义乌产权交易所公布的评分细则进行评审打分，得分最高的确定为最终受让方。</w:t>
      </w:r>
    </w:p>
    <w:p w14:paraId="76EE0922">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8" w:leftChars="304" w:firstLine="0" w:firstLineChars="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评审时间</w:t>
      </w:r>
    </w:p>
    <w:p w14:paraId="61FF8D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仿宋_GB2312" w:cs="仿宋_GB2312"/>
          <w:b w:val="0"/>
          <w:bCs w:val="0"/>
          <w:sz w:val="32"/>
          <w:szCs w:val="32"/>
          <w:lang w:val="en-US" w:eastAsia="zh-CN"/>
        </w:rPr>
      </w:pPr>
      <w:r>
        <w:rPr>
          <w:rFonts w:hint="eastAsia" w:ascii="Times New Roman" w:hAnsi="Times New Roman" w:eastAsia="仿宋_GB2312" w:cs="仿宋_GB2312"/>
          <w:b w:val="0"/>
          <w:bCs w:val="0"/>
          <w:sz w:val="32"/>
          <w:szCs w:val="32"/>
          <w:lang w:val="en-US" w:eastAsia="zh-CN"/>
        </w:rPr>
        <w:t>公开征集期结束后2个工作日内。</w:t>
      </w:r>
    </w:p>
    <w:p w14:paraId="2107822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8" w:leftChars="304" w:firstLine="0" w:firstLineChars="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评审人员</w:t>
      </w:r>
    </w:p>
    <w:p w14:paraId="40141F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评审人员构成如下：5名评审专家中4名来自外部专家，其余1名来自转让方内部。内部评审专家1人由经开区公司指定。外部评审专家4人由</w:t>
      </w:r>
      <w:r>
        <w:rPr>
          <w:rFonts w:hint="eastAsia" w:ascii="Times New Roman" w:hAnsi="Times New Roman" w:eastAsia="仿宋_GB2312" w:cs="仿宋_GB2312"/>
          <w:sz w:val="32"/>
          <w:szCs w:val="32"/>
          <w:lang w:val="en-US" w:eastAsia="zh-CN"/>
          <w:woUserID w:val="1"/>
        </w:rPr>
        <w:t>金控公司</w:t>
      </w:r>
      <w:r>
        <w:rPr>
          <w:rFonts w:hint="eastAsia" w:ascii="Times New Roman" w:hAnsi="Times New Roman" w:eastAsia="仿宋_GB2312" w:cs="仿宋_GB2312"/>
          <w:sz w:val="32"/>
          <w:szCs w:val="32"/>
          <w:lang w:val="en-US" w:eastAsia="zh-CN"/>
        </w:rPr>
        <w:t>1人，顺和公司1人、上海锦天城（杭州）律师事务所1人和浙江至诚会计师事务所1人组成。</w:t>
      </w:r>
    </w:p>
    <w:p w14:paraId="770F1C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评审人员由上述5家单位各自指定委派。</w:t>
      </w:r>
    </w:p>
    <w:p w14:paraId="3F55175F">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8" w:leftChars="304" w:firstLine="0" w:firstLineChars="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评分细则</w:t>
      </w:r>
    </w:p>
    <w:tbl>
      <w:tblPr>
        <w:tblStyle w:val="6"/>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5951"/>
        <w:gridCol w:w="1221"/>
        <w:gridCol w:w="980"/>
      </w:tblGrid>
      <w:tr w14:paraId="766F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6" w:type="dxa"/>
          </w:tcPr>
          <w:p w14:paraId="7F3031F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仿宋_GB2312"/>
                <w:b/>
                <w:bCs/>
                <w:sz w:val="28"/>
                <w:szCs w:val="28"/>
                <w:vertAlign w:val="baseline"/>
                <w:lang w:val="en-US" w:eastAsia="zh-CN"/>
              </w:rPr>
            </w:pPr>
            <w:r>
              <w:rPr>
                <w:rFonts w:hint="eastAsia" w:ascii="Times New Roman" w:hAnsi="Times New Roman" w:eastAsia="仿宋_GB2312" w:cs="仿宋_GB2312"/>
                <w:b/>
                <w:bCs/>
                <w:sz w:val="28"/>
                <w:szCs w:val="28"/>
                <w:vertAlign w:val="baseline"/>
                <w:lang w:val="en-US" w:eastAsia="zh-CN"/>
              </w:rPr>
              <w:t>评分大类</w:t>
            </w:r>
          </w:p>
        </w:tc>
        <w:tc>
          <w:tcPr>
            <w:tcW w:w="5951" w:type="dxa"/>
          </w:tcPr>
          <w:p w14:paraId="7872866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仿宋_GB2312"/>
                <w:b/>
                <w:bCs/>
                <w:sz w:val="28"/>
                <w:szCs w:val="28"/>
                <w:vertAlign w:val="baseline"/>
                <w:lang w:val="en-US" w:eastAsia="zh-CN"/>
              </w:rPr>
            </w:pPr>
            <w:r>
              <w:rPr>
                <w:rFonts w:hint="eastAsia" w:ascii="Times New Roman" w:hAnsi="Times New Roman" w:eastAsia="仿宋_GB2312" w:cs="仿宋_GB2312"/>
                <w:b/>
                <w:bCs/>
                <w:sz w:val="28"/>
                <w:szCs w:val="28"/>
                <w:vertAlign w:val="baseline"/>
                <w:lang w:val="en-US" w:eastAsia="zh-CN"/>
              </w:rPr>
              <w:t>评分小项</w:t>
            </w:r>
          </w:p>
        </w:tc>
        <w:tc>
          <w:tcPr>
            <w:tcW w:w="1221" w:type="dxa"/>
          </w:tcPr>
          <w:p w14:paraId="249AAA7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仿宋_GB2312"/>
                <w:b/>
                <w:bCs/>
                <w:sz w:val="28"/>
                <w:szCs w:val="28"/>
                <w:vertAlign w:val="baseline"/>
                <w:lang w:val="en-US" w:eastAsia="zh-CN"/>
              </w:rPr>
            </w:pPr>
            <w:r>
              <w:rPr>
                <w:rFonts w:hint="eastAsia" w:ascii="Times New Roman" w:hAnsi="Times New Roman" w:eastAsia="仿宋_GB2312" w:cs="仿宋_GB2312"/>
                <w:b/>
                <w:bCs/>
                <w:sz w:val="28"/>
                <w:szCs w:val="28"/>
                <w:vertAlign w:val="baseline"/>
                <w:lang w:val="en-US" w:eastAsia="zh-CN"/>
              </w:rPr>
              <w:t>分值</w:t>
            </w:r>
          </w:p>
        </w:tc>
        <w:tc>
          <w:tcPr>
            <w:tcW w:w="980" w:type="dxa"/>
          </w:tcPr>
          <w:p w14:paraId="3A58A17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仿宋_GB2312"/>
                <w:b/>
                <w:bCs/>
                <w:sz w:val="28"/>
                <w:szCs w:val="28"/>
                <w:vertAlign w:val="baseline"/>
                <w:lang w:val="en-US" w:eastAsia="zh-CN"/>
              </w:rPr>
            </w:pPr>
            <w:r>
              <w:rPr>
                <w:rFonts w:hint="eastAsia" w:ascii="Times New Roman" w:hAnsi="Times New Roman" w:eastAsia="仿宋_GB2312" w:cs="仿宋_GB2312"/>
                <w:b/>
                <w:bCs/>
                <w:sz w:val="28"/>
                <w:szCs w:val="28"/>
                <w:vertAlign w:val="baseline"/>
                <w:lang w:val="en-US" w:eastAsia="zh-CN"/>
              </w:rPr>
              <w:t>备注</w:t>
            </w:r>
          </w:p>
        </w:tc>
      </w:tr>
      <w:tr w14:paraId="5E6D5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6" w:type="dxa"/>
            <w:vAlign w:val="center"/>
          </w:tcPr>
          <w:p w14:paraId="7E98FB5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default" w:ascii="Times New Roman" w:hAnsi="Times New Roman" w:eastAsia="仿宋_GB2312" w:cs="Times New Roman"/>
                <w:b w:val="0"/>
                <w:bCs w:val="0"/>
                <w:sz w:val="28"/>
                <w:szCs w:val="28"/>
                <w:vertAlign w:val="baseline"/>
                <w:lang w:val="en-US" w:eastAsia="zh-CN"/>
              </w:rPr>
              <w:t>转让报价</w:t>
            </w:r>
          </w:p>
        </w:tc>
        <w:tc>
          <w:tcPr>
            <w:tcW w:w="5951" w:type="dxa"/>
            <w:vAlign w:val="center"/>
          </w:tcPr>
          <w:p w14:paraId="2031935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 w:val="0"/>
                <w:bCs w:val="0"/>
                <w:sz w:val="28"/>
                <w:szCs w:val="28"/>
                <w:vertAlign w:val="baseline"/>
                <w:lang w:val="en-US" w:eastAsia="zh-CN"/>
              </w:rPr>
            </w:pPr>
            <w:r>
              <w:rPr>
                <w:rFonts w:hint="default" w:ascii="Times New Roman" w:hAnsi="Times New Roman" w:eastAsia="仿宋_GB2312" w:cs="Times New Roman"/>
                <w:b w:val="0"/>
                <w:bCs w:val="0"/>
                <w:sz w:val="28"/>
                <w:szCs w:val="28"/>
                <w:vertAlign w:val="baseline"/>
                <w:lang w:val="en-US" w:eastAsia="zh-CN"/>
              </w:rPr>
              <w:t>报价</w:t>
            </w:r>
            <w:r>
              <w:rPr>
                <w:rFonts w:hint="eastAsia" w:ascii="Times New Roman" w:hAnsi="Times New Roman" w:eastAsia="仿宋_GB2312" w:cs="Times New Roman"/>
                <w:b w:val="0"/>
                <w:bCs w:val="0"/>
                <w:sz w:val="28"/>
                <w:szCs w:val="28"/>
                <w:vertAlign w:val="baseline"/>
                <w:lang w:val="en-US" w:eastAsia="zh-CN"/>
              </w:rPr>
              <w:t>得分最高满分为60</w:t>
            </w:r>
            <w:r>
              <w:rPr>
                <w:rFonts w:hint="default" w:ascii="Times New Roman" w:hAnsi="Times New Roman" w:eastAsia="仿宋_GB2312" w:cs="Times New Roman"/>
                <w:b w:val="0"/>
                <w:bCs w:val="0"/>
                <w:sz w:val="28"/>
                <w:szCs w:val="28"/>
                <w:vertAlign w:val="baseline"/>
                <w:lang w:val="en-US" w:eastAsia="zh-CN"/>
              </w:rPr>
              <w:t>分</w:t>
            </w:r>
            <w:r>
              <w:rPr>
                <w:rFonts w:hint="eastAsia" w:ascii="Times New Roman" w:hAnsi="Times New Roman" w:eastAsia="仿宋_GB2312" w:cs="Times New Roman"/>
                <w:b w:val="0"/>
                <w:bCs w:val="0"/>
                <w:sz w:val="28"/>
                <w:szCs w:val="28"/>
                <w:vertAlign w:val="baseline"/>
                <w:lang w:val="en-US" w:eastAsia="zh-CN"/>
              </w:rPr>
              <w:t>，</w:t>
            </w:r>
            <w:r>
              <w:rPr>
                <w:rFonts w:hint="default" w:ascii="Times New Roman" w:hAnsi="Times New Roman" w:eastAsia="仿宋_GB2312" w:cs="Times New Roman"/>
                <w:b w:val="0"/>
                <w:bCs w:val="0"/>
                <w:sz w:val="28"/>
                <w:szCs w:val="28"/>
                <w:vertAlign w:val="baseline"/>
                <w:lang w:val="en-US" w:eastAsia="zh-CN"/>
              </w:rPr>
              <w:t>报价</w:t>
            </w:r>
            <w:r>
              <w:rPr>
                <w:rFonts w:hint="eastAsia" w:ascii="Times New Roman" w:hAnsi="Times New Roman" w:eastAsia="仿宋_GB2312" w:cs="Times New Roman"/>
                <w:b w:val="0"/>
                <w:bCs w:val="0"/>
                <w:sz w:val="28"/>
                <w:szCs w:val="28"/>
                <w:vertAlign w:val="baseline"/>
                <w:lang w:val="en-US" w:eastAsia="zh-CN"/>
              </w:rPr>
              <w:t>分=60-60*（最高报价-当前方报价）/最高报价。</w:t>
            </w:r>
          </w:p>
        </w:tc>
        <w:tc>
          <w:tcPr>
            <w:tcW w:w="1221" w:type="dxa"/>
            <w:vAlign w:val="center"/>
          </w:tcPr>
          <w:p w14:paraId="36DCC1F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60</w:t>
            </w:r>
            <w:r>
              <w:rPr>
                <w:rFonts w:hint="default" w:ascii="Times New Roman" w:hAnsi="Times New Roman" w:eastAsia="仿宋_GB2312" w:cs="Times New Roman"/>
                <w:b w:val="0"/>
                <w:bCs w:val="0"/>
                <w:sz w:val="28"/>
                <w:szCs w:val="28"/>
                <w:vertAlign w:val="baseline"/>
                <w:lang w:val="en-US" w:eastAsia="zh-CN"/>
              </w:rPr>
              <w:t>分</w:t>
            </w:r>
          </w:p>
        </w:tc>
        <w:tc>
          <w:tcPr>
            <w:tcW w:w="980" w:type="dxa"/>
            <w:vAlign w:val="center"/>
          </w:tcPr>
          <w:p w14:paraId="679F8F66">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 w:val="0"/>
                <w:bCs w:val="0"/>
                <w:sz w:val="28"/>
                <w:szCs w:val="28"/>
                <w:vertAlign w:val="baseline"/>
                <w:lang w:val="en-US" w:eastAsia="zh-CN"/>
              </w:rPr>
            </w:pPr>
          </w:p>
        </w:tc>
      </w:tr>
      <w:tr w14:paraId="2254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6" w:type="dxa"/>
            <w:vMerge w:val="restart"/>
            <w:vAlign w:val="center"/>
          </w:tcPr>
          <w:p w14:paraId="2F2BFB5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val="0"/>
                <w:bCs w:val="0"/>
                <w:sz w:val="28"/>
                <w:szCs w:val="28"/>
                <w:vertAlign w:val="baseline"/>
                <w:lang w:val="en-US" w:eastAsia="zh-CN"/>
              </w:rPr>
              <w:t>受让方资质</w:t>
            </w:r>
          </w:p>
        </w:tc>
        <w:tc>
          <w:tcPr>
            <w:tcW w:w="5951" w:type="dxa"/>
            <w:vAlign w:val="center"/>
          </w:tcPr>
          <w:p w14:paraId="7D799B5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
                <w:bCs/>
                <w:sz w:val="28"/>
                <w:szCs w:val="28"/>
                <w:vertAlign w:val="baseline"/>
                <w:lang w:val="en-US" w:eastAsia="zh-CN"/>
              </w:rPr>
            </w:pPr>
            <w:r>
              <w:rPr>
                <w:rFonts w:hint="default" w:ascii="Times New Roman" w:hAnsi="Times New Roman" w:eastAsia="仿宋_GB2312" w:cs="Times New Roman"/>
                <w:b w:val="0"/>
                <w:bCs w:val="0"/>
                <w:kern w:val="2"/>
                <w:sz w:val="28"/>
                <w:szCs w:val="28"/>
                <w:lang w:val="en-US" w:eastAsia="zh-CN" w:bidi="ar-SA"/>
              </w:rPr>
              <w:t>意向受让方或意向受让方的实际控制方的实缴注册资本</w:t>
            </w:r>
            <w:r>
              <w:rPr>
                <w:rFonts w:hint="eastAsia" w:ascii="Times New Roman" w:hAnsi="Times New Roman" w:eastAsia="仿宋_GB2312" w:cs="Times New Roman"/>
                <w:b w:val="0"/>
                <w:bCs w:val="0"/>
                <w:kern w:val="2"/>
                <w:sz w:val="28"/>
                <w:szCs w:val="28"/>
                <w:lang w:val="en-US" w:eastAsia="zh-CN" w:bidi="ar-SA"/>
              </w:rPr>
              <w:t>得分最高满分为1</w:t>
            </w:r>
            <w:r>
              <w:rPr>
                <w:rFonts w:hint="default" w:ascii="Times New Roman" w:hAnsi="Times New Roman" w:eastAsia="仿宋_GB2312" w:cs="Times New Roman"/>
                <w:b w:val="0"/>
                <w:bCs w:val="0"/>
                <w:kern w:val="2"/>
                <w:sz w:val="28"/>
                <w:szCs w:val="28"/>
                <w:lang w:eastAsia="zh-CN" w:bidi="ar-SA"/>
                <w:woUserID w:val="1"/>
              </w:rPr>
              <w:t>0</w:t>
            </w:r>
            <w:r>
              <w:rPr>
                <w:rFonts w:hint="default" w:ascii="Times New Roman" w:hAnsi="Times New Roman" w:eastAsia="仿宋_GB2312" w:cs="Times New Roman"/>
                <w:b w:val="0"/>
                <w:bCs w:val="0"/>
                <w:kern w:val="2"/>
                <w:sz w:val="28"/>
                <w:szCs w:val="28"/>
                <w:lang w:val="en-US" w:eastAsia="zh-CN" w:bidi="ar-SA"/>
              </w:rPr>
              <w:t>分</w:t>
            </w:r>
            <w:r>
              <w:rPr>
                <w:rFonts w:hint="eastAsia" w:ascii="Times New Roman" w:hAnsi="Times New Roman" w:eastAsia="仿宋_GB2312" w:cs="Times New Roman"/>
                <w:b w:val="0"/>
                <w:bCs w:val="0"/>
                <w:kern w:val="2"/>
                <w:sz w:val="28"/>
                <w:szCs w:val="28"/>
                <w:lang w:val="en-US" w:eastAsia="zh-CN" w:bidi="ar-SA"/>
              </w:rPr>
              <w:t>，</w:t>
            </w:r>
            <w:r>
              <w:rPr>
                <w:rFonts w:hint="default" w:ascii="Times New Roman" w:hAnsi="Times New Roman" w:eastAsia="仿宋_GB2312" w:cs="Times New Roman"/>
                <w:b w:val="0"/>
                <w:bCs w:val="0"/>
                <w:kern w:val="2"/>
                <w:sz w:val="28"/>
                <w:szCs w:val="28"/>
                <w:lang w:val="en-US" w:eastAsia="zh-CN" w:bidi="ar-SA"/>
              </w:rPr>
              <w:t>实缴注册资本</w:t>
            </w:r>
            <w:r>
              <w:rPr>
                <w:rFonts w:hint="eastAsia" w:ascii="Times New Roman" w:hAnsi="Times New Roman" w:eastAsia="仿宋_GB2312" w:cs="Times New Roman"/>
                <w:b w:val="0"/>
                <w:bCs w:val="0"/>
                <w:kern w:val="2"/>
                <w:sz w:val="28"/>
                <w:szCs w:val="28"/>
                <w:lang w:val="en-US" w:eastAsia="zh-CN" w:bidi="ar-SA"/>
              </w:rPr>
              <w:t>分=1</w:t>
            </w:r>
            <w:r>
              <w:rPr>
                <w:rFonts w:hint="default" w:ascii="Times New Roman" w:hAnsi="Times New Roman" w:eastAsia="仿宋_GB2312" w:cs="Times New Roman"/>
                <w:b w:val="0"/>
                <w:bCs w:val="0"/>
                <w:kern w:val="2"/>
                <w:sz w:val="28"/>
                <w:szCs w:val="28"/>
                <w:lang w:eastAsia="zh-CN" w:bidi="ar-SA"/>
                <w:woUserID w:val="1"/>
              </w:rPr>
              <w:t>0</w:t>
            </w:r>
            <w:r>
              <w:rPr>
                <w:rFonts w:hint="eastAsia" w:ascii="Times New Roman" w:hAnsi="Times New Roman" w:eastAsia="仿宋_GB2312" w:cs="Times New Roman"/>
                <w:b w:val="0"/>
                <w:bCs w:val="0"/>
                <w:kern w:val="2"/>
                <w:sz w:val="28"/>
                <w:szCs w:val="28"/>
                <w:lang w:val="en-US" w:eastAsia="zh-CN" w:bidi="ar-SA"/>
              </w:rPr>
              <w:t>-1</w:t>
            </w:r>
            <w:r>
              <w:rPr>
                <w:rFonts w:hint="default" w:ascii="Times New Roman" w:hAnsi="Times New Roman" w:eastAsia="仿宋_GB2312" w:cs="Times New Roman"/>
                <w:b w:val="0"/>
                <w:bCs w:val="0"/>
                <w:kern w:val="2"/>
                <w:sz w:val="28"/>
                <w:szCs w:val="28"/>
                <w:lang w:eastAsia="zh-CN" w:bidi="ar-SA"/>
                <w:woUserID w:val="1"/>
              </w:rPr>
              <w:t>0</w:t>
            </w:r>
            <w:r>
              <w:rPr>
                <w:rFonts w:hint="eastAsia" w:ascii="Times New Roman" w:hAnsi="Times New Roman" w:eastAsia="仿宋_GB2312" w:cs="Times New Roman"/>
                <w:b w:val="0"/>
                <w:bCs w:val="0"/>
                <w:kern w:val="2"/>
                <w:sz w:val="28"/>
                <w:szCs w:val="28"/>
                <w:lang w:val="en-US" w:eastAsia="zh-CN" w:bidi="ar-SA"/>
              </w:rPr>
              <w:t>*（最高实缴注册资本-当前方实缴注册本）/最高实缴注册资本</w:t>
            </w:r>
            <w:r>
              <w:rPr>
                <w:rFonts w:hint="default" w:ascii="Times New Roman" w:hAnsi="Times New Roman" w:eastAsia="仿宋_GB2312" w:cs="Times New Roman"/>
                <w:b w:val="0"/>
                <w:bCs w:val="0"/>
                <w:kern w:val="2"/>
                <w:sz w:val="28"/>
                <w:szCs w:val="28"/>
                <w:lang w:val="en-US" w:eastAsia="zh-CN" w:bidi="ar-SA"/>
              </w:rPr>
              <w:t>。</w:t>
            </w:r>
          </w:p>
        </w:tc>
        <w:tc>
          <w:tcPr>
            <w:tcW w:w="1221" w:type="dxa"/>
            <w:vAlign w:val="center"/>
          </w:tcPr>
          <w:p w14:paraId="07D63FE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1</w:t>
            </w:r>
            <w:r>
              <w:rPr>
                <w:rFonts w:hint="default" w:ascii="Times New Roman" w:hAnsi="Times New Roman" w:eastAsia="仿宋_GB2312" w:cs="Times New Roman"/>
                <w:b w:val="0"/>
                <w:bCs w:val="0"/>
                <w:sz w:val="28"/>
                <w:szCs w:val="28"/>
                <w:vertAlign w:val="baseline"/>
                <w:lang w:eastAsia="zh-CN"/>
                <w:woUserID w:val="1"/>
              </w:rPr>
              <w:t>0</w:t>
            </w:r>
            <w:r>
              <w:rPr>
                <w:rFonts w:hint="default" w:ascii="Times New Roman" w:hAnsi="Times New Roman" w:eastAsia="仿宋_GB2312" w:cs="Times New Roman"/>
                <w:b w:val="0"/>
                <w:bCs w:val="0"/>
                <w:sz w:val="28"/>
                <w:szCs w:val="28"/>
                <w:vertAlign w:val="baseline"/>
                <w:lang w:val="en-US" w:eastAsia="zh-CN"/>
              </w:rPr>
              <w:t>分</w:t>
            </w:r>
          </w:p>
        </w:tc>
        <w:tc>
          <w:tcPr>
            <w:tcW w:w="980" w:type="dxa"/>
            <w:vAlign w:val="center"/>
          </w:tcPr>
          <w:p w14:paraId="5B71734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b/>
                <w:bCs/>
                <w:sz w:val="28"/>
                <w:szCs w:val="28"/>
                <w:vertAlign w:val="baseline"/>
                <w:lang w:val="en-US" w:eastAsia="zh-CN"/>
              </w:rPr>
            </w:pPr>
          </w:p>
        </w:tc>
      </w:tr>
      <w:tr w14:paraId="0E10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jc w:val="center"/>
        </w:trPr>
        <w:tc>
          <w:tcPr>
            <w:tcW w:w="1506" w:type="dxa"/>
            <w:vMerge w:val="continue"/>
            <w:vAlign w:val="center"/>
          </w:tcPr>
          <w:p w14:paraId="6E0ADB3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p>
        </w:tc>
        <w:tc>
          <w:tcPr>
            <w:tcW w:w="5951" w:type="dxa"/>
            <w:vAlign w:val="center"/>
          </w:tcPr>
          <w:p w14:paraId="22DBF1A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 w:val="0"/>
                <w:bCs w:val="0"/>
                <w:kern w:val="2"/>
                <w:sz w:val="28"/>
                <w:szCs w:val="28"/>
                <w:lang w:val="en-US" w:eastAsia="zh-CN" w:bidi="ar-SA"/>
              </w:rPr>
            </w:pPr>
            <w:r>
              <w:rPr>
                <w:rFonts w:hint="default" w:ascii="Times New Roman" w:hAnsi="Times New Roman" w:eastAsia="仿宋_GB2312" w:cs="Times New Roman"/>
                <w:b w:val="0"/>
                <w:bCs w:val="0"/>
                <w:sz w:val="28"/>
                <w:szCs w:val="28"/>
                <w:vertAlign w:val="baseline"/>
                <w:lang w:val="en-US" w:eastAsia="zh-CN"/>
              </w:rPr>
              <w:t>意向受让方或意向受让方的实际控制方</w:t>
            </w:r>
            <w:r>
              <w:rPr>
                <w:rFonts w:hint="eastAsia" w:ascii="Times New Roman" w:hAnsi="Times New Roman" w:eastAsia="仿宋_GB2312" w:cs="Times New Roman"/>
                <w:b w:val="0"/>
                <w:bCs w:val="0"/>
                <w:sz w:val="28"/>
                <w:szCs w:val="28"/>
                <w:vertAlign w:val="baseline"/>
                <w:lang w:val="en-US" w:eastAsia="zh-CN"/>
              </w:rPr>
              <w:t>具备上市公司管理经验且为上市公司实际控制人的</w:t>
            </w:r>
            <w:r>
              <w:rPr>
                <w:rFonts w:hint="eastAsia" w:ascii="Times New Roman" w:hAnsi="Times New Roman" w:eastAsia="仿宋_GB2312" w:cs="Times New Roman"/>
                <w:b w:val="0"/>
                <w:bCs w:val="0"/>
                <w:kern w:val="2"/>
                <w:sz w:val="28"/>
                <w:szCs w:val="28"/>
                <w:lang w:val="en-US" w:eastAsia="zh-CN" w:bidi="ar-SA"/>
              </w:rPr>
              <w:t>得分最高满分为1</w:t>
            </w:r>
            <w:r>
              <w:rPr>
                <w:rFonts w:hint="default" w:ascii="Times New Roman" w:hAnsi="Times New Roman" w:eastAsia="仿宋_GB2312" w:cs="Times New Roman"/>
                <w:b w:val="0"/>
                <w:bCs w:val="0"/>
                <w:kern w:val="2"/>
                <w:sz w:val="28"/>
                <w:szCs w:val="28"/>
                <w:lang w:eastAsia="zh-CN" w:bidi="ar-SA"/>
                <w:woUserID w:val="1"/>
              </w:rPr>
              <w:t>0</w:t>
            </w:r>
            <w:r>
              <w:rPr>
                <w:rFonts w:hint="default" w:ascii="Times New Roman" w:hAnsi="Times New Roman" w:eastAsia="仿宋_GB2312" w:cs="Times New Roman"/>
                <w:b w:val="0"/>
                <w:bCs w:val="0"/>
                <w:kern w:val="2"/>
                <w:sz w:val="28"/>
                <w:szCs w:val="28"/>
                <w:lang w:val="en-US" w:eastAsia="zh-CN" w:bidi="ar-SA"/>
              </w:rPr>
              <w:t>分</w:t>
            </w:r>
            <w:r>
              <w:rPr>
                <w:rFonts w:hint="eastAsia" w:ascii="Times New Roman" w:hAnsi="Times New Roman" w:eastAsia="仿宋_GB2312" w:cs="Times New Roman"/>
                <w:b w:val="0"/>
                <w:bCs w:val="0"/>
                <w:sz w:val="28"/>
                <w:szCs w:val="28"/>
                <w:vertAlign w:val="baseline"/>
                <w:lang w:val="en-US" w:eastAsia="zh-CN"/>
              </w:rPr>
              <w:t>，控股上市公司分=1</w:t>
            </w:r>
            <w:r>
              <w:rPr>
                <w:rFonts w:hint="default" w:ascii="Times New Roman" w:hAnsi="Times New Roman" w:eastAsia="仿宋_GB2312" w:cs="Times New Roman"/>
                <w:b w:val="0"/>
                <w:bCs w:val="0"/>
                <w:sz w:val="28"/>
                <w:szCs w:val="28"/>
                <w:vertAlign w:val="baseline"/>
                <w:lang w:eastAsia="zh-CN"/>
                <w:woUserID w:val="1"/>
              </w:rPr>
              <w:t>0</w:t>
            </w:r>
            <w:r>
              <w:rPr>
                <w:rFonts w:hint="eastAsia" w:ascii="Times New Roman" w:hAnsi="Times New Roman" w:eastAsia="仿宋_GB2312" w:cs="Times New Roman"/>
                <w:b w:val="0"/>
                <w:bCs w:val="0"/>
                <w:sz w:val="28"/>
                <w:szCs w:val="28"/>
                <w:vertAlign w:val="baseline"/>
                <w:lang w:val="en-US" w:eastAsia="zh-CN"/>
              </w:rPr>
              <w:t>-1</w:t>
            </w:r>
            <w:r>
              <w:rPr>
                <w:rFonts w:hint="default" w:ascii="Times New Roman" w:hAnsi="Times New Roman" w:eastAsia="仿宋_GB2312" w:cs="Times New Roman"/>
                <w:b w:val="0"/>
                <w:bCs w:val="0"/>
                <w:sz w:val="28"/>
                <w:szCs w:val="28"/>
                <w:vertAlign w:val="baseline"/>
                <w:lang w:eastAsia="zh-CN"/>
                <w:woUserID w:val="1"/>
              </w:rPr>
              <w:t>0</w:t>
            </w:r>
            <w:r>
              <w:rPr>
                <w:rFonts w:hint="eastAsia" w:ascii="Times New Roman" w:hAnsi="Times New Roman" w:eastAsia="仿宋_GB2312" w:cs="Times New Roman"/>
                <w:b w:val="0"/>
                <w:bCs w:val="0"/>
                <w:sz w:val="28"/>
                <w:szCs w:val="28"/>
                <w:vertAlign w:val="baseline"/>
                <w:lang w:val="en-US" w:eastAsia="zh-CN"/>
              </w:rPr>
              <w:t>*（最高实控上市公司数-当前方实控上市公司数）/最高实控上市公司数。</w:t>
            </w:r>
          </w:p>
        </w:tc>
        <w:tc>
          <w:tcPr>
            <w:tcW w:w="1221" w:type="dxa"/>
            <w:vAlign w:val="center"/>
          </w:tcPr>
          <w:p w14:paraId="239CD0F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1</w:t>
            </w:r>
            <w:r>
              <w:rPr>
                <w:rFonts w:hint="default" w:ascii="Times New Roman" w:hAnsi="Times New Roman" w:eastAsia="仿宋_GB2312" w:cs="Times New Roman"/>
                <w:b w:val="0"/>
                <w:bCs w:val="0"/>
                <w:sz w:val="28"/>
                <w:szCs w:val="28"/>
                <w:vertAlign w:val="baseline"/>
                <w:lang w:eastAsia="zh-CN"/>
                <w:woUserID w:val="1"/>
              </w:rPr>
              <w:t>0</w:t>
            </w:r>
            <w:r>
              <w:rPr>
                <w:rFonts w:hint="eastAsia" w:ascii="Times New Roman" w:hAnsi="Times New Roman" w:eastAsia="仿宋_GB2312" w:cs="Times New Roman"/>
                <w:b w:val="0"/>
                <w:bCs w:val="0"/>
                <w:sz w:val="28"/>
                <w:szCs w:val="28"/>
                <w:vertAlign w:val="baseline"/>
                <w:lang w:val="en-US" w:eastAsia="zh-CN"/>
              </w:rPr>
              <w:t>分</w:t>
            </w:r>
          </w:p>
        </w:tc>
        <w:tc>
          <w:tcPr>
            <w:tcW w:w="980" w:type="dxa"/>
            <w:vAlign w:val="center"/>
          </w:tcPr>
          <w:p w14:paraId="0EE4575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b w:val="0"/>
                <w:bCs w:val="0"/>
                <w:sz w:val="28"/>
                <w:szCs w:val="28"/>
                <w:vertAlign w:val="baseline"/>
                <w:lang w:val="en-US" w:eastAsia="zh-CN"/>
              </w:rPr>
            </w:pPr>
          </w:p>
        </w:tc>
      </w:tr>
      <w:tr w14:paraId="151E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6" w:type="dxa"/>
            <w:vAlign w:val="center"/>
          </w:tcPr>
          <w:p w14:paraId="684951B2">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产业规划</w:t>
            </w:r>
          </w:p>
        </w:tc>
        <w:tc>
          <w:tcPr>
            <w:tcW w:w="5951" w:type="dxa"/>
            <w:vAlign w:val="center"/>
          </w:tcPr>
          <w:p w14:paraId="57E5F9F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产业规划分最高满分</w:t>
            </w:r>
            <w:r>
              <w:rPr>
                <w:rFonts w:hint="default" w:ascii="Times New Roman" w:hAnsi="Times New Roman" w:eastAsia="仿宋_GB2312" w:cs="Times New Roman"/>
                <w:b w:val="0"/>
                <w:bCs w:val="0"/>
                <w:sz w:val="28"/>
                <w:szCs w:val="28"/>
                <w:vertAlign w:val="baseline"/>
                <w:lang w:eastAsia="zh-CN"/>
                <w:woUserID w:val="1"/>
              </w:rPr>
              <w:t>2</w:t>
            </w:r>
            <w:r>
              <w:rPr>
                <w:rFonts w:hint="eastAsia" w:ascii="Times New Roman" w:hAnsi="Times New Roman" w:eastAsia="仿宋_GB2312" w:cs="Times New Roman"/>
                <w:b w:val="0"/>
                <w:bCs w:val="0"/>
                <w:sz w:val="28"/>
                <w:szCs w:val="28"/>
                <w:vertAlign w:val="baseline"/>
                <w:lang w:val="en-US" w:eastAsia="zh-CN"/>
              </w:rPr>
              <w:t>0分，受让方需按阶段提供对华鼎股份未来3至5年，5至10年的产业规划，包括但不限于营收、利润、税收等。</w:t>
            </w:r>
          </w:p>
        </w:tc>
        <w:tc>
          <w:tcPr>
            <w:tcW w:w="1221" w:type="dxa"/>
            <w:vAlign w:val="center"/>
          </w:tcPr>
          <w:p w14:paraId="73E1418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default" w:ascii="Times New Roman" w:hAnsi="Times New Roman" w:eastAsia="仿宋_GB2312" w:cs="Times New Roman"/>
                <w:b w:val="0"/>
                <w:bCs w:val="0"/>
                <w:sz w:val="28"/>
                <w:szCs w:val="28"/>
                <w:vertAlign w:val="baseline"/>
                <w:lang w:eastAsia="zh-CN"/>
                <w:woUserID w:val="1"/>
              </w:rPr>
              <w:t>2</w:t>
            </w:r>
            <w:r>
              <w:rPr>
                <w:rFonts w:hint="eastAsia" w:ascii="Times New Roman" w:hAnsi="Times New Roman" w:eastAsia="仿宋_GB2312" w:cs="Times New Roman"/>
                <w:b w:val="0"/>
                <w:bCs w:val="0"/>
                <w:sz w:val="28"/>
                <w:szCs w:val="28"/>
                <w:vertAlign w:val="baseline"/>
                <w:lang w:val="en-US" w:eastAsia="zh-CN"/>
              </w:rPr>
              <w:t>0分</w:t>
            </w:r>
          </w:p>
        </w:tc>
        <w:tc>
          <w:tcPr>
            <w:tcW w:w="980" w:type="dxa"/>
            <w:vAlign w:val="center"/>
          </w:tcPr>
          <w:p w14:paraId="7919030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b w:val="0"/>
                <w:bCs w:val="0"/>
                <w:sz w:val="28"/>
                <w:szCs w:val="28"/>
                <w:vertAlign w:val="baseline"/>
                <w:lang w:val="en-US" w:eastAsia="zh-CN"/>
              </w:rPr>
            </w:pPr>
          </w:p>
        </w:tc>
      </w:tr>
      <w:tr w14:paraId="352C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7" w:type="dxa"/>
            <w:gridSpan w:val="2"/>
            <w:vAlign w:val="center"/>
          </w:tcPr>
          <w:p w14:paraId="6121A0C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总计</w:t>
            </w:r>
          </w:p>
        </w:tc>
        <w:tc>
          <w:tcPr>
            <w:tcW w:w="1221" w:type="dxa"/>
            <w:vAlign w:val="center"/>
          </w:tcPr>
          <w:p w14:paraId="76B754C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b w:val="0"/>
                <w:bCs w:val="0"/>
                <w:sz w:val="28"/>
                <w:szCs w:val="28"/>
                <w:vertAlign w:val="baseline"/>
                <w:lang w:val="en-US" w:eastAsia="zh-CN"/>
              </w:rPr>
            </w:pPr>
            <w:r>
              <w:rPr>
                <w:rFonts w:hint="eastAsia" w:ascii="Times New Roman" w:hAnsi="Times New Roman" w:eastAsia="仿宋_GB2312" w:cs="Times New Roman"/>
                <w:b w:val="0"/>
                <w:bCs w:val="0"/>
                <w:sz w:val="28"/>
                <w:szCs w:val="28"/>
                <w:vertAlign w:val="baseline"/>
                <w:lang w:val="en-US" w:eastAsia="zh-CN"/>
              </w:rPr>
              <w:t>100分</w:t>
            </w:r>
          </w:p>
        </w:tc>
        <w:tc>
          <w:tcPr>
            <w:tcW w:w="980" w:type="dxa"/>
            <w:vAlign w:val="center"/>
          </w:tcPr>
          <w:p w14:paraId="6C58C21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b w:val="0"/>
                <w:bCs w:val="0"/>
                <w:sz w:val="28"/>
                <w:szCs w:val="28"/>
                <w:vertAlign w:val="baseline"/>
                <w:lang w:val="en-US" w:eastAsia="zh-CN"/>
              </w:rPr>
            </w:pPr>
          </w:p>
        </w:tc>
      </w:tr>
    </w:tbl>
    <w:p w14:paraId="7A2BDDB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41" w:leftChars="304" w:hanging="3" w:firstLineChars="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备注</w:t>
      </w:r>
    </w:p>
    <w:p w14:paraId="254195E0">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Chars="0"/>
        <w:textAlignment w:val="auto"/>
        <w:rPr>
          <w:rFonts w:hint="default" w:ascii="Times New Roman" w:hAnsi="Times New Roman" w:eastAsia="仿宋_GB2312" w:cs="仿宋_GB2312"/>
          <w:b/>
          <w:bCs/>
          <w:sz w:val="32"/>
          <w:szCs w:val="32"/>
          <w:lang w:val="en-US" w:eastAsia="zh-CN"/>
        </w:rPr>
      </w:pPr>
      <w:r>
        <w:rPr>
          <w:rFonts w:hint="eastAsia" w:ascii="Times New Roman" w:hAnsi="Times New Roman" w:eastAsia="仿宋_GB2312" w:cs="仿宋_GB2312"/>
          <w:b/>
          <w:bCs/>
          <w:sz w:val="32"/>
          <w:szCs w:val="32"/>
          <w:lang w:val="en-US" w:eastAsia="zh-CN"/>
        </w:rPr>
        <w:t xml:space="preserve">    </w:t>
      </w:r>
      <w:r>
        <w:rPr>
          <w:rFonts w:hint="eastAsia" w:ascii="Times New Roman" w:hAnsi="Times New Roman" w:eastAsia="仿宋_GB2312" w:cs="仿宋_GB2312"/>
          <w:b w:val="0"/>
          <w:bCs w:val="0"/>
          <w:sz w:val="32"/>
          <w:szCs w:val="32"/>
          <w:lang w:val="en-US" w:eastAsia="zh-CN"/>
        </w:rPr>
        <w:t>若意向受让方的转让报价低于人民币</w:t>
      </w:r>
      <w:r>
        <w:rPr>
          <w:rFonts w:hint="eastAsia" w:ascii="Times New Roman" w:hAnsi="Times New Roman" w:eastAsia="仿宋_GB2312" w:cs="Times New Roman"/>
          <w:sz w:val="32"/>
          <w:szCs w:val="32"/>
          <w:highlight w:val="none"/>
          <w:lang w:val="en-US" w:eastAsia="zh-CN"/>
        </w:rPr>
        <w:t>355,128,773</w:t>
      </w:r>
      <w:r>
        <w:rPr>
          <w:rFonts w:hint="eastAsia" w:ascii="Times New Roman" w:hAnsi="Times New Roman" w:eastAsia="仿宋_GB2312" w:cs="仿宋_GB2312"/>
          <w:b w:val="0"/>
          <w:bCs w:val="0"/>
          <w:sz w:val="32"/>
          <w:szCs w:val="32"/>
          <w:lang w:val="en-US" w:eastAsia="zh-CN"/>
        </w:rPr>
        <w:t>元，则视为不符合报名资格要求，该报价将不予受理且不参与后续评审程序。</w:t>
      </w:r>
    </w:p>
    <w:sectPr>
      <w:footerReference r:id="rId3" w:type="default"/>
      <w:pgSz w:w="11906" w:h="16838"/>
      <w:pgMar w:top="1531" w:right="1361" w:bottom="1531" w:left="1587" w:header="851" w:footer="992" w:gutter="0"/>
      <w:pgNumType w:fmt="numberInDash" w:start="2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139E0D6-3959-484E-8784-99F360E840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DBEDBA77-5D16-4C2F-9721-227D46242902}"/>
  </w:font>
  <w:font w:name="仿宋_GB2312">
    <w:altName w:val="仿宋"/>
    <w:panose1 w:val="02010609030101010101"/>
    <w:charset w:val="86"/>
    <w:family w:val="modern"/>
    <w:pitch w:val="default"/>
    <w:sig w:usb0="00000000" w:usb1="00000000" w:usb2="00000000" w:usb3="00000000" w:csb0="00040000" w:csb1="00000000"/>
    <w:embedRegular r:id="rId3" w:fontKey="{9D5384F9-AEAE-4A92-9627-7735D890F628}"/>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C8500">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ECB30">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DECB30">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C85EE8"/>
    <w:multiLevelType w:val="singleLevel"/>
    <w:tmpl w:val="51C85EE8"/>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melie">
    <w15:presenceInfo w15:providerId="WPS Office" w15:userId="29636317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yOWZmNTAyMmY3ZGM0YTc1ZDc4OGU2OTU0NjhjMzYifQ=="/>
  </w:docVars>
  <w:rsids>
    <w:rsidRoot w:val="00000000"/>
    <w:rsid w:val="01827E33"/>
    <w:rsid w:val="03DE5A5A"/>
    <w:rsid w:val="09214320"/>
    <w:rsid w:val="0FDC42EE"/>
    <w:rsid w:val="10A649E3"/>
    <w:rsid w:val="1CAD7220"/>
    <w:rsid w:val="22F80FA3"/>
    <w:rsid w:val="26084A80"/>
    <w:rsid w:val="370E0726"/>
    <w:rsid w:val="3B6C509C"/>
    <w:rsid w:val="4E317ED3"/>
    <w:rsid w:val="4F422057"/>
    <w:rsid w:val="5AB76B7E"/>
    <w:rsid w:val="5C1A0735"/>
    <w:rsid w:val="5DF90BE6"/>
    <w:rsid w:val="64FB2834"/>
    <w:rsid w:val="70223B39"/>
    <w:rsid w:val="705146E5"/>
    <w:rsid w:val="749E3EED"/>
    <w:rsid w:val="753F7B86"/>
    <w:rsid w:val="78D37FA3"/>
    <w:rsid w:val="7EFD49D6"/>
    <w:rsid w:val="7F6E7ABD"/>
    <w:rsid w:val="DFF5C09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573</Words>
  <Characters>612</Characters>
  <Lines>0</Lines>
  <Paragraphs>0</Paragraphs>
  <TotalTime>6</TotalTime>
  <ScaleCrop>false</ScaleCrop>
  <LinksUpToDate>false</LinksUpToDate>
  <CharactersWithSpaces>616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2024-12-06T02:20:00Z</dcterms:created>
  <dc:creator>hbc</dc:creator>
  <cp:lastModifiedBy>朱秋萍</cp:lastModifiedBy>
  <cp:lastPrinted>2026-04-17T01:44:37Z</cp:lastPrinted>
  <dcterms:modified xsi:type="dcterms:W3CDTF">2026-04-17T01:44:46Z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210C640A7FFB465FA332526CCD2B0F8D_13</vt:lpwstr>
  </property>
  <property fmtid="{D5CDD505-2E9C-101B-9397-08002B2CF9AE}" pid="4" name="KSOTemplateDocerSaveRecord">
    <vt:lpwstr>eyJoZGlkIjoiZGQ0M2RjMjk1Y2QxMmU0NGJkMGQ1YmUxMGZjNDQ5NDciLCJ1c2VySWQiOiIxNTY3MDYwNzUwIn0=</vt:lpwstr>
  </property>
</Properties>
</file>