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C2728">
      <w:pPr>
        <w:keepNext w:val="0"/>
        <w:keepLines w:val="0"/>
        <w:pageBreakBefore w:val="0"/>
        <w:kinsoku/>
        <w:wordWrap/>
        <w:overflowPunct/>
        <w:topLinePunct w:val="0"/>
        <w:bidi w:val="0"/>
        <w:snapToGrid/>
        <w:spacing w:line="560" w:lineRule="exact"/>
        <w:ind w:left="0" w:right="0"/>
        <w:jc w:val="center"/>
        <w:textAlignment w:val="auto"/>
        <w:rPr>
          <w:rFonts w:ascii="Times New Roman" w:hAnsi="Times New Roman" w:eastAsia="黑体" w:cs="Times New Roman"/>
          <w:color w:val="auto"/>
          <w:sz w:val="44"/>
          <w:szCs w:val="44"/>
          <w:highlight w:val="none"/>
        </w:rPr>
      </w:pPr>
      <w:r>
        <w:rPr>
          <w:rFonts w:ascii="Times New Roman" w:hAnsi="Times New Roman" w:eastAsia="黑体" w:cs="Times New Roman"/>
          <w:color w:val="auto"/>
          <w:sz w:val="44"/>
          <w:szCs w:val="44"/>
          <w:highlight w:val="none"/>
        </w:rPr>
        <w:t>义乌市</w:t>
      </w:r>
      <w:r>
        <w:rPr>
          <w:rFonts w:hint="eastAsia" w:ascii="Times New Roman" w:hAnsi="Times New Roman" w:eastAsia="黑体" w:cs="Times New Roman"/>
          <w:color w:val="auto"/>
          <w:sz w:val="44"/>
          <w:szCs w:val="44"/>
          <w:highlight w:val="none"/>
          <w:lang w:eastAsia="zh-CN"/>
        </w:rPr>
        <w:t>商贸、物流项目</w:t>
      </w:r>
      <w:r>
        <w:rPr>
          <w:rFonts w:ascii="Times New Roman" w:hAnsi="Times New Roman" w:eastAsia="黑体" w:cs="Times New Roman"/>
          <w:color w:val="auto"/>
          <w:sz w:val="44"/>
          <w:szCs w:val="44"/>
          <w:highlight w:val="none"/>
        </w:rPr>
        <w:t>用地全生命周期管理</w:t>
      </w:r>
    </w:p>
    <w:p w14:paraId="45B36889">
      <w:pPr>
        <w:keepNext w:val="0"/>
        <w:keepLines w:val="0"/>
        <w:pageBreakBefore w:val="0"/>
        <w:kinsoku/>
        <w:wordWrap/>
        <w:overflowPunct/>
        <w:topLinePunct w:val="0"/>
        <w:bidi w:val="0"/>
        <w:snapToGrid/>
        <w:spacing w:line="560" w:lineRule="exact"/>
        <w:ind w:left="0" w:right="0"/>
        <w:jc w:val="center"/>
        <w:textAlignment w:val="auto"/>
        <w:rPr>
          <w:rFonts w:hint="eastAsia" w:ascii="Times New Roman" w:hAnsi="Times New Roman" w:eastAsia="黑体" w:cs="Times New Roman"/>
          <w:color w:val="auto"/>
          <w:sz w:val="44"/>
          <w:szCs w:val="44"/>
          <w:highlight w:val="none"/>
        </w:rPr>
      </w:pPr>
      <w:r>
        <w:rPr>
          <w:rFonts w:ascii="Times New Roman" w:hAnsi="Times New Roman" w:eastAsia="黑体" w:cs="Times New Roman"/>
          <w:color w:val="auto"/>
          <w:sz w:val="44"/>
          <w:szCs w:val="44"/>
          <w:highlight w:val="none"/>
        </w:rPr>
        <w:t>履约协议</w:t>
      </w:r>
      <w:r>
        <w:rPr>
          <w:rFonts w:hint="eastAsia" w:ascii="Times New Roman" w:hAnsi="Times New Roman" w:eastAsia="黑体" w:cs="Times New Roman"/>
          <w:color w:val="auto"/>
          <w:sz w:val="44"/>
          <w:szCs w:val="44"/>
          <w:highlight w:val="none"/>
        </w:rPr>
        <w:t xml:space="preserve"> </w:t>
      </w:r>
    </w:p>
    <w:p w14:paraId="2C8E4A04">
      <w:pPr>
        <w:keepNext w:val="0"/>
        <w:keepLines w:val="0"/>
        <w:pageBreakBefore w:val="0"/>
        <w:kinsoku/>
        <w:wordWrap/>
        <w:overflowPunct/>
        <w:topLinePunct w:val="0"/>
        <w:bidi w:val="0"/>
        <w:snapToGrid/>
        <w:spacing w:line="560" w:lineRule="exact"/>
        <w:ind w:left="0" w:right="0"/>
        <w:jc w:val="center"/>
        <w:textAlignment w:val="auto"/>
        <w:rPr>
          <w:rFonts w:hint="eastAsia" w:ascii="Times New Roman" w:hAnsi="Times New Roman" w:eastAsia="黑体" w:cs="Times New Roman"/>
          <w:color w:val="auto"/>
          <w:sz w:val="44"/>
          <w:szCs w:val="44"/>
          <w:highlight w:val="none"/>
          <w:lang w:eastAsia="zh-CN"/>
        </w:rPr>
      </w:pPr>
      <w:r>
        <w:rPr>
          <w:rFonts w:hint="eastAsia" w:ascii="Times New Roman" w:hAnsi="Times New Roman" w:eastAsia="黑体" w:cs="Times New Roman"/>
          <w:color w:val="auto"/>
          <w:sz w:val="44"/>
          <w:szCs w:val="44"/>
          <w:highlight w:val="none"/>
          <w:lang w:eastAsia="zh-CN"/>
        </w:rPr>
        <w:t>（模板）</w:t>
      </w:r>
    </w:p>
    <w:p w14:paraId="4CD0CA94">
      <w:pPr>
        <w:keepNext w:val="0"/>
        <w:keepLines w:val="0"/>
        <w:pageBreakBefore w:val="0"/>
        <w:kinsoku/>
        <w:wordWrap/>
        <w:overflowPunct/>
        <w:topLinePunct w:val="0"/>
        <w:bidi w:val="0"/>
        <w:snapToGrid/>
        <w:spacing w:line="560" w:lineRule="exact"/>
        <w:ind w:left="0" w:right="0"/>
        <w:jc w:val="center"/>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 xml:space="preserve">  （</w:t>
      </w:r>
      <w:r>
        <w:rPr>
          <w:rFonts w:hint="eastAsia" w:ascii="楷体_GB2312" w:hAnsi="Times New Roman" w:eastAsia="楷体_GB2312" w:cs="Times New Roman"/>
          <w:color w:val="auto"/>
          <w:sz w:val="32"/>
          <w:szCs w:val="32"/>
          <w:highlight w:val="none"/>
        </w:rPr>
        <w:t>协议编号：</w:t>
      </w:r>
      <w:r>
        <w:rPr>
          <w:rFonts w:hint="eastAsia" w:ascii="楷体_GB2312" w:hAnsi="Times New Roman" w:eastAsia="楷体_GB2312" w:cs="Times New Roman"/>
          <w:color w:val="auto"/>
          <w:sz w:val="32"/>
          <w:szCs w:val="32"/>
          <w:highlight w:val="none"/>
          <w:u w:val="single"/>
        </w:rPr>
        <w:t xml:space="preserve"> </w:t>
      </w:r>
      <w:r>
        <w:rPr>
          <w:rFonts w:hint="eastAsia" w:ascii="楷体_GB2312" w:hAnsi="Times New Roman" w:eastAsia="楷体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rPr>
        <w:t>）</w:t>
      </w:r>
    </w:p>
    <w:p w14:paraId="06E37BF0">
      <w:pPr>
        <w:keepNext w:val="0"/>
        <w:keepLines w:val="0"/>
        <w:pageBreakBefore w:val="0"/>
        <w:kinsoku/>
        <w:wordWrap/>
        <w:overflowPunct/>
        <w:topLinePunct w:val="0"/>
        <w:bidi w:val="0"/>
        <w:snapToGrid/>
        <w:spacing w:line="560" w:lineRule="exact"/>
        <w:ind w:left="0" w:right="0"/>
        <w:jc w:val="center"/>
        <w:textAlignment w:val="auto"/>
        <w:rPr>
          <w:rFonts w:ascii="Times New Roman" w:hAnsi="Times New Roman" w:eastAsia="仿宋_GB2312" w:cs="Times New Roman"/>
          <w:color w:val="auto"/>
          <w:sz w:val="32"/>
          <w:szCs w:val="32"/>
          <w:highlight w:val="none"/>
        </w:rPr>
      </w:pPr>
    </w:p>
    <w:p w14:paraId="526865A0">
      <w:pPr>
        <w:keepNext w:val="0"/>
        <w:keepLines w:val="0"/>
        <w:pageBreakBefore w:val="0"/>
        <w:kinsoku/>
        <w:wordWrap/>
        <w:overflowPunct/>
        <w:topLinePunct w:val="0"/>
        <w:bidi w:val="0"/>
        <w:snapToGrid/>
        <w:spacing w:line="560" w:lineRule="exact"/>
        <w:ind w:left="0" w:right="0" w:firstLine="640" w:firstLineChars="200"/>
        <w:textAlignment w:val="auto"/>
        <w:rPr>
          <w:rFonts w:ascii="Times New Roman" w:hAnsi="Times New Roman" w:eastAsia="仿宋_GB2312" w:cs="Times New Roman"/>
          <w:color w:val="auto"/>
          <w:sz w:val="32"/>
          <w:szCs w:val="32"/>
          <w:highlight w:val="none"/>
          <w:u w:val="single"/>
        </w:rPr>
      </w:pPr>
      <w:r>
        <w:rPr>
          <w:rFonts w:ascii="Times New Roman" w:hAnsi="Times New Roman" w:eastAsia="仿宋_GB2312" w:cs="Times New Roman"/>
          <w:color w:val="auto"/>
          <w:sz w:val="32"/>
          <w:szCs w:val="32"/>
          <w:highlight w:val="none"/>
        </w:rPr>
        <w:t>甲方：</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p>
    <w:p w14:paraId="029B0833">
      <w:pPr>
        <w:keepNext w:val="0"/>
        <w:keepLines w:val="0"/>
        <w:pageBreakBefore w:val="0"/>
        <w:kinsoku/>
        <w:wordWrap/>
        <w:overflowPunct/>
        <w:topLinePunct w:val="0"/>
        <w:bidi w:val="0"/>
        <w:snapToGrid/>
        <w:spacing w:line="560" w:lineRule="exact"/>
        <w:ind w:left="0" w:right="0"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法定</w:t>
      </w:r>
      <w:r>
        <w:rPr>
          <w:rFonts w:ascii="Times New Roman" w:hAnsi="Times New Roman" w:eastAsia="仿宋_GB2312" w:cs="Times New Roman"/>
          <w:color w:val="auto"/>
          <w:sz w:val="32"/>
          <w:szCs w:val="32"/>
          <w:highlight w:val="none"/>
        </w:rPr>
        <w:t>代表人：</w:t>
      </w:r>
      <w:r>
        <w:rPr>
          <w:rFonts w:ascii="Times New Roman" w:hAnsi="Times New Roman" w:eastAsia="仿宋_GB2312" w:cs="Times New Roman"/>
          <w:color w:val="auto"/>
          <w:sz w:val="32"/>
          <w:szCs w:val="32"/>
          <w:highlight w:val="none"/>
          <w:u w:val="single"/>
        </w:rPr>
        <w:t xml:space="preserve">            </w:t>
      </w:r>
    </w:p>
    <w:p w14:paraId="17FC10BC">
      <w:pPr>
        <w:keepNext w:val="0"/>
        <w:keepLines w:val="0"/>
        <w:pageBreakBefore w:val="0"/>
        <w:kinsoku/>
        <w:wordWrap/>
        <w:overflowPunct/>
        <w:topLinePunct w:val="0"/>
        <w:bidi w:val="0"/>
        <w:snapToGrid/>
        <w:spacing w:line="560" w:lineRule="exact"/>
        <w:ind w:left="0" w:right="0" w:firstLine="640" w:firstLineChars="200"/>
        <w:textAlignment w:val="auto"/>
        <w:rPr>
          <w:rFonts w:hint="default" w:ascii="Times New Roman" w:hAnsi="Times New Roman" w:eastAsia="仿宋_GB2312" w:cs="Times New Roman"/>
          <w:color w:val="auto"/>
          <w:sz w:val="32"/>
          <w:szCs w:val="32"/>
          <w:highlight w:val="none"/>
          <w:u w:val="single"/>
          <w:lang w:val="en-US" w:eastAsia="zh-CN"/>
        </w:rPr>
      </w:pPr>
      <w:r>
        <w:rPr>
          <w:rFonts w:ascii="Times New Roman" w:hAnsi="Times New Roman" w:eastAsia="仿宋_GB2312" w:cs="Times New Roman"/>
          <w:color w:val="auto"/>
          <w:sz w:val="32"/>
          <w:szCs w:val="32"/>
          <w:highlight w:val="none"/>
        </w:rPr>
        <w:t>乙方：</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p>
    <w:p w14:paraId="5C4234FC">
      <w:pPr>
        <w:keepNext w:val="0"/>
        <w:keepLines w:val="0"/>
        <w:pageBreakBefore w:val="0"/>
        <w:kinsoku/>
        <w:wordWrap/>
        <w:overflowPunct/>
        <w:topLinePunct w:val="0"/>
        <w:bidi w:val="0"/>
        <w:snapToGrid/>
        <w:spacing w:line="560" w:lineRule="exact"/>
        <w:ind w:left="0" w:right="0" w:firstLine="640" w:firstLineChars="200"/>
        <w:textAlignment w:val="auto"/>
        <w:rPr>
          <w:rFonts w:hint="default" w:ascii="Times New Roman" w:hAnsi="Times New Roman" w:eastAsia="仿宋_GB2312" w:cs="Times New Roman"/>
          <w:color w:val="auto"/>
          <w:szCs w:val="32"/>
          <w:highlight w:val="none"/>
          <w:lang w:val="en-US" w:eastAsia="zh-CN"/>
        </w:rPr>
      </w:pPr>
      <w:r>
        <w:rPr>
          <w:rFonts w:hint="eastAsia" w:ascii="Times New Roman" w:hAnsi="Times New Roman" w:eastAsia="仿宋_GB2312" w:cs="Times New Roman"/>
          <w:color w:val="auto"/>
          <w:sz w:val="32"/>
          <w:szCs w:val="32"/>
          <w:highlight w:val="none"/>
        </w:rPr>
        <w:t>法定</w:t>
      </w:r>
      <w:r>
        <w:rPr>
          <w:rFonts w:ascii="Times New Roman" w:hAnsi="Times New Roman" w:eastAsia="仿宋_GB2312" w:cs="Times New Roman"/>
          <w:color w:val="auto"/>
          <w:sz w:val="32"/>
          <w:szCs w:val="32"/>
          <w:highlight w:val="none"/>
        </w:rPr>
        <w:t>代表人：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p>
    <w:p w14:paraId="5DB50F57">
      <w:pPr>
        <w:keepNext w:val="0"/>
        <w:keepLines w:val="0"/>
        <w:pageBreakBefore w:val="0"/>
        <w:kinsoku/>
        <w:wordWrap/>
        <w:overflowPunct/>
        <w:topLinePunct w:val="0"/>
        <w:bidi w:val="0"/>
        <w:snapToGrid/>
        <w:spacing w:line="560" w:lineRule="exact"/>
        <w:ind w:left="0" w:right="0" w:firstLine="640" w:firstLineChars="200"/>
        <w:textAlignment w:val="auto"/>
        <w:rPr>
          <w:rFonts w:hint="eastAsia" w:ascii="Times New Roman" w:hAnsi="Times New Roman" w:eastAsia="仿宋_GB2312" w:cs="Times New Roman"/>
          <w:color w:val="auto"/>
          <w:sz w:val="32"/>
          <w:szCs w:val="32"/>
          <w:highlight w:val="none"/>
        </w:rPr>
      </w:pPr>
    </w:p>
    <w:p w14:paraId="6686BE18">
      <w:pPr>
        <w:keepNext w:val="0"/>
        <w:keepLines w:val="0"/>
        <w:pageBreakBefore w:val="0"/>
        <w:kinsoku/>
        <w:wordWrap/>
        <w:overflowPunct/>
        <w:topLinePunct w:val="0"/>
        <w:bidi w:val="0"/>
        <w:snapToGrid/>
        <w:spacing w:line="560" w:lineRule="exact"/>
        <w:ind w:left="0" w:right="0"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根据</w:t>
      </w:r>
      <w:r>
        <w:rPr>
          <w:rFonts w:hint="eastAsia" w:ascii="Times New Roman" w:hAnsi="Times New Roman" w:eastAsia="仿宋_GB2312" w:cs="Times New Roman"/>
          <w:color w:val="auto"/>
          <w:sz w:val="32"/>
          <w:szCs w:val="32"/>
          <w:highlight w:val="none"/>
          <w:lang w:eastAsia="zh-CN"/>
        </w:rPr>
        <w:t>相关</w:t>
      </w:r>
      <w:r>
        <w:rPr>
          <w:rFonts w:hint="eastAsia" w:ascii="Times New Roman" w:hAnsi="Times New Roman" w:eastAsia="仿宋_GB2312" w:cs="Times New Roman"/>
          <w:color w:val="auto"/>
          <w:sz w:val="32"/>
          <w:szCs w:val="32"/>
          <w:highlight w:val="none"/>
        </w:rPr>
        <w:t>法律法规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本着平等、自愿、诚实、信用原则，经双方协商一致，订立本协议</w:t>
      </w:r>
      <w:r>
        <w:rPr>
          <w:rFonts w:ascii="Times New Roman" w:hAnsi="Times New Roman" w:eastAsia="仿宋_GB2312" w:cs="Times New Roman"/>
          <w:color w:val="auto"/>
          <w:sz w:val="32"/>
          <w:szCs w:val="32"/>
          <w:highlight w:val="none"/>
        </w:rPr>
        <w:t xml:space="preserve">，以便双方共同遵守： </w:t>
      </w:r>
    </w:p>
    <w:p w14:paraId="005A4DFB">
      <w:pPr>
        <w:pStyle w:val="7"/>
        <w:keepNext w:val="0"/>
        <w:keepLines w:val="0"/>
        <w:pageBreakBefore w:val="0"/>
        <w:numPr>
          <w:ilvl w:val="0"/>
          <w:numId w:val="1"/>
        </w:numPr>
        <w:kinsoku/>
        <w:wordWrap/>
        <w:overflowPunct/>
        <w:topLinePunct w:val="0"/>
        <w:bidi w:val="0"/>
        <w:snapToGrid/>
        <w:spacing w:line="560" w:lineRule="exact"/>
        <w:ind w:left="0" w:right="0"/>
        <w:textAlignment w:val="auto"/>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项目基本情况及要求</w:t>
      </w:r>
    </w:p>
    <w:p w14:paraId="49D1058F">
      <w:pPr>
        <w:pStyle w:val="3"/>
        <w:keepNext w:val="0"/>
        <w:keepLines w:val="0"/>
        <w:pageBreakBefore w:val="0"/>
        <w:numPr>
          <w:ilvl w:val="0"/>
          <w:numId w:val="2"/>
        </w:numPr>
        <w:kinsoku/>
        <w:wordWrap/>
        <w:overflowPunct/>
        <w:topLinePunct w:val="0"/>
        <w:bidi w:val="0"/>
        <w:snapToGrid/>
        <w:spacing w:after="0" w:line="560" w:lineRule="exact"/>
        <w:ind w:left="0" w:leftChars="0" w:right="0"/>
        <w:textAlignment w:val="auto"/>
        <w:rPr>
          <w:rFonts w:hint="eastAsia" w:ascii="仿宋_GB2312" w:hAnsi="楷体" w:eastAsia="仿宋_GB2312" w:cs="楷体"/>
          <w:color w:val="auto"/>
          <w:kern w:val="0"/>
          <w:sz w:val="32"/>
          <w:szCs w:val="32"/>
          <w:highlight w:val="none"/>
        </w:rPr>
      </w:pPr>
      <w:r>
        <w:rPr>
          <w:rFonts w:hint="eastAsia" w:ascii="楷体" w:hAnsi="楷体" w:eastAsia="楷体" w:cs="楷体"/>
          <w:color w:val="auto"/>
          <w:kern w:val="0"/>
          <w:sz w:val="32"/>
          <w:szCs w:val="32"/>
          <w:highlight w:val="none"/>
        </w:rPr>
        <w:t>土地位置：</w:t>
      </w:r>
      <w:r>
        <w:rPr>
          <w:rFonts w:hint="eastAsia" w:ascii="楷体" w:hAnsi="楷体" w:eastAsia="楷体" w:cs="楷体"/>
          <w:color w:val="auto"/>
          <w:kern w:val="0"/>
          <w:sz w:val="32"/>
          <w:szCs w:val="32"/>
          <w:highlight w:val="none"/>
          <w:u w:val="single"/>
          <w:lang w:val="en-US" w:eastAsia="zh-CN"/>
        </w:rPr>
        <w:t xml:space="preserve">                          </w:t>
      </w:r>
      <w:r>
        <w:rPr>
          <w:rFonts w:hint="eastAsia" w:ascii="Times New Roman" w:hAnsi="Times New Roman" w:eastAsia="仿宋_GB2312" w:cs="Times New Roman"/>
          <w:bCs/>
          <w:color w:val="auto"/>
          <w:sz w:val="32"/>
          <w:szCs w:val="32"/>
          <w:highlight w:val="none"/>
          <w:lang w:eastAsia="zh-CN"/>
        </w:rPr>
        <w:t>。</w:t>
      </w:r>
    </w:p>
    <w:p w14:paraId="4F82C206">
      <w:pPr>
        <w:pStyle w:val="3"/>
        <w:keepNext w:val="0"/>
        <w:keepLines w:val="0"/>
        <w:pageBreakBefore w:val="0"/>
        <w:numPr>
          <w:ilvl w:val="0"/>
          <w:numId w:val="2"/>
        </w:numPr>
        <w:kinsoku/>
        <w:wordWrap/>
        <w:overflowPunct/>
        <w:topLinePunct w:val="0"/>
        <w:bidi w:val="0"/>
        <w:snapToGrid/>
        <w:spacing w:after="0" w:line="560" w:lineRule="exact"/>
        <w:ind w:left="0" w:leftChars="0" w:right="0"/>
        <w:textAlignment w:val="auto"/>
        <w:rPr>
          <w:rFonts w:hint="eastAsia" w:ascii="仿宋_GB2312" w:hAnsi="楷体" w:eastAsia="仿宋_GB2312" w:cs="楷体"/>
          <w:color w:val="auto"/>
          <w:kern w:val="0"/>
          <w:sz w:val="32"/>
          <w:szCs w:val="32"/>
          <w:highlight w:val="none"/>
        </w:rPr>
      </w:pPr>
      <w:r>
        <w:rPr>
          <w:rFonts w:hint="eastAsia" w:ascii="楷体" w:hAnsi="楷体" w:eastAsia="楷体" w:cs="楷体"/>
          <w:color w:val="auto"/>
          <w:kern w:val="0"/>
          <w:sz w:val="32"/>
          <w:szCs w:val="32"/>
          <w:highlight w:val="none"/>
        </w:rPr>
        <w:t>土地用途：</w:t>
      </w:r>
      <w:r>
        <w:rPr>
          <w:rFonts w:hint="eastAsia" w:ascii="楷体" w:hAnsi="楷体" w:eastAsia="楷体" w:cs="楷体"/>
          <w:color w:val="auto"/>
          <w:kern w:val="0"/>
          <w:sz w:val="32"/>
          <w:szCs w:val="32"/>
          <w:highlight w:val="none"/>
          <w:u w:val="single"/>
          <w:lang w:val="en-US" w:eastAsia="zh-CN"/>
        </w:rPr>
        <w:t xml:space="preserve">                          </w:t>
      </w:r>
      <w:r>
        <w:rPr>
          <w:rFonts w:hint="eastAsia" w:ascii="Times New Roman" w:hAnsi="Times New Roman" w:eastAsia="仿宋_GB2312" w:cs="Times New Roman"/>
          <w:bCs/>
          <w:color w:val="auto"/>
          <w:sz w:val="32"/>
          <w:szCs w:val="32"/>
          <w:highlight w:val="none"/>
          <w:lang w:eastAsia="zh-CN"/>
        </w:rPr>
        <w:t>。</w:t>
      </w:r>
    </w:p>
    <w:p w14:paraId="2254C10F">
      <w:pPr>
        <w:pStyle w:val="3"/>
        <w:keepNext w:val="0"/>
        <w:keepLines w:val="0"/>
        <w:pageBreakBefore w:val="0"/>
        <w:numPr>
          <w:ilvl w:val="0"/>
          <w:numId w:val="2"/>
        </w:numPr>
        <w:kinsoku/>
        <w:wordWrap/>
        <w:overflowPunct/>
        <w:topLinePunct w:val="0"/>
        <w:bidi w:val="0"/>
        <w:snapToGrid/>
        <w:spacing w:after="0" w:line="560" w:lineRule="exact"/>
        <w:ind w:left="0" w:leftChars="0" w:right="0"/>
        <w:textAlignment w:val="auto"/>
        <w:rPr>
          <w:rFonts w:hint="eastAsia" w:ascii="仿宋_GB2312" w:hAnsi="楷体" w:eastAsia="仿宋_GB2312" w:cs="楷体"/>
          <w:color w:val="auto"/>
          <w:kern w:val="0"/>
          <w:sz w:val="32"/>
          <w:szCs w:val="32"/>
          <w:highlight w:val="none"/>
        </w:rPr>
      </w:pPr>
      <w:r>
        <w:rPr>
          <w:rFonts w:hint="eastAsia" w:ascii="楷体" w:hAnsi="楷体" w:eastAsia="楷体" w:cs="楷体"/>
          <w:color w:val="auto"/>
          <w:kern w:val="0"/>
          <w:sz w:val="32"/>
          <w:szCs w:val="32"/>
          <w:highlight w:val="none"/>
        </w:rPr>
        <w:t>用地面积：</w:t>
      </w:r>
      <w:r>
        <w:rPr>
          <w:rFonts w:hint="eastAsia" w:ascii="仿宋_GB2312" w:hAnsi="楷体" w:eastAsia="仿宋_GB2312" w:cs="楷体"/>
          <w:color w:val="auto"/>
          <w:kern w:val="0"/>
          <w:sz w:val="32"/>
          <w:szCs w:val="32"/>
          <w:highlight w:val="none"/>
        </w:rPr>
        <w:t>大写</w:t>
      </w:r>
      <w:r>
        <w:rPr>
          <w:rFonts w:hint="eastAsia" w:ascii="仿宋_GB2312" w:hAnsi="楷体" w:eastAsia="仿宋_GB2312" w:cs="楷体"/>
          <w:color w:val="auto"/>
          <w:kern w:val="0"/>
          <w:sz w:val="32"/>
          <w:szCs w:val="32"/>
          <w:highlight w:val="none"/>
          <w:u w:val="single"/>
          <w:lang w:val="en-US" w:eastAsia="zh-CN"/>
        </w:rPr>
        <w:t xml:space="preserve">                  </w:t>
      </w:r>
      <w:r>
        <w:rPr>
          <w:rFonts w:hint="eastAsia" w:ascii="仿宋_GB2312" w:hAnsi="楷体" w:eastAsia="仿宋_GB2312" w:cs="楷体"/>
          <w:color w:val="auto"/>
          <w:kern w:val="0"/>
          <w:sz w:val="32"/>
          <w:szCs w:val="32"/>
          <w:highlight w:val="none"/>
        </w:rPr>
        <w:t>平方米(小写</w:t>
      </w:r>
      <w:r>
        <w:rPr>
          <w:rFonts w:hint="eastAsia" w:ascii="仿宋_GB2312" w:hAnsi="楷体" w:eastAsia="仿宋_GB2312" w:cs="楷体"/>
          <w:color w:val="auto"/>
          <w:kern w:val="0"/>
          <w:sz w:val="32"/>
          <w:szCs w:val="32"/>
          <w:highlight w:val="none"/>
          <w:u w:val="single"/>
          <w:lang w:val="en-US" w:eastAsia="zh-CN"/>
        </w:rPr>
        <w:t xml:space="preserve">                   </w:t>
      </w:r>
      <w:r>
        <w:rPr>
          <w:rFonts w:hint="eastAsia" w:ascii="仿宋_GB2312" w:hAnsi="楷体" w:eastAsia="仿宋_GB2312" w:cs="楷体"/>
          <w:color w:val="auto"/>
          <w:kern w:val="0"/>
          <w:sz w:val="32"/>
          <w:szCs w:val="32"/>
          <w:highlight w:val="none"/>
        </w:rPr>
        <w:t>平方米)。地块具体指标以义规条件</w:t>
      </w:r>
      <w:r>
        <w:rPr>
          <w:rFonts w:hint="eastAsia" w:ascii="仿宋_GB2312" w:hAnsi="楷体" w:eastAsia="仿宋_GB2312" w:cs="楷体"/>
          <w:color w:val="auto"/>
          <w:kern w:val="0"/>
          <w:sz w:val="32"/>
          <w:szCs w:val="32"/>
          <w:highlight w:val="none"/>
          <w:u w:val="single"/>
          <w:lang w:val="en-US" w:eastAsia="zh-CN"/>
        </w:rPr>
        <w:t xml:space="preserve">      </w:t>
      </w:r>
      <w:r>
        <w:rPr>
          <w:rFonts w:hint="eastAsia" w:ascii="仿宋_GB2312" w:hAnsi="楷体" w:eastAsia="仿宋_GB2312" w:cs="楷体"/>
          <w:color w:val="auto"/>
          <w:kern w:val="0"/>
          <w:sz w:val="32"/>
          <w:szCs w:val="32"/>
          <w:highlight w:val="none"/>
        </w:rPr>
        <w:t>号为准。</w:t>
      </w:r>
    </w:p>
    <w:p w14:paraId="74B63634">
      <w:pPr>
        <w:keepNext w:val="0"/>
        <w:keepLines w:val="0"/>
        <w:pageBreakBefore w:val="0"/>
        <w:kinsoku/>
        <w:wordWrap/>
        <w:overflowPunct/>
        <w:topLinePunct w:val="0"/>
        <w:bidi w:val="0"/>
        <w:snapToGrid/>
        <w:spacing w:line="560" w:lineRule="exact"/>
        <w:ind w:left="0" w:right="0" w:firstLine="640" w:firstLineChars="200"/>
        <w:textAlignment w:val="auto"/>
        <w:rPr>
          <w:rFonts w:ascii="Times New Roman" w:hAnsi="Times New Roman" w:eastAsia="仿宋_GB2312" w:cs="Times New Roman"/>
          <w:color w:val="auto"/>
          <w:szCs w:val="32"/>
          <w:highlight w:val="none"/>
        </w:rPr>
      </w:pPr>
      <w:r>
        <w:rPr>
          <w:rFonts w:hint="eastAsia" w:ascii="楷体" w:hAnsi="楷体" w:eastAsia="楷体" w:cs="楷体"/>
          <w:color w:val="auto"/>
          <w:kern w:val="0"/>
          <w:sz w:val="32"/>
          <w:szCs w:val="32"/>
          <w:highlight w:val="none"/>
          <w:lang w:val="en-US" w:eastAsia="zh-CN" w:bidi="ar-SA"/>
        </w:rPr>
        <w:t>（四）</w:t>
      </w:r>
      <w:r>
        <w:rPr>
          <w:rFonts w:ascii="Times New Roman" w:hAnsi="Times New Roman" w:eastAsia="仿宋_GB2312" w:cs="Times New Roman"/>
          <w:color w:val="auto"/>
          <w:sz w:val="32"/>
          <w:szCs w:val="32"/>
          <w:highlight w:val="none"/>
        </w:rPr>
        <w:t>甲方为乙方</w:t>
      </w:r>
      <w:r>
        <w:rPr>
          <w:rFonts w:hint="default" w:ascii="Times New Roman" w:hAnsi="Times New Roman" w:eastAsia="仿宋_GB2312" w:cs="Times New Roman"/>
          <w:color w:val="auto"/>
          <w:kern w:val="0"/>
          <w:sz w:val="32"/>
          <w:szCs w:val="32"/>
          <w:highlight w:val="none"/>
          <w:lang w:bidi="ar"/>
        </w:rPr>
        <w:t>竞</w:t>
      </w:r>
      <w:r>
        <w:rPr>
          <w:rFonts w:hint="default" w:ascii="Times New Roman" w:hAnsi="Times New Roman" w:eastAsia="仿宋_GB2312" w:cs="Times New Roman"/>
          <w:color w:val="auto"/>
          <w:kern w:val="0"/>
          <w:sz w:val="32"/>
          <w:szCs w:val="32"/>
          <w:highlight w:val="none"/>
          <w:lang w:eastAsia="zh-CN" w:bidi="ar"/>
        </w:rPr>
        <w:t>得土地</w:t>
      </w:r>
      <w:r>
        <w:rPr>
          <w:rFonts w:ascii="Times New Roman" w:hAnsi="Times New Roman" w:eastAsia="仿宋_GB2312" w:cs="Times New Roman"/>
          <w:color w:val="auto"/>
          <w:sz w:val="32"/>
          <w:szCs w:val="32"/>
          <w:highlight w:val="none"/>
        </w:rPr>
        <w:t>的全生命周期管理的监管单位</w:t>
      </w:r>
      <w:r>
        <w:rPr>
          <w:rFonts w:hint="eastAsia" w:ascii="Times New Roman" w:hAnsi="Times New Roman" w:eastAsia="仿宋_GB2312" w:cs="Times New Roman"/>
          <w:color w:val="auto"/>
          <w:sz w:val="32"/>
          <w:szCs w:val="32"/>
          <w:highlight w:val="none"/>
        </w:rPr>
        <w:t>。</w:t>
      </w:r>
    </w:p>
    <w:p w14:paraId="16593E58">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eastAsia" w:ascii="Times New Roman" w:hAnsi="Times New Roman" w:eastAsia="仿宋_GB2312" w:cs="Times New Roman"/>
          <w:strike/>
          <w:dstrike w:val="0"/>
          <w:color w:val="auto"/>
          <w:kern w:val="0"/>
          <w:sz w:val="32"/>
          <w:szCs w:val="32"/>
          <w:highlight w:val="none"/>
          <w:lang w:eastAsia="zh-CN" w:bidi="ar"/>
        </w:rPr>
      </w:pPr>
      <w:r>
        <w:rPr>
          <w:rFonts w:hint="eastAsia" w:ascii="楷体" w:hAnsi="楷体" w:eastAsia="楷体" w:cs="楷体"/>
          <w:color w:val="auto"/>
          <w:kern w:val="0"/>
          <w:sz w:val="32"/>
          <w:szCs w:val="32"/>
          <w:highlight w:val="none"/>
          <w:lang w:val="en-US" w:eastAsia="zh-CN" w:bidi="ar-SA"/>
        </w:rPr>
        <w:t>（五）</w:t>
      </w:r>
      <w:r>
        <w:rPr>
          <w:rFonts w:hint="default" w:ascii="Times New Roman" w:hAnsi="Times New Roman" w:eastAsia="仿宋_GB2312" w:cs="Times New Roman"/>
          <w:color w:val="auto"/>
          <w:kern w:val="0"/>
          <w:sz w:val="32"/>
          <w:szCs w:val="32"/>
          <w:highlight w:val="none"/>
          <w:lang w:bidi="ar"/>
        </w:rPr>
        <w:t>竞</w:t>
      </w:r>
      <w:r>
        <w:rPr>
          <w:rFonts w:hint="default" w:ascii="Times New Roman" w:hAnsi="Times New Roman" w:eastAsia="仿宋_GB2312" w:cs="Times New Roman"/>
          <w:color w:val="auto"/>
          <w:kern w:val="0"/>
          <w:sz w:val="32"/>
          <w:szCs w:val="32"/>
          <w:highlight w:val="none"/>
          <w:lang w:eastAsia="zh-CN" w:bidi="ar"/>
        </w:rPr>
        <w:t>得土地</w:t>
      </w:r>
      <w:r>
        <w:rPr>
          <w:rFonts w:hint="default" w:ascii="Times New Roman" w:hAnsi="Times New Roman" w:eastAsia="仿宋_GB2312" w:cs="Times New Roman"/>
          <w:color w:val="auto"/>
          <w:kern w:val="0"/>
          <w:sz w:val="32"/>
          <w:szCs w:val="32"/>
          <w:highlight w:val="none"/>
          <w:lang w:bidi="ar"/>
        </w:rPr>
        <w:t>不得用于出租</w:t>
      </w:r>
      <w:r>
        <w:rPr>
          <w:rFonts w:hint="eastAsia"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eastAsia="zh-CN" w:bidi="ar"/>
        </w:rPr>
        <w:t>土地</w:t>
      </w:r>
      <w:r>
        <w:rPr>
          <w:rFonts w:hint="default" w:ascii="Times New Roman" w:hAnsi="Times New Roman" w:eastAsia="仿宋_GB2312" w:cs="Times New Roman"/>
          <w:color w:val="auto"/>
          <w:kern w:val="0"/>
          <w:sz w:val="32"/>
          <w:szCs w:val="32"/>
          <w:highlight w:val="none"/>
          <w:lang w:bidi="ar"/>
        </w:rPr>
        <w:t>出让后同步纳入</w:t>
      </w:r>
      <w:r>
        <w:rPr>
          <w:rFonts w:hint="eastAsia" w:ascii="Times New Roman" w:hAnsi="Times New Roman" w:eastAsia="仿宋_GB2312" w:cs="Times New Roman"/>
          <w:color w:val="auto"/>
          <w:kern w:val="0"/>
          <w:sz w:val="32"/>
          <w:szCs w:val="32"/>
          <w:highlight w:val="none"/>
          <w:lang w:eastAsia="zh-CN" w:bidi="ar"/>
        </w:rPr>
        <w:t>土地</w:t>
      </w:r>
      <w:r>
        <w:rPr>
          <w:rFonts w:hint="default" w:ascii="Times New Roman" w:hAnsi="Times New Roman" w:eastAsia="仿宋_GB2312" w:cs="Times New Roman"/>
          <w:color w:val="auto"/>
          <w:kern w:val="0"/>
          <w:sz w:val="32"/>
          <w:szCs w:val="32"/>
          <w:highlight w:val="none"/>
          <w:lang w:bidi="ar"/>
        </w:rPr>
        <w:t>全生命周期管理，</w:t>
      </w:r>
      <w:r>
        <w:rPr>
          <w:rFonts w:hint="eastAsia" w:ascii="Times New Roman" w:hAnsi="Times New Roman" w:eastAsia="仿宋_GB2312" w:cs="Times New Roman"/>
          <w:color w:val="auto"/>
          <w:kern w:val="0"/>
          <w:sz w:val="32"/>
          <w:szCs w:val="32"/>
          <w:highlight w:val="none"/>
          <w:lang w:eastAsia="zh-CN" w:bidi="ar"/>
        </w:rPr>
        <w:t>并在</w:t>
      </w:r>
      <w:r>
        <w:rPr>
          <w:rFonts w:hint="eastAsia" w:ascii="Times New Roman" w:hAnsi="Times New Roman" w:eastAsia="仿宋_GB2312" w:cs="Times New Roman"/>
          <w:color w:val="auto"/>
          <w:kern w:val="0"/>
          <w:sz w:val="32"/>
          <w:szCs w:val="32"/>
          <w:highlight w:val="none"/>
          <w:lang w:val="en-US" w:eastAsia="zh-CN" w:bidi="ar"/>
        </w:rPr>
        <w:t>10</w:t>
      </w:r>
      <w:r>
        <w:rPr>
          <w:rFonts w:hint="default" w:ascii="Times New Roman" w:hAnsi="Times New Roman" w:eastAsia="仿宋_GB2312" w:cs="Times New Roman"/>
          <w:color w:val="auto"/>
          <w:kern w:val="0"/>
          <w:sz w:val="32"/>
          <w:szCs w:val="32"/>
          <w:highlight w:val="none"/>
          <w:lang w:bidi="ar"/>
        </w:rPr>
        <w:t>年</w:t>
      </w:r>
      <w:r>
        <w:rPr>
          <w:rFonts w:hint="default" w:ascii="Times New Roman" w:hAnsi="Times New Roman" w:eastAsia="仿宋_GB2312" w:cs="Times New Roman"/>
          <w:color w:val="auto"/>
          <w:kern w:val="0"/>
          <w:sz w:val="32"/>
          <w:szCs w:val="32"/>
          <w:highlight w:val="none"/>
          <w:lang w:eastAsia="zh-CN" w:bidi="ar"/>
        </w:rPr>
        <w:t>内</w:t>
      </w:r>
      <w:r>
        <w:rPr>
          <w:rFonts w:hint="default" w:ascii="Times New Roman" w:hAnsi="Times New Roman" w:eastAsia="仿宋_GB2312" w:cs="Times New Roman"/>
          <w:color w:val="auto"/>
          <w:kern w:val="0"/>
          <w:sz w:val="32"/>
          <w:szCs w:val="32"/>
          <w:highlight w:val="none"/>
          <w:lang w:bidi="ar"/>
        </w:rPr>
        <w:t>不得进行</w:t>
      </w:r>
      <w:r>
        <w:rPr>
          <w:rFonts w:hint="eastAsia" w:ascii="Times New Roman" w:hAnsi="Times New Roman" w:eastAsia="仿宋_GB2312" w:cs="Times New Roman"/>
          <w:color w:val="auto"/>
          <w:kern w:val="0"/>
          <w:sz w:val="32"/>
          <w:szCs w:val="32"/>
          <w:highlight w:val="none"/>
          <w:lang w:eastAsia="zh-CN" w:bidi="ar"/>
        </w:rPr>
        <w:t>土地使用权</w:t>
      </w:r>
      <w:r>
        <w:rPr>
          <w:rFonts w:hint="default" w:ascii="Times New Roman" w:hAnsi="Times New Roman" w:eastAsia="仿宋_GB2312" w:cs="Times New Roman"/>
          <w:color w:val="auto"/>
          <w:kern w:val="0"/>
          <w:sz w:val="32"/>
          <w:szCs w:val="32"/>
          <w:highlight w:val="none"/>
          <w:lang w:bidi="ar"/>
        </w:rPr>
        <w:t>转让</w:t>
      </w:r>
      <w:r>
        <w:rPr>
          <w:rFonts w:hint="eastAsia" w:ascii="Times New Roman" w:hAnsi="Times New Roman" w:eastAsia="仿宋_GB2312" w:cs="Times New Roman"/>
          <w:color w:val="auto"/>
          <w:kern w:val="0"/>
          <w:sz w:val="32"/>
          <w:szCs w:val="32"/>
          <w:highlight w:val="none"/>
          <w:lang w:eastAsia="zh-CN" w:bidi="ar"/>
        </w:rPr>
        <w:t>（或通过股权转让、抵押等方式变更转让）</w:t>
      </w:r>
      <w:r>
        <w:rPr>
          <w:rFonts w:hint="default" w:ascii="Times New Roman" w:hAnsi="Times New Roman" w:eastAsia="仿宋_GB2312" w:cs="Times New Roman"/>
          <w:color w:val="auto"/>
          <w:kern w:val="0"/>
          <w:sz w:val="32"/>
          <w:szCs w:val="32"/>
          <w:highlight w:val="none"/>
          <w:lang w:eastAsia="zh-CN" w:bidi="ar"/>
        </w:rPr>
        <w:t>。同时，</w:t>
      </w:r>
      <w:r>
        <w:rPr>
          <w:rFonts w:hint="eastAsia" w:ascii="Times New Roman" w:hAnsi="Times New Roman" w:eastAsia="仿宋_GB2312" w:cs="Times New Roman"/>
          <w:color w:val="auto"/>
          <w:kern w:val="0"/>
          <w:sz w:val="32"/>
          <w:szCs w:val="32"/>
          <w:highlight w:val="none"/>
          <w:lang w:eastAsia="zh-CN" w:bidi="ar"/>
        </w:rPr>
        <w:t>乙方</w:t>
      </w:r>
      <w:r>
        <w:rPr>
          <w:rFonts w:hint="default" w:ascii="Times New Roman" w:hAnsi="Times New Roman" w:eastAsia="仿宋_GB2312" w:cs="Times New Roman"/>
          <w:color w:val="auto"/>
          <w:sz w:val="32"/>
          <w:szCs w:val="32"/>
          <w:highlight w:val="none"/>
          <w:lang w:val="en-US" w:eastAsia="zh-CN"/>
        </w:rPr>
        <w:t>自</w:t>
      </w:r>
      <w:r>
        <w:rPr>
          <w:rFonts w:hint="default" w:ascii="Times New Roman" w:hAnsi="Times New Roman" w:eastAsia="仿宋_GB2312" w:cs="Times New Roman"/>
          <w:color w:val="auto"/>
          <w:kern w:val="0"/>
          <w:sz w:val="32"/>
          <w:szCs w:val="32"/>
          <w:highlight w:val="none"/>
          <w:lang w:eastAsia="zh-CN" w:bidi="ar"/>
        </w:rPr>
        <w:t>通过</w:t>
      </w:r>
      <w:r>
        <w:rPr>
          <w:rFonts w:hint="eastAsia" w:ascii="Times New Roman" w:hAnsi="Times New Roman" w:eastAsia="仿宋_GB2312" w:cs="Times New Roman"/>
          <w:color w:val="auto"/>
          <w:kern w:val="0"/>
          <w:sz w:val="32"/>
          <w:szCs w:val="32"/>
          <w:highlight w:val="none"/>
          <w:lang w:eastAsia="zh-CN" w:bidi="ar"/>
        </w:rPr>
        <w:t>义乌市商贸、物流项目用地市场化出让一阶段竞价</w:t>
      </w:r>
      <w:r>
        <w:rPr>
          <w:rFonts w:hint="default" w:ascii="Times New Roman" w:hAnsi="Times New Roman" w:eastAsia="仿宋_GB2312" w:cs="Times New Roman"/>
          <w:color w:val="auto"/>
          <w:kern w:val="0"/>
          <w:sz w:val="32"/>
          <w:szCs w:val="32"/>
          <w:highlight w:val="none"/>
          <w:lang w:eastAsia="zh-CN" w:bidi="ar"/>
        </w:rPr>
        <w:t>资格审查</w:t>
      </w:r>
      <w:r>
        <w:rPr>
          <w:rFonts w:hint="default" w:ascii="Times New Roman" w:hAnsi="Times New Roman" w:eastAsia="仿宋_GB2312" w:cs="Times New Roman"/>
          <w:color w:val="auto"/>
          <w:sz w:val="32"/>
          <w:szCs w:val="32"/>
          <w:highlight w:val="none"/>
          <w:lang w:val="en-US" w:eastAsia="zh-CN"/>
        </w:rPr>
        <w:t>之日起1年内，不得出售其名下任何原有</w:t>
      </w:r>
      <w:r>
        <w:rPr>
          <w:rFonts w:hint="eastAsia" w:ascii="Times New Roman" w:hAnsi="Times New Roman" w:eastAsia="仿宋_GB2312" w:cs="Times New Roman"/>
          <w:color w:val="auto"/>
          <w:sz w:val="32"/>
          <w:szCs w:val="32"/>
          <w:highlight w:val="none"/>
          <w:lang w:val="en-US" w:eastAsia="zh-CN"/>
        </w:rPr>
        <w:t>产业</w:t>
      </w:r>
      <w:r>
        <w:rPr>
          <w:rFonts w:hint="default" w:ascii="Times New Roman" w:hAnsi="Times New Roman" w:eastAsia="仿宋_GB2312" w:cs="Times New Roman"/>
          <w:color w:val="auto"/>
          <w:sz w:val="32"/>
          <w:szCs w:val="32"/>
          <w:highlight w:val="none"/>
          <w:lang w:val="en-US" w:eastAsia="zh-CN"/>
        </w:rPr>
        <w:t>用地</w:t>
      </w:r>
      <w:r>
        <w:rPr>
          <w:rFonts w:hint="default" w:ascii="Times New Roman" w:hAnsi="Times New Roman" w:eastAsia="仿宋_GB2312" w:cs="Times New Roman"/>
          <w:color w:val="auto"/>
          <w:sz w:val="32"/>
          <w:szCs w:val="32"/>
          <w:highlight w:val="none"/>
        </w:rPr>
        <w:t>。</w:t>
      </w:r>
    </w:p>
    <w:p w14:paraId="353A6908">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eastAsia" w:ascii="Times New Roman" w:hAnsi="Times New Roman" w:eastAsia="仿宋_GB2312" w:cs="Times New Roman"/>
          <w:color w:val="auto"/>
          <w:sz w:val="32"/>
          <w:szCs w:val="32"/>
          <w:highlight w:val="none"/>
          <w:lang w:val="en-US" w:eastAsia="zh-CN"/>
        </w:rPr>
      </w:pPr>
      <w:r>
        <w:rPr>
          <w:rFonts w:hint="eastAsia" w:ascii="楷体" w:hAnsi="楷体" w:eastAsia="楷体" w:cs="楷体"/>
          <w:color w:val="auto"/>
          <w:kern w:val="0"/>
          <w:sz w:val="32"/>
          <w:szCs w:val="32"/>
          <w:highlight w:val="none"/>
          <w:lang w:val="en-US" w:eastAsia="zh-CN" w:bidi="ar-SA"/>
        </w:rPr>
        <w:t>（六）</w:t>
      </w:r>
      <w:r>
        <w:rPr>
          <w:rFonts w:hint="eastAsia" w:ascii="Times New Roman" w:hAnsi="Times New Roman" w:eastAsia="仿宋_GB2312" w:cs="Times New Roman"/>
          <w:color w:val="auto"/>
          <w:kern w:val="0"/>
          <w:sz w:val="32"/>
          <w:szCs w:val="32"/>
          <w:highlight w:val="none"/>
          <w:lang w:val="en-US" w:eastAsia="zh-CN" w:bidi="ar"/>
        </w:rPr>
        <w:t>乙方需向甲方提供由银行、担保公司或保险公司等金融机构出具的两份无条件支付的履约保函：第一份履约保函</w:t>
      </w:r>
      <w:r>
        <w:rPr>
          <w:rFonts w:hint="default" w:ascii="Times New Roman" w:hAnsi="Times New Roman" w:eastAsia="仿宋_GB2312" w:cs="Times New Roman"/>
          <w:color w:val="auto"/>
          <w:kern w:val="0"/>
          <w:sz w:val="32"/>
          <w:szCs w:val="32"/>
          <w:highlight w:val="none"/>
          <w:lang w:eastAsia="zh-CN" w:bidi="ar"/>
        </w:rPr>
        <w:t>用来担保乙方未完成</w:t>
      </w:r>
      <w:r>
        <w:rPr>
          <w:rFonts w:hint="eastAsia" w:ascii="Times New Roman" w:hAnsi="Times New Roman" w:eastAsia="仿宋_GB2312" w:cs="Times New Roman"/>
          <w:color w:val="auto"/>
          <w:kern w:val="0"/>
          <w:sz w:val="32"/>
          <w:szCs w:val="32"/>
          <w:highlight w:val="none"/>
          <w:lang w:eastAsia="zh-CN" w:bidi="ar"/>
        </w:rPr>
        <w:t>第一个考核期</w:t>
      </w:r>
      <w:r>
        <w:rPr>
          <w:rFonts w:hint="default" w:ascii="Times New Roman" w:hAnsi="Times New Roman" w:eastAsia="仿宋_GB2312" w:cs="Times New Roman"/>
          <w:color w:val="auto"/>
          <w:kern w:val="0"/>
          <w:sz w:val="32"/>
          <w:szCs w:val="32"/>
          <w:highlight w:val="none"/>
          <w:lang w:eastAsia="zh-CN" w:bidi="ar"/>
        </w:rPr>
        <w:t>税收贡献约定应承担的违约责任</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eastAsia="zh-CN" w:bidi="ar"/>
        </w:rPr>
        <w:t>担保金额为5年约定税收总额的50%，担保期限从保函出具之日起至乙方履行完成第1个完整考核期内税收贡献止；第二份履约保函用来担保乙方未完成</w:t>
      </w:r>
      <w:r>
        <w:rPr>
          <w:rFonts w:hint="eastAsia" w:ascii="Times New Roman" w:hAnsi="Times New Roman" w:eastAsia="仿宋_GB2312" w:cs="Times New Roman"/>
          <w:color w:val="auto"/>
          <w:kern w:val="0"/>
          <w:sz w:val="32"/>
          <w:szCs w:val="32"/>
          <w:highlight w:val="none"/>
          <w:lang w:val="en-US" w:eastAsia="zh-CN" w:bidi="ar"/>
        </w:rPr>
        <w:t>数据贡献</w:t>
      </w:r>
      <w:r>
        <w:rPr>
          <w:rFonts w:hint="default" w:ascii="Times New Roman" w:hAnsi="Times New Roman" w:eastAsia="仿宋_GB2312" w:cs="Times New Roman"/>
          <w:color w:val="auto"/>
          <w:kern w:val="0"/>
          <w:sz w:val="32"/>
          <w:szCs w:val="32"/>
          <w:highlight w:val="none"/>
          <w:lang w:eastAsia="zh-CN" w:bidi="ar"/>
        </w:rPr>
        <w:t>约定应承担的违约责任，</w:t>
      </w:r>
      <w:r>
        <w:rPr>
          <w:rFonts w:hint="eastAsia" w:ascii="Times New Roman" w:hAnsi="Times New Roman" w:eastAsia="仿宋_GB2312" w:cs="Times New Roman"/>
          <w:color w:val="auto"/>
          <w:kern w:val="0"/>
          <w:sz w:val="32"/>
          <w:szCs w:val="32"/>
          <w:highlight w:val="none"/>
          <w:lang w:val="en-US" w:eastAsia="zh-CN" w:bidi="ar"/>
        </w:rPr>
        <w:t>担保金额为100万</w:t>
      </w:r>
      <w:r>
        <w:rPr>
          <w:rFonts w:hint="default" w:ascii="Times New Roman" w:hAnsi="Times New Roman" w:eastAsia="仿宋_GB2312" w:cs="Times New Roman"/>
          <w:color w:val="auto"/>
          <w:kern w:val="0"/>
          <w:sz w:val="32"/>
          <w:szCs w:val="32"/>
          <w:highlight w:val="none"/>
          <w:lang w:eastAsia="zh-CN" w:bidi="ar"/>
        </w:rPr>
        <w:t>元，担保期限从保函出具之日起至乙方完成本协议约定的</w:t>
      </w:r>
      <w:r>
        <w:rPr>
          <w:rFonts w:hint="eastAsia" w:ascii="Times New Roman" w:hAnsi="Times New Roman" w:eastAsia="仿宋_GB2312" w:cs="Times New Roman"/>
          <w:color w:val="auto"/>
          <w:kern w:val="0"/>
          <w:sz w:val="32"/>
          <w:szCs w:val="32"/>
          <w:highlight w:val="none"/>
          <w:lang w:val="en-US" w:eastAsia="zh-CN" w:bidi="ar"/>
        </w:rPr>
        <w:t>数据贡献</w:t>
      </w:r>
      <w:r>
        <w:rPr>
          <w:rFonts w:hint="default" w:ascii="Times New Roman" w:hAnsi="Times New Roman" w:eastAsia="仿宋_GB2312" w:cs="Times New Roman"/>
          <w:color w:val="auto"/>
          <w:kern w:val="0"/>
          <w:sz w:val="32"/>
          <w:szCs w:val="32"/>
          <w:highlight w:val="none"/>
          <w:lang w:eastAsia="zh-CN" w:bidi="ar"/>
        </w:rPr>
        <w:t>止</w:t>
      </w:r>
      <w:r>
        <w:rPr>
          <w:rFonts w:hint="eastAsia" w:ascii="Times New Roman" w:hAnsi="Times New Roman" w:eastAsia="仿宋_GB2312" w:cs="Times New Roman"/>
          <w:color w:val="auto"/>
          <w:kern w:val="0"/>
          <w:sz w:val="32"/>
          <w:szCs w:val="32"/>
          <w:highlight w:val="none"/>
          <w:lang w:val="en-US" w:eastAsia="zh-CN" w:bidi="ar"/>
        </w:rPr>
        <w:t>。</w:t>
      </w:r>
    </w:p>
    <w:p w14:paraId="3B7C2E80">
      <w:pPr>
        <w:pStyle w:val="7"/>
        <w:keepNext w:val="0"/>
        <w:keepLines w:val="0"/>
        <w:pageBreakBefore w:val="0"/>
        <w:numPr>
          <w:ilvl w:val="0"/>
          <w:numId w:val="1"/>
        </w:numPr>
        <w:kinsoku/>
        <w:wordWrap/>
        <w:overflowPunct/>
        <w:topLinePunct w:val="0"/>
        <w:bidi w:val="0"/>
        <w:snapToGrid/>
        <w:spacing w:line="560" w:lineRule="exact"/>
        <w:ind w:left="0" w:right="0"/>
        <w:textAlignment w:val="auto"/>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相关指标要求</w:t>
      </w:r>
      <w:r>
        <w:rPr>
          <w:rFonts w:hint="eastAsia" w:ascii="Times New Roman" w:hAnsi="Times New Roman" w:eastAsia="黑体" w:cs="Times New Roman"/>
          <w:color w:val="auto"/>
          <w:sz w:val="32"/>
          <w:szCs w:val="32"/>
          <w:highlight w:val="none"/>
          <w:lang w:val="en-US" w:eastAsia="zh-CN"/>
        </w:rPr>
        <w:t xml:space="preserve">  </w:t>
      </w:r>
    </w:p>
    <w:p w14:paraId="31D17CDB">
      <w:pPr>
        <w:pStyle w:val="7"/>
        <w:keepNext w:val="0"/>
        <w:keepLines w:val="0"/>
        <w:pageBreakBefore w:val="0"/>
        <w:widowControl w:val="0"/>
        <w:numPr>
          <w:ilvl w:val="0"/>
          <w:numId w:val="0"/>
        </w:numPr>
        <w:kinsoku/>
        <w:wordWrap/>
        <w:overflowPunct/>
        <w:topLinePunct w:val="0"/>
        <w:bidi w:val="0"/>
        <w:snapToGrid/>
        <w:spacing w:line="560" w:lineRule="exact"/>
        <w:ind w:left="0" w:leftChars="0" w:right="0" w:firstLine="640" w:firstLineChars="200"/>
        <w:textAlignment w:val="auto"/>
        <w:rPr>
          <w:rFonts w:hint="default" w:ascii="Times New Roman" w:hAnsi="Times New Roman" w:eastAsia="仿宋_GB2312" w:cs="Times New Roman"/>
          <w:color w:val="auto"/>
          <w:kern w:val="0"/>
          <w:sz w:val="32"/>
          <w:szCs w:val="32"/>
          <w:highlight w:val="none"/>
          <w:u w:val="single"/>
          <w:lang w:val="en-US" w:eastAsia="zh-CN"/>
        </w:rPr>
      </w:pPr>
      <w:r>
        <w:rPr>
          <w:rFonts w:hint="eastAsia" w:ascii="楷体" w:hAnsi="楷体" w:eastAsia="楷体" w:cs="楷体"/>
          <w:color w:val="auto"/>
          <w:kern w:val="0"/>
          <w:sz w:val="32"/>
          <w:szCs w:val="32"/>
          <w:highlight w:val="none"/>
          <w:lang w:val="en-US" w:eastAsia="zh-CN" w:bidi="ar-SA"/>
        </w:rPr>
        <w:t>（一）</w:t>
      </w:r>
      <w:r>
        <w:rPr>
          <w:rFonts w:hint="eastAsia" w:ascii="Times New Roman" w:hAnsi="Times New Roman" w:eastAsia="仿宋_GB2312" w:cs="Times New Roman"/>
          <w:color w:val="auto"/>
          <w:sz w:val="32"/>
          <w:szCs w:val="32"/>
          <w:highlight w:val="none"/>
        </w:rPr>
        <w:t>准入</w:t>
      </w:r>
      <w:r>
        <w:rPr>
          <w:rFonts w:ascii="Times New Roman" w:hAnsi="Times New Roman" w:eastAsia="仿宋_GB2312" w:cs="Times New Roman"/>
          <w:color w:val="auto"/>
          <w:sz w:val="32"/>
          <w:szCs w:val="32"/>
          <w:highlight w:val="none"/>
        </w:rPr>
        <w:t>产业</w:t>
      </w:r>
      <w:r>
        <w:rPr>
          <w:rFonts w:hint="eastAsia"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企业所属类别：</w:t>
      </w:r>
      <w:r>
        <w:rPr>
          <w:rFonts w:hint="eastAsia" w:ascii="Times New Roman" w:hAnsi="Times New Roman" w:eastAsia="仿宋_GB2312" w:cs="Times New Roman"/>
          <w:color w:val="auto"/>
          <w:kern w:val="0"/>
          <w:sz w:val="32"/>
          <w:szCs w:val="32"/>
          <w:highlight w:val="none"/>
          <w:u w:val="single"/>
          <w:lang w:val="en-US" w:eastAsia="zh-CN"/>
        </w:rPr>
        <w:t xml:space="preserve">       </w:t>
      </w:r>
    </w:p>
    <w:p w14:paraId="69966938">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1.</w:t>
      </w:r>
      <w:r>
        <w:rPr>
          <w:rFonts w:hint="default" w:ascii="Times New Roman" w:hAnsi="Times New Roman" w:eastAsia="仿宋_GB2312" w:cs="Times New Roman"/>
          <w:color w:val="auto"/>
          <w:kern w:val="0"/>
          <w:sz w:val="32"/>
          <w:szCs w:val="32"/>
          <w:highlight w:val="none"/>
          <w:lang w:val="en-US" w:eastAsia="zh-CN" w:bidi="ar"/>
        </w:rPr>
        <w:t>限上电商企业</w:t>
      </w:r>
      <w:r>
        <w:rPr>
          <w:rFonts w:hint="eastAsia" w:ascii="Times New Roman" w:hAnsi="Times New Roman" w:eastAsia="仿宋_GB2312" w:cs="Times New Roman"/>
          <w:color w:val="auto"/>
          <w:kern w:val="0"/>
          <w:sz w:val="32"/>
          <w:szCs w:val="32"/>
          <w:highlight w:val="none"/>
          <w:lang w:val="en-US" w:eastAsia="zh-CN" w:bidi="ar"/>
        </w:rPr>
        <w:t>，数据贡献主要考核</w:t>
      </w:r>
      <w:r>
        <w:rPr>
          <w:rFonts w:hint="default" w:ascii="Times New Roman" w:hAnsi="Times New Roman" w:eastAsia="仿宋_GB2312" w:cs="Times New Roman"/>
          <w:color w:val="auto"/>
          <w:kern w:val="0"/>
          <w:sz w:val="32"/>
          <w:szCs w:val="32"/>
          <w:highlight w:val="none"/>
          <w:lang w:val="en-US" w:eastAsia="zh-CN" w:bidi="ar"/>
        </w:rPr>
        <w:t>年度限上电商零售销售额或限上电商批发销售额。</w:t>
      </w:r>
    </w:p>
    <w:p w14:paraId="2A161939">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2.跨境电商企业，数据贡献主要考核</w:t>
      </w:r>
      <w:r>
        <w:rPr>
          <w:rFonts w:hint="default" w:ascii="Times New Roman" w:hAnsi="Times New Roman" w:eastAsia="仿宋_GB2312" w:cs="Times New Roman"/>
          <w:color w:val="auto"/>
          <w:kern w:val="0"/>
          <w:sz w:val="32"/>
          <w:szCs w:val="32"/>
          <w:highlight w:val="none"/>
          <w:lang w:val="en-US" w:eastAsia="zh-CN" w:bidi="ar"/>
        </w:rPr>
        <w:t>年度跨境电商出口额。</w:t>
      </w:r>
    </w:p>
    <w:p w14:paraId="396BA89D">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3.规上物流企业，</w:t>
      </w:r>
      <w:r>
        <w:rPr>
          <w:rFonts w:hint="eastAsia" w:ascii="Times New Roman" w:hAnsi="Times New Roman" w:eastAsia="仿宋_GB2312" w:cs="Times New Roman"/>
          <w:color w:val="auto"/>
          <w:kern w:val="0"/>
          <w:sz w:val="32"/>
          <w:szCs w:val="32"/>
          <w:highlight w:val="none"/>
          <w:lang w:val="en-US" w:eastAsia="zh-CN" w:bidi="ar"/>
        </w:rPr>
        <w:t>数据贡献</w:t>
      </w:r>
      <w:r>
        <w:rPr>
          <w:rFonts w:hint="default" w:ascii="Times New Roman" w:hAnsi="Times New Roman" w:eastAsia="仿宋_GB2312" w:cs="Times New Roman"/>
          <w:color w:val="auto"/>
          <w:kern w:val="0"/>
          <w:sz w:val="32"/>
          <w:szCs w:val="32"/>
          <w:highlight w:val="none"/>
          <w:lang w:val="en-US" w:eastAsia="zh-CN" w:bidi="ar"/>
        </w:rPr>
        <w:t>主要考核年度销售收入。</w:t>
      </w:r>
    </w:p>
    <w:p w14:paraId="2C2BF57B">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4.流通型进出口企业，</w:t>
      </w:r>
      <w:r>
        <w:rPr>
          <w:rFonts w:hint="eastAsia" w:ascii="Times New Roman" w:hAnsi="Times New Roman" w:eastAsia="仿宋_GB2312" w:cs="Times New Roman"/>
          <w:color w:val="auto"/>
          <w:kern w:val="0"/>
          <w:sz w:val="32"/>
          <w:szCs w:val="32"/>
          <w:highlight w:val="none"/>
          <w:lang w:val="en-US" w:eastAsia="zh-CN" w:bidi="ar"/>
        </w:rPr>
        <w:t>数据贡献</w:t>
      </w:r>
      <w:r>
        <w:rPr>
          <w:rFonts w:hint="default" w:ascii="Times New Roman" w:hAnsi="Times New Roman" w:eastAsia="仿宋_GB2312" w:cs="Times New Roman"/>
          <w:color w:val="auto"/>
          <w:kern w:val="0"/>
          <w:sz w:val="32"/>
          <w:szCs w:val="32"/>
          <w:highlight w:val="none"/>
          <w:lang w:val="en-US" w:eastAsia="zh-CN" w:bidi="ar"/>
        </w:rPr>
        <w:t>主要考核年度进出口额。</w:t>
      </w:r>
    </w:p>
    <w:p w14:paraId="41CB515C">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5.市场采购认证组货人，</w:t>
      </w:r>
      <w:r>
        <w:rPr>
          <w:rFonts w:hint="eastAsia" w:ascii="Times New Roman" w:hAnsi="Times New Roman" w:eastAsia="仿宋_GB2312" w:cs="Times New Roman"/>
          <w:color w:val="auto"/>
          <w:kern w:val="0"/>
          <w:sz w:val="32"/>
          <w:szCs w:val="32"/>
          <w:highlight w:val="none"/>
          <w:lang w:val="en-US" w:eastAsia="zh-CN" w:bidi="ar"/>
        </w:rPr>
        <w:t>数据贡献</w:t>
      </w:r>
      <w:r>
        <w:rPr>
          <w:rFonts w:hint="default" w:ascii="Times New Roman" w:hAnsi="Times New Roman" w:eastAsia="仿宋_GB2312" w:cs="Times New Roman"/>
          <w:color w:val="auto"/>
          <w:kern w:val="0"/>
          <w:sz w:val="32"/>
          <w:szCs w:val="32"/>
          <w:highlight w:val="none"/>
          <w:lang w:val="en-US" w:eastAsia="zh-CN" w:bidi="ar"/>
        </w:rPr>
        <w:t>主要考核年度组货出口额。</w:t>
      </w:r>
    </w:p>
    <w:p w14:paraId="532E871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right="0" w:firstLine="640" w:firstLineChars="200"/>
        <w:jc w:val="left"/>
        <w:textAlignment w:val="auto"/>
        <w:rPr>
          <w:rFonts w:hint="default"/>
          <w:color w:val="auto"/>
          <w:highlight w:val="none"/>
          <w:lang w:val="en-US"/>
        </w:rPr>
      </w:pPr>
      <w:r>
        <w:rPr>
          <w:rFonts w:hint="eastAsia" w:ascii="楷体" w:hAnsi="楷体" w:eastAsia="楷体" w:cs="楷体"/>
          <w:color w:val="auto"/>
          <w:kern w:val="0"/>
          <w:sz w:val="32"/>
          <w:szCs w:val="32"/>
          <w:highlight w:val="none"/>
          <w:lang w:val="en-US" w:eastAsia="zh-CN"/>
        </w:rPr>
        <w:t>（二）</w:t>
      </w:r>
      <w:r>
        <w:rPr>
          <w:rFonts w:hint="eastAsia" w:ascii="Times New Roman" w:hAnsi="Times New Roman" w:eastAsia="仿宋_GB2312" w:cs="Times New Roman"/>
          <w:color w:val="auto"/>
          <w:kern w:val="0"/>
          <w:sz w:val="32"/>
          <w:szCs w:val="32"/>
          <w:highlight w:val="none"/>
          <w:lang w:val="en-US" w:eastAsia="zh-CN"/>
        </w:rPr>
        <w:t>混合用地（商服用地+仓储物流用地），复核验收时投资强度应达人民币500万元/亩以上;仓储用地，复核验收时投资强度应达人民币350万元/亩以上。</w:t>
      </w:r>
    </w:p>
    <w:p w14:paraId="52ECAC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textAlignment w:val="auto"/>
        <w:rPr>
          <w:rFonts w:ascii="Times New Roman" w:hAnsi="Times New Roman" w:eastAsia="仿宋_GB2312" w:cs="Times New Roman"/>
          <w:color w:val="auto"/>
          <w:sz w:val="32"/>
          <w:szCs w:val="32"/>
          <w:highlight w:val="none"/>
        </w:rPr>
      </w:pPr>
      <w:bookmarkStart w:id="0" w:name="OLE_LINK7"/>
      <w:r>
        <w:rPr>
          <w:rFonts w:hint="eastAsia" w:ascii="楷体" w:hAnsi="楷体" w:eastAsia="楷体" w:cs="楷体"/>
          <w:color w:val="auto"/>
          <w:sz w:val="32"/>
          <w:szCs w:val="32"/>
          <w:highlight w:val="none"/>
          <w:lang w:eastAsia="zh-CN"/>
        </w:rPr>
        <w:t>（三）</w:t>
      </w:r>
      <w:r>
        <w:rPr>
          <w:rFonts w:hint="eastAsia"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年1月1日（</w:t>
      </w:r>
      <w:r>
        <w:rPr>
          <w:rFonts w:hint="eastAsia" w:ascii="Times New Roman" w:hAnsi="Times New Roman" w:eastAsia="仿宋_GB2312" w:cs="Times New Roman"/>
          <w:color w:val="auto"/>
          <w:kern w:val="0"/>
          <w:sz w:val="32"/>
          <w:szCs w:val="32"/>
          <w:highlight w:val="none"/>
          <w:lang w:val="en-US" w:eastAsia="zh-CN"/>
        </w:rPr>
        <w:t>自</w:t>
      </w:r>
      <w:r>
        <w:rPr>
          <w:rFonts w:hint="default" w:ascii="Times New Roman" w:hAnsi="Times New Roman" w:eastAsia="仿宋_GB2312" w:cs="Times New Roman"/>
          <w:color w:val="auto"/>
          <w:kern w:val="0"/>
          <w:sz w:val="32"/>
          <w:szCs w:val="32"/>
          <w:highlight w:val="none"/>
          <w:lang w:val="en-US" w:eastAsia="zh-CN"/>
        </w:rPr>
        <w:t>签订协议起第4个自然年1月1日</w:t>
      </w:r>
      <w:r>
        <w:rPr>
          <w:rFonts w:hint="eastAsia" w:ascii="Times New Roman" w:hAnsi="Times New Roman" w:eastAsia="仿宋_GB2312" w:cs="Times New Roman"/>
          <w:color w:val="auto"/>
          <w:sz w:val="32"/>
          <w:szCs w:val="32"/>
          <w:highlight w:val="none"/>
          <w:u w:val="none"/>
          <w:lang w:val="en-US" w:eastAsia="zh-CN"/>
        </w:rPr>
        <w:t>）为乙方竞得土地的全生产周期管理</w:t>
      </w:r>
      <w:r>
        <w:rPr>
          <w:rFonts w:hint="default" w:ascii="Times New Roman" w:hAnsi="Times New Roman" w:eastAsia="仿宋_GB2312" w:cs="Times New Roman"/>
          <w:color w:val="auto"/>
          <w:kern w:val="0"/>
          <w:sz w:val="32"/>
          <w:szCs w:val="32"/>
          <w:highlight w:val="none"/>
          <w:lang w:val="en-US" w:eastAsia="zh-CN"/>
        </w:rPr>
        <w:t>亩均税收考核</w:t>
      </w:r>
      <w:r>
        <w:rPr>
          <w:rFonts w:hint="eastAsia" w:ascii="Times New Roman" w:hAnsi="Times New Roman" w:eastAsia="仿宋_GB2312" w:cs="Times New Roman"/>
          <w:color w:val="auto"/>
          <w:kern w:val="0"/>
          <w:sz w:val="32"/>
          <w:szCs w:val="32"/>
          <w:highlight w:val="none"/>
          <w:lang w:val="en-US" w:eastAsia="zh-CN"/>
        </w:rPr>
        <w:t>起始日</w:t>
      </w:r>
      <w:r>
        <w:rPr>
          <w:rFonts w:hint="default" w:ascii="Times New Roman" w:hAnsi="Times New Roman" w:eastAsia="仿宋_GB2312" w:cs="Times New Roman"/>
          <w:color w:val="auto"/>
          <w:kern w:val="0"/>
          <w:sz w:val="32"/>
          <w:szCs w:val="32"/>
          <w:highlight w:val="none"/>
          <w:lang w:val="en-US" w:eastAsia="zh-CN"/>
        </w:rPr>
        <w:t>，以5年为一个周期进行考核</w:t>
      </w:r>
      <w:r>
        <w:rPr>
          <w:rFonts w:hint="eastAsia" w:ascii="Times New Roman" w:hAnsi="Times New Roman" w:eastAsia="仿宋_GB2312" w:cs="Times New Roman"/>
          <w:color w:val="auto"/>
          <w:kern w:val="0"/>
          <w:sz w:val="32"/>
          <w:szCs w:val="32"/>
          <w:highlight w:val="none"/>
          <w:lang w:val="en-US" w:eastAsia="zh-CN"/>
        </w:rPr>
        <w:t>，全生命周期考核。乙方</w:t>
      </w:r>
      <w:r>
        <w:rPr>
          <w:rFonts w:hint="default" w:ascii="Times New Roman" w:hAnsi="Times New Roman" w:eastAsia="仿宋_GB2312" w:cs="Times New Roman"/>
          <w:color w:val="auto"/>
          <w:kern w:val="0"/>
          <w:sz w:val="32"/>
          <w:szCs w:val="32"/>
          <w:highlight w:val="none"/>
          <w:lang w:val="en-US" w:eastAsia="zh-CN"/>
        </w:rPr>
        <w:t>可视建设、投产情况，提前申请开展第1个考核期的税收考核。</w:t>
      </w:r>
      <w:r>
        <w:rPr>
          <w:rFonts w:hint="eastAsia" w:ascii="Times New Roman" w:hAnsi="Times New Roman" w:eastAsia="仿宋_GB2312" w:cs="Times New Roman"/>
          <w:color w:val="auto"/>
          <w:sz w:val="32"/>
          <w:szCs w:val="32"/>
          <w:highlight w:val="none"/>
          <w:lang w:eastAsia="zh-CN"/>
        </w:rPr>
        <w:t>第</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个</w:t>
      </w:r>
      <w:r>
        <w:rPr>
          <w:rFonts w:hint="eastAsia" w:ascii="Times New Roman" w:hAnsi="Times New Roman" w:eastAsia="仿宋_GB2312" w:cs="Times New Roman"/>
          <w:color w:val="auto"/>
          <w:sz w:val="32"/>
          <w:szCs w:val="32"/>
          <w:highlight w:val="none"/>
          <w:lang w:val="en-US" w:eastAsia="zh-CN"/>
        </w:rPr>
        <w:t>考核期年</w:t>
      </w:r>
      <w:r>
        <w:rPr>
          <w:rFonts w:hint="eastAsia" w:ascii="Times New Roman" w:hAnsi="Times New Roman" w:eastAsia="仿宋_GB2312" w:cs="Times New Roman"/>
          <w:color w:val="auto"/>
          <w:sz w:val="32"/>
          <w:szCs w:val="32"/>
          <w:highlight w:val="none"/>
        </w:rPr>
        <w:t>亩均税收不低于</w:t>
      </w:r>
      <w:r>
        <w:rPr>
          <w:rFonts w:hint="eastAsia"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rPr>
        <w:t>万元/亩</w:t>
      </w:r>
      <w:r>
        <w:rPr>
          <w:rFonts w:hint="eastAsia" w:ascii="Times New Roman" w:hAnsi="Times New Roman" w:eastAsia="仿宋_GB2312" w:cs="Times New Roman"/>
          <w:color w:val="auto"/>
          <w:kern w:val="0"/>
          <w:sz w:val="32"/>
          <w:szCs w:val="32"/>
          <w:highlight w:val="none"/>
          <w:u w:val="none"/>
          <w:lang w:val="en-US" w:eastAsia="zh-CN"/>
        </w:rPr>
        <w:t>（以竞价结果为准），通过年度考核的，返还当年履约保函</w:t>
      </w:r>
      <w:r>
        <w:rPr>
          <w:rFonts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eastAsia="zh-CN"/>
        </w:rPr>
        <w:t>自第</w:t>
      </w:r>
      <w:r>
        <w:rPr>
          <w:rFonts w:hint="eastAsia" w:ascii="Times New Roman" w:hAnsi="Times New Roman" w:eastAsia="仿宋_GB2312" w:cs="Times New Roman"/>
          <w:color w:val="auto"/>
          <w:spacing w:val="-6"/>
          <w:sz w:val="32"/>
          <w:szCs w:val="32"/>
          <w:highlight w:val="none"/>
          <w:lang w:val="en-US" w:eastAsia="zh-CN"/>
        </w:rPr>
        <w:t>2</w:t>
      </w:r>
      <w:r>
        <w:rPr>
          <w:rFonts w:hint="eastAsia" w:ascii="Times New Roman" w:hAnsi="Times New Roman" w:eastAsia="仿宋_GB2312" w:cs="Times New Roman"/>
          <w:color w:val="auto"/>
          <w:spacing w:val="-6"/>
          <w:sz w:val="32"/>
          <w:szCs w:val="32"/>
          <w:highlight w:val="none"/>
          <w:lang w:eastAsia="zh-CN"/>
        </w:rPr>
        <w:t>个</w:t>
      </w:r>
      <w:r>
        <w:rPr>
          <w:rFonts w:hint="eastAsia" w:ascii="Times New Roman" w:hAnsi="Times New Roman" w:eastAsia="仿宋_GB2312" w:cs="Times New Roman"/>
          <w:color w:val="auto"/>
          <w:spacing w:val="-6"/>
          <w:sz w:val="32"/>
          <w:szCs w:val="32"/>
          <w:highlight w:val="none"/>
          <w:lang w:val="en-US" w:eastAsia="zh-CN"/>
        </w:rPr>
        <w:t>考核期起，</w:t>
      </w:r>
      <w:r>
        <w:rPr>
          <w:rFonts w:hint="eastAsia" w:ascii="Times New Roman" w:hAnsi="Times New Roman" w:eastAsia="仿宋_GB2312" w:cs="Times New Roman"/>
          <w:color w:val="auto"/>
          <w:spacing w:val="-6"/>
          <w:sz w:val="32"/>
          <w:szCs w:val="32"/>
          <w:highlight w:val="none"/>
          <w:lang w:eastAsia="zh-CN"/>
        </w:rPr>
        <w:t>单个考核期内年均亩均税收不低于</w:t>
      </w:r>
      <w:r>
        <w:rPr>
          <w:rFonts w:hint="default" w:ascii="Times New Roman" w:hAnsi="Times New Roman" w:eastAsia="仿宋_GB2312" w:cs="Times New Roman"/>
          <w:color w:val="auto"/>
          <w:sz w:val="32"/>
          <w:szCs w:val="32"/>
        </w:rPr>
        <w:t>我市面上</w:t>
      </w:r>
      <w:r>
        <w:rPr>
          <w:rFonts w:hint="default" w:ascii="Times New Roman" w:hAnsi="Times New Roman" w:eastAsia="仿宋_GB2312" w:cs="Times New Roman"/>
          <w:color w:val="auto"/>
          <w:kern w:val="0"/>
          <w:sz w:val="32"/>
          <w:szCs w:val="32"/>
          <w:lang w:bidi="ar"/>
        </w:rPr>
        <w:t>标准地准入控制指标要求</w:t>
      </w:r>
      <w:r>
        <w:rPr>
          <w:rFonts w:ascii="Times New Roman" w:hAnsi="Times New Roman" w:eastAsia="仿宋_GB2312" w:cs="Times New Roman"/>
          <w:color w:val="auto"/>
          <w:spacing w:val="-6"/>
          <w:sz w:val="32"/>
          <w:szCs w:val="32"/>
          <w:highlight w:val="none"/>
        </w:rPr>
        <w:t>。</w:t>
      </w:r>
      <w:r>
        <w:rPr>
          <w:rFonts w:ascii="Times New Roman" w:hAnsi="Times New Roman" w:eastAsia="仿宋_GB2312" w:cs="Times New Roman"/>
          <w:color w:val="auto"/>
          <w:sz w:val="32"/>
          <w:szCs w:val="32"/>
          <w:highlight w:val="none"/>
        </w:rPr>
        <w:t>根据</w:t>
      </w:r>
      <w:r>
        <w:rPr>
          <w:rFonts w:hint="eastAsia" w:ascii="Times New Roman" w:hAnsi="Times New Roman" w:eastAsia="仿宋_GB2312" w:cs="Times New Roman"/>
          <w:color w:val="auto"/>
          <w:sz w:val="32"/>
          <w:szCs w:val="32"/>
          <w:highlight w:val="none"/>
          <w:lang w:eastAsia="zh-CN"/>
        </w:rPr>
        <w:t>竞得</w:t>
      </w:r>
      <w:r>
        <w:rPr>
          <w:rFonts w:ascii="Times New Roman" w:hAnsi="Times New Roman" w:eastAsia="仿宋_GB2312" w:cs="Times New Roman"/>
          <w:color w:val="auto"/>
          <w:sz w:val="32"/>
          <w:szCs w:val="32"/>
          <w:highlight w:val="none"/>
        </w:rPr>
        <w:t>土地的使用年限计算，最后一个考核期的时间不足5年的，仍然可作为一个考核期处理。</w:t>
      </w:r>
    </w:p>
    <w:p w14:paraId="248633FD">
      <w:pPr>
        <w:keepNext w:val="0"/>
        <w:keepLines w:val="0"/>
        <w:pageBreakBefore w:val="0"/>
        <w:numPr>
          <w:ilvl w:val="0"/>
          <w:numId w:val="0"/>
        </w:numPr>
        <w:kinsoku/>
        <w:wordWrap/>
        <w:overflowPunct/>
        <w:topLinePunct w:val="0"/>
        <w:bidi w:val="0"/>
        <w:snapToGrid/>
        <w:spacing w:line="56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楷体" w:hAnsi="楷体" w:eastAsia="楷体" w:cs="楷体"/>
          <w:color w:val="auto"/>
          <w:sz w:val="32"/>
          <w:szCs w:val="32"/>
          <w:highlight w:val="none"/>
          <w:lang w:eastAsia="zh-CN"/>
        </w:rPr>
        <w:t>（四）</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年1月1日（</w:t>
      </w:r>
      <w:r>
        <w:rPr>
          <w:rFonts w:hint="default" w:ascii="Times New Roman" w:hAnsi="Times New Roman" w:eastAsia="仿宋_GB2312" w:cs="Times New Roman"/>
          <w:color w:val="auto"/>
          <w:kern w:val="0"/>
          <w:sz w:val="32"/>
          <w:szCs w:val="32"/>
          <w:highlight w:val="none"/>
          <w:lang w:val="en-US" w:eastAsia="zh-CN"/>
        </w:rPr>
        <w:t>签订协议次年1月1日</w:t>
      </w:r>
      <w:r>
        <w:rPr>
          <w:rFonts w:hint="eastAsia" w:ascii="Times New Roman" w:hAnsi="Times New Roman" w:eastAsia="仿宋_GB2312" w:cs="Times New Roman"/>
          <w:color w:val="auto"/>
          <w:sz w:val="32"/>
          <w:szCs w:val="32"/>
          <w:highlight w:val="none"/>
          <w:u w:val="none"/>
          <w:lang w:val="en-US" w:eastAsia="zh-CN"/>
        </w:rPr>
        <w:t>）为乙方竞得土地的</w:t>
      </w:r>
      <w:r>
        <w:rPr>
          <w:rFonts w:hint="eastAsia" w:ascii="Times New Roman" w:hAnsi="Times New Roman" w:eastAsia="仿宋_GB2312" w:cs="Times New Roman"/>
          <w:color w:val="auto"/>
          <w:sz w:val="32"/>
          <w:szCs w:val="32"/>
          <w:highlight w:val="none"/>
          <w:lang w:eastAsia="zh-CN"/>
        </w:rPr>
        <w:t>数据贡献考核</w:t>
      </w:r>
      <w:r>
        <w:rPr>
          <w:rFonts w:hint="eastAsia" w:ascii="Times New Roman" w:hAnsi="Times New Roman" w:eastAsia="仿宋_GB2312" w:cs="Times New Roman"/>
          <w:color w:val="auto"/>
          <w:kern w:val="0"/>
          <w:sz w:val="32"/>
          <w:szCs w:val="32"/>
          <w:highlight w:val="none"/>
          <w:lang w:val="en-US" w:eastAsia="zh-CN"/>
        </w:rPr>
        <w:t>起始日，考核期5年。</w:t>
      </w:r>
      <w:r>
        <w:rPr>
          <w:rFonts w:hint="eastAsia" w:ascii="Times New Roman" w:hAnsi="Times New Roman" w:eastAsia="仿宋_GB2312" w:cs="Times New Roman"/>
          <w:color w:val="auto"/>
          <w:sz w:val="32"/>
          <w:szCs w:val="32"/>
          <w:highlight w:val="none"/>
          <w:lang w:eastAsia="zh-CN"/>
        </w:rPr>
        <w:t>数据贡献考核</w:t>
      </w:r>
      <w:r>
        <w:rPr>
          <w:rFonts w:hint="eastAsia" w:ascii="Times New Roman" w:hAnsi="Times New Roman" w:eastAsia="仿宋_GB2312" w:cs="Times New Roman"/>
          <w:color w:val="auto"/>
          <w:kern w:val="0"/>
          <w:sz w:val="32"/>
          <w:szCs w:val="32"/>
          <w:highlight w:val="none"/>
          <w:lang w:val="en-US" w:eastAsia="zh-CN"/>
        </w:rPr>
        <w:t>根据企业所属类别，以供地前一年的数据为</w:t>
      </w:r>
      <w:r>
        <w:rPr>
          <w:rFonts w:hint="default" w:ascii="Times New Roman" w:hAnsi="Times New Roman" w:eastAsia="仿宋_GB2312" w:cs="Times New Roman"/>
          <w:color w:val="auto"/>
          <w:kern w:val="0"/>
          <w:sz w:val="32"/>
          <w:szCs w:val="32"/>
          <w:highlight w:val="none"/>
          <w:lang w:val="en-US" w:eastAsia="zh-CN"/>
        </w:rPr>
        <w:t>数据贡献</w:t>
      </w:r>
      <w:r>
        <w:rPr>
          <w:rFonts w:hint="eastAsia" w:ascii="Times New Roman" w:hAnsi="Times New Roman" w:eastAsia="仿宋_GB2312" w:cs="Times New Roman"/>
          <w:color w:val="auto"/>
          <w:kern w:val="0"/>
          <w:sz w:val="32"/>
          <w:szCs w:val="32"/>
          <w:highlight w:val="none"/>
          <w:lang w:val="en-US" w:eastAsia="zh-CN"/>
        </w:rPr>
        <w:t>基数（以市场发展委、商务局</w:t>
      </w:r>
      <w:r>
        <w:rPr>
          <w:rFonts w:hint="default" w:ascii="Times New Roman" w:hAnsi="Times New Roman" w:eastAsia="仿宋_GB2312" w:cs="Times New Roman"/>
          <w:color w:val="auto"/>
          <w:kern w:val="0"/>
          <w:sz w:val="32"/>
          <w:szCs w:val="32"/>
          <w:highlight w:val="none"/>
          <w:lang w:eastAsia="zh-CN"/>
        </w:rPr>
        <w:t>提供的</w:t>
      </w:r>
      <w:r>
        <w:rPr>
          <w:rFonts w:hint="eastAsia" w:ascii="Times New Roman" w:hAnsi="Times New Roman" w:eastAsia="仿宋_GB2312" w:cs="Times New Roman"/>
          <w:color w:val="auto"/>
          <w:kern w:val="0"/>
          <w:sz w:val="32"/>
          <w:szCs w:val="32"/>
          <w:highlight w:val="none"/>
          <w:lang w:val="en-US" w:eastAsia="zh-CN"/>
        </w:rPr>
        <w:t>数据为准），每年增速不低于10%。（该增速为最低要求，具体由协议双方结合实际协商确定。）</w:t>
      </w:r>
    </w:p>
    <w:p w14:paraId="55A37BE3">
      <w:pPr>
        <w:pStyle w:val="3"/>
        <w:keepNext w:val="0"/>
        <w:keepLines w:val="0"/>
        <w:pageBreakBefore w:val="0"/>
        <w:numPr>
          <w:ilvl w:val="0"/>
          <w:numId w:val="0"/>
        </w:numPr>
        <w:kinsoku/>
        <w:wordWrap/>
        <w:overflowPunct/>
        <w:topLinePunct w:val="0"/>
        <w:bidi w:val="0"/>
        <w:snapToGrid/>
        <w:spacing w:after="0" w:line="560" w:lineRule="exact"/>
        <w:ind w:left="0" w:right="0" w:firstLine="640" w:firstLineChars="200"/>
        <w:textAlignment w:val="auto"/>
        <w:rPr>
          <w:rFonts w:hint="default" w:ascii="Times New Roman" w:hAnsi="Times New Roman" w:eastAsia="仿宋_GB2312" w:cs="Times New Roman"/>
          <w:bCs/>
          <w:color w:val="auto"/>
          <w:sz w:val="32"/>
          <w:szCs w:val="32"/>
          <w:highlight w:val="none"/>
        </w:rPr>
      </w:pPr>
      <w:r>
        <w:rPr>
          <w:rFonts w:hint="eastAsia" w:ascii="楷体_GB2312" w:hAnsi="楷体_GB2312" w:eastAsia="楷体_GB2312" w:cs="楷体_GB2312"/>
          <w:color w:val="auto"/>
          <w:sz w:val="32"/>
          <w:szCs w:val="32"/>
          <w:highlight w:val="none"/>
          <w:lang w:eastAsia="zh-CN" w:bidi="ar"/>
        </w:rPr>
        <w:t>（</w:t>
      </w:r>
      <w:r>
        <w:rPr>
          <w:rFonts w:hint="default" w:ascii="楷体_GB2312" w:hAnsi="楷体_GB2312" w:eastAsia="楷体_GB2312" w:cs="楷体_GB2312"/>
          <w:color w:val="auto"/>
          <w:sz w:val="32"/>
          <w:szCs w:val="32"/>
          <w:highlight w:val="none"/>
          <w:lang w:eastAsia="zh-CN" w:bidi="ar"/>
        </w:rPr>
        <w:t>五</w:t>
      </w:r>
      <w:r>
        <w:rPr>
          <w:rFonts w:hint="eastAsia" w:ascii="楷体_GB2312" w:hAnsi="楷体_GB2312" w:eastAsia="楷体_GB2312" w:cs="楷体_GB2312"/>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乙方同意</w:t>
      </w:r>
      <w:r>
        <w:rPr>
          <w:rFonts w:hint="eastAsia" w:ascii="Times New Roman" w:hAnsi="Times New Roman" w:eastAsia="仿宋_GB2312" w:cs="Times New Roman"/>
          <w:color w:val="auto"/>
          <w:sz w:val="32"/>
          <w:szCs w:val="32"/>
          <w:highlight w:val="none"/>
          <w:lang w:val="en-US" w:eastAsia="zh-CN" w:bidi="ar"/>
        </w:rPr>
        <w:t>数据贡献</w:t>
      </w:r>
      <w:r>
        <w:rPr>
          <w:rFonts w:hint="default" w:ascii="Times New Roman" w:hAnsi="Times New Roman" w:eastAsia="仿宋_GB2312" w:cs="Times New Roman"/>
          <w:color w:val="auto"/>
          <w:sz w:val="32"/>
          <w:szCs w:val="32"/>
          <w:highlight w:val="none"/>
          <w:lang w:bidi="ar"/>
        </w:rPr>
        <w:t>统计对象包括：1、注册在本协议下项目宗地上的企业；2、与乙方为同一实际控制人且在义乌辖区内所成立的</w:t>
      </w:r>
      <w:r>
        <w:rPr>
          <w:rFonts w:hint="eastAsia" w:ascii="Times New Roman" w:hAnsi="Times New Roman" w:eastAsia="仿宋_GB2312" w:cs="Times New Roman"/>
          <w:color w:val="auto"/>
          <w:sz w:val="32"/>
          <w:szCs w:val="32"/>
          <w:highlight w:val="none"/>
          <w:lang w:eastAsia="zh-CN" w:bidi="ar"/>
        </w:rPr>
        <w:t>全资子公司和控股公司（需直接或间接控股</w:t>
      </w:r>
      <w:r>
        <w:rPr>
          <w:rFonts w:hint="eastAsia" w:ascii="Times New Roman" w:hAnsi="Times New Roman" w:eastAsia="仿宋_GB2312" w:cs="Times New Roman"/>
          <w:color w:val="auto"/>
          <w:sz w:val="32"/>
          <w:szCs w:val="32"/>
          <w:highlight w:val="none"/>
          <w:lang w:val="en-US" w:eastAsia="zh-CN" w:bidi="ar"/>
        </w:rPr>
        <w:t>51%以上</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。乙方如有新增企业需纳入</w:t>
      </w:r>
      <w:r>
        <w:rPr>
          <w:rFonts w:hint="eastAsia" w:ascii="Times New Roman" w:hAnsi="Times New Roman" w:eastAsia="仿宋_GB2312" w:cs="Times New Roman"/>
          <w:color w:val="auto"/>
          <w:sz w:val="32"/>
          <w:szCs w:val="32"/>
          <w:highlight w:val="none"/>
          <w:lang w:val="en-US" w:eastAsia="zh-CN" w:bidi="ar"/>
        </w:rPr>
        <w:t>数据贡献</w:t>
      </w:r>
      <w:r>
        <w:rPr>
          <w:rFonts w:hint="default" w:ascii="Times New Roman" w:hAnsi="Times New Roman" w:eastAsia="仿宋_GB2312" w:cs="Times New Roman"/>
          <w:color w:val="auto"/>
          <w:sz w:val="32"/>
          <w:szCs w:val="32"/>
          <w:highlight w:val="none"/>
          <w:lang w:bidi="ar"/>
        </w:rPr>
        <w:t>统计，应于考核年度当年3月31日前向甲方报备。</w:t>
      </w:r>
      <w:bookmarkEnd w:id="0"/>
    </w:p>
    <w:p w14:paraId="7933D5BB">
      <w:pPr>
        <w:pStyle w:val="3"/>
        <w:keepNext w:val="0"/>
        <w:keepLines w:val="0"/>
        <w:pageBreakBefore w:val="0"/>
        <w:numPr>
          <w:ilvl w:val="0"/>
          <w:numId w:val="0"/>
        </w:numPr>
        <w:kinsoku/>
        <w:wordWrap/>
        <w:overflowPunct/>
        <w:topLinePunct w:val="0"/>
        <w:bidi w:val="0"/>
        <w:snapToGrid/>
        <w:spacing w:after="0" w:line="560" w:lineRule="exact"/>
        <w:ind w:left="0" w:right="0" w:firstLine="640" w:firstLineChars="200"/>
        <w:textAlignment w:val="auto"/>
        <w:rPr>
          <w:rFonts w:ascii="Times New Roman" w:hAnsi="Times New Roman" w:eastAsia="仿宋_GB2312" w:cs="Times New Roman"/>
          <w:bCs/>
          <w:color w:val="auto"/>
          <w:sz w:val="32"/>
          <w:szCs w:val="32"/>
          <w:highlight w:val="none"/>
        </w:rPr>
      </w:pPr>
      <w:r>
        <w:rPr>
          <w:rFonts w:hint="eastAsia" w:ascii="楷体_GB2312" w:hAnsi="楷体_GB2312" w:eastAsia="楷体_GB2312" w:cs="楷体_GB2312"/>
          <w:color w:val="auto"/>
          <w:sz w:val="32"/>
          <w:szCs w:val="32"/>
          <w:highlight w:val="none"/>
          <w:lang w:eastAsia="zh-CN" w:bidi="ar"/>
        </w:rPr>
        <w:t>（</w:t>
      </w:r>
      <w:r>
        <w:rPr>
          <w:rFonts w:hint="default" w:ascii="楷体_GB2312" w:hAnsi="楷体_GB2312" w:eastAsia="楷体_GB2312" w:cs="楷体_GB2312"/>
          <w:color w:val="auto"/>
          <w:sz w:val="32"/>
          <w:szCs w:val="32"/>
          <w:highlight w:val="none"/>
          <w:lang w:eastAsia="zh-CN" w:bidi="ar"/>
        </w:rPr>
        <w:t>六</w:t>
      </w:r>
      <w:r>
        <w:rPr>
          <w:rFonts w:hint="eastAsia" w:ascii="楷体_GB2312" w:hAnsi="楷体_GB2312" w:eastAsia="楷体_GB2312" w:cs="楷体_GB2312"/>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乙方同意年均亩均税收统计口径为以本协议下宗地为注册地的企业，其中乙方及其关联企业纳税额按100%纳入统计。</w:t>
      </w:r>
      <w:r>
        <w:rPr>
          <w:rFonts w:hint="default" w:ascii="仿宋_GB2312" w:hAnsi="Times New Roman" w:eastAsia="仿宋_GB2312" w:cs="仿宋_GB2312"/>
          <w:color w:val="auto"/>
          <w:kern w:val="2"/>
          <w:sz w:val="32"/>
          <w:szCs w:val="32"/>
          <w:highlight w:val="none"/>
          <w:lang w:val="en-US" w:eastAsia="zh-CN" w:bidi="ar"/>
        </w:rPr>
        <w:t>关联企业按照《国家税务总局关于完善关联申报和同期资料管理有关事项的公告》（国家税务总局公告</w:t>
      </w:r>
      <w:r>
        <w:rPr>
          <w:rFonts w:hint="default" w:ascii="Times New Roman" w:hAnsi="Times New Roman" w:eastAsia="仿宋_GB2312" w:cs="Times New Roman"/>
          <w:color w:val="auto"/>
          <w:kern w:val="2"/>
          <w:sz w:val="32"/>
          <w:szCs w:val="32"/>
          <w:highlight w:val="none"/>
          <w:lang w:val="en-US" w:eastAsia="zh-CN" w:bidi="ar"/>
        </w:rPr>
        <w:t>2016</w:t>
      </w:r>
      <w:r>
        <w:rPr>
          <w:rFonts w:hint="default" w:ascii="仿宋_GB2312" w:hAnsi="Times New Roman" w:eastAsia="仿宋_GB2312" w:cs="仿宋_GB2312"/>
          <w:color w:val="auto"/>
          <w:kern w:val="2"/>
          <w:sz w:val="32"/>
          <w:szCs w:val="32"/>
          <w:highlight w:val="none"/>
          <w:lang w:val="en-US" w:eastAsia="zh-CN" w:bidi="ar"/>
        </w:rPr>
        <w:t>年第</w:t>
      </w:r>
      <w:r>
        <w:rPr>
          <w:rFonts w:hint="default" w:ascii="Times New Roman" w:hAnsi="Times New Roman" w:eastAsia="仿宋_GB2312" w:cs="Times New Roman"/>
          <w:color w:val="auto"/>
          <w:kern w:val="2"/>
          <w:sz w:val="32"/>
          <w:szCs w:val="32"/>
          <w:highlight w:val="none"/>
          <w:lang w:val="en-US" w:eastAsia="zh-CN" w:bidi="ar"/>
        </w:rPr>
        <w:t>42</w:t>
      </w:r>
      <w:r>
        <w:rPr>
          <w:rFonts w:hint="default" w:ascii="仿宋_GB2312" w:hAnsi="Times New Roman" w:eastAsia="仿宋_GB2312" w:cs="仿宋_GB2312"/>
          <w:color w:val="auto"/>
          <w:kern w:val="2"/>
          <w:sz w:val="32"/>
          <w:szCs w:val="32"/>
          <w:highlight w:val="none"/>
          <w:lang w:val="en-US" w:eastAsia="zh-CN" w:bidi="ar"/>
        </w:rPr>
        <w:t>号）确定</w:t>
      </w:r>
      <w:r>
        <w:rPr>
          <w:rStyle w:val="8"/>
          <w:rFonts w:hint="default" w:ascii="Times New Roman" w:hAnsi="Times New Roman" w:eastAsia="仿宋_GB2312" w:cs="Times New Roman"/>
          <w:color w:val="auto"/>
          <w:sz w:val="32"/>
          <w:szCs w:val="32"/>
          <w:highlight w:val="none"/>
          <w:u w:val="none"/>
        </w:rPr>
        <w:t>。</w:t>
      </w:r>
    </w:p>
    <w:p w14:paraId="26ACF4AE">
      <w:pPr>
        <w:pStyle w:val="3"/>
        <w:keepNext w:val="0"/>
        <w:keepLines w:val="0"/>
        <w:pageBreakBefore w:val="0"/>
        <w:numPr>
          <w:ilvl w:val="0"/>
          <w:numId w:val="0"/>
        </w:numPr>
        <w:kinsoku/>
        <w:wordWrap/>
        <w:overflowPunct/>
        <w:topLinePunct w:val="0"/>
        <w:bidi w:val="0"/>
        <w:snapToGrid/>
        <w:spacing w:after="0" w:line="560" w:lineRule="exact"/>
        <w:ind w:left="0" w:right="0" w:firstLine="640" w:firstLineChars="200"/>
        <w:textAlignment w:val="auto"/>
        <w:rPr>
          <w:rFonts w:ascii="Times New Roman" w:hAnsi="Times New Roman" w:eastAsia="仿宋_GB2312" w:cs="Times New Roman"/>
          <w:bCs/>
          <w:color w:val="auto"/>
          <w:sz w:val="32"/>
          <w:szCs w:val="32"/>
          <w:highlight w:val="none"/>
        </w:rPr>
      </w:pPr>
      <w:r>
        <w:rPr>
          <w:rFonts w:hint="eastAsia" w:ascii="楷体_GB2312" w:hAnsi="楷体_GB2312" w:eastAsia="楷体_GB2312" w:cs="楷体_GB2312"/>
          <w:color w:val="auto"/>
          <w:sz w:val="32"/>
          <w:szCs w:val="32"/>
          <w:highlight w:val="none"/>
          <w:lang w:eastAsia="zh-CN" w:bidi="ar"/>
        </w:rPr>
        <w:t>（</w:t>
      </w:r>
      <w:r>
        <w:rPr>
          <w:rFonts w:hint="default" w:ascii="楷体_GB2312" w:hAnsi="楷体_GB2312" w:eastAsia="楷体_GB2312" w:cs="楷体_GB2312"/>
          <w:color w:val="auto"/>
          <w:sz w:val="32"/>
          <w:szCs w:val="32"/>
          <w:highlight w:val="none"/>
          <w:lang w:eastAsia="zh-CN" w:bidi="ar"/>
        </w:rPr>
        <w:t>七</w:t>
      </w:r>
      <w:r>
        <w:rPr>
          <w:rFonts w:hint="eastAsia" w:ascii="楷体_GB2312" w:hAnsi="楷体_GB2312" w:eastAsia="楷体_GB2312" w:cs="楷体_GB2312"/>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乙方承诺加大科研投入，</w:t>
      </w:r>
      <w:r>
        <w:rPr>
          <w:rFonts w:hint="eastAsia" w:ascii="Times New Roman" w:hAnsi="Times New Roman" w:eastAsia="仿宋_GB2312" w:cs="Times New Roman"/>
          <w:color w:val="auto"/>
          <w:sz w:val="32"/>
          <w:szCs w:val="32"/>
          <w:highlight w:val="none"/>
          <w:lang w:val="en-US" w:eastAsia="zh-CN" w:bidi="ar"/>
        </w:rPr>
        <w:t>协议签订次年起3年</w:t>
      </w:r>
      <w:r>
        <w:rPr>
          <w:rFonts w:hint="default" w:ascii="Times New Roman" w:hAnsi="Times New Roman" w:eastAsia="仿宋_GB2312" w:cs="Times New Roman"/>
          <w:color w:val="auto"/>
          <w:sz w:val="32"/>
          <w:szCs w:val="32"/>
          <w:highlight w:val="none"/>
          <w:lang w:bidi="ar"/>
        </w:rPr>
        <w:t>内年均科研投入不少于</w:t>
      </w:r>
      <w:r>
        <w:rPr>
          <w:rFonts w:hint="eastAsia" w:ascii="Times New Roman" w:hAnsi="Times New Roman" w:eastAsia="仿宋_GB2312" w:cs="Times New Roman"/>
          <w:color w:val="auto"/>
          <w:sz w:val="32"/>
          <w:szCs w:val="32"/>
          <w:highlight w:val="none"/>
          <w:u w:val="single"/>
          <w:lang w:val="en-US" w:eastAsia="zh-CN" w:bidi="ar"/>
        </w:rPr>
        <w:t xml:space="preserve">    </w:t>
      </w:r>
      <w:r>
        <w:rPr>
          <w:rFonts w:hint="default" w:ascii="Times New Roman" w:hAnsi="Times New Roman" w:eastAsia="仿宋_GB2312" w:cs="Times New Roman"/>
          <w:color w:val="auto"/>
          <w:sz w:val="32"/>
          <w:szCs w:val="32"/>
          <w:highlight w:val="none"/>
          <w:lang w:bidi="ar"/>
        </w:rPr>
        <w:t>万元。乙方及关联企业积极申报高新技术企业，甲方支持乙方及关联企业享受市级关于高新技术企业相关政策。</w:t>
      </w:r>
    </w:p>
    <w:p w14:paraId="61B4BDF5">
      <w:pPr>
        <w:pStyle w:val="3"/>
        <w:keepNext w:val="0"/>
        <w:keepLines w:val="0"/>
        <w:pageBreakBefore w:val="0"/>
        <w:numPr>
          <w:ilvl w:val="0"/>
          <w:numId w:val="0"/>
        </w:numPr>
        <w:kinsoku/>
        <w:wordWrap/>
        <w:overflowPunct/>
        <w:topLinePunct w:val="0"/>
        <w:bidi w:val="0"/>
        <w:snapToGrid/>
        <w:spacing w:after="0" w:line="560" w:lineRule="exact"/>
        <w:ind w:left="0" w:right="0" w:firstLine="640" w:firstLineChars="200"/>
        <w:textAlignment w:val="auto"/>
        <w:rPr>
          <w:rFonts w:ascii="Times New Roman" w:hAnsi="Times New Roman" w:eastAsia="仿宋_GB2312" w:cs="Times New Roman"/>
          <w:bCs/>
          <w:color w:val="auto"/>
          <w:sz w:val="32"/>
          <w:szCs w:val="32"/>
          <w:highlight w:val="none"/>
        </w:rPr>
      </w:pPr>
      <w:r>
        <w:rPr>
          <w:rFonts w:hint="eastAsia" w:ascii="楷体_GB2312" w:hAnsi="楷体_GB2312" w:eastAsia="楷体_GB2312" w:cs="楷体_GB2312"/>
          <w:color w:val="auto"/>
          <w:sz w:val="32"/>
          <w:szCs w:val="32"/>
          <w:highlight w:val="none"/>
          <w:lang w:eastAsia="zh-CN" w:bidi="ar"/>
        </w:rPr>
        <w:t>（</w:t>
      </w:r>
      <w:r>
        <w:rPr>
          <w:rFonts w:hint="default" w:ascii="楷体_GB2312" w:hAnsi="楷体_GB2312" w:eastAsia="楷体_GB2312" w:cs="楷体_GB2312"/>
          <w:color w:val="auto"/>
          <w:sz w:val="32"/>
          <w:szCs w:val="32"/>
          <w:highlight w:val="none"/>
          <w:lang w:eastAsia="zh-CN" w:bidi="ar"/>
        </w:rPr>
        <w:t>八</w:t>
      </w:r>
      <w:r>
        <w:rPr>
          <w:rFonts w:hint="eastAsia" w:ascii="楷体_GB2312" w:hAnsi="楷体_GB2312" w:eastAsia="楷体_GB2312" w:cs="楷体_GB2312"/>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乙方同意有关义乌</w:t>
      </w:r>
      <w:r>
        <w:rPr>
          <w:rFonts w:hint="eastAsia" w:ascii="Times New Roman" w:hAnsi="Times New Roman" w:eastAsia="仿宋_GB2312" w:cs="Times New Roman"/>
          <w:color w:val="auto"/>
          <w:sz w:val="32"/>
          <w:szCs w:val="32"/>
          <w:highlight w:val="none"/>
          <w:lang w:val="en-US" w:eastAsia="zh-CN" w:bidi="ar"/>
        </w:rPr>
        <w:t>市</w:t>
      </w:r>
      <w:r>
        <w:rPr>
          <w:rFonts w:hint="default" w:ascii="Times New Roman" w:hAnsi="Times New Roman" w:eastAsia="仿宋_GB2312" w:cs="Times New Roman"/>
          <w:color w:val="auto"/>
          <w:sz w:val="32"/>
          <w:szCs w:val="32"/>
          <w:highlight w:val="none"/>
          <w:lang w:bidi="ar"/>
        </w:rPr>
        <w:t>建设与管理的政策、文件规定发生变化的，本协议相应约定根据上述政策、文件规定的变化而变更。</w:t>
      </w:r>
    </w:p>
    <w:p w14:paraId="6B1DF789">
      <w:pPr>
        <w:pStyle w:val="3"/>
        <w:keepNext w:val="0"/>
        <w:keepLines w:val="0"/>
        <w:pageBreakBefore w:val="0"/>
        <w:numPr>
          <w:ilvl w:val="0"/>
          <w:numId w:val="0"/>
        </w:numPr>
        <w:kinsoku/>
        <w:wordWrap/>
        <w:overflowPunct/>
        <w:topLinePunct w:val="0"/>
        <w:bidi w:val="0"/>
        <w:snapToGrid/>
        <w:spacing w:after="0" w:line="560" w:lineRule="exact"/>
        <w:ind w:left="0" w:right="0" w:firstLine="640" w:firstLineChars="200"/>
        <w:textAlignment w:val="auto"/>
        <w:rPr>
          <w:rFonts w:ascii="Times New Roman" w:hAnsi="Times New Roman" w:eastAsia="仿宋_GB2312" w:cs="Times New Roman"/>
          <w:bCs/>
          <w:color w:val="auto"/>
          <w:sz w:val="32"/>
          <w:szCs w:val="32"/>
          <w:highlight w:val="none"/>
        </w:rPr>
      </w:pPr>
      <w:r>
        <w:rPr>
          <w:rFonts w:hint="eastAsia" w:ascii="楷体_GB2312" w:hAnsi="楷体_GB2312" w:eastAsia="楷体_GB2312" w:cs="楷体_GB2312"/>
          <w:color w:val="auto"/>
          <w:sz w:val="32"/>
          <w:szCs w:val="32"/>
          <w:highlight w:val="none"/>
          <w:lang w:eastAsia="zh-CN" w:bidi="ar"/>
        </w:rPr>
        <w:t>（</w:t>
      </w:r>
      <w:r>
        <w:rPr>
          <w:rFonts w:hint="default" w:ascii="楷体_GB2312" w:hAnsi="楷体_GB2312" w:eastAsia="楷体_GB2312" w:cs="楷体_GB2312"/>
          <w:color w:val="auto"/>
          <w:sz w:val="32"/>
          <w:szCs w:val="32"/>
          <w:highlight w:val="none"/>
          <w:lang w:eastAsia="zh-CN" w:bidi="ar"/>
        </w:rPr>
        <w:t>九</w:t>
      </w:r>
      <w:r>
        <w:rPr>
          <w:rFonts w:hint="eastAsia" w:ascii="楷体_GB2312" w:hAnsi="楷体_GB2312" w:eastAsia="楷体_GB2312" w:cs="楷体_GB2312"/>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乙方承诺严格按甲方</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相关政府部门关于土地利用、城建规划、环境保护、节能减排等规范要求实施项目建设。</w:t>
      </w:r>
    </w:p>
    <w:p w14:paraId="5007CB64">
      <w:pPr>
        <w:pStyle w:val="3"/>
        <w:keepNext w:val="0"/>
        <w:keepLines w:val="0"/>
        <w:pageBreakBefore w:val="0"/>
        <w:numPr>
          <w:ilvl w:val="0"/>
          <w:numId w:val="0"/>
        </w:numPr>
        <w:kinsoku/>
        <w:wordWrap/>
        <w:overflowPunct/>
        <w:topLinePunct w:val="0"/>
        <w:bidi w:val="0"/>
        <w:snapToGrid/>
        <w:spacing w:after="0" w:line="560" w:lineRule="exact"/>
        <w:ind w:left="0" w:right="0" w:firstLine="640" w:firstLineChars="200"/>
        <w:textAlignment w:val="auto"/>
        <w:rPr>
          <w:rFonts w:ascii="Times New Roman" w:hAnsi="Times New Roman" w:eastAsia="仿宋_GB2312" w:cs="Times New Roman"/>
          <w:bCs/>
          <w:color w:val="auto"/>
          <w:sz w:val="32"/>
          <w:szCs w:val="32"/>
          <w:highlight w:val="none"/>
        </w:rPr>
      </w:pPr>
      <w:r>
        <w:rPr>
          <w:rFonts w:hint="eastAsia" w:ascii="楷体_GB2312" w:hAnsi="楷体_GB2312" w:eastAsia="楷体_GB2312" w:cs="楷体_GB2312"/>
          <w:color w:val="auto"/>
          <w:sz w:val="32"/>
          <w:szCs w:val="32"/>
          <w:highlight w:val="none"/>
          <w:lang w:eastAsia="zh-CN" w:bidi="ar"/>
        </w:rPr>
        <w:t>（</w:t>
      </w:r>
      <w:r>
        <w:rPr>
          <w:rFonts w:hint="default" w:ascii="楷体_GB2312" w:hAnsi="楷体_GB2312" w:eastAsia="楷体_GB2312" w:cs="楷体_GB2312"/>
          <w:color w:val="auto"/>
          <w:sz w:val="32"/>
          <w:szCs w:val="32"/>
          <w:highlight w:val="none"/>
          <w:lang w:eastAsia="zh-CN" w:bidi="ar"/>
        </w:rPr>
        <w:t>十</w:t>
      </w:r>
      <w:r>
        <w:rPr>
          <w:rFonts w:hint="eastAsia" w:ascii="楷体_GB2312" w:hAnsi="楷体_GB2312" w:eastAsia="楷体_GB2312" w:cs="楷体_GB2312"/>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乙方自愿接受甲方对</w:t>
      </w:r>
      <w:r>
        <w:rPr>
          <w:rFonts w:hint="eastAsia" w:ascii="Times New Roman" w:hAnsi="Times New Roman" w:eastAsia="仿宋_GB2312" w:cs="Times New Roman"/>
          <w:color w:val="auto"/>
          <w:sz w:val="32"/>
          <w:szCs w:val="32"/>
          <w:highlight w:val="none"/>
          <w:lang w:eastAsia="zh-CN" w:bidi="ar"/>
        </w:rPr>
        <w:t>投资额、</w:t>
      </w:r>
      <w:r>
        <w:rPr>
          <w:rFonts w:hint="default" w:ascii="Times New Roman" w:hAnsi="Times New Roman" w:eastAsia="仿宋_GB2312" w:cs="Times New Roman"/>
          <w:color w:val="auto"/>
          <w:sz w:val="32"/>
          <w:szCs w:val="32"/>
          <w:highlight w:val="none"/>
          <w:lang w:bidi="ar"/>
        </w:rPr>
        <w:t>投资强度、工商登记、项目工程质量、项目建设标准等履约情况的监督及复核验收，并接受甲方根据监督与复核验收结果做出的相应处理决定</w:t>
      </w:r>
      <w:r>
        <w:rPr>
          <w:rFonts w:hint="eastAsia" w:ascii="Times New Roman" w:hAnsi="Times New Roman" w:eastAsia="仿宋_GB2312" w:cs="Times New Roman"/>
          <w:color w:val="auto"/>
          <w:sz w:val="32"/>
          <w:szCs w:val="32"/>
          <w:highlight w:val="none"/>
          <w:lang w:eastAsia="zh-CN" w:bidi="ar"/>
        </w:rPr>
        <w:t>。</w:t>
      </w:r>
    </w:p>
    <w:p w14:paraId="295185E3">
      <w:pPr>
        <w:keepNext w:val="0"/>
        <w:keepLines w:val="0"/>
        <w:pageBreakBefore w:val="0"/>
        <w:kinsoku/>
        <w:wordWrap/>
        <w:overflowPunct/>
        <w:topLinePunct w:val="0"/>
        <w:bidi w:val="0"/>
        <w:snapToGrid/>
        <w:spacing w:line="560" w:lineRule="exact"/>
        <w:ind w:left="0" w:right="0" w:firstLine="668" w:firstLineChars="200"/>
        <w:textAlignment w:val="auto"/>
        <w:outlineLvl w:val="0"/>
        <w:rPr>
          <w:rFonts w:hint="eastAsia" w:ascii="Times New Roman" w:hAnsi="Times New Roman" w:eastAsia="仿宋_GB2312" w:cs="Times New Roman"/>
          <w:bCs/>
          <w:color w:val="auto"/>
          <w:sz w:val="32"/>
          <w:szCs w:val="32"/>
          <w:highlight w:val="none"/>
        </w:rPr>
      </w:pPr>
      <w:r>
        <w:rPr>
          <w:rFonts w:hint="eastAsia" w:ascii="Times New Roman" w:hAnsi="Times New Roman" w:eastAsia="楷体_GB2312" w:cs="Times New Roman"/>
          <w:color w:val="auto"/>
          <w:spacing w:val="7"/>
          <w:sz w:val="32"/>
          <w:szCs w:val="32"/>
          <w:highlight w:val="none"/>
          <w:u w:val="none"/>
          <w:lang w:val="en-US" w:eastAsia="zh-CN"/>
        </w:rPr>
        <w:t>（十</w:t>
      </w:r>
      <w:r>
        <w:rPr>
          <w:rFonts w:hint="default" w:ascii="Times New Roman" w:hAnsi="Times New Roman" w:eastAsia="楷体_GB2312" w:cs="Times New Roman"/>
          <w:color w:val="auto"/>
          <w:spacing w:val="7"/>
          <w:sz w:val="32"/>
          <w:szCs w:val="32"/>
          <w:highlight w:val="none"/>
          <w:u w:val="none"/>
          <w:lang w:eastAsia="zh-CN"/>
        </w:rPr>
        <w:t>一</w:t>
      </w:r>
      <w:r>
        <w:rPr>
          <w:rFonts w:hint="eastAsia" w:ascii="Times New Roman" w:hAnsi="Times New Roman" w:eastAsia="楷体_GB2312" w:cs="Times New Roman"/>
          <w:color w:val="auto"/>
          <w:spacing w:val="7"/>
          <w:sz w:val="32"/>
          <w:szCs w:val="32"/>
          <w:highlight w:val="none"/>
          <w:u w:val="none"/>
          <w:lang w:val="en-US" w:eastAsia="zh-CN"/>
        </w:rPr>
        <w:t>）</w:t>
      </w:r>
      <w:r>
        <w:rPr>
          <w:rFonts w:hint="eastAsia" w:ascii="Times New Roman" w:hAnsi="Times New Roman" w:eastAsia="仿宋_GB2312" w:cs="Times New Roman"/>
          <w:bCs/>
          <w:color w:val="auto"/>
          <w:sz w:val="32"/>
          <w:szCs w:val="32"/>
          <w:highlight w:val="none"/>
        </w:rPr>
        <w:t>能耗标准符合一星级以上绿色建筑强制性标准。</w:t>
      </w:r>
    </w:p>
    <w:p w14:paraId="32A1FE02">
      <w:pPr>
        <w:keepNext w:val="0"/>
        <w:keepLines w:val="0"/>
        <w:pageBreakBefore w:val="0"/>
        <w:kinsoku/>
        <w:wordWrap/>
        <w:overflowPunct/>
        <w:topLinePunct w:val="0"/>
        <w:bidi w:val="0"/>
        <w:snapToGrid/>
        <w:spacing w:line="560" w:lineRule="exact"/>
        <w:ind w:left="0" w:right="0" w:firstLine="668" w:firstLineChars="200"/>
        <w:textAlignment w:val="auto"/>
        <w:outlineLvl w:val="0"/>
        <w:rPr>
          <w:rFonts w:hint="eastAsia" w:ascii="Times New Roman" w:hAnsi="Times New Roman" w:eastAsia="仿宋_GB2312" w:cs="Times New Roman"/>
          <w:bCs/>
          <w:color w:val="auto"/>
          <w:sz w:val="32"/>
          <w:szCs w:val="32"/>
          <w:highlight w:val="none"/>
        </w:rPr>
      </w:pPr>
      <w:r>
        <w:rPr>
          <w:rFonts w:hint="eastAsia" w:ascii="Times New Roman" w:hAnsi="Times New Roman" w:eastAsia="楷体_GB2312" w:cs="Times New Roman"/>
          <w:color w:val="auto"/>
          <w:spacing w:val="7"/>
          <w:sz w:val="32"/>
          <w:szCs w:val="32"/>
          <w:highlight w:val="none"/>
          <w:u w:val="none"/>
          <w:lang w:val="en-US" w:eastAsia="zh-CN"/>
        </w:rPr>
        <w:t>（十</w:t>
      </w:r>
      <w:r>
        <w:rPr>
          <w:rFonts w:hint="default" w:ascii="Times New Roman" w:hAnsi="Times New Roman" w:eastAsia="楷体_GB2312" w:cs="Times New Roman"/>
          <w:color w:val="auto"/>
          <w:spacing w:val="7"/>
          <w:sz w:val="32"/>
          <w:szCs w:val="32"/>
          <w:highlight w:val="none"/>
          <w:u w:val="none"/>
          <w:lang w:eastAsia="zh-CN"/>
        </w:rPr>
        <w:t>二</w:t>
      </w:r>
      <w:r>
        <w:rPr>
          <w:rFonts w:hint="eastAsia" w:ascii="Times New Roman" w:hAnsi="Times New Roman" w:eastAsia="楷体_GB2312" w:cs="Times New Roman"/>
          <w:color w:val="auto"/>
          <w:spacing w:val="7"/>
          <w:sz w:val="32"/>
          <w:szCs w:val="32"/>
          <w:highlight w:val="none"/>
          <w:u w:val="none"/>
          <w:lang w:val="en-US" w:eastAsia="zh-CN"/>
        </w:rPr>
        <w:t>）</w:t>
      </w:r>
      <w:r>
        <w:rPr>
          <w:rFonts w:hint="eastAsia" w:ascii="楷体" w:hAnsi="楷体" w:eastAsia="楷体" w:cs="楷体"/>
          <w:bCs/>
          <w:color w:val="auto"/>
          <w:sz w:val="32"/>
          <w:szCs w:val="32"/>
          <w:highlight w:val="none"/>
        </w:rPr>
        <w:t>环境标准：</w:t>
      </w:r>
      <w:r>
        <w:rPr>
          <w:rFonts w:hint="eastAsia" w:ascii="Times New Roman" w:hAnsi="Times New Roman" w:eastAsia="仿宋_GB2312" w:cs="Times New Roman"/>
          <w:bCs/>
          <w:color w:val="auto"/>
          <w:sz w:val="32"/>
          <w:szCs w:val="32"/>
          <w:highlight w:val="none"/>
        </w:rPr>
        <w:t>符合空间准入标准、污染物排放标准。</w:t>
      </w:r>
    </w:p>
    <w:p w14:paraId="4BDCB7EF">
      <w:pPr>
        <w:keepNext w:val="0"/>
        <w:keepLines w:val="0"/>
        <w:pageBreakBefore w:val="0"/>
        <w:kinsoku/>
        <w:wordWrap/>
        <w:overflowPunct/>
        <w:topLinePunct w:val="0"/>
        <w:bidi w:val="0"/>
        <w:snapToGrid/>
        <w:spacing w:line="560" w:lineRule="exact"/>
        <w:ind w:left="0" w:right="0" w:firstLine="668" w:firstLineChars="200"/>
        <w:textAlignment w:val="auto"/>
        <w:outlineLvl w:val="0"/>
        <w:rPr>
          <w:rFonts w:hint="eastAsia" w:ascii="Times New Roman" w:hAnsi="Times New Roman" w:eastAsia="仿宋_GB2312" w:cs="Times New Roman"/>
          <w:bCs/>
          <w:color w:val="auto"/>
          <w:sz w:val="32"/>
          <w:szCs w:val="32"/>
          <w:highlight w:val="none"/>
        </w:rPr>
      </w:pPr>
      <w:r>
        <w:rPr>
          <w:rFonts w:hint="eastAsia" w:ascii="Times New Roman" w:hAnsi="Times New Roman" w:eastAsia="楷体_GB2312" w:cs="Times New Roman"/>
          <w:color w:val="auto"/>
          <w:spacing w:val="7"/>
          <w:sz w:val="32"/>
          <w:szCs w:val="32"/>
          <w:highlight w:val="none"/>
          <w:u w:val="none"/>
          <w:lang w:val="en-US" w:eastAsia="zh-CN"/>
        </w:rPr>
        <w:t>（十</w:t>
      </w:r>
      <w:r>
        <w:rPr>
          <w:rFonts w:hint="default" w:ascii="Times New Roman" w:hAnsi="Times New Roman" w:eastAsia="楷体_GB2312" w:cs="Times New Roman"/>
          <w:color w:val="auto"/>
          <w:spacing w:val="7"/>
          <w:sz w:val="32"/>
          <w:szCs w:val="32"/>
          <w:highlight w:val="none"/>
          <w:u w:val="none"/>
          <w:lang w:eastAsia="zh-CN"/>
        </w:rPr>
        <w:t>三</w:t>
      </w:r>
      <w:r>
        <w:rPr>
          <w:rFonts w:hint="eastAsia" w:ascii="Times New Roman" w:hAnsi="Times New Roman" w:eastAsia="楷体_GB2312" w:cs="Times New Roman"/>
          <w:color w:val="auto"/>
          <w:spacing w:val="7"/>
          <w:sz w:val="32"/>
          <w:szCs w:val="32"/>
          <w:highlight w:val="none"/>
          <w:u w:val="none"/>
          <w:lang w:val="en-US" w:eastAsia="zh-CN"/>
        </w:rPr>
        <w:t>）</w:t>
      </w:r>
      <w:r>
        <w:rPr>
          <w:rFonts w:hint="eastAsia" w:ascii="楷体" w:hAnsi="楷体" w:eastAsia="楷体" w:cs="楷体"/>
          <w:bCs/>
          <w:color w:val="auto"/>
          <w:sz w:val="32"/>
          <w:szCs w:val="32"/>
          <w:highlight w:val="none"/>
        </w:rPr>
        <w:t>建设周期：</w:t>
      </w:r>
      <w:r>
        <w:rPr>
          <w:rFonts w:hint="eastAsia" w:ascii="Times New Roman" w:hAnsi="Times New Roman" w:eastAsia="仿宋_GB2312" w:cs="Times New Roman"/>
          <w:bCs/>
          <w:color w:val="auto"/>
          <w:sz w:val="32"/>
          <w:szCs w:val="32"/>
          <w:highlight w:val="none"/>
        </w:rPr>
        <w:t>乙方承诺项目用地开工建设、竣工日期以乙方与义乌市自然资源和规划局签订的《国有建设用地使用权出让合同》为准。</w:t>
      </w:r>
    </w:p>
    <w:p w14:paraId="72E7BF99">
      <w:pPr>
        <w:keepNext w:val="0"/>
        <w:keepLines w:val="0"/>
        <w:pageBreakBefore w:val="0"/>
        <w:kinsoku/>
        <w:wordWrap/>
        <w:overflowPunct/>
        <w:topLinePunct w:val="0"/>
        <w:bidi w:val="0"/>
        <w:snapToGrid/>
        <w:spacing w:line="560" w:lineRule="exact"/>
        <w:ind w:left="0" w:right="0" w:firstLine="668" w:firstLineChars="200"/>
        <w:textAlignment w:val="auto"/>
        <w:outlineLvl w:val="0"/>
        <w:rPr>
          <w:rFonts w:hint="eastAsia" w:ascii="Times New Roman" w:hAnsi="Times New Roman" w:eastAsia="仿宋_GB2312" w:cs="Times New Roman"/>
          <w:bCs/>
          <w:color w:val="auto"/>
          <w:sz w:val="32"/>
          <w:szCs w:val="32"/>
          <w:highlight w:val="none"/>
        </w:rPr>
      </w:pPr>
      <w:r>
        <w:rPr>
          <w:rFonts w:hint="eastAsia" w:ascii="Times New Roman" w:hAnsi="Times New Roman" w:eastAsia="楷体_GB2312" w:cs="Times New Roman"/>
          <w:color w:val="auto"/>
          <w:spacing w:val="7"/>
          <w:sz w:val="32"/>
          <w:szCs w:val="32"/>
          <w:highlight w:val="none"/>
          <w:u w:val="none"/>
          <w:lang w:val="en-US" w:eastAsia="zh-CN"/>
        </w:rPr>
        <w:t>（十</w:t>
      </w:r>
      <w:r>
        <w:rPr>
          <w:rFonts w:hint="default" w:ascii="Times New Roman" w:hAnsi="Times New Roman" w:eastAsia="楷体_GB2312" w:cs="Times New Roman"/>
          <w:color w:val="auto"/>
          <w:spacing w:val="7"/>
          <w:sz w:val="32"/>
          <w:szCs w:val="32"/>
          <w:highlight w:val="none"/>
          <w:u w:val="none"/>
          <w:lang w:eastAsia="zh-CN"/>
        </w:rPr>
        <w:t>四</w:t>
      </w:r>
      <w:r>
        <w:rPr>
          <w:rFonts w:hint="eastAsia" w:ascii="Times New Roman" w:hAnsi="Times New Roman" w:eastAsia="楷体_GB2312" w:cs="Times New Roman"/>
          <w:color w:val="auto"/>
          <w:spacing w:val="7"/>
          <w:sz w:val="32"/>
          <w:szCs w:val="32"/>
          <w:highlight w:val="none"/>
          <w:u w:val="none"/>
          <w:lang w:val="en-US" w:eastAsia="zh-CN"/>
        </w:rPr>
        <w:t>）</w:t>
      </w:r>
      <w:r>
        <w:rPr>
          <w:rFonts w:hint="eastAsia" w:ascii="楷体" w:hAnsi="楷体" w:eastAsia="楷体" w:cs="楷体"/>
          <w:bCs/>
          <w:color w:val="auto"/>
          <w:sz w:val="32"/>
          <w:szCs w:val="32"/>
          <w:highlight w:val="none"/>
        </w:rPr>
        <w:t>投产日期：</w:t>
      </w:r>
      <w:r>
        <w:rPr>
          <w:rFonts w:hint="eastAsia" w:ascii="Times New Roman" w:hAnsi="Times New Roman" w:eastAsia="仿宋_GB2312" w:cs="仿宋_GB2312"/>
          <w:color w:val="auto"/>
          <w:kern w:val="2"/>
          <w:sz w:val="32"/>
          <w:szCs w:val="32"/>
          <w:highlight w:val="none"/>
          <w:lang w:eastAsia="zh-CN"/>
        </w:rPr>
        <w:t>乙方承诺</w:t>
      </w:r>
      <w:r>
        <w:rPr>
          <w:rFonts w:hint="eastAsia" w:ascii="Times New Roman" w:hAnsi="Times New Roman" w:eastAsia="仿宋_GB2312" w:cs="仿宋_GB2312"/>
          <w:color w:val="auto"/>
          <w:kern w:val="2"/>
          <w:sz w:val="32"/>
          <w:szCs w:val="32"/>
          <w:highlight w:val="none"/>
          <w:lang w:val="zh-TW" w:eastAsia="zh-TW"/>
        </w:rPr>
        <w:t>《国有建设用地使用权出让合同》</w:t>
      </w:r>
      <w:r>
        <w:rPr>
          <w:rFonts w:hint="eastAsia" w:ascii="Times New Roman" w:hAnsi="Times New Roman" w:eastAsia="仿宋_GB2312" w:cs="仿宋_GB2312"/>
          <w:color w:val="auto"/>
          <w:kern w:val="2"/>
          <w:sz w:val="32"/>
          <w:szCs w:val="32"/>
          <w:highlight w:val="none"/>
          <w:lang w:eastAsia="zh-CN"/>
        </w:rPr>
        <w:t>约定的竣工之日起6个月内投产</w:t>
      </w:r>
      <w:r>
        <w:rPr>
          <w:rFonts w:hint="eastAsia" w:ascii="Times New Roman" w:hAnsi="Times New Roman" w:eastAsia="仿宋_GB2312" w:cs="Times New Roman"/>
          <w:bCs/>
          <w:color w:val="auto"/>
          <w:sz w:val="32"/>
          <w:szCs w:val="32"/>
          <w:highlight w:val="none"/>
        </w:rPr>
        <w:t>。</w:t>
      </w:r>
    </w:p>
    <w:p w14:paraId="7E5C68C4">
      <w:pPr>
        <w:keepNext w:val="0"/>
        <w:keepLines w:val="0"/>
        <w:pageBreakBefore w:val="0"/>
        <w:kinsoku/>
        <w:wordWrap/>
        <w:overflowPunct/>
        <w:topLinePunct w:val="0"/>
        <w:bidi w:val="0"/>
        <w:snapToGrid/>
        <w:spacing w:line="560" w:lineRule="exact"/>
        <w:ind w:left="0" w:right="0" w:firstLine="668" w:firstLineChars="200"/>
        <w:textAlignment w:val="auto"/>
        <w:outlineLvl w:val="0"/>
        <w:rPr>
          <w:rFonts w:hint="default" w:eastAsia="仿宋_GB2312"/>
          <w:color w:val="auto"/>
          <w:highlight w:val="none"/>
          <w:lang w:val="en-US" w:eastAsia="zh-CN"/>
        </w:rPr>
      </w:pPr>
      <w:r>
        <w:rPr>
          <w:rFonts w:hint="eastAsia" w:ascii="Times New Roman" w:hAnsi="Times New Roman" w:eastAsia="楷体_GB2312" w:cs="Times New Roman"/>
          <w:color w:val="auto"/>
          <w:spacing w:val="7"/>
          <w:sz w:val="32"/>
          <w:szCs w:val="32"/>
          <w:highlight w:val="none"/>
          <w:u w:val="none"/>
          <w:lang w:val="en-US" w:eastAsia="zh-CN"/>
        </w:rPr>
        <w:t>（十</w:t>
      </w:r>
      <w:r>
        <w:rPr>
          <w:rFonts w:hint="default" w:ascii="Times New Roman" w:hAnsi="Times New Roman" w:eastAsia="楷体_GB2312" w:cs="Times New Roman"/>
          <w:color w:val="auto"/>
          <w:spacing w:val="7"/>
          <w:sz w:val="32"/>
          <w:szCs w:val="32"/>
          <w:highlight w:val="none"/>
          <w:u w:val="none"/>
          <w:lang w:eastAsia="zh-CN"/>
        </w:rPr>
        <w:t>五</w:t>
      </w:r>
      <w:r>
        <w:rPr>
          <w:rFonts w:hint="eastAsia" w:ascii="Times New Roman" w:hAnsi="Times New Roman" w:eastAsia="楷体_GB2312" w:cs="Times New Roman"/>
          <w:color w:val="auto"/>
          <w:spacing w:val="7"/>
          <w:sz w:val="32"/>
          <w:szCs w:val="32"/>
          <w:highlight w:val="none"/>
          <w:u w:val="none"/>
          <w:lang w:val="en-US" w:eastAsia="zh-CN"/>
        </w:rPr>
        <w:t>）</w:t>
      </w:r>
      <w:r>
        <w:rPr>
          <w:rFonts w:hint="eastAsia" w:ascii="Times New Roman" w:hAnsi="Times New Roman" w:eastAsia="仿宋_GB2312" w:cs="Times New Roman"/>
          <w:bCs/>
          <w:color w:val="auto"/>
          <w:sz w:val="32"/>
          <w:szCs w:val="32"/>
          <w:highlight w:val="none"/>
        </w:rPr>
        <w:t>地块受让人凭土地成交确认书和本</w:t>
      </w:r>
      <w:r>
        <w:rPr>
          <w:rFonts w:hint="default" w:ascii="Times New Roman" w:hAnsi="Times New Roman" w:eastAsia="仿宋_GB2312" w:cs="Times New Roman"/>
          <w:bCs/>
          <w:color w:val="auto"/>
          <w:sz w:val="32"/>
          <w:szCs w:val="32"/>
          <w:highlight w:val="none"/>
        </w:rPr>
        <w:t>协议</w:t>
      </w:r>
      <w:r>
        <w:rPr>
          <w:rFonts w:hint="eastAsia" w:ascii="Times New Roman" w:hAnsi="Times New Roman" w:eastAsia="仿宋_GB2312" w:cs="Times New Roman"/>
          <w:bCs/>
          <w:color w:val="auto"/>
          <w:sz w:val="32"/>
          <w:szCs w:val="32"/>
          <w:highlight w:val="none"/>
        </w:rPr>
        <w:t>与义乌市自然资源和规划局签订《国有建设用地使用权出让合同》。</w:t>
      </w:r>
    </w:p>
    <w:p w14:paraId="1C768096">
      <w:pPr>
        <w:pStyle w:val="7"/>
        <w:keepNext w:val="0"/>
        <w:keepLines w:val="0"/>
        <w:pageBreakBefore w:val="0"/>
        <w:numPr>
          <w:ilvl w:val="0"/>
          <w:numId w:val="1"/>
        </w:numPr>
        <w:kinsoku/>
        <w:wordWrap/>
        <w:overflowPunct/>
        <w:topLinePunct w:val="0"/>
        <w:bidi w:val="0"/>
        <w:snapToGrid/>
        <w:spacing w:line="560" w:lineRule="exact"/>
        <w:ind w:left="0" w:right="0"/>
        <w:textAlignment w:val="auto"/>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复核验收</w:t>
      </w:r>
    </w:p>
    <w:p w14:paraId="576EEA9D">
      <w:pPr>
        <w:pStyle w:val="3"/>
        <w:keepNext w:val="0"/>
        <w:keepLines w:val="0"/>
        <w:pageBreakBefore w:val="0"/>
        <w:numPr>
          <w:ilvl w:val="0"/>
          <w:numId w:val="3"/>
        </w:numPr>
        <w:kinsoku/>
        <w:wordWrap/>
        <w:overflowPunct/>
        <w:topLinePunct w:val="0"/>
        <w:bidi w:val="0"/>
        <w:snapToGrid/>
        <w:spacing w:after="0" w:line="560" w:lineRule="exact"/>
        <w:ind w:left="0" w:leftChars="0" w:right="0"/>
        <w:textAlignment w:val="auto"/>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乙方承诺于本协议约定的竣工日期届满后6个月内向甲方提出复核验收申请，逾期未申请复核验收的</w:t>
      </w:r>
      <w:r>
        <w:rPr>
          <w:rStyle w:val="8"/>
          <w:rFonts w:hint="default" w:ascii="Times New Roman" w:hAnsi="Times New Roman" w:eastAsia="仿宋_GB2312" w:cs="Times New Roman"/>
          <w:color w:val="auto"/>
          <w:sz w:val="32"/>
          <w:szCs w:val="32"/>
          <w:highlight w:val="none"/>
        </w:rPr>
        <w:t>，</w:t>
      </w:r>
      <w:r>
        <w:rPr>
          <w:rStyle w:val="8"/>
          <w:rFonts w:hint="eastAsia" w:ascii="Times New Roman" w:hAnsi="Times New Roman" w:eastAsia="仿宋_GB2312" w:cs="Times New Roman"/>
          <w:color w:val="auto"/>
          <w:sz w:val="32"/>
          <w:szCs w:val="32"/>
          <w:highlight w:val="none"/>
          <w:lang w:eastAsia="zh-CN"/>
        </w:rPr>
        <w:t>甲</w:t>
      </w:r>
      <w:r>
        <w:rPr>
          <w:rFonts w:hint="default" w:ascii="Times New Roman" w:hAnsi="Times New Roman" w:eastAsia="仿宋_GB2312" w:cs="Times New Roman"/>
          <w:color w:val="auto"/>
          <w:sz w:val="32"/>
          <w:szCs w:val="32"/>
          <w:highlight w:val="none"/>
          <w:lang w:bidi="ar"/>
        </w:rPr>
        <w:t>方有权于本协议约定的竣工日期6个月后，主动进行复核验收</w:t>
      </w:r>
      <w:r>
        <w:rPr>
          <w:rFonts w:hint="eastAsia" w:ascii="Times New Roman" w:hAnsi="Times New Roman" w:eastAsia="仿宋_GB2312" w:cs="Times New Roman"/>
          <w:bCs/>
          <w:color w:val="auto"/>
          <w:sz w:val="32"/>
          <w:szCs w:val="32"/>
          <w:highlight w:val="none"/>
        </w:rPr>
        <w:t>。</w:t>
      </w:r>
    </w:p>
    <w:p w14:paraId="398C6005">
      <w:pPr>
        <w:pStyle w:val="3"/>
        <w:keepNext w:val="0"/>
        <w:keepLines w:val="0"/>
        <w:pageBreakBefore w:val="0"/>
        <w:numPr>
          <w:ilvl w:val="0"/>
          <w:numId w:val="0"/>
        </w:numPr>
        <w:kinsoku/>
        <w:wordWrap/>
        <w:overflowPunct/>
        <w:topLinePunct w:val="0"/>
        <w:bidi w:val="0"/>
        <w:snapToGrid/>
        <w:spacing w:after="0" w:line="560" w:lineRule="exact"/>
        <w:ind w:left="0" w:right="0" w:firstLine="640" w:firstLineChars="200"/>
        <w:textAlignment w:val="auto"/>
        <w:rPr>
          <w:rFonts w:hint="default"/>
          <w:color w:val="auto"/>
          <w:highlight w:val="none"/>
          <w:lang w:val="en-US" w:eastAsia="zh-CN"/>
        </w:rPr>
      </w:pPr>
      <w:r>
        <w:rPr>
          <w:rFonts w:hint="eastAsia" w:ascii="楷体" w:hAnsi="楷体" w:eastAsia="楷体" w:cs="楷体"/>
          <w:bCs/>
          <w:color w:val="auto"/>
          <w:sz w:val="32"/>
          <w:szCs w:val="32"/>
          <w:highlight w:val="none"/>
          <w:lang w:eastAsia="zh-CN"/>
        </w:rPr>
        <w:t>（二）</w:t>
      </w:r>
      <w:r>
        <w:rPr>
          <w:rFonts w:hint="eastAsia" w:ascii="Times New Roman" w:hAnsi="Times New Roman" w:eastAsia="仿宋_GB2312" w:cs="Times New Roman"/>
          <w:bCs/>
          <w:color w:val="auto"/>
          <w:sz w:val="32"/>
          <w:szCs w:val="32"/>
          <w:highlight w:val="none"/>
        </w:rPr>
        <w:t>乙方服从义乌市政府及甲方有关复核验收的要求，</w:t>
      </w:r>
      <w:r>
        <w:rPr>
          <w:rFonts w:hint="eastAsia" w:ascii="Times New Roman" w:hAnsi="Times New Roman" w:eastAsia="仿宋_GB2312" w:cs="Times New Roman"/>
          <w:bCs/>
          <w:color w:val="auto"/>
          <w:sz w:val="32"/>
          <w:szCs w:val="32"/>
          <w:highlight w:val="none"/>
          <w:lang w:eastAsia="zh-CN"/>
        </w:rPr>
        <w:t>复核验收内容</w:t>
      </w:r>
      <w:r>
        <w:rPr>
          <w:rFonts w:hint="eastAsia" w:ascii="Times New Roman" w:hAnsi="Times New Roman" w:eastAsia="仿宋_GB2312" w:cs="Times New Roman"/>
          <w:bCs/>
          <w:color w:val="auto"/>
          <w:sz w:val="32"/>
          <w:szCs w:val="32"/>
          <w:highlight w:val="none"/>
        </w:rPr>
        <w:t>包括但不限于投资强度、工商登记、项目工程质量、项目建设标准</w:t>
      </w:r>
      <w:r>
        <w:rPr>
          <w:rFonts w:hint="eastAsia" w:ascii="Times New Roman" w:hAnsi="Times New Roman" w:eastAsia="仿宋_GB2312" w:cs="Times New Roman"/>
          <w:bCs/>
          <w:color w:val="auto"/>
          <w:sz w:val="32"/>
          <w:szCs w:val="32"/>
          <w:highlight w:val="none"/>
          <w:lang w:eastAsia="zh-CN"/>
        </w:rPr>
        <w:t>、开竣工履约</w:t>
      </w:r>
      <w:r>
        <w:rPr>
          <w:rFonts w:hint="eastAsia" w:ascii="Times New Roman" w:hAnsi="Times New Roman" w:eastAsia="仿宋_GB2312" w:cs="Times New Roman"/>
          <w:bCs/>
          <w:color w:val="auto"/>
          <w:sz w:val="32"/>
          <w:szCs w:val="32"/>
          <w:highlight w:val="none"/>
        </w:rPr>
        <w:t>等内容，</w:t>
      </w:r>
      <w:r>
        <w:rPr>
          <w:rFonts w:hint="eastAsia" w:ascii="Times New Roman" w:hAnsi="Times New Roman" w:eastAsia="仿宋_GB2312" w:cs="Times New Roman"/>
          <w:bCs/>
          <w:color w:val="auto"/>
          <w:sz w:val="32"/>
          <w:szCs w:val="32"/>
          <w:highlight w:val="none"/>
          <w:lang w:eastAsia="zh-CN"/>
        </w:rPr>
        <w:t>有任一内容不符合约定的，则由甲方</w:t>
      </w:r>
      <w:r>
        <w:rPr>
          <w:rFonts w:hint="eastAsia" w:ascii="Times New Roman" w:hAnsi="Times New Roman" w:eastAsia="仿宋_GB2312" w:cs="Times New Roman"/>
          <w:bCs/>
          <w:color w:val="auto"/>
          <w:sz w:val="32"/>
          <w:szCs w:val="32"/>
          <w:highlight w:val="none"/>
        </w:rPr>
        <w:t>判定</w:t>
      </w:r>
      <w:r>
        <w:rPr>
          <w:rFonts w:hint="eastAsia" w:ascii="Times New Roman" w:hAnsi="Times New Roman" w:eastAsia="仿宋_GB2312" w:cs="Times New Roman"/>
          <w:bCs/>
          <w:color w:val="auto"/>
          <w:sz w:val="32"/>
          <w:szCs w:val="32"/>
          <w:highlight w:val="none"/>
          <w:lang w:eastAsia="zh-CN"/>
        </w:rPr>
        <w:t>为</w:t>
      </w:r>
      <w:r>
        <w:rPr>
          <w:rFonts w:hint="eastAsia" w:ascii="Times New Roman" w:hAnsi="Times New Roman" w:eastAsia="仿宋_GB2312" w:cs="Times New Roman"/>
          <w:bCs/>
          <w:color w:val="auto"/>
          <w:sz w:val="32"/>
          <w:szCs w:val="32"/>
          <w:highlight w:val="none"/>
        </w:rPr>
        <w:t>复核验收不达标</w:t>
      </w:r>
      <w:r>
        <w:rPr>
          <w:rFonts w:hint="eastAsia" w:ascii="Times New Roman" w:hAnsi="Times New Roman" w:eastAsia="仿宋_GB2312" w:cs="Times New Roman"/>
          <w:bCs/>
          <w:color w:val="auto"/>
          <w:sz w:val="32"/>
          <w:szCs w:val="32"/>
          <w:highlight w:val="none"/>
          <w:lang w:eastAsia="zh-CN"/>
        </w:rPr>
        <w:t>。首次复核验收不达标的，甲方</w:t>
      </w:r>
      <w:r>
        <w:rPr>
          <w:rFonts w:hint="eastAsia" w:ascii="Times New Roman" w:hAnsi="Times New Roman" w:eastAsia="仿宋_GB2312" w:cs="Times New Roman"/>
          <w:bCs/>
          <w:color w:val="auto"/>
          <w:sz w:val="32"/>
          <w:szCs w:val="32"/>
          <w:highlight w:val="none"/>
        </w:rPr>
        <w:t>责令</w:t>
      </w:r>
      <w:r>
        <w:rPr>
          <w:rFonts w:hint="eastAsia" w:ascii="Times New Roman" w:hAnsi="Times New Roman" w:eastAsia="仿宋_GB2312" w:cs="Times New Roman"/>
          <w:bCs/>
          <w:color w:val="auto"/>
          <w:sz w:val="32"/>
          <w:szCs w:val="32"/>
          <w:highlight w:val="none"/>
          <w:lang w:eastAsia="zh-CN"/>
        </w:rPr>
        <w:t>乙方</w:t>
      </w:r>
      <w:r>
        <w:rPr>
          <w:rFonts w:hint="eastAsia" w:ascii="Times New Roman" w:hAnsi="Times New Roman" w:eastAsia="仿宋_GB2312" w:cs="Times New Roman"/>
          <w:bCs/>
          <w:color w:val="auto"/>
          <w:sz w:val="32"/>
          <w:szCs w:val="32"/>
          <w:highlight w:val="none"/>
        </w:rPr>
        <w:t>限期整改，整改期最长不超过6个月。整改后仍不达标的，复核验收不予通过。</w:t>
      </w:r>
    </w:p>
    <w:p w14:paraId="71DC04B0">
      <w:pPr>
        <w:pStyle w:val="7"/>
        <w:keepNext w:val="0"/>
        <w:keepLines w:val="0"/>
        <w:pageBreakBefore w:val="0"/>
        <w:numPr>
          <w:ilvl w:val="0"/>
          <w:numId w:val="1"/>
        </w:numPr>
        <w:kinsoku/>
        <w:wordWrap/>
        <w:overflowPunct/>
        <w:topLinePunct w:val="0"/>
        <w:bidi w:val="0"/>
        <w:snapToGrid/>
        <w:spacing w:line="560" w:lineRule="exact"/>
        <w:ind w:left="0" w:right="0"/>
        <w:textAlignment w:val="auto"/>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违约责任</w:t>
      </w:r>
    </w:p>
    <w:p w14:paraId="530668C8">
      <w:pPr>
        <w:pStyle w:val="3"/>
        <w:keepNext w:val="0"/>
        <w:keepLines w:val="0"/>
        <w:pageBreakBefore w:val="0"/>
        <w:numPr>
          <w:ilvl w:val="0"/>
          <w:numId w:val="4"/>
        </w:numPr>
        <w:kinsoku/>
        <w:wordWrap/>
        <w:overflowPunct/>
        <w:topLinePunct w:val="0"/>
        <w:bidi w:val="0"/>
        <w:snapToGrid/>
        <w:spacing w:after="0" w:line="560" w:lineRule="exact"/>
        <w:ind w:left="0" w:leftChars="0" w:right="0" w:firstLineChars="0"/>
        <w:textAlignment w:val="auto"/>
        <w:rPr>
          <w:rFonts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甲方未按约定履行应尽义务，导致乙方竣工时间逾期的，乙方承诺的竣工验收时间期限可依申请相应顺延，但延期期限不得超过1年。</w:t>
      </w:r>
    </w:p>
    <w:p w14:paraId="0E16D9D2">
      <w:pPr>
        <w:pStyle w:val="3"/>
        <w:keepNext w:val="0"/>
        <w:keepLines w:val="0"/>
        <w:pageBreakBefore w:val="0"/>
        <w:numPr>
          <w:ilvl w:val="0"/>
          <w:numId w:val="4"/>
        </w:numPr>
        <w:kinsoku/>
        <w:wordWrap/>
        <w:overflowPunct/>
        <w:topLinePunct w:val="0"/>
        <w:bidi w:val="0"/>
        <w:snapToGrid/>
        <w:spacing w:after="0" w:line="560" w:lineRule="exact"/>
        <w:ind w:left="0" w:leftChars="0" w:right="0" w:firstLineChars="0"/>
        <w:textAlignment w:val="auto"/>
        <w:rPr>
          <w:rFonts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若乙方在开工建设节点、竣工验收节点，其中任一节点逾期1年以上（含1年）的，甲方有权解除本协议，并可提请义乌市自然资源和规划局解除《国有土地使用权出让合同》。</w:t>
      </w:r>
    </w:p>
    <w:p w14:paraId="4341487C">
      <w:pPr>
        <w:pStyle w:val="3"/>
        <w:keepNext w:val="0"/>
        <w:keepLines w:val="0"/>
        <w:pageBreakBefore w:val="0"/>
        <w:numPr>
          <w:ilvl w:val="0"/>
          <w:numId w:val="0"/>
        </w:numPr>
        <w:kinsoku/>
        <w:wordWrap/>
        <w:overflowPunct/>
        <w:topLinePunct w:val="0"/>
        <w:bidi w:val="0"/>
        <w:snapToGrid/>
        <w:spacing w:after="0" w:line="560" w:lineRule="exact"/>
        <w:ind w:left="0" w:leftChars="0" w:right="0" w:firstLineChars="200"/>
        <w:textAlignment w:val="auto"/>
        <w:rPr>
          <w:rFonts w:ascii="Times New Roman" w:hAnsi="Times New Roman" w:eastAsia="仿宋_GB2312" w:cs="Times New Roman"/>
          <w:bCs/>
          <w:color w:val="auto"/>
          <w:sz w:val="32"/>
          <w:szCs w:val="32"/>
          <w:highlight w:val="none"/>
        </w:rPr>
      </w:pPr>
      <w:r>
        <w:rPr>
          <w:rFonts w:hint="eastAsia" w:ascii="国标楷体" w:hAnsi="国标楷体" w:eastAsia="国标楷体" w:cs="国标楷体"/>
          <w:color w:val="auto"/>
          <w:sz w:val="32"/>
          <w:szCs w:val="32"/>
          <w:highlight w:val="none"/>
          <w:lang w:eastAsia="zh-CN"/>
        </w:rPr>
        <w:t>（三）</w:t>
      </w:r>
      <w:r>
        <w:rPr>
          <w:rFonts w:hint="eastAsia" w:ascii="Times New Roman" w:hAnsi="Times New Roman" w:eastAsia="仿宋_GB2312" w:cs="Times New Roman"/>
          <w:color w:val="auto"/>
          <w:sz w:val="32"/>
          <w:szCs w:val="32"/>
          <w:highlight w:val="none"/>
          <w:lang w:eastAsia="zh-CN"/>
        </w:rPr>
        <w:t>数据贡献考核期内，</w:t>
      </w:r>
      <w:r>
        <w:rPr>
          <w:rFonts w:hint="eastAsia" w:ascii="Times New Roman" w:hAnsi="Times New Roman" w:eastAsia="仿宋_GB2312" w:cs="Times New Roman"/>
          <w:bCs/>
          <w:color w:val="auto"/>
          <w:sz w:val="32"/>
          <w:szCs w:val="32"/>
          <w:highlight w:val="none"/>
        </w:rPr>
        <w:t>若乙方</w:t>
      </w:r>
      <w:r>
        <w:rPr>
          <w:rFonts w:hint="eastAsia" w:ascii="Times New Roman" w:hAnsi="Times New Roman" w:eastAsia="仿宋_GB2312" w:cs="Times New Roman"/>
          <w:color w:val="auto"/>
          <w:sz w:val="32"/>
          <w:szCs w:val="32"/>
          <w:highlight w:val="none"/>
          <w:lang w:eastAsia="zh-CN"/>
        </w:rPr>
        <w:t>按要求完成年度数据贡献的，返还相应比例履约保函（即20万元/年），未完成年度数据贡献的，按要求缴纳违约金，继续履约。乙方未按时缴纳违约金的，甲方从履约保函中扣除相应违约金。</w:t>
      </w:r>
    </w:p>
    <w:p w14:paraId="30B8563C">
      <w:pPr>
        <w:pStyle w:val="3"/>
        <w:keepNext w:val="0"/>
        <w:keepLines w:val="0"/>
        <w:pageBreakBefore w:val="0"/>
        <w:numPr>
          <w:ilvl w:val="0"/>
          <w:numId w:val="0"/>
        </w:numPr>
        <w:kinsoku/>
        <w:wordWrap/>
        <w:overflowPunct/>
        <w:topLinePunct w:val="0"/>
        <w:bidi w:val="0"/>
        <w:snapToGrid/>
        <w:spacing w:after="0" w:line="560" w:lineRule="exact"/>
        <w:ind w:left="0" w:leftChars="0" w:right="0" w:firstLineChars="200"/>
        <w:textAlignment w:val="auto"/>
        <w:rPr>
          <w:rFonts w:hint="default" w:ascii="Times New Roman" w:hAnsi="Times New Roman" w:eastAsia="仿宋_GB2312" w:cs="Times New Roman"/>
          <w:color w:val="auto"/>
          <w:sz w:val="32"/>
          <w:szCs w:val="32"/>
          <w:highlight w:val="none"/>
          <w:lang w:bidi="ar"/>
        </w:rPr>
      </w:pPr>
      <w:r>
        <w:rPr>
          <w:rFonts w:hint="eastAsia" w:ascii="国标楷体" w:hAnsi="国标楷体" w:eastAsia="国标楷体" w:cs="国标楷体"/>
          <w:color w:val="auto"/>
          <w:sz w:val="32"/>
          <w:szCs w:val="32"/>
          <w:highlight w:val="none"/>
          <w:lang w:eastAsia="zh-CN" w:bidi="ar"/>
        </w:rPr>
        <w:t>（四）</w:t>
      </w:r>
      <w:r>
        <w:rPr>
          <w:rFonts w:hint="default" w:ascii="Times New Roman" w:hAnsi="Times New Roman" w:eastAsia="仿宋_GB2312" w:cs="Times New Roman"/>
          <w:color w:val="auto"/>
          <w:sz w:val="32"/>
          <w:szCs w:val="32"/>
          <w:highlight w:val="none"/>
          <w:lang w:bidi="ar"/>
        </w:rPr>
        <w:t>本协议下项目全生命周期管理期间，</w:t>
      </w:r>
      <w:r>
        <w:rPr>
          <w:rFonts w:hint="eastAsia" w:ascii="Times New Roman" w:hAnsi="Times New Roman" w:eastAsia="仿宋_GB2312" w:cs="Times New Roman"/>
          <w:color w:val="auto"/>
          <w:kern w:val="2"/>
          <w:sz w:val="32"/>
          <w:szCs w:val="32"/>
          <w:highlight w:val="none"/>
          <w:u w:val="none" w:color="auto"/>
          <w:lang w:val="en-US" w:eastAsia="zh-CN" w:bidi="ar-SA"/>
        </w:rPr>
        <w:t>年亩均税收经甲方会同税务部门认定。</w:t>
      </w:r>
      <w:r>
        <w:rPr>
          <w:rFonts w:hint="default" w:ascii="Times New Roman" w:hAnsi="Times New Roman" w:eastAsia="仿宋_GB2312" w:cs="Times New Roman"/>
          <w:color w:val="auto"/>
          <w:sz w:val="32"/>
          <w:szCs w:val="32"/>
          <w:highlight w:val="none"/>
          <w:lang w:bidi="ar"/>
        </w:rPr>
        <w:t>未达约定标准的，按以下方式处理：</w:t>
      </w:r>
    </w:p>
    <w:p w14:paraId="3618E6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textAlignment w:val="auto"/>
        <w:outlineLvl w:val="0"/>
        <w:rPr>
          <w:rFonts w:hint="eastAsia" w:ascii="Times New Roman" w:hAnsi="Times New Roman" w:eastAsia="仿宋_GB2312" w:cs="Times New Roman"/>
          <w:color w:val="auto"/>
          <w:sz w:val="32"/>
          <w:szCs w:val="32"/>
          <w:highlight w:val="none"/>
          <w:lang w:val="en-US" w:eastAsia="zh-CN" w:bidi="ar"/>
        </w:rPr>
      </w:pPr>
      <w:r>
        <w:rPr>
          <w:rFonts w:hint="eastAsia" w:ascii="Times New Roman" w:hAnsi="Times New Roman" w:eastAsia="仿宋_GB2312" w:cs="Times New Roman"/>
          <w:color w:val="auto"/>
          <w:sz w:val="32"/>
          <w:szCs w:val="32"/>
          <w:highlight w:val="none"/>
          <w:lang w:val="en-US" w:eastAsia="zh-CN" w:bidi="ar"/>
        </w:rPr>
        <w:t>1.第1个考核期内，年亩均税收达到约定值50%未达100%的，乙方须按照约定值与实际完成亩税差额部分以违约金方式缴纳补足，补足后退还履约保函，并继续履约；乙方未按时缴纳违约金的，由甲方从履约保函中扣除违约金后剩余部分返还乙方，并继续履约。</w:t>
      </w:r>
    </w:p>
    <w:p w14:paraId="3C05D2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textAlignment w:val="auto"/>
        <w:outlineLvl w:val="0"/>
        <w:rPr>
          <w:rFonts w:hint="eastAsia" w:ascii="Times New Roman" w:hAnsi="Times New Roman" w:eastAsia="仿宋_GB2312" w:cs="Times New Roman"/>
          <w:color w:val="auto"/>
          <w:sz w:val="32"/>
          <w:szCs w:val="32"/>
          <w:highlight w:val="none"/>
          <w:lang w:val="en-US" w:eastAsia="zh-CN" w:bidi="ar"/>
        </w:rPr>
      </w:pPr>
      <w:r>
        <w:rPr>
          <w:rFonts w:hint="eastAsia" w:ascii="Times New Roman" w:hAnsi="Times New Roman" w:eastAsia="仿宋_GB2312" w:cs="Times New Roman"/>
          <w:color w:val="auto"/>
          <w:sz w:val="32"/>
          <w:szCs w:val="32"/>
          <w:highlight w:val="none"/>
          <w:lang w:val="en-US" w:eastAsia="zh-CN" w:bidi="ar"/>
        </w:rPr>
        <w:t>2.第1个考核期内，任一年度亩均税收未达约定值50%的，由甲方从履约保函中扣除违约金，并解除《义乌市商贸、物流项目用地全生命周期管理履约协议》，同时提请义乌市自然资源和规划局</w:t>
      </w:r>
      <w:r>
        <w:rPr>
          <w:rFonts w:hint="eastAsia" w:ascii="Times New Roman" w:hAnsi="Times New Roman" w:eastAsia="仿宋_GB2312" w:cs="Times New Roman"/>
          <w:bCs/>
          <w:color w:val="auto"/>
          <w:sz w:val="32"/>
          <w:szCs w:val="32"/>
          <w:highlight w:val="none"/>
        </w:rPr>
        <w:t>解除《国有土地使用权出让合同》</w:t>
      </w:r>
      <w:r>
        <w:rPr>
          <w:rFonts w:hint="eastAsia" w:ascii="Times New Roman" w:hAnsi="Times New Roman" w:eastAsia="仿宋_GB2312" w:cs="Times New Roman"/>
          <w:bCs/>
          <w:color w:val="auto"/>
          <w:sz w:val="32"/>
          <w:szCs w:val="32"/>
          <w:highlight w:val="none"/>
          <w:lang w:eastAsia="zh-CN"/>
        </w:rPr>
        <w:t>。</w:t>
      </w:r>
    </w:p>
    <w:p w14:paraId="14F2637A">
      <w:pPr>
        <w:keepNext w:val="0"/>
        <w:keepLines w:val="0"/>
        <w:pageBreakBefore w:val="0"/>
        <w:numPr>
          <w:ilvl w:val="0"/>
          <w:numId w:val="0"/>
        </w:numPr>
        <w:kinsoku/>
        <w:wordWrap/>
        <w:overflowPunct/>
        <w:topLinePunct w:val="0"/>
        <w:autoSpaceDE/>
        <w:autoSpaceDN/>
        <w:bidi w:val="0"/>
        <w:adjustRightInd/>
        <w:snapToGrid/>
        <w:spacing w:line="560" w:lineRule="exact"/>
        <w:ind w:left="0" w:right="0" w:firstLine="640" w:firstLineChars="200"/>
        <w:textAlignment w:val="auto"/>
        <w:outlineLvl w:val="0"/>
        <w:rPr>
          <w:rFonts w:hint="default"/>
          <w:color w:val="auto"/>
          <w:highlight w:val="none"/>
          <w:lang w:val="en-US" w:eastAsia="zh-CN"/>
        </w:rPr>
      </w:pPr>
      <w:r>
        <w:rPr>
          <w:rFonts w:hint="eastAsia" w:ascii="Times New Roman" w:eastAsia="仿宋_GB2312" w:cs="Times New Roman"/>
          <w:color w:val="auto"/>
          <w:sz w:val="32"/>
          <w:szCs w:val="32"/>
          <w:highlight w:val="none"/>
          <w:lang w:val="en-US" w:eastAsia="zh-CN" w:bidi="ar"/>
        </w:rPr>
        <w:t>3.第2个考核期起，单个考核期年均亩均税收未达约定值的，</w:t>
      </w:r>
      <w:r>
        <w:rPr>
          <w:rFonts w:hint="eastAsia" w:ascii="Times New Roman" w:hAnsi="Times New Roman" w:eastAsia="仿宋_GB2312" w:cs="Times New Roman"/>
          <w:color w:val="auto"/>
          <w:sz w:val="32"/>
          <w:szCs w:val="32"/>
          <w:highlight w:val="none"/>
          <w:lang w:val="en-US" w:eastAsia="zh-CN" w:bidi="ar"/>
        </w:rPr>
        <w:t>由甲方解除</w:t>
      </w:r>
      <w:r>
        <w:rPr>
          <w:rFonts w:hint="eastAsia" w:ascii="Times New Roman" w:hAnsi="Times New Roman" w:eastAsia="仿宋_GB2312" w:cs="Times New Roman"/>
          <w:color w:val="auto"/>
          <w:sz w:val="32"/>
          <w:szCs w:val="32"/>
          <w:highlight w:val="none"/>
          <w:shd w:val="clear" w:color="auto" w:fill="auto"/>
          <w:lang w:val="en-US" w:eastAsia="zh-CN" w:bidi="ar"/>
        </w:rPr>
        <w:t>《义乌市商贸、物流项目用地全生命周期管理履约协议》，</w:t>
      </w:r>
      <w:r>
        <w:rPr>
          <w:rFonts w:hint="eastAsia" w:ascii="Times New Roman" w:hAnsi="Times New Roman" w:eastAsia="仿宋_GB2312" w:cs="Times New Roman"/>
          <w:color w:val="auto"/>
          <w:sz w:val="32"/>
          <w:szCs w:val="32"/>
          <w:highlight w:val="none"/>
          <w:lang w:val="en-US" w:eastAsia="zh-CN" w:bidi="ar"/>
        </w:rPr>
        <w:t>并提请义乌市自然资源和规划局</w:t>
      </w:r>
      <w:r>
        <w:rPr>
          <w:rFonts w:hint="eastAsia" w:ascii="Times New Roman" w:hAnsi="Times New Roman" w:eastAsia="仿宋_GB2312" w:cs="Times New Roman"/>
          <w:bCs/>
          <w:color w:val="auto"/>
          <w:sz w:val="32"/>
          <w:szCs w:val="32"/>
          <w:highlight w:val="none"/>
        </w:rPr>
        <w:t>解除《国有土地使用权出让合同》</w:t>
      </w:r>
      <w:r>
        <w:rPr>
          <w:rFonts w:hint="eastAsia" w:ascii="Times New Roman" w:hAnsi="Times New Roman" w:eastAsia="仿宋_GB2312" w:cs="Times New Roman"/>
          <w:bCs/>
          <w:color w:val="auto"/>
          <w:sz w:val="32"/>
          <w:szCs w:val="32"/>
          <w:highlight w:val="none"/>
          <w:lang w:eastAsia="zh-CN"/>
        </w:rPr>
        <w:t>。</w:t>
      </w:r>
    </w:p>
    <w:p w14:paraId="41C15719">
      <w:pPr>
        <w:pStyle w:val="3"/>
        <w:keepNext w:val="0"/>
        <w:keepLines w:val="0"/>
        <w:pageBreakBefore w:val="0"/>
        <w:numPr>
          <w:ilvl w:val="0"/>
          <w:numId w:val="0"/>
        </w:numPr>
        <w:kinsoku/>
        <w:wordWrap/>
        <w:overflowPunct/>
        <w:topLinePunct w:val="0"/>
        <w:bidi w:val="0"/>
        <w:snapToGrid/>
        <w:spacing w:after="0" w:line="560" w:lineRule="exact"/>
        <w:ind w:left="0" w:leftChars="0" w:right="0" w:firstLineChars="200"/>
        <w:textAlignment w:val="auto"/>
        <w:rPr>
          <w:rStyle w:val="8"/>
          <w:rFonts w:hint="default" w:ascii="Times New Roman" w:hAnsi="Times New Roman" w:eastAsia="仿宋_GB2312" w:cs="Times New Roman"/>
          <w:color w:val="auto"/>
          <w:sz w:val="32"/>
          <w:szCs w:val="32"/>
          <w:highlight w:val="none"/>
          <w:lang w:eastAsia="zh-CN"/>
        </w:rPr>
      </w:pPr>
      <w:r>
        <w:rPr>
          <w:rFonts w:hint="eastAsia" w:ascii="楷体" w:hAnsi="楷体" w:eastAsia="楷体" w:cs="楷体"/>
          <w:color w:val="auto"/>
          <w:sz w:val="32"/>
          <w:szCs w:val="32"/>
          <w:highlight w:val="none"/>
          <w:lang w:eastAsia="zh-CN" w:bidi="ar"/>
        </w:rPr>
        <w:t>（五）</w:t>
      </w:r>
      <w:r>
        <w:rPr>
          <w:rFonts w:hint="default" w:ascii="Times New Roman" w:hAnsi="Times New Roman" w:eastAsia="仿宋_GB2312" w:cs="Times New Roman"/>
          <w:color w:val="auto"/>
          <w:sz w:val="32"/>
          <w:szCs w:val="32"/>
          <w:highlight w:val="none"/>
          <w:lang w:bidi="ar"/>
        </w:rPr>
        <w:t>乙方同意本协议下项目不得变相改变其用途，</w:t>
      </w:r>
      <w:r>
        <w:rPr>
          <w:rFonts w:hint="eastAsia" w:ascii="Times New Roman" w:hAnsi="Times New Roman" w:eastAsia="仿宋_GB2312" w:cs="Times New Roman"/>
          <w:color w:val="auto"/>
          <w:sz w:val="32"/>
          <w:szCs w:val="32"/>
          <w:highlight w:val="none"/>
          <w:lang w:eastAsia="zh-CN" w:bidi="ar"/>
        </w:rPr>
        <w:t>否则甲方有权提请相关部门依法依规处理</w:t>
      </w:r>
      <w:r>
        <w:rPr>
          <w:rStyle w:val="8"/>
          <w:rFonts w:hint="default" w:ascii="Times New Roman" w:hAnsi="Times New Roman" w:eastAsia="仿宋_GB2312" w:cs="Times New Roman"/>
          <w:color w:val="auto"/>
          <w:kern w:val="2"/>
          <w:sz w:val="32"/>
          <w:szCs w:val="32"/>
          <w:highlight w:val="none"/>
          <w:lang w:val="en-US" w:eastAsia="zh-CN" w:bidi="ar-SA"/>
        </w:rPr>
        <w:t>。</w:t>
      </w:r>
    </w:p>
    <w:p w14:paraId="07B73BFA">
      <w:pPr>
        <w:pStyle w:val="3"/>
        <w:keepNext w:val="0"/>
        <w:keepLines w:val="0"/>
        <w:pageBreakBefore w:val="0"/>
        <w:numPr>
          <w:ilvl w:val="0"/>
          <w:numId w:val="0"/>
        </w:numPr>
        <w:kinsoku/>
        <w:wordWrap/>
        <w:overflowPunct/>
        <w:topLinePunct w:val="0"/>
        <w:bidi w:val="0"/>
        <w:snapToGrid/>
        <w:spacing w:after="0" w:line="560" w:lineRule="exact"/>
        <w:ind w:left="0" w:leftChars="0" w:right="0" w:firstLineChars="200"/>
        <w:textAlignment w:val="auto"/>
        <w:rPr>
          <w:rFonts w:ascii="Times New Roman" w:hAnsi="Times New Roman" w:eastAsia="仿宋_GB2312" w:cs="Times New Roman"/>
          <w:bCs/>
          <w:color w:val="auto"/>
          <w:sz w:val="32"/>
          <w:szCs w:val="32"/>
          <w:highlight w:val="none"/>
        </w:rPr>
      </w:pPr>
      <w:r>
        <w:rPr>
          <w:rFonts w:hint="eastAsia" w:ascii="楷体" w:hAnsi="楷体" w:eastAsia="楷体" w:cs="楷体"/>
          <w:color w:val="auto"/>
          <w:sz w:val="32"/>
          <w:szCs w:val="32"/>
          <w:highlight w:val="none"/>
          <w:lang w:eastAsia="zh-CN" w:bidi="ar"/>
        </w:rPr>
        <w:t>（六）</w:t>
      </w:r>
      <w:r>
        <w:rPr>
          <w:rFonts w:hint="default" w:ascii="Times New Roman" w:hAnsi="Times New Roman" w:eastAsia="仿宋_GB2312" w:cs="Times New Roman"/>
          <w:color w:val="auto"/>
          <w:sz w:val="32"/>
          <w:szCs w:val="32"/>
          <w:highlight w:val="none"/>
          <w:lang w:bidi="ar"/>
        </w:rPr>
        <w:t>若乙方未按约定完成科研投入的，乙方应向甲方支付违约金</w:t>
      </w:r>
      <w:r>
        <w:rPr>
          <w:rFonts w:hint="eastAsia" w:ascii="Times New Roman" w:hAnsi="Times New Roman" w:eastAsia="仿宋_GB2312" w:cs="Times New Roman"/>
          <w:color w:val="auto"/>
          <w:sz w:val="32"/>
          <w:szCs w:val="32"/>
          <w:highlight w:val="none"/>
          <w:lang w:val="en-US" w:eastAsia="zh-CN" w:bidi="ar"/>
        </w:rPr>
        <w:t>20</w:t>
      </w:r>
      <w:r>
        <w:rPr>
          <w:rFonts w:hint="default" w:ascii="Times New Roman" w:hAnsi="Times New Roman" w:eastAsia="仿宋_GB2312" w:cs="Times New Roman"/>
          <w:color w:val="auto"/>
          <w:sz w:val="32"/>
          <w:szCs w:val="32"/>
          <w:highlight w:val="none"/>
          <w:lang w:bidi="ar"/>
        </w:rPr>
        <w:t>万元</w:t>
      </w:r>
      <w:r>
        <w:rPr>
          <w:rStyle w:val="8"/>
          <w:rFonts w:hint="default" w:ascii="Times New Roman" w:hAnsi="Times New Roman" w:eastAsia="仿宋_GB2312" w:cs="Times New Roman"/>
          <w:color w:val="auto"/>
          <w:sz w:val="32"/>
          <w:szCs w:val="32"/>
          <w:highlight w:val="none"/>
          <w:u w:val="none"/>
        </w:rPr>
        <w:t>。</w:t>
      </w:r>
    </w:p>
    <w:p w14:paraId="1176E183">
      <w:pPr>
        <w:pStyle w:val="3"/>
        <w:keepNext w:val="0"/>
        <w:keepLines w:val="0"/>
        <w:pageBreakBefore w:val="0"/>
        <w:numPr>
          <w:ilvl w:val="0"/>
          <w:numId w:val="0"/>
        </w:numPr>
        <w:kinsoku/>
        <w:wordWrap/>
        <w:overflowPunct/>
        <w:topLinePunct w:val="0"/>
        <w:bidi w:val="0"/>
        <w:snapToGrid/>
        <w:spacing w:after="0" w:line="560" w:lineRule="exact"/>
        <w:ind w:left="0" w:right="0"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楷体" w:hAnsi="楷体" w:eastAsia="楷体" w:cs="楷体"/>
          <w:color w:val="auto"/>
          <w:sz w:val="32"/>
          <w:szCs w:val="32"/>
          <w:highlight w:val="none"/>
          <w:lang w:eastAsia="zh-CN"/>
        </w:rPr>
        <w:t>（七）</w:t>
      </w:r>
      <w:r>
        <w:rPr>
          <w:rFonts w:hint="default" w:ascii="Times New Roman" w:hAnsi="Times New Roman" w:eastAsia="仿宋_GB2312" w:cs="仿宋_GB2312"/>
          <w:color w:val="auto"/>
          <w:kern w:val="2"/>
          <w:sz w:val="32"/>
          <w:szCs w:val="32"/>
          <w:highlight w:val="none"/>
          <w:u w:val="none" w:color="auto"/>
          <w:lang w:val="en-US" w:eastAsia="zh-CN" w:bidi="ar-SA"/>
        </w:rPr>
        <w:t>本协议下项目二次复核验收不通过或因乙方违反协议相关约定的，甲方有权解除本协议</w:t>
      </w:r>
      <w:r>
        <w:rPr>
          <w:rFonts w:hint="eastAsia" w:ascii="Times New Roman" w:hAnsi="Times New Roman" w:eastAsia="仿宋_GB2312" w:cs="仿宋_GB2312"/>
          <w:color w:val="auto"/>
          <w:kern w:val="2"/>
          <w:sz w:val="32"/>
          <w:szCs w:val="32"/>
          <w:highlight w:val="none"/>
          <w:u w:val="none" w:color="auto"/>
          <w:lang w:val="en-US" w:eastAsia="zh-CN" w:bidi="ar-SA"/>
        </w:rPr>
        <w:t>，</w:t>
      </w:r>
      <w:r>
        <w:rPr>
          <w:rFonts w:hint="default" w:ascii="Times New Roman" w:hAnsi="Times New Roman" w:eastAsia="仿宋_GB2312" w:cs="仿宋_GB2312"/>
          <w:color w:val="auto"/>
          <w:kern w:val="2"/>
          <w:sz w:val="32"/>
          <w:szCs w:val="32"/>
          <w:highlight w:val="none"/>
          <w:u w:val="none" w:color="auto"/>
          <w:lang w:val="en-US" w:eastAsia="zh-CN" w:bidi="ar-SA"/>
        </w:rPr>
        <w:t>并可提请义乌市自然资源和规划局解除</w:t>
      </w:r>
      <w:r>
        <w:rPr>
          <w:rFonts w:hint="eastAsia" w:ascii="Times New Roman" w:hAnsi="Times New Roman" w:eastAsia="仿宋_GB2312" w:cs="仿宋_GB2312"/>
          <w:color w:val="auto"/>
          <w:kern w:val="2"/>
          <w:sz w:val="32"/>
          <w:szCs w:val="32"/>
          <w:highlight w:val="none"/>
          <w:u w:val="none" w:color="auto"/>
          <w:lang w:val="en-US" w:eastAsia="zh-CN" w:bidi="ar-SA"/>
        </w:rPr>
        <w:t>《国有土地使用权出让合同》，</w:t>
      </w:r>
      <w:r>
        <w:rPr>
          <w:rFonts w:hint="default" w:ascii="Times New Roman" w:hAnsi="Times New Roman" w:eastAsia="仿宋_GB2312" w:cs="仿宋_GB2312"/>
          <w:color w:val="auto"/>
          <w:kern w:val="2"/>
          <w:sz w:val="32"/>
          <w:szCs w:val="32"/>
          <w:highlight w:val="none"/>
          <w:u w:val="none" w:color="auto"/>
          <w:lang w:val="en-US" w:eastAsia="zh-CN" w:bidi="ar-SA"/>
        </w:rPr>
        <w:t>收回国有建设用地土地使用权。国有建设用地土地出让合同对土地出让金的处置有约定的，从其约定。乙方还应清除已建建筑物、构筑物及其附属设施，恢复场地平整；但甲方愿意继续利用该宗地范围内已建的建筑物、构筑物及其附属设施的，应给予乙方一定补偿</w:t>
      </w:r>
      <w:r>
        <w:rPr>
          <w:rFonts w:hint="eastAsia" w:ascii="Times New Roman" w:hAnsi="Times New Roman" w:eastAsia="仿宋_GB2312" w:cs="仿宋_GB2312"/>
          <w:color w:val="auto"/>
          <w:kern w:val="2"/>
          <w:sz w:val="32"/>
          <w:szCs w:val="32"/>
          <w:highlight w:val="none"/>
          <w:u w:val="none" w:color="auto"/>
          <w:lang w:val="en-US" w:eastAsia="zh-CN" w:bidi="ar-SA"/>
        </w:rPr>
        <w:t>。</w:t>
      </w:r>
    </w:p>
    <w:p w14:paraId="6E5745D3">
      <w:pPr>
        <w:keepNext w:val="0"/>
        <w:keepLines w:val="0"/>
        <w:pageBreakBefore w:val="0"/>
        <w:kinsoku/>
        <w:wordWrap/>
        <w:overflowPunct/>
        <w:topLinePunct w:val="0"/>
        <w:bidi w:val="0"/>
        <w:snapToGrid/>
        <w:spacing w:line="560" w:lineRule="exact"/>
        <w:ind w:left="0" w:right="0" w:firstLine="640" w:firstLineChars="200"/>
        <w:textAlignment w:val="auto"/>
        <w:rPr>
          <w:rFonts w:ascii="Times New Roman" w:hAnsi="Times New Roman" w:eastAsia="仿宋_GB2312" w:cs="Times New Roman"/>
          <w:color w:val="auto"/>
          <w:szCs w:val="32"/>
          <w:highlight w:val="none"/>
        </w:rPr>
      </w:pPr>
      <w:r>
        <w:rPr>
          <w:rFonts w:hint="eastAsia" w:ascii="楷体" w:hAnsi="楷体" w:eastAsia="楷体" w:cs="楷体"/>
          <w:color w:val="auto"/>
          <w:sz w:val="32"/>
          <w:szCs w:val="32"/>
          <w:highlight w:val="none"/>
          <w:lang w:eastAsia="zh-CN"/>
        </w:rPr>
        <w:t>（八）</w:t>
      </w:r>
      <w:r>
        <w:rPr>
          <w:rFonts w:ascii="Times New Roman" w:hAnsi="Times New Roman" w:eastAsia="仿宋_GB2312" w:cs="Times New Roman"/>
          <w:color w:val="auto"/>
          <w:sz w:val="32"/>
          <w:szCs w:val="32"/>
          <w:highlight w:val="none"/>
        </w:rPr>
        <w:t>本协议签订后，乙方转让</w:t>
      </w:r>
      <w:r>
        <w:rPr>
          <w:rFonts w:hint="default" w:ascii="Times New Roman" w:hAnsi="Times New Roman" w:eastAsia="仿宋_GB2312" w:cs="Times New Roman"/>
          <w:color w:val="auto"/>
          <w:kern w:val="0"/>
          <w:sz w:val="32"/>
          <w:szCs w:val="32"/>
          <w:highlight w:val="none"/>
          <w:lang w:bidi="ar"/>
        </w:rPr>
        <w:t>竞</w:t>
      </w:r>
      <w:r>
        <w:rPr>
          <w:rFonts w:hint="default" w:ascii="Times New Roman" w:hAnsi="Times New Roman" w:eastAsia="仿宋_GB2312" w:cs="Times New Roman"/>
          <w:color w:val="auto"/>
          <w:kern w:val="0"/>
          <w:sz w:val="32"/>
          <w:szCs w:val="32"/>
          <w:highlight w:val="none"/>
          <w:lang w:eastAsia="zh-CN" w:bidi="ar"/>
        </w:rPr>
        <w:t>得土地</w:t>
      </w:r>
      <w:r>
        <w:rPr>
          <w:rFonts w:ascii="Times New Roman" w:hAnsi="Times New Roman" w:eastAsia="仿宋_GB2312" w:cs="Times New Roman"/>
          <w:color w:val="auto"/>
          <w:sz w:val="32"/>
          <w:szCs w:val="32"/>
          <w:highlight w:val="none"/>
        </w:rPr>
        <w:t>使用权的，甲方会同税务</w:t>
      </w:r>
      <w:r>
        <w:rPr>
          <w:rFonts w:hint="eastAsia" w:ascii="Times New Roman" w:hAnsi="Times New Roman" w:eastAsia="仿宋_GB2312" w:cs="Times New Roman"/>
          <w:color w:val="auto"/>
          <w:sz w:val="32"/>
          <w:szCs w:val="32"/>
          <w:highlight w:val="none"/>
        </w:rPr>
        <w:t>部门</w:t>
      </w:r>
      <w:r>
        <w:rPr>
          <w:rFonts w:ascii="Times New Roman" w:hAnsi="Times New Roman" w:eastAsia="仿宋_GB2312" w:cs="Times New Roman"/>
          <w:color w:val="auto"/>
          <w:sz w:val="32"/>
          <w:szCs w:val="32"/>
          <w:highlight w:val="none"/>
        </w:rPr>
        <w:t>核实乙方实缴税收情况，并根据以下情形予以处理：</w:t>
      </w:r>
    </w:p>
    <w:p w14:paraId="10767148">
      <w:pPr>
        <w:keepNext w:val="0"/>
        <w:keepLines w:val="0"/>
        <w:pageBreakBefore w:val="0"/>
        <w:kinsoku/>
        <w:wordWrap/>
        <w:overflowPunct/>
        <w:topLinePunct w:val="0"/>
        <w:bidi w:val="0"/>
        <w:snapToGrid/>
        <w:spacing w:line="560" w:lineRule="exact"/>
        <w:ind w:left="0" w:right="0" w:firstLine="640" w:firstLineChars="200"/>
        <w:textAlignment w:val="auto"/>
        <w:rPr>
          <w:rFonts w:ascii="Times New Roman" w:hAnsi="Times New Roman" w:eastAsia="仿宋_GB2312" w:cs="Times New Roman"/>
          <w:color w:val="auto"/>
          <w:szCs w:val="32"/>
          <w:highlight w:val="none"/>
        </w:rPr>
      </w:pPr>
      <w:r>
        <w:rPr>
          <w:rFonts w:ascii="Times New Roman" w:hAnsi="Times New Roman" w:eastAsia="仿宋_GB2312" w:cs="Times New Roman"/>
          <w:color w:val="auto"/>
          <w:sz w:val="32"/>
          <w:szCs w:val="32"/>
          <w:highlight w:val="none"/>
        </w:rPr>
        <w:t>乙方于</w:t>
      </w:r>
      <w:r>
        <w:rPr>
          <w:rFonts w:hint="eastAsia" w:ascii="Times New Roman" w:hAnsi="Times New Roman" w:eastAsia="仿宋_GB2312" w:cs="Times New Roman"/>
          <w:color w:val="auto"/>
          <w:sz w:val="32"/>
          <w:szCs w:val="32"/>
          <w:highlight w:val="none"/>
          <w:lang w:val="en-US" w:eastAsia="zh-CN"/>
        </w:rPr>
        <w:t>10年</w:t>
      </w:r>
      <w:r>
        <w:rPr>
          <w:rFonts w:ascii="Times New Roman" w:hAnsi="Times New Roman" w:eastAsia="仿宋_GB2312" w:cs="Times New Roman"/>
          <w:color w:val="auto"/>
          <w:sz w:val="32"/>
          <w:szCs w:val="32"/>
          <w:highlight w:val="none"/>
        </w:rPr>
        <w:t>后转让</w:t>
      </w:r>
      <w:r>
        <w:rPr>
          <w:rFonts w:hint="eastAsia" w:ascii="Times New Roman" w:hAnsi="Times New Roman" w:eastAsia="仿宋_GB2312" w:cs="Times New Roman"/>
          <w:color w:val="auto"/>
          <w:sz w:val="32"/>
          <w:szCs w:val="32"/>
          <w:highlight w:val="none"/>
          <w:lang w:eastAsia="zh-CN"/>
        </w:rPr>
        <w:t>（或通过股权转让、抵押等变相转让）</w:t>
      </w:r>
      <w:r>
        <w:rPr>
          <w:rFonts w:hint="default" w:ascii="Times New Roman" w:hAnsi="Times New Roman" w:eastAsia="仿宋_GB2312" w:cs="Times New Roman"/>
          <w:color w:val="auto"/>
          <w:kern w:val="0"/>
          <w:sz w:val="32"/>
          <w:szCs w:val="32"/>
          <w:highlight w:val="none"/>
          <w:lang w:bidi="ar"/>
        </w:rPr>
        <w:t>竞</w:t>
      </w:r>
      <w:r>
        <w:rPr>
          <w:rFonts w:hint="default" w:ascii="Times New Roman" w:hAnsi="Times New Roman" w:eastAsia="仿宋_GB2312" w:cs="Times New Roman"/>
          <w:color w:val="auto"/>
          <w:kern w:val="0"/>
          <w:sz w:val="32"/>
          <w:szCs w:val="32"/>
          <w:highlight w:val="none"/>
          <w:lang w:eastAsia="zh-CN" w:bidi="ar"/>
        </w:rPr>
        <w:t>得土地</w:t>
      </w:r>
      <w:r>
        <w:rPr>
          <w:rFonts w:ascii="Times New Roman" w:hAnsi="Times New Roman" w:eastAsia="仿宋_GB2312" w:cs="Times New Roman"/>
          <w:color w:val="auto"/>
          <w:sz w:val="32"/>
          <w:szCs w:val="32"/>
          <w:highlight w:val="none"/>
        </w:rPr>
        <w:t>的，乙方的年</w:t>
      </w:r>
      <w:r>
        <w:rPr>
          <w:rFonts w:hint="eastAsia" w:ascii="Times New Roman" w:hAnsi="Times New Roman" w:eastAsia="仿宋_GB2312" w:cs="Times New Roman"/>
          <w:color w:val="auto"/>
          <w:sz w:val="32"/>
          <w:szCs w:val="32"/>
          <w:highlight w:val="none"/>
          <w:lang w:eastAsia="zh-CN"/>
        </w:rPr>
        <w:t>均</w:t>
      </w:r>
      <w:r>
        <w:rPr>
          <w:rFonts w:ascii="Times New Roman" w:hAnsi="Times New Roman" w:eastAsia="仿宋_GB2312" w:cs="Times New Roman"/>
          <w:color w:val="auto"/>
          <w:sz w:val="32"/>
          <w:szCs w:val="32"/>
          <w:highlight w:val="none"/>
        </w:rPr>
        <w:t>亩均税收考核期调整为自乙方最后一个</w:t>
      </w:r>
      <w:r>
        <w:rPr>
          <w:rFonts w:hint="eastAsia" w:ascii="Times New Roman" w:hAnsi="Times New Roman" w:eastAsia="仿宋_GB2312" w:cs="Times New Roman"/>
          <w:color w:val="auto"/>
          <w:sz w:val="32"/>
          <w:szCs w:val="32"/>
          <w:highlight w:val="none"/>
        </w:rPr>
        <w:t>完整</w:t>
      </w:r>
      <w:r>
        <w:rPr>
          <w:rFonts w:ascii="Times New Roman" w:hAnsi="Times New Roman" w:eastAsia="仿宋_GB2312" w:cs="Times New Roman"/>
          <w:color w:val="auto"/>
          <w:sz w:val="32"/>
          <w:szCs w:val="32"/>
          <w:highlight w:val="none"/>
        </w:rPr>
        <w:t>考核期届满后次年1月1日起</w:t>
      </w:r>
      <w:r>
        <w:rPr>
          <w:rFonts w:hint="eastAsia" w:ascii="Times New Roman" w:hAnsi="Times New Roman" w:eastAsia="仿宋_GB2312" w:cs="Times New Roman"/>
          <w:color w:val="auto"/>
          <w:sz w:val="32"/>
          <w:szCs w:val="32"/>
          <w:highlight w:val="none"/>
        </w:rPr>
        <w:t>至土地使用权买受方</w:t>
      </w:r>
      <w:r>
        <w:rPr>
          <w:rFonts w:ascii="Times New Roman" w:hAnsi="Times New Roman" w:eastAsia="仿宋_GB2312" w:cs="Times New Roman"/>
          <w:color w:val="auto"/>
          <w:sz w:val="32"/>
          <w:szCs w:val="32"/>
          <w:highlight w:val="none"/>
        </w:rPr>
        <w:t>签订</w:t>
      </w:r>
      <w:r>
        <w:rPr>
          <w:rFonts w:hint="eastAsia" w:ascii="Times New Roman" w:hAnsi="Times New Roman" w:eastAsia="仿宋_GB2312" w:cs="Times New Roman"/>
          <w:color w:val="auto"/>
          <w:sz w:val="32"/>
          <w:szCs w:val="32"/>
          <w:highlight w:val="none"/>
        </w:rPr>
        <w:t>的</w:t>
      </w:r>
      <w:r>
        <w:rPr>
          <w:rFonts w:ascii="Times New Roman" w:hAnsi="Times New Roman" w:eastAsia="仿宋_GB2312" w:cs="Times New Roman"/>
          <w:color w:val="auto"/>
          <w:sz w:val="32"/>
          <w:szCs w:val="32"/>
          <w:highlight w:val="none"/>
        </w:rPr>
        <w:t>全</w:t>
      </w:r>
      <w:r>
        <w:rPr>
          <w:rFonts w:hint="eastAsia" w:ascii="Times New Roman" w:hAnsi="Times New Roman" w:eastAsia="仿宋_GB2312" w:cs="Times New Roman"/>
          <w:color w:val="auto"/>
          <w:sz w:val="32"/>
          <w:szCs w:val="32"/>
          <w:highlight w:val="none"/>
        </w:rPr>
        <w:t>生命</w:t>
      </w:r>
      <w:r>
        <w:rPr>
          <w:rFonts w:ascii="Times New Roman" w:hAnsi="Times New Roman" w:eastAsia="仿宋_GB2312" w:cs="Times New Roman"/>
          <w:color w:val="auto"/>
          <w:sz w:val="32"/>
          <w:szCs w:val="32"/>
          <w:highlight w:val="none"/>
        </w:rPr>
        <w:t>周期管理协议</w:t>
      </w:r>
      <w:r>
        <w:rPr>
          <w:rFonts w:hint="eastAsia" w:ascii="Times New Roman" w:hAnsi="Times New Roman" w:eastAsia="仿宋_GB2312" w:cs="Times New Roman"/>
          <w:color w:val="auto"/>
          <w:sz w:val="32"/>
          <w:szCs w:val="32"/>
          <w:highlight w:val="none"/>
        </w:rPr>
        <w:t>生效</w:t>
      </w:r>
      <w:r>
        <w:rPr>
          <w:rFonts w:ascii="Times New Roman" w:hAnsi="Times New Roman" w:eastAsia="仿宋_GB2312" w:cs="Times New Roman"/>
          <w:color w:val="auto"/>
          <w:sz w:val="32"/>
          <w:szCs w:val="32"/>
          <w:highlight w:val="none"/>
        </w:rPr>
        <w:t>之日止。在该调整后的考核期内，乙方的年亩均实际税收额低于</w:t>
      </w:r>
      <w:r>
        <w:rPr>
          <w:rFonts w:hint="default" w:ascii="Times New Roman" w:hAnsi="Times New Roman" w:eastAsia="仿宋_GB2312" w:cs="Times New Roman"/>
          <w:color w:val="auto"/>
          <w:sz w:val="32"/>
          <w:szCs w:val="32"/>
        </w:rPr>
        <w:t>我市面上</w:t>
      </w:r>
      <w:r>
        <w:rPr>
          <w:rFonts w:hint="default" w:ascii="Times New Roman" w:hAnsi="Times New Roman" w:eastAsia="仿宋_GB2312" w:cs="Times New Roman"/>
          <w:color w:val="auto"/>
          <w:kern w:val="0"/>
          <w:sz w:val="32"/>
          <w:szCs w:val="32"/>
          <w:lang w:bidi="ar"/>
        </w:rPr>
        <w:t>标准地准入控制指标要求</w:t>
      </w:r>
      <w:r>
        <w:rPr>
          <w:rFonts w:ascii="Times New Roman" w:hAnsi="Times New Roman" w:eastAsia="仿宋_GB2312" w:cs="Times New Roman"/>
          <w:color w:val="auto"/>
          <w:sz w:val="32"/>
          <w:szCs w:val="32"/>
          <w:highlight w:val="none"/>
        </w:rPr>
        <w:t>的，乙方应向甲方补足按照考核标准计算的乙方应纳税总额与乙方实际纳税总额的差额</w:t>
      </w:r>
      <w:r>
        <w:rPr>
          <w:rFonts w:hint="eastAsia" w:ascii="Times New Roman" w:hAnsi="Times New Roman" w:eastAsia="仿宋_GB2312" w:cs="Times New Roman"/>
          <w:color w:val="auto"/>
          <w:sz w:val="32"/>
          <w:szCs w:val="32"/>
          <w:highlight w:val="none"/>
          <w:lang w:eastAsia="zh-CN"/>
        </w:rPr>
        <w:t>作为违约金</w:t>
      </w:r>
      <w:r>
        <w:rPr>
          <w:rFonts w:ascii="Times New Roman" w:hAnsi="Times New Roman" w:eastAsia="仿宋_GB2312" w:cs="Times New Roman"/>
          <w:color w:val="auto"/>
          <w:sz w:val="32"/>
          <w:szCs w:val="32"/>
          <w:highlight w:val="none"/>
        </w:rPr>
        <w:t>。</w:t>
      </w:r>
    </w:p>
    <w:p w14:paraId="39B0349F">
      <w:pPr>
        <w:keepNext w:val="0"/>
        <w:keepLines w:val="0"/>
        <w:pageBreakBefore w:val="0"/>
        <w:widowControl w:val="0"/>
        <w:numPr>
          <w:ilvl w:val="0"/>
          <w:numId w:val="0"/>
        </w:numPr>
        <w:kinsoku/>
        <w:wordWrap/>
        <w:overflowPunct/>
        <w:topLinePunct w:val="0"/>
        <w:bidi w:val="0"/>
        <w:snapToGrid/>
        <w:spacing w:line="560" w:lineRule="exact"/>
        <w:ind w:left="0" w:leftChars="0" w:right="0" w:firstLine="0" w:firstLineChars="0"/>
        <w:textAlignment w:val="auto"/>
        <w:rPr>
          <w:color w:val="auto"/>
        </w:rPr>
      </w:pPr>
      <w:r>
        <w:rPr>
          <w:rFonts w:ascii="Times New Roman" w:hAnsi="Times New Roman" w:eastAsia="仿宋_GB2312" w:cs="Times New Roman"/>
          <w:color w:val="auto"/>
          <w:sz w:val="32"/>
          <w:szCs w:val="32"/>
          <w:highlight w:val="none"/>
        </w:rPr>
        <w:t xml:space="preserve">    </w:t>
      </w:r>
      <w:r>
        <w:rPr>
          <w:rFonts w:hint="eastAsia" w:ascii="楷体" w:hAnsi="楷体" w:eastAsia="楷体" w:cs="楷体"/>
          <w:color w:val="auto"/>
          <w:sz w:val="32"/>
          <w:szCs w:val="32"/>
          <w:highlight w:val="none"/>
        </w:rPr>
        <w:t>(九)</w:t>
      </w:r>
      <w:r>
        <w:rPr>
          <w:rFonts w:ascii="Times New Roman" w:hAnsi="Times New Roman" w:eastAsia="仿宋_GB2312" w:cs="Times New Roman"/>
          <w:color w:val="auto"/>
          <w:sz w:val="32"/>
          <w:szCs w:val="32"/>
          <w:highlight w:val="none"/>
        </w:rPr>
        <w:t>乙方转让</w:t>
      </w:r>
      <w:r>
        <w:rPr>
          <w:rFonts w:hint="eastAsia" w:ascii="Times New Roman" w:hAnsi="Times New Roman" w:eastAsia="仿宋_GB2312" w:cs="Times New Roman"/>
          <w:color w:val="auto"/>
          <w:sz w:val="32"/>
          <w:szCs w:val="32"/>
          <w:highlight w:val="none"/>
          <w:lang w:eastAsia="zh-CN"/>
        </w:rPr>
        <w:t>（或通过股权转让、抵押等变相转让）</w:t>
      </w:r>
      <w:r>
        <w:rPr>
          <w:rFonts w:hint="default" w:ascii="Times New Roman" w:hAnsi="Times New Roman" w:eastAsia="仿宋_GB2312" w:cs="Times New Roman"/>
          <w:color w:val="auto"/>
          <w:kern w:val="0"/>
          <w:sz w:val="32"/>
          <w:szCs w:val="32"/>
          <w:highlight w:val="none"/>
          <w:lang w:bidi="ar"/>
        </w:rPr>
        <w:t>竞</w:t>
      </w:r>
      <w:r>
        <w:rPr>
          <w:rFonts w:hint="default" w:ascii="Times New Roman" w:hAnsi="Times New Roman" w:eastAsia="仿宋_GB2312" w:cs="Times New Roman"/>
          <w:color w:val="auto"/>
          <w:kern w:val="0"/>
          <w:sz w:val="32"/>
          <w:szCs w:val="32"/>
          <w:highlight w:val="none"/>
          <w:lang w:eastAsia="zh-CN" w:bidi="ar"/>
        </w:rPr>
        <w:t>得土地</w:t>
      </w:r>
      <w:r>
        <w:rPr>
          <w:rFonts w:ascii="Times New Roman" w:hAnsi="Times New Roman" w:eastAsia="仿宋_GB2312" w:cs="Times New Roman"/>
          <w:color w:val="auto"/>
          <w:sz w:val="32"/>
          <w:szCs w:val="32"/>
          <w:highlight w:val="none"/>
        </w:rPr>
        <w:t>使用权的，</w:t>
      </w:r>
      <w:r>
        <w:rPr>
          <w:rFonts w:hint="eastAsia" w:ascii="Times New Roman" w:hAnsi="Times New Roman" w:eastAsia="仿宋_GB2312" w:cs="Times New Roman"/>
          <w:color w:val="auto"/>
          <w:sz w:val="32"/>
          <w:szCs w:val="32"/>
          <w:highlight w:val="none"/>
          <w:lang w:eastAsia="zh-CN"/>
        </w:rPr>
        <w:t>如有违约金的应先全部缴纳再办理转让手续，</w:t>
      </w:r>
      <w:r>
        <w:rPr>
          <w:rFonts w:ascii="Times New Roman" w:hAnsi="Times New Roman" w:eastAsia="仿宋_GB2312" w:cs="Times New Roman"/>
          <w:color w:val="auto"/>
          <w:sz w:val="32"/>
          <w:szCs w:val="32"/>
          <w:highlight w:val="none"/>
        </w:rPr>
        <w:t>并在办理转让手续时向受让方书面告知本协议全部内容及乙方亩均税</w:t>
      </w:r>
      <w:r>
        <w:rPr>
          <w:rFonts w:hint="eastAsia" w:ascii="Times New Roman" w:hAnsi="Times New Roman" w:eastAsia="仿宋_GB2312" w:cs="Times New Roman"/>
          <w:color w:val="auto"/>
          <w:sz w:val="32"/>
          <w:szCs w:val="32"/>
          <w:highlight w:val="none"/>
        </w:rPr>
        <w:t>收</w:t>
      </w:r>
      <w:r>
        <w:rPr>
          <w:rFonts w:ascii="Times New Roman" w:hAnsi="Times New Roman" w:eastAsia="仿宋_GB2312" w:cs="Times New Roman"/>
          <w:color w:val="auto"/>
          <w:sz w:val="32"/>
          <w:szCs w:val="32"/>
          <w:highlight w:val="none"/>
        </w:rPr>
        <w:t>履约情况。如因乙方怠于履行告知义务造成甲方或受让方在本协议的亩均税</w:t>
      </w:r>
      <w:r>
        <w:rPr>
          <w:rFonts w:hint="eastAsia" w:ascii="Times New Roman" w:hAnsi="Times New Roman" w:eastAsia="仿宋_GB2312" w:cs="Times New Roman"/>
          <w:color w:val="auto"/>
          <w:sz w:val="32"/>
          <w:szCs w:val="32"/>
          <w:highlight w:val="none"/>
        </w:rPr>
        <w:t>收</w:t>
      </w:r>
      <w:r>
        <w:rPr>
          <w:rFonts w:ascii="Times New Roman" w:hAnsi="Times New Roman" w:eastAsia="仿宋_GB2312" w:cs="Times New Roman"/>
          <w:color w:val="auto"/>
          <w:sz w:val="32"/>
          <w:szCs w:val="32"/>
          <w:highlight w:val="none"/>
        </w:rPr>
        <w:t>履约环节损失的，乙方应承担该项损失的全额赔偿责任。</w:t>
      </w:r>
    </w:p>
    <w:p w14:paraId="00FF8048">
      <w:pPr>
        <w:pStyle w:val="2"/>
        <w:keepNext w:val="0"/>
        <w:keepLines w:val="0"/>
        <w:pageBreakBefore w:val="0"/>
        <w:widowControl w:val="0"/>
        <w:numPr>
          <w:ilvl w:val="0"/>
          <w:numId w:val="0"/>
        </w:numPr>
        <w:kinsoku/>
        <w:wordWrap/>
        <w:overflowPunct/>
        <w:topLinePunct w:val="0"/>
        <w:bidi w:val="0"/>
        <w:snapToGrid/>
        <w:spacing w:line="560" w:lineRule="exact"/>
        <w:ind w:left="0" w:right="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国标楷体" w:hAnsi="国标楷体" w:eastAsia="国标楷体" w:cs="国标楷体"/>
          <w:color w:val="auto"/>
          <w:kern w:val="2"/>
          <w:sz w:val="32"/>
          <w:szCs w:val="32"/>
          <w:highlight w:val="none"/>
          <w:lang w:val="en-US" w:eastAsia="zh-CN" w:bidi="ar-SA"/>
        </w:rPr>
        <w:t>（十）</w:t>
      </w:r>
      <w:r>
        <w:rPr>
          <w:rFonts w:hint="default" w:ascii="Times New Roman" w:hAnsi="Times New Roman" w:eastAsia="仿宋_GB2312" w:cs="Times New Roman"/>
          <w:color w:val="auto"/>
          <w:kern w:val="0"/>
          <w:sz w:val="32"/>
          <w:szCs w:val="32"/>
          <w:highlight w:val="none"/>
          <w:lang w:val="en-US" w:eastAsia="zh-CN" w:bidi="ar"/>
        </w:rPr>
        <w:t>项目用地在使用期限内依法依规转让或以其他形式转给第三方的,第三方应与甲方重新签订</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义乌市商贸、物流项目用地全生命周期管理履约协议</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;如第三方在甲方限定时间内未签订的,甲方有权提请义乌市自然资源和规划局解除出让合同。</w:t>
      </w:r>
    </w:p>
    <w:p w14:paraId="2E65655C">
      <w:pPr>
        <w:keepNext w:val="0"/>
        <w:keepLines w:val="0"/>
        <w:pageBreakBefore w:val="0"/>
        <w:widowControl w:val="0"/>
        <w:numPr>
          <w:ilvl w:val="0"/>
          <w:numId w:val="1"/>
        </w:numPr>
        <w:kinsoku/>
        <w:wordWrap/>
        <w:overflowPunct/>
        <w:topLinePunct w:val="0"/>
        <w:bidi w:val="0"/>
        <w:snapToGrid/>
        <w:spacing w:line="560" w:lineRule="exact"/>
        <w:ind w:left="0" w:right="0" w:firstLine="640"/>
        <w:contextualSpacing/>
        <w:jc w:val="both"/>
        <w:textAlignment w:val="auto"/>
        <w:rPr>
          <w:rFonts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不可抗力</w:t>
      </w:r>
    </w:p>
    <w:p w14:paraId="1457501A">
      <w:pPr>
        <w:keepNext w:val="0"/>
        <w:keepLines w:val="0"/>
        <w:pageBreakBefore w:val="0"/>
        <w:widowControl w:val="0"/>
        <w:numPr>
          <w:ilvl w:val="0"/>
          <w:numId w:val="5"/>
        </w:numPr>
        <w:kinsoku/>
        <w:wordWrap/>
        <w:overflowPunct/>
        <w:topLinePunct w:val="0"/>
        <w:bidi w:val="0"/>
        <w:snapToGrid/>
        <w:spacing w:line="560" w:lineRule="exact"/>
        <w:ind w:left="0" w:right="0" w:firstLine="640" w:firstLineChars="200"/>
        <w:textAlignment w:val="auto"/>
        <w:rPr>
          <w:rFonts w:ascii="Times New Roman" w:hAnsi="Times New Roman" w:eastAsia="楷体_GB2312" w:cs="楷体_GB2312"/>
          <w:color w:val="auto"/>
          <w:sz w:val="32"/>
          <w:szCs w:val="32"/>
          <w:highlight w:val="none"/>
        </w:rPr>
      </w:pPr>
      <w:r>
        <w:rPr>
          <w:rFonts w:hint="eastAsia" w:ascii="Times New Roman" w:hAnsi="Times New Roman" w:eastAsia="仿宋_GB2312" w:cs="Times New Roman"/>
          <w:color w:val="auto"/>
          <w:sz w:val="32"/>
          <w:szCs w:val="32"/>
          <w:highlight w:val="none"/>
        </w:rPr>
        <w:t>“不可抗力”是指各方不能控制、不能防止和预见、不可避免或不可克服的且造成任何一方不能全部或部分履行本协议的所有事件，这些事件包括但不限于：地震、台风、洪水、火灾、战争、中央政府的行为、政府政策性行为、罢工及其它不能预见并且对其发生和后果不能预防或避免的不可抗力事件。</w:t>
      </w:r>
    </w:p>
    <w:p w14:paraId="77AC1973">
      <w:pPr>
        <w:keepNext w:val="0"/>
        <w:keepLines w:val="0"/>
        <w:pageBreakBefore w:val="0"/>
        <w:widowControl w:val="0"/>
        <w:numPr>
          <w:ilvl w:val="0"/>
          <w:numId w:val="5"/>
        </w:numPr>
        <w:kinsoku/>
        <w:wordWrap/>
        <w:overflowPunct/>
        <w:topLinePunct w:val="0"/>
        <w:bidi w:val="0"/>
        <w:snapToGrid/>
        <w:spacing w:line="560" w:lineRule="exact"/>
        <w:ind w:left="0" w:right="0" w:firstLine="640" w:firstLineChars="200"/>
        <w:textAlignment w:val="auto"/>
        <w:rPr>
          <w:rFonts w:ascii="Times New Roman" w:hAnsi="Times New Roman" w:eastAsia="楷体_GB2312" w:cs="楷体_GB2312"/>
          <w:color w:val="auto"/>
          <w:sz w:val="32"/>
          <w:szCs w:val="32"/>
          <w:highlight w:val="none"/>
        </w:rPr>
      </w:pPr>
      <w:r>
        <w:rPr>
          <w:rFonts w:hint="eastAsia" w:ascii="Times New Roman" w:hAnsi="Times New Roman" w:eastAsia="仿宋_GB2312" w:cs="Times New Roman"/>
          <w:color w:val="auto"/>
          <w:sz w:val="32"/>
          <w:szCs w:val="32"/>
          <w:highlight w:val="none"/>
        </w:rPr>
        <w:t>发生不可抗力的，如不可抗力事件造成一方不能全部或部分履行本协议，根据不可抗力的影响，可部分或全部免除该方在本协议项下的相应义务。如不可抗力事件造成一方在本协议项下的有关义务不得不延迟履行，则其义务在不可抗力造成的延期内暂停履行，并应自动延长至暂停的时间结束后再履行。</w:t>
      </w:r>
    </w:p>
    <w:p w14:paraId="32294E08">
      <w:pPr>
        <w:keepNext w:val="0"/>
        <w:keepLines w:val="0"/>
        <w:pageBreakBefore w:val="0"/>
        <w:widowControl w:val="0"/>
        <w:numPr>
          <w:ilvl w:val="0"/>
          <w:numId w:val="5"/>
        </w:numPr>
        <w:kinsoku/>
        <w:wordWrap/>
        <w:overflowPunct/>
        <w:topLinePunct w:val="0"/>
        <w:bidi w:val="0"/>
        <w:snapToGrid/>
        <w:spacing w:line="560" w:lineRule="exact"/>
        <w:ind w:left="0" w:right="0" w:firstLine="640" w:firstLineChars="200"/>
        <w:textAlignment w:val="auto"/>
        <w:rPr>
          <w:rFonts w:ascii="Times New Roman" w:hAnsi="Times New Roman" w:eastAsia="楷体_GB2312" w:cs="楷体_GB2312"/>
          <w:color w:val="auto"/>
          <w:sz w:val="32"/>
          <w:szCs w:val="32"/>
          <w:highlight w:val="none"/>
        </w:rPr>
      </w:pPr>
      <w:r>
        <w:rPr>
          <w:rFonts w:hint="eastAsia" w:ascii="Times New Roman" w:hAnsi="Times New Roman" w:eastAsia="仿宋_GB2312" w:cs="Times New Roman"/>
          <w:color w:val="auto"/>
          <w:sz w:val="32"/>
          <w:szCs w:val="32"/>
          <w:highlight w:val="none"/>
        </w:rPr>
        <w:t>主张不可抗力的一方应在不可抗力发生15个工作日内立即书面通知对方，并提供相关佐证材料。主张不可抗力的一方应尽最大努力减轻不可抗力的影响。</w:t>
      </w:r>
    </w:p>
    <w:p w14:paraId="6D359052">
      <w:pPr>
        <w:keepNext w:val="0"/>
        <w:keepLines w:val="0"/>
        <w:pageBreakBefore w:val="0"/>
        <w:widowControl w:val="0"/>
        <w:numPr>
          <w:ilvl w:val="0"/>
          <w:numId w:val="6"/>
        </w:numPr>
        <w:kinsoku/>
        <w:wordWrap/>
        <w:overflowPunct/>
        <w:topLinePunct w:val="0"/>
        <w:bidi w:val="0"/>
        <w:snapToGrid/>
        <w:spacing w:line="560" w:lineRule="exact"/>
        <w:ind w:left="0" w:right="0" w:firstLine="640"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法律适用和争议的解决</w:t>
      </w:r>
    </w:p>
    <w:p w14:paraId="0376DCAA">
      <w:pPr>
        <w:keepNext w:val="0"/>
        <w:keepLines w:val="0"/>
        <w:pageBreakBefore w:val="0"/>
        <w:numPr>
          <w:ilvl w:val="0"/>
          <w:numId w:val="7"/>
        </w:numPr>
        <w:kinsoku/>
        <w:wordWrap/>
        <w:overflowPunct/>
        <w:topLinePunct w:val="0"/>
        <w:bidi w:val="0"/>
        <w:snapToGrid/>
        <w:spacing w:line="560" w:lineRule="exact"/>
        <w:ind w:left="0" w:right="0"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本协议的订立、效力、解释、履行及争议的解决均适用中华人民共和国法律。</w:t>
      </w:r>
    </w:p>
    <w:p w14:paraId="2AC418C5">
      <w:pPr>
        <w:keepNext w:val="0"/>
        <w:keepLines w:val="0"/>
        <w:pageBreakBefore w:val="0"/>
        <w:numPr>
          <w:ilvl w:val="0"/>
          <w:numId w:val="7"/>
        </w:numPr>
        <w:kinsoku/>
        <w:wordWrap/>
        <w:overflowPunct/>
        <w:topLinePunct w:val="0"/>
        <w:bidi w:val="0"/>
        <w:snapToGrid/>
        <w:spacing w:line="560" w:lineRule="exact"/>
        <w:ind w:left="0" w:right="0"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本协议书未尽事宜，双方协商解决，经双方协商签订的补充协议与本协议具有同等效力。</w:t>
      </w:r>
    </w:p>
    <w:p w14:paraId="0E3BA5E1">
      <w:pPr>
        <w:keepNext w:val="0"/>
        <w:keepLines w:val="0"/>
        <w:pageBreakBefore w:val="0"/>
        <w:numPr>
          <w:ilvl w:val="0"/>
          <w:numId w:val="7"/>
        </w:numPr>
        <w:kinsoku/>
        <w:wordWrap/>
        <w:overflowPunct/>
        <w:topLinePunct w:val="0"/>
        <w:bidi w:val="0"/>
        <w:snapToGrid/>
        <w:spacing w:line="560" w:lineRule="exact"/>
        <w:ind w:left="0" w:right="0"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_GB2312" w:cs="Times New Roman"/>
          <w:color w:val="auto"/>
          <w:sz w:val="32"/>
          <w:szCs w:val="32"/>
          <w:highlight w:val="none"/>
        </w:rPr>
        <w:t>因执行或解释本协议发生争议的，双方应协商解决，协商不成的，可提请甲方所在地人民法院诉讼解决。</w:t>
      </w:r>
    </w:p>
    <w:p w14:paraId="7EBACF0C">
      <w:pPr>
        <w:keepNext w:val="0"/>
        <w:keepLines w:val="0"/>
        <w:pageBreakBefore w:val="0"/>
        <w:numPr>
          <w:ilvl w:val="0"/>
          <w:numId w:val="6"/>
        </w:numPr>
        <w:kinsoku/>
        <w:wordWrap/>
        <w:overflowPunct/>
        <w:topLinePunct w:val="0"/>
        <w:bidi w:val="0"/>
        <w:snapToGrid/>
        <w:spacing w:line="560" w:lineRule="exact"/>
        <w:ind w:left="0" w:right="0" w:firstLine="640"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其他约定事项</w:t>
      </w:r>
    </w:p>
    <w:p w14:paraId="4E006C4D">
      <w:pPr>
        <w:keepNext w:val="0"/>
        <w:keepLines w:val="0"/>
        <w:pageBreakBefore w:val="0"/>
        <w:numPr>
          <w:ilvl w:val="0"/>
          <w:numId w:val="8"/>
        </w:numPr>
        <w:kinsoku/>
        <w:wordWrap/>
        <w:overflowPunct/>
        <w:topLinePunct w:val="0"/>
        <w:bidi w:val="0"/>
        <w:snapToGrid/>
        <w:spacing w:line="560" w:lineRule="exact"/>
        <w:ind w:left="0" w:right="0"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甲乙双方对本协议内容负有保密义务，未经对方同意，不得向任何第三方披露。</w:t>
      </w:r>
    </w:p>
    <w:p w14:paraId="21367056">
      <w:pPr>
        <w:keepNext w:val="0"/>
        <w:keepLines w:val="0"/>
        <w:pageBreakBefore w:val="0"/>
        <w:numPr>
          <w:ilvl w:val="0"/>
          <w:numId w:val="8"/>
        </w:numPr>
        <w:kinsoku/>
        <w:wordWrap/>
        <w:overflowPunct/>
        <w:topLinePunct w:val="0"/>
        <w:bidi w:val="0"/>
        <w:snapToGrid/>
        <w:spacing w:line="560" w:lineRule="exact"/>
        <w:ind w:left="0" w:right="0"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本协议文本一式肆份，甲、乙双方各持贰份，自双方盖章、签字后生效。</w:t>
      </w:r>
    </w:p>
    <w:p w14:paraId="657CEECB">
      <w:pPr>
        <w:widowControl/>
        <w:jc w:val="left"/>
        <w:rPr>
          <w:rFonts w:ascii="Times New Roman" w:hAnsi="Times New Roman" w:eastAsia="仿宋_GB2312" w:cs="Times New Roman"/>
          <w:color w:val="auto"/>
          <w:sz w:val="32"/>
          <w:szCs w:val="32"/>
          <w:highlight w:val="none"/>
        </w:rPr>
      </w:pPr>
    </w:p>
    <w:p w14:paraId="65A901F5">
      <w:pPr>
        <w:widowControl/>
        <w:ind w:firstLine="640" w:firstLineChars="200"/>
        <w:jc w:val="left"/>
        <w:rPr>
          <w:rFonts w:ascii="Times New Roman" w:hAnsi="Times New Roman" w:eastAsia="仿宋_GB2312" w:cs="Times New Roman"/>
          <w:color w:val="auto"/>
          <w:sz w:val="32"/>
          <w:szCs w:val="32"/>
          <w:highlight w:val="none"/>
        </w:rPr>
      </w:pPr>
    </w:p>
    <w:p w14:paraId="23B28A0A">
      <w:pPr>
        <w:widowControl/>
        <w:ind w:firstLine="640" w:firstLineChars="200"/>
        <w:jc w:val="left"/>
        <w:rPr>
          <w:rFonts w:ascii="Times New Roman" w:hAnsi="Times New Roman" w:eastAsia="仿宋_GB2312" w:cs="Times New Roman"/>
          <w:color w:val="auto"/>
          <w:sz w:val="32"/>
          <w:szCs w:val="32"/>
          <w:highlight w:val="none"/>
        </w:rPr>
      </w:pPr>
    </w:p>
    <w:p w14:paraId="40EE972F">
      <w:pPr>
        <w:widowControl/>
        <w:ind w:firstLine="640" w:firstLineChars="200"/>
        <w:jc w:val="left"/>
        <w:rPr>
          <w:rFonts w:ascii="Times New Roman" w:hAnsi="Times New Roman" w:eastAsia="仿宋_GB2312" w:cs="Times New Roman"/>
          <w:color w:val="auto"/>
          <w:sz w:val="32"/>
          <w:szCs w:val="32"/>
          <w:highlight w:val="none"/>
        </w:rPr>
      </w:pPr>
    </w:p>
    <w:p w14:paraId="3E65E075">
      <w:pPr>
        <w:widowControl/>
        <w:ind w:firstLine="640" w:firstLineChars="200"/>
        <w:jc w:val="left"/>
        <w:rPr>
          <w:rFonts w:ascii="Times New Roman" w:hAnsi="Times New Roman" w:eastAsia="仿宋_GB2312" w:cs="Times New Roman"/>
          <w:color w:val="auto"/>
          <w:szCs w:val="32"/>
          <w:highlight w:val="none"/>
        </w:rPr>
      </w:pPr>
      <w:r>
        <w:rPr>
          <w:rFonts w:ascii="Times New Roman" w:hAnsi="Times New Roman" w:eastAsia="仿宋_GB2312" w:cs="Times New Roman"/>
          <w:color w:val="auto"/>
          <w:sz w:val="32"/>
          <w:szCs w:val="32"/>
          <w:highlight w:val="none"/>
        </w:rPr>
        <w:t>甲方：</w:t>
      </w:r>
      <w:r>
        <w:rPr>
          <w:rFonts w:hint="eastAsia" w:ascii="Times New Roman" w:hAnsi="Times New Roman" w:eastAsia="仿宋_GB2312" w:cs="Times New Roman"/>
          <w:color w:val="auto"/>
          <w:sz w:val="32"/>
          <w:szCs w:val="32"/>
          <w:highlight w:val="none"/>
        </w:rPr>
        <w:t>（盖章）</w:t>
      </w:r>
      <w:r>
        <w:rPr>
          <w:rFonts w:ascii="Times New Roman" w:hAnsi="Times New Roman" w:eastAsia="仿宋_GB2312" w:cs="Times New Roman"/>
          <w:color w:val="auto"/>
          <w:sz w:val="32"/>
          <w:szCs w:val="32"/>
          <w:highlight w:val="none"/>
        </w:rPr>
        <w:t xml:space="preserve">             乙方：</w:t>
      </w:r>
      <w:r>
        <w:rPr>
          <w:rFonts w:hint="eastAsia" w:ascii="Times New Roman" w:hAnsi="Times New Roman" w:eastAsia="仿宋_GB2312" w:cs="Times New Roman"/>
          <w:color w:val="auto"/>
          <w:sz w:val="32"/>
          <w:szCs w:val="32"/>
          <w:highlight w:val="none"/>
        </w:rPr>
        <w:t>（盖章）</w:t>
      </w:r>
      <w:r>
        <w:rPr>
          <w:rFonts w:ascii="Times New Roman" w:hAnsi="Times New Roman" w:eastAsia="仿宋_GB2312" w:cs="Times New Roman"/>
          <w:color w:val="auto"/>
          <w:sz w:val="32"/>
          <w:szCs w:val="32"/>
          <w:highlight w:val="none"/>
        </w:rPr>
        <w:t xml:space="preserve"> </w:t>
      </w:r>
    </w:p>
    <w:p w14:paraId="14061B3B">
      <w:pPr>
        <w:spacing w:line="54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法定代表人：               法定代表人：</w:t>
      </w:r>
    </w:p>
    <w:p w14:paraId="708692C5">
      <w:pPr>
        <w:spacing w:line="540" w:lineRule="exact"/>
        <w:ind w:firstLine="480" w:firstLineChars="15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 xml:space="preserve">（委托代理人）            </w:t>
      </w: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rPr>
        <w:t>（委托代理人）</w:t>
      </w:r>
    </w:p>
    <w:p w14:paraId="7D1A4330">
      <w:pPr>
        <w:spacing w:line="540" w:lineRule="exact"/>
        <w:ind w:firstLine="315" w:firstLineChars="150"/>
        <w:rPr>
          <w:rFonts w:ascii="Times New Roman" w:hAnsi="Times New Roman" w:eastAsia="仿宋_GB2312" w:cs="Times New Roman"/>
          <w:color w:val="auto"/>
          <w:szCs w:val="32"/>
          <w:highlight w:val="none"/>
        </w:rPr>
      </w:pPr>
    </w:p>
    <w:p w14:paraId="6F191449">
      <w:pPr>
        <w:spacing w:line="540" w:lineRule="exact"/>
        <w:ind w:right="640"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日期</w:t>
      </w:r>
      <w:r>
        <w:rPr>
          <w:rFonts w:ascii="Times New Roman" w:hAnsi="Times New Roman" w:eastAsia="仿宋_GB2312" w:cs="Times New Roman"/>
          <w:color w:val="auto"/>
          <w:sz w:val="32"/>
          <w:szCs w:val="32"/>
          <w:highlight w:val="none"/>
        </w:rPr>
        <w:t>：20  年  月  日</w:t>
      </w:r>
      <w:r>
        <w:rPr>
          <w:rFonts w:hint="eastAsia"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rPr>
        <w:t>日期</w:t>
      </w:r>
      <w:r>
        <w:rPr>
          <w:rFonts w:ascii="Times New Roman" w:hAnsi="Times New Roman" w:eastAsia="仿宋_GB2312" w:cs="Times New Roman"/>
          <w:color w:val="auto"/>
          <w:sz w:val="32"/>
          <w:szCs w:val="32"/>
          <w:highlight w:val="none"/>
        </w:rPr>
        <w:t>：20  年  月  日</w:t>
      </w:r>
    </w:p>
    <w:p w14:paraId="260ACA54">
      <w:pPr>
        <w:rPr>
          <w:color w:val="auto"/>
          <w:highlight w:val="none"/>
        </w:rPr>
      </w:pPr>
    </w:p>
    <w:p w14:paraId="164491DB">
      <w:pPr>
        <w:rPr>
          <w:color w:val="auto"/>
          <w:highlight w:val="none"/>
        </w:rPr>
      </w:pPr>
    </w:p>
    <w:p w14:paraId="29AD4722">
      <w:pPr>
        <w:pStyle w:val="4"/>
        <w:ind w:left="0" w:leftChars="0" w:firstLine="0" w:firstLineChars="0"/>
        <w:rPr>
          <w:rFonts w:hint="eastAsia" w:eastAsia="仿宋_GB2312"/>
          <w:color w:val="auto"/>
          <w:highlight w:val="none"/>
          <w:lang w:eastAsia="zh-CN"/>
        </w:rPr>
      </w:pPr>
    </w:p>
    <w:p w14:paraId="52E64F10">
      <w:bookmarkStart w:id="1" w:name="_GoBack"/>
      <w:bookmarkEnd w:id="1"/>
    </w:p>
    <w:sectPr>
      <w:pgSz w:w="11906" w:h="16838"/>
      <w:pgMar w:top="1531" w:right="1361" w:bottom="153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国标楷体">
    <w:altName w:val="宋体"/>
    <w:panose1 w:val="02000500000000000000"/>
    <w:charset w:val="86"/>
    <w:family w:val="auto"/>
    <w:pitch w:val="default"/>
    <w:sig w:usb0="00000000" w:usb1="00000000" w:usb2="00000000" w:usb3="00000000" w:csb0="00060007"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F9437"/>
    <w:multiLevelType w:val="singleLevel"/>
    <w:tmpl w:val="B7DF9437"/>
    <w:lvl w:ilvl="0" w:tentative="0">
      <w:start w:val="1"/>
      <w:numFmt w:val="chineseCounting"/>
      <w:suff w:val="nothing"/>
      <w:lvlText w:val="（%1）"/>
      <w:lvlJc w:val="left"/>
      <w:pPr>
        <w:tabs>
          <w:tab w:val="left" w:pos="0"/>
        </w:tabs>
        <w:ind w:left="0" w:firstLine="420"/>
      </w:pPr>
      <w:rPr>
        <w:rFonts w:hint="eastAsia" w:ascii="楷体" w:hAnsi="楷体" w:eastAsia="楷体" w:cs="仿宋"/>
        <w:lang w:val="en-US"/>
      </w:rPr>
    </w:lvl>
  </w:abstractNum>
  <w:abstractNum w:abstractNumId="1">
    <w:nsid w:val="C765BEFD"/>
    <w:multiLevelType w:val="singleLevel"/>
    <w:tmpl w:val="C765BEFD"/>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2">
    <w:nsid w:val="0C2062AB"/>
    <w:multiLevelType w:val="multilevel"/>
    <w:tmpl w:val="0C2062AB"/>
    <w:lvl w:ilvl="0" w:tentative="0">
      <w:start w:val="1"/>
      <w:numFmt w:val="chineseCountingThousand"/>
      <w:suff w:val="nothing"/>
      <w:lvlText w:val="（%1）"/>
      <w:lvlJc w:val="left"/>
      <w:pPr>
        <w:ind w:left="-10" w:firstLine="640"/>
      </w:pPr>
      <w:rPr>
        <w:rFonts w:hint="eastAsia" w:ascii="楷体" w:hAnsi="楷体" w:eastAsia="楷体" w:cs="楷体"/>
        <w:snapToGrid/>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2B169F8C"/>
    <w:multiLevelType w:val="singleLevel"/>
    <w:tmpl w:val="2B169F8C"/>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4">
    <w:nsid w:val="30A2F050"/>
    <w:multiLevelType w:val="singleLevel"/>
    <w:tmpl w:val="30A2F050"/>
    <w:lvl w:ilvl="0" w:tentative="0">
      <w:start w:val="6"/>
      <w:numFmt w:val="chineseCounting"/>
      <w:suff w:val="nothing"/>
      <w:lvlText w:val="%1、"/>
      <w:lvlJc w:val="left"/>
      <w:pPr>
        <w:ind w:left="0" w:firstLine="420"/>
      </w:pPr>
      <w:rPr>
        <w:rFonts w:hint="eastAsia"/>
      </w:rPr>
    </w:lvl>
  </w:abstractNum>
  <w:abstractNum w:abstractNumId="5">
    <w:nsid w:val="6DAD4788"/>
    <w:multiLevelType w:val="multilevel"/>
    <w:tmpl w:val="6DAD4788"/>
    <w:lvl w:ilvl="0" w:tentative="0">
      <w:start w:val="1"/>
      <w:numFmt w:val="chineseCountingThousand"/>
      <w:suff w:val="nothing"/>
      <w:lvlText w:val="（%1）"/>
      <w:lvlJc w:val="left"/>
      <w:pPr>
        <w:ind w:left="0" w:firstLine="640"/>
      </w:pPr>
      <w:rPr>
        <w:rFonts w:hint="eastAsia" w:ascii="楷体" w:hAnsi="楷体" w:eastAsia="楷体" w:cs="楷体"/>
        <w:snapToGrid/>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6">
    <w:nsid w:val="72D351BA"/>
    <w:multiLevelType w:val="multilevel"/>
    <w:tmpl w:val="72D351BA"/>
    <w:lvl w:ilvl="0" w:tentative="0">
      <w:start w:val="1"/>
      <w:numFmt w:val="chineseCountingThousand"/>
      <w:suff w:val="nothing"/>
      <w:lvlText w:val="%1、"/>
      <w:lvlJc w:val="left"/>
      <w:pPr>
        <w:ind w:left="0" w:firstLine="6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7">
    <w:nsid w:val="7CD129C8"/>
    <w:multiLevelType w:val="multilevel"/>
    <w:tmpl w:val="7CD129C8"/>
    <w:lvl w:ilvl="0" w:tentative="0">
      <w:start w:val="1"/>
      <w:numFmt w:val="chineseCountingThousand"/>
      <w:suff w:val="nothing"/>
      <w:lvlText w:val="（%1）"/>
      <w:lvlJc w:val="left"/>
      <w:pPr>
        <w:ind w:left="0" w:firstLine="640"/>
      </w:pPr>
      <w:rPr>
        <w:rFonts w:hint="eastAsia" w:ascii="楷体" w:hAnsi="楷体" w:eastAsia="楷体" w:cs="楷体"/>
        <w:snapToGrid/>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6"/>
  </w:num>
  <w:num w:numId="2">
    <w:abstractNumId w:val="7"/>
  </w:num>
  <w:num w:numId="3">
    <w:abstractNumId w:val="5"/>
  </w:num>
  <w:num w:numId="4">
    <w:abstractNumId w:val="2"/>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B84F64"/>
    <w:rsid w:val="7A7A7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Indent 2"/>
    <w:basedOn w:val="1"/>
    <w:qFormat/>
    <w:uiPriority w:val="0"/>
    <w:pPr>
      <w:spacing w:after="120" w:line="480" w:lineRule="auto"/>
      <w:ind w:left="420" w:leftChars="200"/>
    </w:pPr>
    <w:rPr>
      <w:szCs w:val="24"/>
    </w:rPr>
  </w:style>
  <w:style w:type="paragraph" w:styleId="4">
    <w:name w:val="table of figures"/>
    <w:basedOn w:val="1"/>
    <w:next w:val="1"/>
    <w:qFormat/>
    <w:uiPriority w:val="0"/>
    <w:pPr>
      <w:ind w:left="400" w:leftChars="200" w:hanging="200" w:hangingChars="200"/>
    </w:pPr>
    <w:rPr>
      <w:rFonts w:ascii="仿宋_GB2312" w:eastAsia="仿宋_GB2312"/>
      <w:sz w:val="32"/>
      <w:szCs w:val="32"/>
    </w:rPr>
  </w:style>
  <w:style w:type="paragraph" w:styleId="7">
    <w:name w:val="List Paragraph"/>
    <w:basedOn w:val="1"/>
    <w:qFormat/>
    <w:uiPriority w:val="1"/>
    <w:pPr>
      <w:ind w:firstLine="420" w:firstLineChars="200"/>
    </w:pPr>
  </w:style>
  <w:style w:type="character" w:customStyle="1" w:styleId="8">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3966</Words>
  <Characters>4008</Characters>
  <Lines>0</Lines>
  <Paragraphs>0</Paragraphs>
  <TotalTime>0</TotalTime>
  <ScaleCrop>false</ScaleCrop>
  <LinksUpToDate>false</LinksUpToDate>
  <CharactersWithSpaces>4292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2026-02-13T11:37:00Z</dcterms:created>
  <dc:creator>Wlos</dc:creator>
  <cp:lastModifiedBy>李祖跃</cp:lastModifiedBy>
  <dcterms:modified xsi:type="dcterms:W3CDTF">2026-02-13T11:41:01Z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eyJoZGlkIjoiNjMyMTk5ZjkwYzg1ZmM1YmU2OTg1M2QwODFjNTFhMTciLCJ1c2VySWQiOiIxNTYwNTQ4Mzc3In0=</vt:lpwstr>
  </property>
  <property fmtid="{D5CDD505-2E9C-101B-9397-08002B2CF9AE}" pid="4" name="ICV">
    <vt:lpwstr>5455AE36996E48A696A7C2740266692D_12</vt:lpwstr>
  </property>
</Properties>
</file>