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3CF2A">
      <w:pPr>
        <w:pStyle w:val="20"/>
        <w:snapToGrid w:val="0"/>
        <w:spacing w:before="120" w:after="120"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浙江义乌市自来水有限公司</w:t>
      </w:r>
    </w:p>
    <w:p w14:paraId="3838FF3B">
      <w:pPr>
        <w:pStyle w:val="20"/>
        <w:snapToGrid w:val="0"/>
        <w:spacing w:before="120" w:after="120" w:line="360" w:lineRule="auto"/>
        <w:jc w:val="center"/>
        <w:rPr>
          <w:rFonts w:hint="eastAsia" w:ascii="宋体" w:hAnsi="宋体" w:cs="宋体"/>
          <w:b/>
          <w:bCs/>
          <w:color w:val="auto"/>
          <w:sz w:val="52"/>
          <w:szCs w:val="52"/>
          <w:highlight w:val="none"/>
          <w:lang w:val="en-US" w:eastAsia="zh-CN"/>
        </w:rPr>
      </w:pPr>
      <w:r>
        <w:rPr>
          <w:rFonts w:hint="eastAsia" w:hAnsi="宋体" w:cs="宋体"/>
          <w:b/>
          <w:bCs/>
          <w:color w:val="auto"/>
          <w:sz w:val="52"/>
          <w:szCs w:val="52"/>
          <w:highlight w:val="none"/>
          <w:lang w:val="en-US" w:eastAsia="zh-CN"/>
        </w:rPr>
        <w:t>2025年</w:t>
      </w:r>
      <w:r>
        <w:rPr>
          <w:rFonts w:hint="eastAsia" w:ascii="宋体" w:hAnsi="宋体" w:cs="宋体"/>
          <w:b/>
          <w:bCs/>
          <w:color w:val="auto"/>
          <w:sz w:val="52"/>
          <w:szCs w:val="52"/>
          <w:highlight w:val="none"/>
          <w:lang w:val="en-US" w:eastAsia="zh-CN"/>
        </w:rPr>
        <w:t>分区计量装置采购项目</w:t>
      </w:r>
    </w:p>
    <w:p w14:paraId="5984BC48">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54198A00">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301E5CD5">
      <w:pPr>
        <w:pStyle w:val="20"/>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74D8D75">
      <w:pPr>
        <w:pStyle w:val="20"/>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7D9F4874">
      <w:pPr>
        <w:pStyle w:val="20"/>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YCQ-2025-CG255</w:t>
      </w:r>
    </w:p>
    <w:p w14:paraId="5266A558">
      <w:pPr>
        <w:pStyle w:val="20"/>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bCs/>
          <w:color w:val="auto"/>
          <w:w w:val="95"/>
          <w:sz w:val="32"/>
          <w:szCs w:val="32"/>
          <w:highlight w:val="none"/>
          <w:u w:val="single"/>
          <w:lang w:val="en-US" w:eastAsia="zh-CN"/>
        </w:rPr>
        <w:t>浙江义乌市自来水有限公司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1B9634D">
      <w:pPr>
        <w:pStyle w:val="20"/>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5C8F9910">
      <w:pPr>
        <w:pStyle w:val="20"/>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rPr>
        <w:t>月</w:t>
      </w:r>
    </w:p>
    <w:p w14:paraId="36130FF6">
      <w:pPr>
        <w:pStyle w:val="20"/>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4B1F87CA">
      <w:pPr>
        <w:pStyle w:val="20"/>
        <w:snapToGrid w:val="0"/>
        <w:spacing w:before="120" w:after="120" w:line="360" w:lineRule="auto"/>
        <w:rPr>
          <w:rFonts w:hAnsi="宋体"/>
          <w:b/>
          <w:color w:val="auto"/>
          <w:sz w:val="32"/>
          <w:szCs w:val="32"/>
          <w:highlight w:val="none"/>
          <w:u w:val="single"/>
        </w:rPr>
      </w:pPr>
    </w:p>
    <w:p w14:paraId="58974447">
      <w:pPr>
        <w:pStyle w:val="26"/>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_Toc5488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_Toc5488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453E4B2">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_Toc927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_Toc927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281B966C">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_Toc15377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_Toc15377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27BCA4CA">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_Toc25897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_Toc25897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7EE6BD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_Toc8259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_Toc8259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144AE0F3">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_Toc707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_Toc707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69125E8D">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_Toc15115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_Toc15115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1731AB8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_Toc24904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_Toc24904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4E2D3167">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_Toc30208 </w:instrText>
      </w:r>
      <w:r>
        <w:rPr>
          <w:color w:val="auto"/>
          <w:szCs w:val="30"/>
          <w:highlight w:val="none"/>
        </w:rPr>
        <w:fldChar w:fldCharType="separate"/>
      </w:r>
      <w:r>
        <w:rPr>
          <w:rFonts w:hint="eastAsia" w:ascii="宋体" w:hAnsi="宋体" w:eastAsia="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_Toc30208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4B1B27FD">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_Toc889 </w:instrText>
      </w:r>
      <w:r>
        <w:rPr>
          <w:color w:val="auto"/>
          <w:szCs w:val="30"/>
          <w:highlight w:val="none"/>
        </w:rPr>
        <w:fldChar w:fldCharType="separate"/>
      </w:r>
      <w:r>
        <w:rPr>
          <w:rFonts w:hint="eastAsia" w:ascii="Times New Roman" w:hAnsi="Times New Roman" w:eastAsia="宋体" w:cs="Times New Roman"/>
          <w:color w:val="auto"/>
          <w:highlight w:val="none"/>
          <w:lang w:val="en-US" w:eastAsia="zh-CN"/>
        </w:rPr>
        <w:t>第三章  招标项目要求</w:t>
      </w:r>
      <w:r>
        <w:rPr>
          <w:color w:val="auto"/>
          <w:highlight w:val="none"/>
        </w:rPr>
        <w:tab/>
      </w:r>
      <w:r>
        <w:rPr>
          <w:color w:val="auto"/>
          <w:highlight w:val="none"/>
        </w:rPr>
        <w:fldChar w:fldCharType="begin"/>
      </w:r>
      <w:r>
        <w:rPr>
          <w:color w:val="auto"/>
          <w:highlight w:val="none"/>
        </w:rPr>
        <w:instrText xml:space="preserve"> PAGEREF _Toc889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1B46667A">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_Toc4700 </w:instrText>
      </w:r>
      <w:r>
        <w:rPr>
          <w:color w:val="auto"/>
          <w:szCs w:val="30"/>
          <w:highlight w:val="none"/>
        </w:rPr>
        <w:fldChar w:fldCharType="separate"/>
      </w:r>
      <w:r>
        <w:rPr>
          <w:rFonts w:hint="eastAsia" w:hAnsi="宋体"/>
          <w:bCs/>
          <w:color w:val="auto"/>
          <w:highlight w:val="none"/>
        </w:rPr>
        <w:t>一、</w:t>
      </w:r>
      <w:r>
        <w:rPr>
          <w:rFonts w:hint="eastAsia" w:hAnsi="宋体"/>
          <w:bCs/>
          <w:color w:val="auto"/>
          <w:highlight w:val="none"/>
          <w:lang w:val="en-US" w:eastAsia="zh-CN"/>
        </w:rPr>
        <w:t>项目具体要求</w:t>
      </w:r>
      <w:r>
        <w:rPr>
          <w:color w:val="auto"/>
          <w:highlight w:val="none"/>
        </w:rPr>
        <w:tab/>
      </w:r>
      <w:r>
        <w:rPr>
          <w:color w:val="auto"/>
          <w:highlight w:val="none"/>
        </w:rPr>
        <w:fldChar w:fldCharType="begin"/>
      </w:r>
      <w:r>
        <w:rPr>
          <w:color w:val="auto"/>
          <w:highlight w:val="none"/>
        </w:rPr>
        <w:instrText xml:space="preserve"> PAGEREF _Toc4700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08F583F6">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_Toc12602 </w:instrText>
      </w:r>
      <w:r>
        <w:rPr>
          <w:color w:val="auto"/>
          <w:szCs w:val="30"/>
          <w:highlight w:val="none"/>
        </w:rPr>
        <w:fldChar w:fldCharType="separate"/>
      </w:r>
      <w:r>
        <w:rPr>
          <w:rFonts w:hint="eastAsia" w:ascii="宋体" w:hAnsi="宋体" w:eastAsia="宋体" w:cs="宋体"/>
          <w:bCs/>
          <w:color w:val="auto"/>
          <w:kern w:val="2"/>
          <w:szCs w:val="21"/>
          <w:highlight w:val="none"/>
          <w:lang w:val="en-US" w:eastAsia="zh-CN" w:bidi="ar-SA"/>
        </w:rPr>
        <w:t>二、</w:t>
      </w:r>
      <w:r>
        <w:rPr>
          <w:rFonts w:hint="eastAsia" w:ascii="宋体" w:hAnsi="宋体" w:eastAsia="宋体" w:cs="宋体"/>
          <w:bCs/>
          <w:color w:val="auto"/>
          <w:szCs w:val="21"/>
          <w:highlight w:val="none"/>
        </w:rPr>
        <w:t>技术参数</w:t>
      </w:r>
      <w:r>
        <w:rPr>
          <w:color w:val="auto"/>
          <w:highlight w:val="none"/>
        </w:rPr>
        <w:tab/>
      </w:r>
      <w:r>
        <w:rPr>
          <w:color w:val="auto"/>
          <w:highlight w:val="none"/>
        </w:rPr>
        <w:fldChar w:fldCharType="begin"/>
      </w:r>
      <w:r>
        <w:rPr>
          <w:color w:val="auto"/>
          <w:highlight w:val="none"/>
        </w:rPr>
        <w:instrText xml:space="preserve"> PAGEREF _Toc12602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7CFA8F13">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_Toc23994 </w:instrText>
      </w:r>
      <w:r>
        <w:rPr>
          <w:color w:val="auto"/>
          <w:szCs w:val="30"/>
          <w:highlight w:val="none"/>
        </w:rPr>
        <w:fldChar w:fldCharType="separate"/>
      </w:r>
      <w:r>
        <w:rPr>
          <w:rFonts w:hint="eastAsia" w:ascii="Times New Roman" w:hAnsi="Times New Roman" w:eastAsia="宋体" w:cs="宋体"/>
          <w:bCs/>
          <w:color w:val="auto"/>
          <w:szCs w:val="21"/>
          <w:highlight w:val="none"/>
          <w:lang w:val="en-US" w:eastAsia="zh-CN"/>
        </w:rPr>
        <w:t>三、</w:t>
      </w:r>
      <w:r>
        <w:rPr>
          <w:rFonts w:ascii="Times New Roman" w:hAnsi="Times New Roman" w:eastAsia="宋体" w:cs="宋体"/>
          <w:bCs/>
          <w:color w:val="auto"/>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_Toc23994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31A832C5">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_Toc14811 </w:instrText>
      </w:r>
      <w:r>
        <w:rPr>
          <w:color w:val="auto"/>
          <w:szCs w:val="30"/>
          <w:highlight w:val="none"/>
        </w:rPr>
        <w:fldChar w:fldCharType="separate"/>
      </w:r>
      <w:r>
        <w:rPr>
          <w:rFonts w:hint="eastAsia" w:ascii="Times New Roman" w:hAnsi="Times New Roman" w:eastAsia="宋体" w:cs="宋体"/>
          <w:bCs/>
          <w:color w:val="auto"/>
          <w:szCs w:val="21"/>
          <w:highlight w:val="none"/>
        </w:rPr>
        <w:t>四、其它说明</w:t>
      </w:r>
      <w:r>
        <w:rPr>
          <w:color w:val="auto"/>
          <w:highlight w:val="none"/>
        </w:rPr>
        <w:tab/>
      </w:r>
      <w:r>
        <w:rPr>
          <w:color w:val="auto"/>
          <w:highlight w:val="none"/>
        </w:rPr>
        <w:fldChar w:fldCharType="begin"/>
      </w:r>
      <w:r>
        <w:rPr>
          <w:color w:val="auto"/>
          <w:highlight w:val="none"/>
        </w:rPr>
        <w:instrText xml:space="preserve"> PAGEREF _Toc14811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6B91921E">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_Toc18887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_Toc18887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20BC6FB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_Toc4487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_Toc4487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75ECD0C4">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_Toc26217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_Toc26217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33867BD9">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_Toc27471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_Toc27471 \h </w:instrText>
      </w:r>
      <w:r>
        <w:rPr>
          <w:color w:val="auto"/>
          <w:highlight w:val="none"/>
        </w:rPr>
        <w:fldChar w:fldCharType="separate"/>
      </w:r>
      <w:r>
        <w:rPr>
          <w:color w:val="auto"/>
          <w:highlight w:val="none"/>
        </w:rPr>
        <w:t>20</w:t>
      </w:r>
      <w:r>
        <w:rPr>
          <w:color w:val="auto"/>
          <w:highlight w:val="none"/>
        </w:rPr>
        <w:fldChar w:fldCharType="end"/>
      </w:r>
      <w:r>
        <w:rPr>
          <w:color w:val="auto"/>
          <w:szCs w:val="30"/>
          <w:highlight w:val="none"/>
        </w:rPr>
        <w:fldChar w:fldCharType="end"/>
      </w:r>
    </w:p>
    <w:p w14:paraId="29B6A13B">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_Toc31272 </w:instrText>
      </w:r>
      <w:r>
        <w:rPr>
          <w:color w:val="auto"/>
          <w:szCs w:val="30"/>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_Toc31272 \h </w:instrText>
      </w:r>
      <w:r>
        <w:rPr>
          <w:color w:val="auto"/>
          <w:highlight w:val="none"/>
        </w:rPr>
        <w:fldChar w:fldCharType="separate"/>
      </w:r>
      <w:r>
        <w:rPr>
          <w:color w:val="auto"/>
          <w:highlight w:val="none"/>
        </w:rPr>
        <w:t>22</w:t>
      </w:r>
      <w:r>
        <w:rPr>
          <w:color w:val="auto"/>
          <w:highlight w:val="none"/>
        </w:rPr>
        <w:fldChar w:fldCharType="end"/>
      </w:r>
      <w:r>
        <w:rPr>
          <w:color w:val="auto"/>
          <w:szCs w:val="30"/>
          <w:highlight w:val="none"/>
        </w:rPr>
        <w:fldChar w:fldCharType="end"/>
      </w:r>
    </w:p>
    <w:p w14:paraId="120D69C5">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_Toc15470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_Toc15470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538C2E86">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_Toc4831 </w:instrText>
      </w:r>
      <w:r>
        <w:rPr>
          <w:color w:val="auto"/>
          <w:szCs w:val="30"/>
          <w:highlight w:val="none"/>
        </w:rPr>
        <w:fldChar w:fldCharType="separate"/>
      </w:r>
      <w:r>
        <w:rPr>
          <w:rFonts w:hint="eastAsia" w:ascii="宋体" w:hAnsi="宋体" w:eastAsia="宋体" w:cs="宋体"/>
          <w:bCs/>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_Toc4831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6D690F19">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_Toc15023 </w:instrText>
      </w:r>
      <w:r>
        <w:rPr>
          <w:color w:val="auto"/>
          <w:szCs w:val="30"/>
          <w:highlight w:val="none"/>
        </w:rPr>
        <w:fldChar w:fldCharType="separate"/>
      </w:r>
      <w:r>
        <w:rPr>
          <w:rFonts w:hint="eastAsia" w:ascii="宋体" w:hAnsi="宋体" w:eastAsia="宋体" w:cs="宋体"/>
          <w:bCs/>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_Toc15023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466EF19C">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_Toc30980 </w:instrText>
      </w:r>
      <w:r>
        <w:rPr>
          <w:color w:val="auto"/>
          <w:szCs w:val="30"/>
          <w:highlight w:val="none"/>
        </w:rPr>
        <w:fldChar w:fldCharType="separate"/>
      </w:r>
      <w:r>
        <w:rPr>
          <w:rFonts w:hint="eastAsia" w:ascii="宋体" w:hAnsi="宋体" w:eastAsia="宋体" w:cs="宋体"/>
          <w:bCs/>
          <w:color w:val="auto"/>
          <w:szCs w:val="21"/>
          <w:highlight w:val="none"/>
          <w:lang w:val="en-US" w:eastAsia="zh-CN"/>
        </w:rPr>
        <w:t>三、评分细则</w:t>
      </w:r>
      <w:r>
        <w:rPr>
          <w:color w:val="auto"/>
          <w:highlight w:val="none"/>
        </w:rPr>
        <w:tab/>
      </w:r>
      <w:r>
        <w:rPr>
          <w:color w:val="auto"/>
          <w:highlight w:val="none"/>
        </w:rPr>
        <w:fldChar w:fldCharType="begin"/>
      </w:r>
      <w:r>
        <w:rPr>
          <w:color w:val="auto"/>
          <w:highlight w:val="none"/>
        </w:rPr>
        <w:instrText xml:space="preserve"> PAGEREF _Toc30980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74F1ED71">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_Toc14121 </w:instrText>
      </w:r>
      <w:r>
        <w:rPr>
          <w:color w:val="auto"/>
          <w:szCs w:val="30"/>
          <w:highlight w:val="none"/>
        </w:rPr>
        <w:fldChar w:fldCharType="separate"/>
      </w:r>
      <w:r>
        <w:rPr>
          <w:rFonts w:hint="eastAsia" w:hAnsi="宋体" w:cs="宋体"/>
          <w:color w:val="auto"/>
          <w:szCs w:val="24"/>
          <w:highlight w:val="none"/>
        </w:rPr>
        <w:t>四、评标小组不向落标方解释落标原因</w:t>
      </w:r>
      <w:r>
        <w:rPr>
          <w:color w:val="auto"/>
          <w:highlight w:val="none"/>
        </w:rPr>
        <w:tab/>
      </w:r>
      <w:r>
        <w:rPr>
          <w:color w:val="auto"/>
          <w:highlight w:val="none"/>
        </w:rPr>
        <w:fldChar w:fldCharType="begin"/>
      </w:r>
      <w:r>
        <w:rPr>
          <w:color w:val="auto"/>
          <w:highlight w:val="none"/>
        </w:rPr>
        <w:instrText xml:space="preserve"> PAGEREF _Toc14121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699B929E">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_Toc510 </w:instrText>
      </w:r>
      <w:r>
        <w:rPr>
          <w:color w:val="auto"/>
          <w:szCs w:val="30"/>
          <w:highlight w:val="none"/>
        </w:rPr>
        <w:fldChar w:fldCharType="separate"/>
      </w:r>
      <w:r>
        <w:rPr>
          <w:rFonts w:hint="eastAsia" w:ascii="宋体" w:hAnsi="宋体"/>
          <w:color w:val="auto"/>
          <w:szCs w:val="36"/>
          <w:highlight w:val="none"/>
        </w:rPr>
        <w:t>第</w:t>
      </w:r>
      <w:r>
        <w:rPr>
          <w:rFonts w:hint="eastAsia" w:ascii="宋体" w:hAnsi="宋体"/>
          <w:color w:val="auto"/>
          <w:szCs w:val="36"/>
          <w:highlight w:val="none"/>
          <w:lang w:val="en-US" w:eastAsia="zh-CN"/>
        </w:rPr>
        <w:t>七</w:t>
      </w:r>
      <w:r>
        <w:rPr>
          <w:rFonts w:hint="eastAsia" w:ascii="宋体" w:hAnsi="宋体"/>
          <w:color w:val="auto"/>
          <w:szCs w:val="36"/>
          <w:highlight w:val="none"/>
        </w:rPr>
        <w:t>章  合同主要条款</w:t>
      </w:r>
      <w:r>
        <w:rPr>
          <w:color w:val="auto"/>
          <w:highlight w:val="none"/>
        </w:rPr>
        <w:tab/>
      </w:r>
      <w:r>
        <w:rPr>
          <w:color w:val="auto"/>
          <w:highlight w:val="none"/>
        </w:rPr>
        <w:fldChar w:fldCharType="begin"/>
      </w:r>
      <w:r>
        <w:rPr>
          <w:color w:val="auto"/>
          <w:highlight w:val="none"/>
        </w:rPr>
        <w:instrText xml:space="preserve"> PAGEREF _Toc510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47A888BC">
      <w:pPr>
        <w:pStyle w:val="26"/>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_Toc32679 </w:instrText>
      </w:r>
      <w:r>
        <w:rPr>
          <w:color w:val="auto"/>
          <w:szCs w:val="30"/>
          <w:highlight w:val="none"/>
        </w:rPr>
        <w:fldChar w:fldCharType="separate"/>
      </w:r>
      <w:r>
        <w:rPr>
          <w:rFonts w:hint="eastAsia" w:ascii="宋体" w:hAnsi="宋体" w:eastAsia="宋体" w:cs="Times New Roman"/>
          <w:color w:val="auto"/>
          <w:szCs w:val="36"/>
          <w:highlight w:val="none"/>
        </w:rPr>
        <w:t>第</w:t>
      </w:r>
      <w:r>
        <w:rPr>
          <w:rFonts w:hint="eastAsia" w:ascii="宋体" w:hAnsi="宋体" w:cs="Times New Roman"/>
          <w:color w:val="auto"/>
          <w:szCs w:val="36"/>
          <w:highlight w:val="none"/>
          <w:lang w:val="en-US" w:eastAsia="zh-CN"/>
        </w:rPr>
        <w:t>八</w:t>
      </w:r>
      <w:r>
        <w:rPr>
          <w:rFonts w:hint="eastAsia" w:ascii="宋体" w:hAnsi="宋体" w:eastAsia="宋体" w:cs="Times New Roman"/>
          <w:color w:val="auto"/>
          <w:szCs w:val="36"/>
          <w:highlight w:val="none"/>
        </w:rPr>
        <w:t>章  投标文件部分格式</w:t>
      </w:r>
      <w:r>
        <w:rPr>
          <w:color w:val="auto"/>
          <w:highlight w:val="none"/>
        </w:rPr>
        <w:tab/>
      </w:r>
      <w:r>
        <w:rPr>
          <w:color w:val="auto"/>
          <w:highlight w:val="none"/>
        </w:rPr>
        <w:fldChar w:fldCharType="begin"/>
      </w:r>
      <w:r>
        <w:rPr>
          <w:color w:val="auto"/>
          <w:highlight w:val="none"/>
        </w:rPr>
        <w:instrText xml:space="preserve"> PAGEREF _Toc32679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63CC351B">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_Toc25188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_Toc25188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6E5FD980">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_Toc1138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_Toc1138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4B07EF71">
      <w:pPr>
        <w:pStyle w:val="31"/>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_Toc26407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_Toc26407 \h </w:instrText>
      </w:r>
      <w:r>
        <w:rPr>
          <w:color w:val="auto"/>
          <w:highlight w:val="none"/>
        </w:rPr>
        <w:fldChar w:fldCharType="separate"/>
      </w:r>
      <w:r>
        <w:rPr>
          <w:color w:val="auto"/>
          <w:highlight w:val="none"/>
        </w:rPr>
        <w:t>31</w:t>
      </w:r>
      <w:r>
        <w:rPr>
          <w:color w:val="auto"/>
          <w:highlight w:val="none"/>
        </w:rPr>
        <w:fldChar w:fldCharType="end"/>
      </w:r>
      <w:r>
        <w:rPr>
          <w:color w:val="auto"/>
          <w:szCs w:val="30"/>
          <w:highlight w:val="none"/>
        </w:rPr>
        <w:fldChar w:fldCharType="end"/>
      </w:r>
    </w:p>
    <w:p w14:paraId="4D4F5718">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7AE7B2EF">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5488"/>
      <w:bookmarkStart w:id="1" w:name="_Toc1340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44371603">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45C2EB72">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cs="宋体"/>
          <w:b w:val="0"/>
          <w:bCs/>
          <w:color w:val="auto"/>
          <w:highlight w:val="none"/>
        </w:rPr>
        <w:t>YWYGZC202510CG0022</w:t>
      </w:r>
      <w:r>
        <w:rPr>
          <w:rFonts w:hint="eastAsia" w:ascii="宋体" w:hAnsi="宋体" w:cs="宋体"/>
          <w:b w:val="0"/>
          <w:bCs/>
          <w:color w:val="auto"/>
          <w:highlight w:val="none"/>
          <w:lang w:eastAsia="zh-CN"/>
        </w:rPr>
        <w:t>（</w:t>
      </w:r>
      <w:r>
        <w:rPr>
          <w:rFonts w:hint="eastAsia" w:ascii="宋体" w:hAnsi="宋体" w:cs="宋体"/>
          <w:b w:val="0"/>
          <w:bCs/>
          <w:color w:val="auto"/>
          <w:highlight w:val="none"/>
        </w:rPr>
        <w:t>YCQ-2025-CG2</w:t>
      </w:r>
      <w:r>
        <w:rPr>
          <w:rFonts w:hint="eastAsia" w:ascii="宋体" w:hAnsi="宋体" w:cs="宋体"/>
          <w:b w:val="0"/>
          <w:bCs/>
          <w:color w:val="auto"/>
          <w:highlight w:val="none"/>
          <w:lang w:val="en-US" w:eastAsia="zh-CN"/>
        </w:rPr>
        <w:t>55</w:t>
      </w:r>
      <w:r>
        <w:rPr>
          <w:rFonts w:hint="eastAsia" w:ascii="宋体" w:hAnsi="宋体" w:cs="宋体"/>
          <w:b w:val="0"/>
          <w:bCs/>
          <w:color w:val="auto"/>
          <w:highlight w:val="none"/>
          <w:lang w:eastAsia="zh-CN"/>
        </w:rPr>
        <w:t>）</w:t>
      </w:r>
      <w:r>
        <w:rPr>
          <w:rFonts w:hint="eastAsia" w:ascii="宋体" w:hAnsi="宋体" w:cs="宋体"/>
          <w:b w:val="0"/>
          <w:bCs/>
          <w:color w:val="auto"/>
          <w:highlight w:val="none"/>
        </w:rPr>
        <w:t xml:space="preserve"> </w:t>
      </w:r>
      <w:r>
        <w:rPr>
          <w:rFonts w:hint="eastAsia" w:ascii="宋体" w:hAnsi="宋体" w:cs="宋体"/>
          <w:b/>
          <w:bCs w:val="0"/>
          <w:color w:val="auto"/>
          <w:highlight w:val="none"/>
        </w:rPr>
        <w:t xml:space="preserve"> </w:t>
      </w:r>
    </w:p>
    <w:p w14:paraId="2D1F3F80">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color w:val="auto"/>
          <w:highlight w:val="none"/>
          <w:lang w:eastAsia="zh-CN"/>
        </w:rPr>
        <w:t>浙江义乌市自来水有限公司</w:t>
      </w:r>
      <w:r>
        <w:rPr>
          <w:rFonts w:hint="eastAsia" w:ascii="宋体" w:hAnsi="宋体"/>
          <w:color w:val="auto"/>
          <w:highlight w:val="none"/>
          <w:lang w:val="en-US" w:eastAsia="zh-CN"/>
        </w:rPr>
        <w:t>2025年</w:t>
      </w:r>
      <w:r>
        <w:rPr>
          <w:rFonts w:hint="eastAsia" w:ascii="宋体" w:hAnsi="宋体"/>
          <w:color w:val="auto"/>
          <w:highlight w:val="none"/>
          <w:lang w:eastAsia="zh-CN"/>
        </w:rPr>
        <w:t>分区计量装置采购项目，具体详见第三章招标项目要求。</w:t>
      </w:r>
    </w:p>
    <w:p w14:paraId="5F3455D2">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ascii="宋体" w:hAnsi="宋体" w:cs="宋体"/>
          <w:b/>
          <w:bCs/>
          <w:color w:val="auto"/>
          <w:highlight w:val="none"/>
        </w:rPr>
        <w:t>采购预算价</w:t>
      </w:r>
      <w:r>
        <w:rPr>
          <w:rFonts w:hint="eastAsia" w:ascii="宋体" w:hAnsi="宋体" w:cs="宋体"/>
          <w:color w:val="auto"/>
          <w:highlight w:val="none"/>
        </w:rPr>
        <w:t>：</w:t>
      </w:r>
      <w:r>
        <w:rPr>
          <w:rFonts w:hint="eastAsia" w:ascii="宋体" w:hAnsi="宋体" w:cs="宋体"/>
          <w:color w:val="auto"/>
          <w:highlight w:val="none"/>
          <w:lang w:val="en-US" w:eastAsia="zh-CN"/>
        </w:rPr>
        <w:t>预算1488017元</w:t>
      </w:r>
      <w:r>
        <w:rPr>
          <w:rFonts w:hint="eastAsia" w:ascii="宋体" w:hAnsi="宋体" w:cs="宋体"/>
          <w:color w:val="auto"/>
          <w:highlight w:val="none"/>
        </w:rPr>
        <w:t>，</w:t>
      </w:r>
      <w:r>
        <w:rPr>
          <w:rFonts w:hint="eastAsia" w:ascii="宋体" w:hAnsi="宋体" w:cs="宋体"/>
          <w:color w:val="auto"/>
          <w:highlight w:val="none"/>
          <w:lang w:val="en-US" w:eastAsia="zh-CN"/>
        </w:rPr>
        <w:t>超过采购预算及最高限价单价为无效标。</w:t>
      </w:r>
      <w:r>
        <w:rPr>
          <w:rFonts w:hint="eastAsia" w:ascii="宋体" w:hAnsi="宋体" w:cs="宋体"/>
          <w:color w:val="auto"/>
          <w:highlight w:val="none"/>
          <w:lang w:val="en-US" w:eastAsia="zh-CN"/>
        </w:rPr>
        <w:t>最高限价单价：详见第三章招标内容与要求。</w:t>
      </w:r>
    </w:p>
    <w:p w14:paraId="1E3D1AD6">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19BE9725">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①具有独立企业法人资格的生产厂家且营业执照中规定的经营范围包含投标产品生产销售</w:t>
      </w:r>
      <w:r>
        <w:rPr>
          <w:rFonts w:hint="eastAsia" w:ascii="宋体" w:hAnsi="宋体" w:cs="宋体"/>
          <w:color w:val="auto"/>
          <w:highlight w:val="none"/>
          <w:lang w:eastAsia="zh-CN"/>
        </w:rPr>
        <w:t>；</w:t>
      </w:r>
    </w:p>
    <w:p w14:paraId="2F0958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参加采购活动前三年内无重大违法经营活动，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203495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 3 \* GB3 </w:instrText>
      </w:r>
      <w:r>
        <w:rPr>
          <w:rFonts w:hint="eastAsia" w:ascii="宋体" w:hAnsi="宋体" w:cs="宋体"/>
          <w:color w:val="auto"/>
          <w:highlight w:val="none"/>
        </w:rPr>
        <w:fldChar w:fldCharType="separate"/>
      </w:r>
      <w:r>
        <w:rPr>
          <w:rFonts w:hint="eastAsia" w:ascii="宋体" w:hAnsi="宋体" w:cs="宋体"/>
          <w:color w:val="auto"/>
          <w:highlight w:val="none"/>
        </w:rPr>
        <w:t>③</w:t>
      </w:r>
      <w:r>
        <w:rPr>
          <w:rFonts w:hint="eastAsia" w:ascii="宋体" w:hAnsi="宋体" w:cs="宋体"/>
          <w:color w:val="auto"/>
          <w:highlight w:val="none"/>
        </w:rPr>
        <w:fldChar w:fldCharType="end"/>
      </w:r>
      <w:r>
        <w:rPr>
          <w:rFonts w:hint="eastAsia" w:ascii="宋体" w:hAnsi="宋体" w:cs="宋体"/>
          <w:color w:val="auto"/>
          <w:highlight w:val="none"/>
        </w:rPr>
        <w:t>根据《浙江省公共信用信息管理条例》第二十六条的规定，未列入严重失信名单的（查询结果以开标当日网站页面显示为准）；</w:t>
      </w:r>
    </w:p>
    <w:p w14:paraId="47FA5B67">
      <w:pPr>
        <w:spacing w:line="360" w:lineRule="auto"/>
        <w:ind w:firstLine="420" w:firstLineChars="200"/>
        <w:rPr>
          <w:rFonts w:hint="eastAsia"/>
          <w:color w:val="auto"/>
          <w:highlight w:val="none"/>
        </w:rPr>
      </w:pPr>
      <w:r>
        <w:rPr>
          <w:rFonts w:hint="eastAsia" w:ascii="宋体" w:hAnsi="宋体" w:cs="宋体"/>
          <w:color w:val="auto"/>
          <w:szCs w:val="21"/>
          <w:highlight w:val="none"/>
        </w:rPr>
        <w:t>④</w:t>
      </w:r>
      <w:r>
        <w:rPr>
          <w:rFonts w:hint="eastAsia" w:ascii="宋体" w:hAnsi="宋体" w:cs="宋体"/>
          <w:color w:val="auto"/>
          <w:highlight w:val="none"/>
        </w:rPr>
        <w:t>信誉要求：投标人自202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起到中标候选人公告期结束前无行贿犯罪记录（评标结束后，由采购人通过中国裁判文书网（http://wenshu.court.gov.cn/）按照招标文件约定对中标候选人及其拟派项目负责人的行贿犯罪记录进行查询，查询结果以网站页面显示内容为准）；</w:t>
      </w:r>
    </w:p>
    <w:p w14:paraId="1BB55503">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⑤</w:t>
      </w:r>
      <w:r>
        <w:rPr>
          <w:rFonts w:hint="eastAsia" w:ascii="宋体" w:hAnsi="宋体" w:cs="宋体"/>
          <w:color w:val="auto"/>
          <w:highlight w:val="none"/>
        </w:rPr>
        <w:t>本项目不得转包（如有转包，终止合同），不接受联合体投标。</w:t>
      </w:r>
    </w:p>
    <w:p w14:paraId="3F4DD756">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2BD85BD4">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7BEC875E">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451A36FF">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386968A1">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1D99EFDF">
      <w:pPr>
        <w:pageBreakBefore w:val="0"/>
        <w:widowControl w:val="0"/>
        <w:numPr>
          <w:ilvl w:val="0"/>
          <w:numId w:val="3"/>
        </w:numPr>
        <w:kinsoku/>
        <w:wordWrap/>
        <w:overflowPunct/>
        <w:topLinePunct w:val="0"/>
        <w:autoSpaceDE/>
        <w:autoSpaceDN/>
        <w:bidi w:val="0"/>
        <w:spacing w:line="360" w:lineRule="auto"/>
        <w:ind w:left="0" w:leftChars="0" w:firstLine="422" w:firstLineChars="20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11月10日17:00</w:t>
      </w:r>
      <w:r>
        <w:rPr>
          <w:rFonts w:hint="eastAsia" w:ascii="宋体" w:hAnsi="宋体" w:cs="宋体"/>
          <w:color w:val="auto"/>
          <w:highlight w:val="none"/>
        </w:rPr>
        <w:t>前以书面形式向采购人和采购代理机构提出质疑。质疑以书面方式分别提交至</w:t>
      </w:r>
      <w:r>
        <w:rPr>
          <w:rFonts w:hint="eastAsia" w:ascii="宋体" w:hAnsi="宋体" w:cs="宋体"/>
          <w:color w:val="auto"/>
          <w:highlight w:val="none"/>
          <w:lang w:eastAsia="zh-CN"/>
        </w:rPr>
        <w:t>浙江义乌市自来水有限公司：宣先生（13957908348）</w:t>
      </w:r>
      <w:r>
        <w:rPr>
          <w:rFonts w:hint="eastAsia" w:ascii="宋体" w:hAnsi="宋体" w:cs="宋体"/>
          <w:bCs/>
          <w:color w:val="auto"/>
          <w:highlight w:val="none"/>
        </w:rPr>
        <w:t>和义乌产权交易所有限公司：</w:t>
      </w:r>
      <w:r>
        <w:rPr>
          <w:rFonts w:hint="eastAsia" w:ascii="宋体" w:hAnsi="宋体" w:cs="宋体"/>
          <w:bCs/>
          <w:color w:val="auto"/>
          <w:highlight w:val="none"/>
          <w:lang w:val="en-US" w:eastAsia="zh-CN"/>
        </w:rPr>
        <w:t>王女士</w:t>
      </w:r>
      <w:r>
        <w:rPr>
          <w:rFonts w:hint="eastAsia" w:ascii="宋体" w:hAnsi="宋体" w:cs="宋体"/>
          <w:bCs/>
          <w:color w:val="auto"/>
          <w:highlight w:val="none"/>
        </w:rPr>
        <w:t>（0579-8990</w:t>
      </w:r>
      <w:r>
        <w:rPr>
          <w:rFonts w:hint="eastAsia" w:ascii="宋体" w:hAnsi="宋体" w:cs="宋体"/>
          <w:bCs/>
          <w:color w:val="auto"/>
          <w:highlight w:val="none"/>
          <w:lang w:val="en-US" w:eastAsia="zh-CN"/>
        </w:rPr>
        <w:t>3039</w:t>
      </w:r>
      <w:r>
        <w:rPr>
          <w:rFonts w:hint="eastAsia" w:ascii="宋体" w:hAnsi="宋体" w:cs="宋体"/>
          <w:color w:val="auto"/>
          <w:highlight w:val="none"/>
        </w:rPr>
        <w:t>，ywcqztb001@ywcq.com），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w:t>
      </w:r>
      <w:r>
        <w:rPr>
          <w:rFonts w:hint="eastAsia" w:ascii="宋体" w:hAnsi="宋体" w:cs="宋体"/>
          <w:color w:val="auto"/>
          <w:highlight w:val="none"/>
          <w:lang w:val="en-US" w:eastAsia="zh-CN"/>
        </w:rPr>
        <w:t>56</w:t>
      </w:r>
      <w:r>
        <w:rPr>
          <w:rFonts w:hint="eastAsia" w:ascii="宋体" w:hAnsi="宋体" w:cs="宋体"/>
          <w:color w:val="auto"/>
          <w:highlight w:val="none"/>
        </w:rPr>
        <w:t>。</w:t>
      </w:r>
    </w:p>
    <w:p w14:paraId="061C89A5">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3768DBAF">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①提交投标文件截止时间：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11月21日13:30</w:t>
      </w:r>
      <w:r>
        <w:rPr>
          <w:rFonts w:hint="eastAsia" w:ascii="宋体" w:hAnsi="宋体" w:eastAsia="宋体" w:cs="宋体"/>
          <w:color w:val="auto"/>
          <w:highlight w:val="none"/>
        </w:rPr>
        <w:t>（北京时间）</w:t>
      </w:r>
    </w:p>
    <w:p w14:paraId="0100B0E3">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rPr>
        <w:t>②投标地点：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5B2B7932">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rPr>
        <w:t>③开标时间：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11月21日13:30</w:t>
      </w:r>
    </w:p>
    <w:p w14:paraId="1B79863D">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rPr>
        <w:t>④开标地点：“义乌市阳光招标采购平台”（www.ywygzc.com）</w:t>
      </w:r>
    </w:p>
    <w:p w14:paraId="57F2875F">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13AA1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目前“义乌市阳光招标采购平台”仅支持天谷CA锁）】。因未注册入库、未办理CA数字证书等原因造成无法投标或投标失败等后果由供应商自行承担。</w:t>
      </w:r>
    </w:p>
    <w:p w14:paraId="549E9EA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6EFED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③投标文件上传：投标人应在投标截止时间（</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11月21日13:30</w:t>
      </w:r>
      <w:r>
        <w:rPr>
          <w:rFonts w:hint="eastAsia" w:ascii="Times New Roman" w:hAnsi="宋体" w:eastAsia="宋体" w:cs="Times New Roman"/>
          <w:b w:val="0"/>
          <w:bCs/>
          <w:color w:val="auto"/>
          <w:highlight w:val="none"/>
          <w:lang w:val="zh-CN"/>
        </w:rPr>
        <w:t>）之前上传投标文件。</w:t>
      </w:r>
    </w:p>
    <w:p w14:paraId="3DE14F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BE2A71B">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6A97861">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68431D04">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1858FC82">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0E3EE795">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7550D7CE">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2EC26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56BD1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⑤参与在线投标时如遇平台技术问题详询：0579-89920081 ，电子投标制作问题详询：陶小姐0579－8990</w:t>
      </w:r>
      <w:r>
        <w:rPr>
          <w:rFonts w:hint="eastAsia" w:ascii="Times New Roman" w:hAnsi="宋体" w:eastAsia="宋体" w:cs="Times New Roman"/>
          <w:b w:val="0"/>
          <w:bCs/>
          <w:color w:val="auto"/>
          <w:highlight w:val="none"/>
          <w:lang w:val="en-US" w:eastAsia="zh-CN"/>
        </w:rPr>
        <w:t>6887</w:t>
      </w:r>
      <w:r>
        <w:rPr>
          <w:rFonts w:hint="eastAsia" w:ascii="Times New Roman" w:hAnsi="宋体" w:eastAsia="宋体" w:cs="Times New Roman"/>
          <w:b w:val="0"/>
          <w:bCs/>
          <w:color w:val="auto"/>
          <w:highlight w:val="none"/>
          <w:lang w:val="zh-CN"/>
        </w:rPr>
        <w:t>。</w:t>
      </w:r>
    </w:p>
    <w:p w14:paraId="4ED817BB">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62B21EA9">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3817E399">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Times New Roman" w:hAnsi="Times New Roman" w:eastAsia="宋体"/>
          <w:color w:val="auto"/>
          <w:sz w:val="21"/>
          <w:highlight w:val="none"/>
        </w:rPr>
      </w:pPr>
      <w:r>
        <w:rPr>
          <w:rFonts w:hint="eastAsia" w:ascii="Times New Roman" w:hAnsi="Times New Roman" w:eastAsia="宋体"/>
          <w:color w:val="auto"/>
          <w:sz w:val="21"/>
          <w:highlight w:val="none"/>
        </w:rPr>
        <w:t>浙江义乌市自来水有限公司：宣先生 13957908348</w:t>
      </w:r>
    </w:p>
    <w:p w14:paraId="03D87252">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olor w:val="auto"/>
          <w:sz w:val="21"/>
          <w:highlight w:val="none"/>
        </w:rPr>
        <w:t>义乌产权交易所有限公司：</w:t>
      </w:r>
      <w:r>
        <w:rPr>
          <w:rFonts w:hint="eastAsia" w:ascii="Times New Roman" w:hAnsi="Times New Roman" w:eastAsia="宋体" w:cs="宋体"/>
          <w:color w:val="auto"/>
          <w:sz w:val="21"/>
          <w:szCs w:val="21"/>
          <w:highlight w:val="none"/>
          <w:lang w:val="en-US" w:eastAsia="zh-CN"/>
        </w:rPr>
        <w:t xml:space="preserve">陶女士 </w:t>
      </w:r>
      <w:r>
        <w:rPr>
          <w:rFonts w:hint="eastAsia" w:ascii="Times New Roman" w:hAnsi="Times New Roman" w:eastAsia="宋体" w:cs="宋体"/>
          <w:color w:val="auto"/>
          <w:sz w:val="21"/>
          <w:szCs w:val="21"/>
          <w:highlight w:val="none"/>
        </w:rPr>
        <w:t>0579</w:t>
      </w:r>
      <w:r>
        <w:rPr>
          <w:rFonts w:hint="eastAsia" w:cs="宋体"/>
          <w:color w:val="auto"/>
          <w:sz w:val="21"/>
          <w:szCs w:val="21"/>
          <w:highlight w:val="none"/>
          <w:lang w:val="en-US" w:eastAsia="zh-CN"/>
        </w:rPr>
        <w:t>-</w:t>
      </w:r>
      <w:r>
        <w:rPr>
          <w:rFonts w:hint="eastAsia" w:ascii="Times New Roman" w:hAnsi="Times New Roman" w:eastAsia="宋体" w:cs="宋体"/>
          <w:color w:val="auto"/>
          <w:sz w:val="21"/>
          <w:szCs w:val="21"/>
          <w:highlight w:val="none"/>
          <w:lang w:val="en-US" w:eastAsia="zh-CN"/>
        </w:rPr>
        <w:t>89906887</w:t>
      </w:r>
    </w:p>
    <w:p w14:paraId="53EF4A13">
      <w:pPr>
        <w:pStyle w:val="20"/>
        <w:pageBreakBefore w:val="0"/>
        <w:widowControl w:val="0"/>
        <w:kinsoku/>
        <w:wordWrap/>
        <w:overflowPunct/>
        <w:topLinePunct w:val="0"/>
        <w:autoSpaceDE/>
        <w:autoSpaceDN/>
        <w:bidi w:val="0"/>
        <w:spacing w:line="360" w:lineRule="auto"/>
        <w:ind w:left="420"/>
        <w:jc w:val="left"/>
        <w:textAlignment w:val="auto"/>
        <w:rPr>
          <w:rFonts w:hint="eastAsia" w:hAnsi="宋体"/>
          <w:color w:val="auto"/>
          <w:highlight w:val="none"/>
        </w:rPr>
      </w:pPr>
    </w:p>
    <w:p w14:paraId="43C05EDD">
      <w:pPr>
        <w:pStyle w:val="20"/>
        <w:pageBreakBefore w:val="0"/>
        <w:widowControl w:val="0"/>
        <w:kinsoku/>
        <w:wordWrap/>
        <w:overflowPunct/>
        <w:topLinePunct w:val="0"/>
        <w:autoSpaceDE/>
        <w:autoSpaceDN/>
        <w:bidi w:val="0"/>
        <w:adjustRightInd w:val="0"/>
        <w:snapToGrid w:val="0"/>
        <w:spacing w:line="360" w:lineRule="auto"/>
        <w:textAlignment w:val="auto"/>
        <w:rPr>
          <w:rFonts w:cs="宋体"/>
          <w:color w:val="auto"/>
          <w:highlight w:val="none"/>
          <w:lang w:val="zh-CN"/>
        </w:rPr>
      </w:pPr>
    </w:p>
    <w:p w14:paraId="79D45F4D">
      <w:pPr>
        <w:pStyle w:val="2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宋体"/>
          <w:color w:val="auto"/>
          <w:highlight w:val="none"/>
          <w:lang w:val="zh-CN"/>
        </w:rPr>
      </w:pPr>
    </w:p>
    <w:p w14:paraId="01593206">
      <w:pPr>
        <w:pStyle w:val="2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p>
    <w:p w14:paraId="17A5A258">
      <w:pPr>
        <w:pStyle w:val="20"/>
        <w:pageBreakBefore w:val="0"/>
        <w:widowControl w:val="0"/>
        <w:kinsoku/>
        <w:wordWrap/>
        <w:overflowPunct/>
        <w:topLinePunct w:val="0"/>
        <w:autoSpaceDE/>
        <w:autoSpaceDN/>
        <w:bidi w:val="0"/>
        <w:adjustRightInd w:val="0"/>
        <w:snapToGrid w:val="0"/>
        <w:spacing w:line="360" w:lineRule="auto"/>
        <w:jc w:val="right"/>
        <w:textAlignment w:val="auto"/>
        <w:rPr>
          <w:rFonts w:hint="eastAsia" w:hAnsi="宋体"/>
          <w:color w:val="auto"/>
          <w:highlight w:val="none"/>
          <w:lang w:eastAsia="zh-CN"/>
        </w:rPr>
      </w:pPr>
      <w:r>
        <w:rPr>
          <w:rFonts w:hint="eastAsia" w:hAnsi="宋体"/>
          <w:color w:val="auto"/>
          <w:highlight w:val="none"/>
          <w:lang w:eastAsia="zh-CN"/>
        </w:rPr>
        <w:t>浙江义乌市自来水有限公司</w:t>
      </w:r>
    </w:p>
    <w:p w14:paraId="112E0465">
      <w:pPr>
        <w:pStyle w:val="20"/>
        <w:pageBreakBefore w:val="0"/>
        <w:widowControl w:val="0"/>
        <w:kinsoku/>
        <w:wordWrap/>
        <w:overflowPunct/>
        <w:topLinePunct w:val="0"/>
        <w:autoSpaceDE/>
        <w:autoSpaceDN/>
        <w:bidi w:val="0"/>
        <w:adjustRightInd w:val="0"/>
        <w:snapToGrid w:val="0"/>
        <w:spacing w:line="360" w:lineRule="auto"/>
        <w:jc w:val="right"/>
        <w:textAlignment w:val="auto"/>
        <w:rPr>
          <w:rFonts w:hAnsi="宋体"/>
          <w:color w:val="auto"/>
          <w:highlight w:val="none"/>
        </w:rPr>
      </w:pPr>
      <w:r>
        <w:rPr>
          <w:rFonts w:hint="eastAsia" w:hAnsi="宋体"/>
          <w:color w:val="auto"/>
          <w:highlight w:val="none"/>
        </w:rPr>
        <w:t>义乌产权交易所有限公司</w:t>
      </w:r>
    </w:p>
    <w:p w14:paraId="0109A9BB">
      <w:pPr>
        <w:pStyle w:val="20"/>
        <w:pageBreakBefore w:val="0"/>
        <w:widowControl w:val="0"/>
        <w:kinsoku/>
        <w:wordWrap/>
        <w:overflowPunct/>
        <w:topLinePunct w:val="0"/>
        <w:autoSpaceDE/>
        <w:autoSpaceDN/>
        <w:bidi w:val="0"/>
        <w:adjustRightInd w:val="0"/>
        <w:snapToGrid w:val="0"/>
        <w:spacing w:line="360" w:lineRule="auto"/>
        <w:jc w:val="right"/>
        <w:textAlignment w:val="auto"/>
        <w:rPr>
          <w:rFonts w:hint="eastAsia" w:hAnsi="宋体"/>
          <w:color w:val="auto"/>
          <w:sz w:val="24"/>
          <w:highlight w:val="none"/>
        </w:rPr>
      </w:pPr>
      <w:r>
        <w:rPr>
          <w:rFonts w:hint="eastAsia" w:hAnsi="宋体"/>
          <w:color w:val="auto"/>
          <w:highlight w:val="none"/>
          <w:lang w:val="en-US" w:eastAsia="zh-CN"/>
        </w:rPr>
        <w:t>2025</w:t>
      </w:r>
      <w:r>
        <w:rPr>
          <w:rFonts w:hint="eastAsia" w:hAnsi="宋体"/>
          <w:color w:val="auto"/>
          <w:highlight w:val="none"/>
        </w:rPr>
        <w:t>年</w:t>
      </w:r>
      <w:r>
        <w:rPr>
          <w:rFonts w:hint="eastAsia" w:hAnsi="宋体"/>
          <w:color w:val="auto"/>
          <w:highlight w:val="none"/>
          <w:lang w:val="en-US" w:eastAsia="zh-CN"/>
        </w:rPr>
        <w:t>10</w:t>
      </w:r>
      <w:r>
        <w:rPr>
          <w:rFonts w:hint="eastAsia" w:ascii="宋体" w:hAnsi="宋体" w:eastAsia="宋体" w:cs="宋体"/>
          <w:color w:val="auto"/>
          <w:highlight w:val="none"/>
          <w:lang w:eastAsia="zh-CN"/>
        </w:rPr>
        <w:t>月</w:t>
      </w:r>
      <w:r>
        <w:rPr>
          <w:rFonts w:hint="eastAsia" w:hAnsi="宋体" w:cs="宋体"/>
          <w:color w:val="auto"/>
          <w:highlight w:val="none"/>
          <w:lang w:val="en-US" w:eastAsia="zh-CN"/>
        </w:rPr>
        <w:t>31</w:t>
      </w:r>
      <w:r>
        <w:rPr>
          <w:rFonts w:hint="eastAsia" w:ascii="宋体" w:hAnsi="宋体" w:eastAsia="宋体" w:cs="宋体"/>
          <w:color w:val="auto"/>
          <w:highlight w:val="none"/>
          <w:lang w:eastAsia="zh-CN"/>
        </w:rPr>
        <w:t>日</w:t>
      </w:r>
    </w:p>
    <w:p w14:paraId="0EB8E98D">
      <w:pPr>
        <w:pStyle w:val="20"/>
        <w:adjustRightInd w:val="0"/>
        <w:snapToGrid w:val="0"/>
        <w:spacing w:line="360" w:lineRule="auto"/>
        <w:jc w:val="right"/>
        <w:rPr>
          <w:rFonts w:hint="eastAsia" w:hAnsi="宋体"/>
          <w:color w:val="auto"/>
          <w:sz w:val="24"/>
          <w:highlight w:val="none"/>
        </w:rPr>
      </w:pPr>
    </w:p>
    <w:p w14:paraId="6C4127D9">
      <w:pPr>
        <w:pStyle w:val="20"/>
        <w:adjustRightInd w:val="0"/>
        <w:snapToGrid w:val="0"/>
        <w:spacing w:line="360" w:lineRule="auto"/>
        <w:jc w:val="right"/>
        <w:rPr>
          <w:rFonts w:hint="eastAsia" w:hAnsi="宋体"/>
          <w:color w:val="auto"/>
          <w:sz w:val="24"/>
          <w:highlight w:val="none"/>
        </w:rPr>
      </w:pPr>
    </w:p>
    <w:p w14:paraId="3A095AD1">
      <w:pPr>
        <w:pStyle w:val="20"/>
        <w:adjustRightInd w:val="0"/>
        <w:snapToGrid w:val="0"/>
        <w:spacing w:line="400" w:lineRule="exact"/>
        <w:jc w:val="right"/>
        <w:rPr>
          <w:rFonts w:hint="eastAsia" w:hAnsi="宋体"/>
          <w:color w:val="auto"/>
          <w:sz w:val="24"/>
          <w:highlight w:val="none"/>
        </w:rPr>
      </w:pPr>
    </w:p>
    <w:p w14:paraId="4FB8455C">
      <w:pPr>
        <w:pStyle w:val="20"/>
        <w:adjustRightInd w:val="0"/>
        <w:snapToGrid w:val="0"/>
        <w:spacing w:line="400" w:lineRule="exact"/>
        <w:jc w:val="right"/>
        <w:rPr>
          <w:rFonts w:hint="eastAsia" w:hAnsi="宋体"/>
          <w:color w:val="auto"/>
          <w:sz w:val="24"/>
          <w:highlight w:val="none"/>
        </w:rPr>
      </w:pPr>
    </w:p>
    <w:p w14:paraId="3E1F1515">
      <w:pPr>
        <w:pStyle w:val="20"/>
        <w:adjustRightInd w:val="0"/>
        <w:snapToGrid w:val="0"/>
        <w:spacing w:line="400" w:lineRule="exact"/>
        <w:jc w:val="right"/>
        <w:rPr>
          <w:rFonts w:hint="eastAsia" w:hAnsi="宋体"/>
          <w:color w:val="auto"/>
          <w:sz w:val="24"/>
          <w:highlight w:val="none"/>
        </w:rPr>
      </w:pPr>
    </w:p>
    <w:p w14:paraId="5EDC4E59">
      <w:pPr>
        <w:pStyle w:val="20"/>
        <w:adjustRightInd w:val="0"/>
        <w:snapToGrid w:val="0"/>
        <w:spacing w:line="400" w:lineRule="exact"/>
        <w:jc w:val="right"/>
        <w:rPr>
          <w:rFonts w:hint="eastAsia" w:hAnsi="宋体"/>
          <w:color w:val="auto"/>
          <w:sz w:val="24"/>
          <w:highlight w:val="none"/>
        </w:rPr>
      </w:pPr>
    </w:p>
    <w:p w14:paraId="52B56C9B">
      <w:pPr>
        <w:pStyle w:val="20"/>
        <w:adjustRightInd w:val="0"/>
        <w:snapToGrid w:val="0"/>
        <w:spacing w:line="400" w:lineRule="exact"/>
        <w:jc w:val="right"/>
        <w:rPr>
          <w:rFonts w:hint="eastAsia" w:hAnsi="宋体"/>
          <w:color w:val="auto"/>
          <w:sz w:val="24"/>
          <w:highlight w:val="none"/>
        </w:rPr>
      </w:pPr>
    </w:p>
    <w:p w14:paraId="248A0FDF">
      <w:pPr>
        <w:pStyle w:val="20"/>
        <w:adjustRightInd w:val="0"/>
        <w:snapToGrid w:val="0"/>
        <w:spacing w:line="400" w:lineRule="exact"/>
        <w:jc w:val="right"/>
        <w:rPr>
          <w:rFonts w:hAnsi="宋体"/>
          <w:color w:val="auto"/>
          <w:highlight w:val="none"/>
        </w:rPr>
      </w:pPr>
    </w:p>
    <w:p w14:paraId="305A9348">
      <w:pPr>
        <w:pStyle w:val="20"/>
        <w:adjustRightInd w:val="0"/>
        <w:snapToGrid w:val="0"/>
        <w:spacing w:line="400" w:lineRule="exact"/>
        <w:jc w:val="right"/>
        <w:rPr>
          <w:rFonts w:hAnsi="宋体"/>
          <w:color w:val="auto"/>
          <w:highlight w:val="none"/>
        </w:rPr>
      </w:pPr>
    </w:p>
    <w:p w14:paraId="03977AE5">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927"/>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3F8DDCCB">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7285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32B6EB1">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31B69D4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4EC5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9A2CE0D">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FC46F0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0AB4B14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49D570D">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eastAsia="宋体" w:cs="Times New Roman"/>
                <w:color w:val="auto"/>
                <w:highlight w:val="none"/>
                <w:lang w:eastAsia="zh-CN"/>
              </w:rPr>
              <w:t>浙江义乌市自来水有限公司</w:t>
            </w:r>
            <w:r>
              <w:rPr>
                <w:rFonts w:hint="eastAsia" w:ascii="宋体" w:hAnsi="宋体" w:cs="Times New Roman"/>
                <w:color w:val="auto"/>
                <w:highlight w:val="none"/>
                <w:lang w:val="en-US" w:eastAsia="zh-CN"/>
              </w:rPr>
              <w:t>2025年</w:t>
            </w:r>
            <w:r>
              <w:rPr>
                <w:rFonts w:hint="eastAsia" w:ascii="宋体" w:hAnsi="宋体" w:eastAsia="宋体" w:cs="Times New Roman"/>
                <w:color w:val="auto"/>
                <w:highlight w:val="none"/>
                <w:lang w:eastAsia="zh-CN"/>
              </w:rPr>
              <w:t>分区计量装置采购项目</w:t>
            </w:r>
          </w:p>
          <w:p w14:paraId="74DB9A9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eastAsia="宋体" w:cs="Times New Roman"/>
                <w:color w:val="auto"/>
                <w:highlight w:val="none"/>
                <w:lang w:val="en-US" w:eastAsia="zh-CN"/>
              </w:rPr>
              <w:t>2025年</w:t>
            </w:r>
            <w:r>
              <w:rPr>
                <w:rFonts w:hint="eastAsia" w:ascii="宋体" w:hAnsi="宋体" w:eastAsia="宋体" w:cs="Times New Roman"/>
                <w:color w:val="auto"/>
                <w:highlight w:val="none"/>
                <w:lang w:eastAsia="zh-CN"/>
              </w:rPr>
              <w:t>分区计量装置采购，具体详见第三章招标项目要求</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6066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32F873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E7147B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3ED475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5C9F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12969F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B00AC3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340E57C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5F53F01">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3CFF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6E1DD1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860EE4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D271DC6">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综合评分</w:t>
            </w:r>
            <w:r>
              <w:rPr>
                <w:rFonts w:hint="eastAsia" w:ascii="宋体" w:hAnsi="宋体" w:eastAsia="宋体" w:cs="宋体"/>
                <w:color w:val="auto"/>
                <w:sz w:val="21"/>
                <w:szCs w:val="21"/>
                <w:highlight w:val="none"/>
              </w:rPr>
              <w:t>法</w:t>
            </w:r>
          </w:p>
        </w:tc>
      </w:tr>
      <w:tr w14:paraId="6087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251DC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24203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DC2867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747A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913D2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9995CC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35B0A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408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D48AA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E45C17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E2F0CA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35D6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6FAA06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679DC7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280A87B">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供应商认为采购文件使自己的权益受到损害的，请于2025年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10</w:t>
            </w:r>
            <w:r>
              <w:rPr>
                <w:rFonts w:hint="eastAsia" w:ascii="宋体" w:hAnsi="宋体" w:eastAsia="宋体" w:cs="宋体"/>
                <w:color w:val="auto"/>
                <w:highlight w:val="none"/>
              </w:rPr>
              <w:t>日17:00前以书面形式向采购人和采购代理机构提出质疑。质疑以书面方式分别提交至浙江义乌市自来水有限公司：宣先生（13957908348）和义乌产权交易所有限公司：王女士（0579-89903039，ywcqztb001@ywcq.com），并致电采购代理机构确认。书面文件邮寄地址：义乌市北苑街道望道路300号4056。</w:t>
            </w:r>
          </w:p>
        </w:tc>
      </w:tr>
      <w:tr w14:paraId="30CC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56A21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A283C3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B183A8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7448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E6F7F5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38D5BA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D326FD">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21</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en-US" w:eastAsia="zh-CN"/>
              </w:rPr>
              <w:t>:30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2FC6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F1CF62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ADD038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66A822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21</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13</w:t>
            </w:r>
            <w:r>
              <w:rPr>
                <w:rFonts w:hint="eastAsia" w:ascii="宋体" w:hAnsi="宋体" w:eastAsia="宋体" w:cs="宋体"/>
                <w:color w:val="auto"/>
                <w:highlight w:val="none"/>
                <w:lang w:val="en-US" w:eastAsia="zh-CN"/>
              </w:rPr>
              <w:t>:30</w:t>
            </w:r>
          </w:p>
          <w:p w14:paraId="58E97839">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01701EE1">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1860538">
            <w:pPr>
              <w:snapToGrid w:val="0"/>
              <w:spacing w:line="360" w:lineRule="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D2DC9BF">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313B9EF2">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3A1B572A">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1DD786CB">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06273666">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200E4D52">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51D7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A7859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3B965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5C7535F">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无</w:t>
            </w:r>
          </w:p>
        </w:tc>
      </w:tr>
      <w:tr w14:paraId="3ABB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1E86BF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26C02B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714958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3CA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E780139">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A63D08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4800CDE">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246E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B624BC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CE3284F">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1E585C6">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72D6DD68">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0024C5F7">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4DCE4180">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32946786">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1C185B5E">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609CACE2">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03C1CA8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58F9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30C19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ADA91FE">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5E37D01">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1）本项目设有预算价和单价最高限价，投标报价超过预算价及单价最高限价的，其投标为无效标。</w:t>
            </w:r>
          </w:p>
          <w:p w14:paraId="3F9131DD">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523878D8">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1AFDFB03">
      <w:pPr>
        <w:pStyle w:val="4"/>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8496"/>
      <w:bookmarkStart w:id="6" w:name="_Toc32581"/>
      <w:bookmarkStart w:id="7" w:name="_Toc15377"/>
      <w:r>
        <w:rPr>
          <w:rFonts w:hint="eastAsia"/>
          <w:color w:val="auto"/>
          <w:sz w:val="32"/>
          <w:szCs w:val="32"/>
          <w:highlight w:val="none"/>
        </w:rPr>
        <w:t>投标须知</w:t>
      </w:r>
      <w:bookmarkEnd w:id="5"/>
      <w:bookmarkEnd w:id="6"/>
      <w:bookmarkEnd w:id="7"/>
    </w:p>
    <w:p w14:paraId="58E087B3">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0416"/>
      <w:bookmarkStart w:id="9" w:name="_Toc25897"/>
      <w:bookmarkStart w:id="10" w:name="_Toc274303229"/>
      <w:bookmarkStart w:id="11" w:name="_Toc27843"/>
      <w:bookmarkStart w:id="12" w:name="_Toc362250687"/>
      <w:r>
        <w:rPr>
          <w:rFonts w:hint="eastAsia" w:ascii="宋体" w:hAnsi="宋体" w:eastAsia="宋体" w:cs="宋体"/>
          <w:color w:val="auto"/>
          <w:sz w:val="21"/>
          <w:szCs w:val="21"/>
          <w:highlight w:val="none"/>
        </w:rPr>
        <w:t>一、说明</w:t>
      </w:r>
      <w:bookmarkEnd w:id="8"/>
      <w:bookmarkEnd w:id="9"/>
      <w:bookmarkEnd w:id="10"/>
      <w:bookmarkEnd w:id="11"/>
      <w:bookmarkEnd w:id="12"/>
    </w:p>
    <w:p w14:paraId="27EDD462">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7CF115CB">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01644417">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2ED530C9">
      <w:pPr>
        <w:pStyle w:val="2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浙江义乌市自来水有限公司</w:t>
      </w:r>
      <w:r>
        <w:rPr>
          <w:rFonts w:hint="eastAsia" w:ascii="宋体" w:hAnsi="宋体" w:eastAsia="宋体" w:cs="宋体"/>
          <w:color w:val="auto"/>
          <w:sz w:val="21"/>
          <w:szCs w:val="21"/>
          <w:highlight w:val="none"/>
        </w:rPr>
        <w:t>。</w:t>
      </w:r>
    </w:p>
    <w:p w14:paraId="098E6E8C">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47C161F8">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866A760">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43E0ED5D">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745ECA67">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62F53957">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09A7E1FC">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5596096E">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4E5D542B">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7F0626B1">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3.1符合招标公告中要求的条件；</w:t>
      </w:r>
    </w:p>
    <w:p w14:paraId="1E98E2BF">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429FD099">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09906BDC">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589EF632">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7E04D6E3">
      <w:pPr>
        <w:pStyle w:val="20"/>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59871128">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3833EE93">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1E79459C">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06E90CE3">
      <w:pPr>
        <w:pStyle w:val="3"/>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55686BFA">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32E0231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5626497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6CFEC87E">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46895E7E">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9212"/>
      <w:bookmarkStart w:id="14" w:name="_Toc12737"/>
      <w:bookmarkStart w:id="15" w:name="_Toc362250688"/>
      <w:bookmarkStart w:id="16" w:name="_Toc8259"/>
      <w:bookmarkStart w:id="17" w:name="_Toc274303230"/>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3A0D872C">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4AF8BB75">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4900803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4E687A1B">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66EF02F8">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6A38E45A">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5BFD772B">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ADCC30F">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6DA356C3">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0E9EF5F6">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212A16FC">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0C974E08">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61CB913E">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5639FC33">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7C5DB1E8">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1044051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741321A1">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09165F41">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664A4BF3">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03E2F7FE">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54D5F88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7046734C">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707"/>
      <w:bookmarkStart w:id="19" w:name="_Toc31250"/>
      <w:bookmarkStart w:id="20" w:name="_Toc362250689"/>
      <w:bookmarkStart w:id="21" w:name="_Toc16783"/>
      <w:bookmarkStart w:id="22" w:name="_Toc274303231"/>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25EE357F">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43EF095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5765FB04">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50D669FD">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6F4195D9">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5646892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4A35EE97">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141DD89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65C89206">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70A387EC">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37C91FE2">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566A96C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3C6D4C4E">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2E909AC6">
      <w:pPr>
        <w:pStyle w:val="3"/>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投标文件由资格响应文件、商务技术响应文件和报价响应文件组成，以下的“格式”，指的是第八章投标文件格式中的表格；</w:t>
      </w:r>
    </w:p>
    <w:p w14:paraId="2BD8C452">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ascii="宋体" w:hAnsi="宋体" w:eastAsia="宋体" w:cs="宋体"/>
          <w:color w:val="auto"/>
          <w:sz w:val="21"/>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344DEEFE">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6D15849B">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0D197F9D">
      <w:pPr>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法定代表人授权书和被授权人身份证复印件［适用于非法定代表人参加投标的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w:t>
      </w:r>
    </w:p>
    <w:p w14:paraId="22B8EF4D">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574AE4C0">
      <w:pPr>
        <w:pStyle w:val="20"/>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（1）货物简要说明一览表；</w:t>
      </w:r>
    </w:p>
    <w:p w14:paraId="6C649FBC">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★（2）规范偏离表；</w:t>
      </w:r>
    </w:p>
    <w:p w14:paraId="3AAEE9DA">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★（3）投标人所投品牌制造商具有省级及以上质量监督局颁发计量器具制造许可证或计量器具型式批准证书；</w:t>
      </w:r>
    </w:p>
    <w:p w14:paraId="02F8C2D0">
      <w:pPr>
        <w:pStyle w:val="20"/>
        <w:spacing w:line="360" w:lineRule="auto"/>
        <w:ind w:firstLine="420" w:firstLineChars="200"/>
        <w:rPr>
          <w:rFonts w:hint="eastAsia" w:hAnsi="宋体" w:cs="宋体"/>
          <w:color w:val="auto"/>
          <w:highlight w:val="none"/>
        </w:rPr>
      </w:pPr>
      <w:r>
        <w:rPr>
          <w:rFonts w:hint="eastAsia" w:hAnsi="宋体" w:cs="宋体"/>
          <w:color w:val="auto"/>
          <w:highlight w:val="none"/>
        </w:rPr>
        <w:t>★（4）产品质量保证承诺</w:t>
      </w:r>
      <w:r>
        <w:rPr>
          <w:rFonts w:hint="eastAsia" w:hAnsi="宋体" w:cs="宋体"/>
          <w:color w:val="auto"/>
          <w:highlight w:val="none"/>
          <w:lang w:val="en-US" w:eastAsia="zh-CN"/>
        </w:rPr>
        <w:t>书及售后服务承诺书</w:t>
      </w:r>
      <w:r>
        <w:rPr>
          <w:rFonts w:hint="eastAsia" w:hAnsi="宋体" w:cs="宋体"/>
          <w:color w:val="auto"/>
          <w:highlight w:val="none"/>
        </w:rPr>
        <w:t>；</w:t>
      </w:r>
    </w:p>
    <w:p w14:paraId="5EA8E33E">
      <w:pPr>
        <w:ind w:firstLine="630" w:firstLineChars="300"/>
        <w:rPr>
          <w:rFonts w:hint="eastAsia" w:ascii="宋体" w:hAnsi="宋体" w:eastAsia="宋体" w:cs="宋体"/>
          <w:color w:val="auto"/>
          <w:sz w:val="21"/>
          <w:szCs w:val="21"/>
          <w:highlight w:val="none"/>
        </w:rPr>
      </w:pPr>
      <w:r>
        <w:rPr>
          <w:rFonts w:hint="eastAsia" w:ascii="宋体" w:hAnsi="宋体" w:cs="宋体"/>
          <w:color w:val="auto"/>
          <w:highlight w:val="none"/>
        </w:rPr>
        <w:t>（5）根据评审需要、招标文件要求等，投标人自行考虑需提供的资料。</w:t>
      </w:r>
    </w:p>
    <w:p w14:paraId="04165569">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02B2D986">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6281184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290C845C">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69CCD046">
      <w:pPr>
        <w:pStyle w:val="3"/>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337803F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30C9214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0C6F6513">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2351F82C">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179FDC2A">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15EC03F3">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29698D21">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52221007">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62DA5920">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6BABAA5B">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15190C9F">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64012F82">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6206A2C0">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2622E0C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3FD069D4">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75A57B7F">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362250690"/>
      <w:bookmarkStart w:id="24" w:name="_Toc8254"/>
      <w:bookmarkStart w:id="25" w:name="_Toc27009"/>
      <w:bookmarkStart w:id="26" w:name="_Toc274303232"/>
    </w:p>
    <w:p w14:paraId="19089323">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15115"/>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1CE72FA4">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0273ED6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:30）之前上传投标文件</w:t>
      </w:r>
      <w:r>
        <w:rPr>
          <w:rFonts w:hint="eastAsia" w:ascii="宋体" w:hAnsi="宋体" w:eastAsia="宋体" w:cs="宋体"/>
          <w:color w:val="auto"/>
          <w:sz w:val="21"/>
          <w:szCs w:val="21"/>
          <w:highlight w:val="none"/>
          <w:lang w:eastAsia="zh-CN"/>
        </w:rPr>
        <w:t>。</w:t>
      </w:r>
    </w:p>
    <w:p w14:paraId="6D1F34C5">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2162C1CA">
      <w:pPr>
        <w:pStyle w:val="20"/>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578DEC2B">
      <w:pPr>
        <w:pStyle w:val="3"/>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0FFC65FE">
      <w:pPr>
        <w:pStyle w:val="20"/>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54D86461">
      <w:pPr>
        <w:pStyle w:val="20"/>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3C41FD22">
      <w:pPr>
        <w:pStyle w:val="20"/>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39CA49E0">
      <w:pPr>
        <w:snapToGrid w:val="0"/>
        <w:spacing w:line="360" w:lineRule="auto"/>
        <w:ind w:firstLine="411" w:firstLineChars="196"/>
        <w:rPr>
          <w:rFonts w:hint="eastAsia" w:ascii="宋体" w:hAnsi="宋体" w:cs="宋体"/>
          <w:color w:val="auto"/>
          <w:highlight w:val="none"/>
        </w:rPr>
      </w:pPr>
      <w:bookmarkStart w:id="30" w:name="_Toc24904"/>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5461901">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016E8488">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6B64C423">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浏览器版本过低导致无法识别——更换Egde、谷歌浏览器</w:t>
      </w:r>
      <w:r>
        <w:rPr>
          <w:rFonts w:hint="eastAsia" w:ascii="宋体" w:hAnsi="宋体" w:cs="宋体"/>
          <w:color w:val="auto"/>
          <w:highlight w:val="none"/>
          <w:lang w:eastAsia="zh-CN"/>
        </w:rPr>
        <w:t>；</w:t>
      </w:r>
    </w:p>
    <w:p w14:paraId="1633A6EE">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72BA3C0D">
      <w:pPr>
        <w:snapToGrid w:val="0"/>
        <w:spacing w:line="360" w:lineRule="auto"/>
        <w:ind w:firstLine="411" w:firstLineChars="196"/>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1C9BAED1">
      <w:pPr>
        <w:snapToGrid w:val="0"/>
        <w:spacing w:line="360" w:lineRule="auto"/>
        <w:ind w:firstLine="411" w:firstLineChars="196"/>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p w14:paraId="0EA16958">
      <w:pPr>
        <w:pStyle w:val="5"/>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1F30BB75">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8"/>
        <w:tblW w:w="8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410"/>
        <w:gridCol w:w="4320"/>
      </w:tblGrid>
      <w:tr w14:paraId="702E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top"/>
          </w:tcPr>
          <w:p w14:paraId="67AFDF61">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中标金额（万元）</w:t>
            </w:r>
          </w:p>
        </w:tc>
        <w:tc>
          <w:tcPr>
            <w:tcW w:w="1410" w:type="dxa"/>
            <w:noWrap w:val="0"/>
            <w:vAlign w:val="top"/>
          </w:tcPr>
          <w:p w14:paraId="248AF904">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货物采购类</w:t>
            </w:r>
          </w:p>
        </w:tc>
        <w:tc>
          <w:tcPr>
            <w:tcW w:w="4320" w:type="dxa"/>
            <w:noWrap w:val="0"/>
            <w:vAlign w:val="top"/>
          </w:tcPr>
          <w:p w14:paraId="2C13E02B">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0A49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6672B9E4">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100（含）以下</w:t>
            </w:r>
          </w:p>
        </w:tc>
        <w:tc>
          <w:tcPr>
            <w:tcW w:w="1410" w:type="dxa"/>
            <w:noWrap w:val="0"/>
            <w:vAlign w:val="center"/>
          </w:tcPr>
          <w:p w14:paraId="39CDEF4C">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1.5%</w:t>
            </w:r>
          </w:p>
        </w:tc>
        <w:tc>
          <w:tcPr>
            <w:tcW w:w="4320" w:type="dxa"/>
            <w:vMerge w:val="restart"/>
            <w:noWrap w:val="0"/>
            <w:vAlign w:val="center"/>
          </w:tcPr>
          <w:p w14:paraId="319B07B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招标服务费采用差额定率累进法计算，向采购方或中标方单向收取。</w:t>
            </w:r>
          </w:p>
          <w:p w14:paraId="297B8E1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例：中标金额为1000万。服务费=100万×1.5%+400万×1.1%+500万×0.8%=9.9万</w:t>
            </w:r>
          </w:p>
          <w:p w14:paraId="402293E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货物招标服务费最高350万元。</w:t>
            </w:r>
          </w:p>
        </w:tc>
      </w:tr>
      <w:tr w14:paraId="56DB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7C246FD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100-500（含）</w:t>
            </w:r>
          </w:p>
        </w:tc>
        <w:tc>
          <w:tcPr>
            <w:tcW w:w="1410" w:type="dxa"/>
            <w:noWrap w:val="0"/>
            <w:vAlign w:val="center"/>
          </w:tcPr>
          <w:p w14:paraId="67B2C062">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1.1%</w:t>
            </w:r>
          </w:p>
        </w:tc>
        <w:tc>
          <w:tcPr>
            <w:tcW w:w="4320" w:type="dxa"/>
            <w:vMerge w:val="continue"/>
            <w:noWrap w:val="0"/>
            <w:vAlign w:val="top"/>
          </w:tcPr>
          <w:p w14:paraId="0150267B">
            <w:pPr>
              <w:spacing w:line="480" w:lineRule="exact"/>
              <w:rPr>
                <w:rFonts w:hint="eastAsia" w:ascii="宋体" w:hAnsi="宋体" w:cs="宋体"/>
                <w:bCs/>
                <w:color w:val="auto"/>
                <w:szCs w:val="21"/>
                <w:highlight w:val="none"/>
              </w:rPr>
            </w:pPr>
          </w:p>
        </w:tc>
      </w:tr>
      <w:tr w14:paraId="3DA0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7B62D0D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500-1000（含）</w:t>
            </w:r>
          </w:p>
        </w:tc>
        <w:tc>
          <w:tcPr>
            <w:tcW w:w="1410" w:type="dxa"/>
            <w:noWrap w:val="0"/>
            <w:vAlign w:val="center"/>
          </w:tcPr>
          <w:p w14:paraId="0159977B">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0.8%</w:t>
            </w:r>
          </w:p>
        </w:tc>
        <w:tc>
          <w:tcPr>
            <w:tcW w:w="4320" w:type="dxa"/>
            <w:vMerge w:val="continue"/>
            <w:noWrap w:val="0"/>
            <w:vAlign w:val="top"/>
          </w:tcPr>
          <w:p w14:paraId="7841043B">
            <w:pPr>
              <w:spacing w:line="480" w:lineRule="exact"/>
              <w:rPr>
                <w:rFonts w:hint="eastAsia" w:ascii="宋体" w:hAnsi="宋体" w:cs="宋体"/>
                <w:bCs/>
                <w:color w:val="auto"/>
                <w:szCs w:val="21"/>
                <w:highlight w:val="none"/>
              </w:rPr>
            </w:pPr>
          </w:p>
        </w:tc>
      </w:tr>
      <w:tr w14:paraId="514E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30A785C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1000-5000（含）</w:t>
            </w:r>
          </w:p>
        </w:tc>
        <w:tc>
          <w:tcPr>
            <w:tcW w:w="1410" w:type="dxa"/>
            <w:noWrap w:val="0"/>
            <w:vAlign w:val="center"/>
          </w:tcPr>
          <w:p w14:paraId="74131DC3">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0.5%</w:t>
            </w:r>
          </w:p>
        </w:tc>
        <w:tc>
          <w:tcPr>
            <w:tcW w:w="4320" w:type="dxa"/>
            <w:vMerge w:val="continue"/>
            <w:noWrap w:val="0"/>
            <w:vAlign w:val="top"/>
          </w:tcPr>
          <w:p w14:paraId="02BB1A48">
            <w:pPr>
              <w:spacing w:line="480" w:lineRule="exact"/>
              <w:rPr>
                <w:rFonts w:hint="eastAsia" w:ascii="宋体" w:hAnsi="宋体" w:cs="宋体"/>
                <w:bCs/>
                <w:color w:val="auto"/>
                <w:szCs w:val="21"/>
                <w:highlight w:val="none"/>
              </w:rPr>
            </w:pPr>
          </w:p>
        </w:tc>
      </w:tr>
      <w:tr w14:paraId="4A92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0F161AED">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5000-10000（含）</w:t>
            </w:r>
          </w:p>
        </w:tc>
        <w:tc>
          <w:tcPr>
            <w:tcW w:w="1410" w:type="dxa"/>
            <w:noWrap w:val="0"/>
            <w:vAlign w:val="center"/>
          </w:tcPr>
          <w:p w14:paraId="610BB2DD">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0.25%</w:t>
            </w:r>
          </w:p>
        </w:tc>
        <w:tc>
          <w:tcPr>
            <w:tcW w:w="4320" w:type="dxa"/>
            <w:vMerge w:val="continue"/>
            <w:noWrap w:val="0"/>
            <w:vAlign w:val="top"/>
          </w:tcPr>
          <w:p w14:paraId="2558B8F5">
            <w:pPr>
              <w:spacing w:line="480" w:lineRule="exact"/>
              <w:rPr>
                <w:rFonts w:hint="eastAsia" w:ascii="宋体" w:hAnsi="宋体" w:cs="宋体"/>
                <w:bCs/>
                <w:color w:val="auto"/>
                <w:szCs w:val="21"/>
                <w:highlight w:val="none"/>
              </w:rPr>
            </w:pPr>
          </w:p>
        </w:tc>
      </w:tr>
      <w:tr w14:paraId="6EC4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65716029">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10000-50000（含）</w:t>
            </w:r>
          </w:p>
        </w:tc>
        <w:tc>
          <w:tcPr>
            <w:tcW w:w="1410" w:type="dxa"/>
            <w:noWrap w:val="0"/>
            <w:vAlign w:val="center"/>
          </w:tcPr>
          <w:p w14:paraId="62784E06">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0.05%</w:t>
            </w:r>
          </w:p>
        </w:tc>
        <w:tc>
          <w:tcPr>
            <w:tcW w:w="4320" w:type="dxa"/>
            <w:vMerge w:val="continue"/>
            <w:noWrap w:val="0"/>
            <w:vAlign w:val="top"/>
          </w:tcPr>
          <w:p w14:paraId="0DA5ECA1">
            <w:pPr>
              <w:spacing w:line="480" w:lineRule="exact"/>
              <w:rPr>
                <w:rFonts w:hint="eastAsia" w:ascii="宋体" w:hAnsi="宋体" w:cs="宋体"/>
                <w:bCs/>
                <w:color w:val="auto"/>
                <w:szCs w:val="21"/>
                <w:highlight w:val="none"/>
              </w:rPr>
            </w:pPr>
          </w:p>
        </w:tc>
      </w:tr>
      <w:tr w14:paraId="1D43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30446F2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50000-100000（含）</w:t>
            </w:r>
          </w:p>
        </w:tc>
        <w:tc>
          <w:tcPr>
            <w:tcW w:w="1410" w:type="dxa"/>
            <w:noWrap w:val="0"/>
            <w:vAlign w:val="center"/>
          </w:tcPr>
          <w:p w14:paraId="74905F7F">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0.035%</w:t>
            </w:r>
          </w:p>
        </w:tc>
        <w:tc>
          <w:tcPr>
            <w:tcW w:w="4320" w:type="dxa"/>
            <w:vMerge w:val="continue"/>
            <w:noWrap w:val="0"/>
            <w:vAlign w:val="top"/>
          </w:tcPr>
          <w:p w14:paraId="39AF992E">
            <w:pPr>
              <w:spacing w:line="480" w:lineRule="exact"/>
              <w:rPr>
                <w:rFonts w:hint="eastAsia" w:ascii="宋体" w:hAnsi="宋体" w:cs="宋体"/>
                <w:bCs/>
                <w:color w:val="auto"/>
                <w:szCs w:val="21"/>
                <w:highlight w:val="none"/>
              </w:rPr>
            </w:pPr>
          </w:p>
        </w:tc>
      </w:tr>
      <w:tr w14:paraId="1C14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5C17FA7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100000-500000（含）</w:t>
            </w:r>
          </w:p>
        </w:tc>
        <w:tc>
          <w:tcPr>
            <w:tcW w:w="1410" w:type="dxa"/>
            <w:noWrap w:val="0"/>
            <w:vAlign w:val="center"/>
          </w:tcPr>
          <w:p w14:paraId="257E9FE1">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0.008%</w:t>
            </w:r>
          </w:p>
        </w:tc>
        <w:tc>
          <w:tcPr>
            <w:tcW w:w="4320" w:type="dxa"/>
            <w:vMerge w:val="continue"/>
            <w:noWrap w:val="0"/>
            <w:vAlign w:val="top"/>
          </w:tcPr>
          <w:p w14:paraId="7EC08CF7">
            <w:pPr>
              <w:spacing w:line="480" w:lineRule="exact"/>
              <w:rPr>
                <w:rFonts w:hint="eastAsia" w:ascii="宋体" w:hAnsi="宋体" w:cs="宋体"/>
                <w:bCs/>
                <w:color w:val="auto"/>
                <w:szCs w:val="21"/>
                <w:highlight w:val="none"/>
              </w:rPr>
            </w:pPr>
          </w:p>
        </w:tc>
      </w:tr>
      <w:tr w14:paraId="6672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39A95AB0">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500000-1000000（含）</w:t>
            </w:r>
          </w:p>
        </w:tc>
        <w:tc>
          <w:tcPr>
            <w:tcW w:w="1410" w:type="dxa"/>
            <w:noWrap w:val="0"/>
            <w:vAlign w:val="center"/>
          </w:tcPr>
          <w:p w14:paraId="6788ABBF">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0.006%</w:t>
            </w:r>
          </w:p>
        </w:tc>
        <w:tc>
          <w:tcPr>
            <w:tcW w:w="4320" w:type="dxa"/>
            <w:vMerge w:val="continue"/>
            <w:noWrap w:val="0"/>
            <w:vAlign w:val="top"/>
          </w:tcPr>
          <w:p w14:paraId="02A343C8">
            <w:pPr>
              <w:spacing w:line="480" w:lineRule="exact"/>
              <w:rPr>
                <w:rFonts w:hint="eastAsia" w:ascii="宋体" w:hAnsi="宋体" w:cs="宋体"/>
                <w:bCs/>
                <w:color w:val="auto"/>
                <w:szCs w:val="21"/>
                <w:highlight w:val="none"/>
              </w:rPr>
            </w:pPr>
          </w:p>
        </w:tc>
      </w:tr>
      <w:tr w14:paraId="790E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86" w:type="dxa"/>
            <w:noWrap w:val="0"/>
            <w:vAlign w:val="center"/>
          </w:tcPr>
          <w:p w14:paraId="6045B51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1000000以上</w:t>
            </w:r>
          </w:p>
        </w:tc>
        <w:tc>
          <w:tcPr>
            <w:tcW w:w="1410" w:type="dxa"/>
            <w:noWrap w:val="0"/>
            <w:vAlign w:val="center"/>
          </w:tcPr>
          <w:p w14:paraId="213A0589">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0.004%</w:t>
            </w:r>
          </w:p>
        </w:tc>
        <w:tc>
          <w:tcPr>
            <w:tcW w:w="4320" w:type="dxa"/>
            <w:vMerge w:val="continue"/>
            <w:noWrap w:val="0"/>
            <w:vAlign w:val="top"/>
          </w:tcPr>
          <w:p w14:paraId="54B7AF98">
            <w:pPr>
              <w:spacing w:line="480" w:lineRule="exact"/>
              <w:rPr>
                <w:rFonts w:eastAsia="仿宋"/>
                <w:bCs/>
                <w:color w:val="auto"/>
                <w:szCs w:val="21"/>
                <w:highlight w:val="none"/>
              </w:rPr>
            </w:pPr>
          </w:p>
        </w:tc>
      </w:tr>
    </w:tbl>
    <w:p w14:paraId="42B1980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37E7D1B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4A2054D4">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773B0AAB">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64284908">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039E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05DF3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7669949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6DD1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494E2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6EDE066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19B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4D650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41CB10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5339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DE662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4AE12E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030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31D73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27AF06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3D1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D0348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538BAE9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B12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167F9E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03EAE5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163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55529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3F30E5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0F94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7BCEE2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0D608A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DF027B8">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4C789D66">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30208"/>
      <w:r>
        <w:rPr>
          <w:rFonts w:hint="eastAsia" w:ascii="宋体" w:hAnsi="宋体" w:eastAsia="宋体" w:cs="宋体"/>
          <w:color w:val="auto"/>
          <w:sz w:val="21"/>
          <w:szCs w:val="21"/>
          <w:highlight w:val="none"/>
        </w:rPr>
        <w:t>六、其它</w:t>
      </w:r>
      <w:bookmarkEnd w:id="31"/>
    </w:p>
    <w:p w14:paraId="27E90AE6">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本招标文件解释权归采购人。</w:t>
      </w:r>
    </w:p>
    <w:p w14:paraId="436FF4F9">
      <w:pPr>
        <w:pStyle w:val="4"/>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32" w:name="_Toc889"/>
      <w:r>
        <w:rPr>
          <w:rFonts w:hint="eastAsia" w:ascii="Times New Roman" w:hAnsi="Times New Roman" w:eastAsia="宋体" w:cs="Times New Roman"/>
          <w:color w:val="auto"/>
          <w:sz w:val="36"/>
          <w:highlight w:val="none"/>
          <w:lang w:val="en-US" w:eastAsia="zh-CN"/>
        </w:rPr>
        <w:t>第三章  招标项目要求</w:t>
      </w:r>
      <w:bookmarkEnd w:id="32"/>
    </w:p>
    <w:p w14:paraId="7E2A19D5">
      <w:pPr>
        <w:spacing w:line="360" w:lineRule="auto"/>
        <w:outlineLvl w:val="1"/>
        <w:rPr>
          <w:rFonts w:hint="eastAsia" w:ascii="宋体" w:hAnsi="宋体" w:cs="宋体"/>
          <w:b/>
          <w:color w:val="auto"/>
          <w:szCs w:val="21"/>
          <w:highlight w:val="none"/>
        </w:rPr>
      </w:pPr>
      <w:bookmarkStart w:id="33" w:name="_Toc169190823"/>
      <w:bookmarkStart w:id="34" w:name="_Toc7717"/>
      <w:r>
        <w:rPr>
          <w:rFonts w:hint="eastAsia" w:ascii="宋体" w:hAnsi="宋体" w:cs="宋体"/>
          <w:b/>
          <w:color w:val="auto"/>
          <w:szCs w:val="21"/>
          <w:highlight w:val="none"/>
        </w:rPr>
        <w:t>一、采购说明</w:t>
      </w:r>
      <w:bookmarkEnd w:id="33"/>
    </w:p>
    <w:p w14:paraId="191D9D24">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本次采购为</w:t>
      </w:r>
      <w:r>
        <w:rPr>
          <w:rFonts w:hint="eastAsia" w:ascii="宋体" w:hAnsi="宋体" w:cs="宋体"/>
          <w:bCs/>
          <w:color w:val="auto"/>
          <w:highlight w:val="none"/>
        </w:rPr>
        <w:t>浙江义乌市自来水有限公司</w:t>
      </w:r>
      <w:r>
        <w:rPr>
          <w:rFonts w:hint="eastAsia" w:ascii="宋体" w:hAnsi="宋体" w:cs="宋体"/>
          <w:bCs/>
          <w:color w:val="auto"/>
          <w:highlight w:val="none"/>
          <w:lang w:val="en-US" w:eastAsia="zh-CN"/>
        </w:rPr>
        <w:t>2025年</w:t>
      </w:r>
      <w:r>
        <w:rPr>
          <w:rFonts w:hint="eastAsia" w:ascii="宋体" w:hAnsi="宋体" w:cs="宋体"/>
          <w:bCs/>
          <w:color w:val="auto"/>
          <w:highlight w:val="none"/>
        </w:rPr>
        <w:t>分区计量装置采购项目</w:t>
      </w:r>
      <w:r>
        <w:rPr>
          <w:rFonts w:hint="eastAsia" w:ascii="宋体" w:hAnsi="宋体" w:cs="宋体"/>
          <w:bCs/>
          <w:color w:val="auto"/>
          <w:szCs w:val="21"/>
          <w:highlight w:val="none"/>
        </w:rPr>
        <w:t>，</w:t>
      </w:r>
      <w:bookmarkStart w:id="35" w:name="_Hlk130905313"/>
      <w:r>
        <w:rPr>
          <w:rFonts w:hint="eastAsia" w:ascii="宋体" w:hAnsi="宋体" w:cs="宋体"/>
          <w:bCs/>
          <w:color w:val="auto"/>
          <w:szCs w:val="21"/>
          <w:highlight w:val="none"/>
        </w:rPr>
        <w:t>主要内容包括</w:t>
      </w:r>
      <w:bookmarkEnd w:id="35"/>
      <w:r>
        <w:rPr>
          <w:rFonts w:hint="eastAsia" w:ascii="宋体" w:hAnsi="宋体" w:cs="宋体"/>
          <w:bCs/>
          <w:color w:val="auto"/>
          <w:szCs w:val="21"/>
          <w:highlight w:val="none"/>
        </w:rPr>
        <w:t>电磁流量计、</w:t>
      </w:r>
      <w:r>
        <w:rPr>
          <w:rFonts w:hint="eastAsia" w:ascii="宋体" w:hAnsi="宋体" w:cs="宋体"/>
          <w:bCs/>
          <w:color w:val="auto"/>
          <w:highlight w:val="none"/>
        </w:rPr>
        <w:t>超声流量计（插入式）</w:t>
      </w:r>
      <w:r>
        <w:rPr>
          <w:rFonts w:hint="eastAsia" w:ascii="宋体" w:hAnsi="宋体" w:cs="宋体"/>
          <w:bCs/>
          <w:color w:val="auto"/>
          <w:szCs w:val="21"/>
          <w:highlight w:val="none"/>
        </w:rPr>
        <w:t>、</w:t>
      </w:r>
      <w:r>
        <w:rPr>
          <w:rFonts w:hint="eastAsia" w:ascii="宋体" w:hAnsi="宋体" w:cs="宋体"/>
          <w:bCs/>
          <w:color w:val="auto"/>
          <w:szCs w:val="21"/>
          <w:highlight w:val="none"/>
        </w:rPr>
        <w:t>太阳能监测供电终端设备的供货、</w:t>
      </w:r>
      <w:r>
        <w:rPr>
          <w:rFonts w:hint="eastAsia" w:ascii="宋体" w:hAnsi="宋体" w:cs="宋体"/>
          <w:bCs/>
          <w:color w:val="auto"/>
          <w:szCs w:val="21"/>
          <w:highlight w:val="none"/>
        </w:rPr>
        <w:t>装卸、现场安装、通讯费、传输协议对接与调试、备品备件、售后人员驻点维护等全部内容。货物需满足招标方远程智能抄表需求。</w:t>
      </w:r>
    </w:p>
    <w:p w14:paraId="2D4EF1D5">
      <w:pPr>
        <w:pStyle w:val="82"/>
        <w:kinsoku w:val="0"/>
        <w:overflowPunct w:val="0"/>
        <w:spacing w:before="75"/>
        <w:ind w:left="75"/>
        <w:rPr>
          <w:rFonts w:ascii="宋体" w:hAnsi="宋体" w:cs="宋体"/>
          <w:bCs/>
          <w:color w:val="auto"/>
          <w:szCs w:val="21"/>
          <w:highlight w:val="none"/>
        </w:rPr>
      </w:pPr>
      <w:r>
        <w:rPr>
          <w:rFonts w:hint="eastAsia" w:ascii="宋体" w:hAnsi="宋体" w:cs="宋体"/>
          <w:bCs/>
          <w:color w:val="auto"/>
          <w:szCs w:val="21"/>
          <w:highlight w:val="none"/>
        </w:rPr>
        <w:t>招标货物名称、规格、最高限价一览表：</w:t>
      </w:r>
    </w:p>
    <w:tbl>
      <w:tblPr>
        <w:tblStyle w:val="38"/>
        <w:tblW w:w="4998" w:type="pct"/>
        <w:tblInd w:w="0" w:type="dxa"/>
        <w:tblLayout w:type="autofit"/>
        <w:tblCellMar>
          <w:top w:w="0" w:type="dxa"/>
          <w:left w:w="108" w:type="dxa"/>
          <w:bottom w:w="0" w:type="dxa"/>
          <w:right w:w="108" w:type="dxa"/>
        </w:tblCellMar>
      </w:tblPr>
      <w:tblGrid>
        <w:gridCol w:w="625"/>
        <w:gridCol w:w="1537"/>
        <w:gridCol w:w="1016"/>
        <w:gridCol w:w="817"/>
        <w:gridCol w:w="2086"/>
        <w:gridCol w:w="1216"/>
        <w:gridCol w:w="2269"/>
      </w:tblGrid>
      <w:tr w14:paraId="0B3C4C9C">
        <w:tblPrEx>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noWrap/>
            <w:vAlign w:val="center"/>
          </w:tcPr>
          <w:p w14:paraId="13C4C9FD">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序号</w:t>
            </w:r>
          </w:p>
        </w:tc>
        <w:tc>
          <w:tcPr>
            <w:tcW w:w="892" w:type="pct"/>
            <w:tcBorders>
              <w:top w:val="single" w:color="000000" w:sz="4" w:space="0"/>
              <w:left w:val="single" w:color="000000" w:sz="4" w:space="0"/>
              <w:bottom w:val="single" w:color="000000" w:sz="4" w:space="0"/>
              <w:right w:val="single" w:color="000000" w:sz="4" w:space="0"/>
            </w:tcBorders>
            <w:noWrap/>
            <w:vAlign w:val="center"/>
          </w:tcPr>
          <w:p w14:paraId="78D29450">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名称</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526BA4EE">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规格型号</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13D75CF3">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数量</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6AD690D">
            <w:pPr>
              <w:rPr>
                <w:rFonts w:ascii="宋体" w:hAnsi="宋体" w:cs="宋体"/>
                <w:color w:val="auto"/>
                <w:sz w:val="20"/>
                <w:szCs w:val="20"/>
                <w:highlight w:val="none"/>
              </w:rPr>
            </w:pPr>
            <w:r>
              <w:rPr>
                <w:rFonts w:hint="eastAsia" w:ascii="宋体" w:hAnsi="宋体" w:cs="宋体"/>
                <w:color w:val="auto"/>
                <w:highlight w:val="none"/>
              </w:rPr>
              <w:t>最高限价(单价/</w:t>
            </w:r>
            <w:r>
              <w:rPr>
                <w:rFonts w:hint="eastAsia" w:ascii="宋体" w:hAnsi="宋体" w:cs="宋体"/>
                <w:color w:val="auto"/>
                <w:sz w:val="20"/>
                <w:szCs w:val="20"/>
                <w:highlight w:val="none"/>
              </w:rPr>
              <w:t>元）</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75BD159B">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合计（元）</w:t>
            </w:r>
          </w:p>
        </w:tc>
        <w:tc>
          <w:tcPr>
            <w:tcW w:w="1274" w:type="pct"/>
            <w:tcBorders>
              <w:top w:val="single" w:color="000000" w:sz="4" w:space="0"/>
              <w:left w:val="single" w:color="000000" w:sz="4" w:space="0"/>
              <w:bottom w:val="single" w:color="000000" w:sz="4" w:space="0"/>
              <w:right w:val="single" w:color="000000" w:sz="4" w:space="0"/>
            </w:tcBorders>
            <w:noWrap/>
            <w:vAlign w:val="center"/>
          </w:tcPr>
          <w:p w14:paraId="3B53A508">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备注</w:t>
            </w:r>
          </w:p>
        </w:tc>
      </w:tr>
      <w:tr w14:paraId="2724B13C">
        <w:tblPrEx>
          <w:tblCellMar>
            <w:top w:w="0" w:type="dxa"/>
            <w:left w:w="108" w:type="dxa"/>
            <w:bottom w:w="0" w:type="dxa"/>
            <w:right w:w="108" w:type="dxa"/>
          </w:tblCellMar>
        </w:tblPrEx>
        <w:trPr>
          <w:trHeight w:val="1207"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6744">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E56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电磁流量计</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B41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DN300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12B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90E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20000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095CC">
            <w:pPr>
              <w:widowControl/>
              <w:jc w:val="center"/>
              <w:textAlignment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220000</w:t>
            </w:r>
          </w:p>
        </w:tc>
        <w:tc>
          <w:tcPr>
            <w:tcW w:w="1274" w:type="pct"/>
            <w:vMerge w:val="restart"/>
            <w:tcBorders>
              <w:top w:val="single" w:color="000000" w:sz="4" w:space="0"/>
              <w:left w:val="single" w:color="000000" w:sz="4" w:space="0"/>
              <w:right w:val="single" w:color="000000" w:sz="4" w:space="0"/>
            </w:tcBorders>
            <w:shd w:val="clear" w:color="auto" w:fill="auto"/>
            <w:noWrap w:val="0"/>
            <w:vAlign w:val="center"/>
          </w:tcPr>
          <w:p w14:paraId="1B120D04">
            <w:pPr>
              <w:widowControl/>
              <w:jc w:val="center"/>
              <w:textAlignment w:val="center"/>
              <w:rPr>
                <w:rFonts w:hint="eastAsia" w:ascii="仿宋" w:hAnsi="仿宋" w:eastAsia="仿宋" w:cs="仿宋"/>
                <w:b/>
                <w:bCs/>
                <w:color w:val="auto"/>
                <w:kern w:val="0"/>
                <w:sz w:val="16"/>
                <w:szCs w:val="16"/>
                <w:highlight w:val="none"/>
                <w:lang w:bidi="ar"/>
              </w:rPr>
            </w:pPr>
            <w:r>
              <w:rPr>
                <w:rFonts w:hint="eastAsia" w:ascii="仿宋" w:hAnsi="仿宋" w:eastAsia="仿宋" w:cs="仿宋"/>
                <w:b/>
                <w:bCs/>
                <w:color w:val="auto"/>
                <w:kern w:val="0"/>
                <w:sz w:val="16"/>
                <w:szCs w:val="16"/>
                <w:highlight w:val="none"/>
                <w:lang w:bidi="ar"/>
              </w:rPr>
              <w:t>报价技术要求符合JB/T9248-2015  JJG1033-2007；电源供电220V和24V可选；流量计、太阳能监测终端设备配套供货以及现场调试、安装相关费用，不含土建、开挖施工。</w:t>
            </w:r>
          </w:p>
        </w:tc>
      </w:tr>
      <w:tr w14:paraId="6059DF86">
        <w:tblPrEx>
          <w:tblCellMar>
            <w:top w:w="0" w:type="dxa"/>
            <w:left w:w="108" w:type="dxa"/>
            <w:bottom w:w="0" w:type="dxa"/>
            <w:right w:w="108" w:type="dxa"/>
          </w:tblCellMar>
        </w:tblPrEx>
        <w:trPr>
          <w:trHeight w:val="27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F866">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CE7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电磁流量计</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ECE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DN400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53BC">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13</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AC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28000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3DDD">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364000</w:t>
            </w:r>
          </w:p>
        </w:tc>
        <w:tc>
          <w:tcPr>
            <w:tcW w:w="1274" w:type="pct"/>
            <w:vMerge w:val="continue"/>
            <w:tcBorders>
              <w:left w:val="single" w:color="000000" w:sz="4" w:space="0"/>
              <w:bottom w:val="single" w:color="000000" w:sz="4" w:space="0"/>
              <w:right w:val="single" w:color="000000" w:sz="4" w:space="0"/>
            </w:tcBorders>
            <w:shd w:val="clear" w:color="auto" w:fill="auto"/>
            <w:noWrap w:val="0"/>
            <w:vAlign w:val="center"/>
          </w:tcPr>
          <w:p w14:paraId="3BBE22F5">
            <w:pPr>
              <w:widowControl/>
              <w:jc w:val="center"/>
              <w:textAlignment w:val="center"/>
              <w:rPr>
                <w:rFonts w:hint="eastAsia" w:ascii="仿宋" w:hAnsi="仿宋" w:eastAsia="仿宋" w:cs="仿宋"/>
                <w:b/>
                <w:bCs/>
                <w:color w:val="auto"/>
                <w:kern w:val="0"/>
                <w:sz w:val="16"/>
                <w:szCs w:val="16"/>
                <w:highlight w:val="none"/>
                <w:lang w:bidi="ar"/>
              </w:rPr>
            </w:pPr>
          </w:p>
        </w:tc>
      </w:tr>
      <w:tr w14:paraId="3D5320FD">
        <w:tblPrEx>
          <w:tblCellMar>
            <w:top w:w="0" w:type="dxa"/>
            <w:left w:w="108" w:type="dxa"/>
            <w:bottom w:w="0" w:type="dxa"/>
            <w:right w:w="108" w:type="dxa"/>
          </w:tblCellMar>
        </w:tblPrEx>
        <w:trPr>
          <w:trHeight w:val="66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0C7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89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342D">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超声流量计</w:t>
            </w:r>
          </w:p>
          <w:p w14:paraId="1A00AF7F">
            <w:pPr>
              <w:pStyle w:val="3"/>
              <w:rPr>
                <w:rFonts w:hint="eastAsia"/>
                <w:color w:val="auto"/>
                <w:highlight w:val="none"/>
              </w:rPr>
            </w:pPr>
            <w:r>
              <w:rPr>
                <w:rFonts w:hint="eastAsia" w:cs="宋体"/>
                <w:b w:val="0"/>
                <w:bCs w:val="0"/>
                <w:color w:val="auto"/>
                <w:kern w:val="0"/>
                <w:sz w:val="22"/>
                <w:szCs w:val="22"/>
                <w:highlight w:val="none"/>
                <w:lang w:bidi="ar"/>
              </w:rPr>
              <w:t>（插入式）</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B0C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DN500</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F17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8674">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32408</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789F4">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32408</w:t>
            </w:r>
          </w:p>
        </w:tc>
        <w:tc>
          <w:tcPr>
            <w:tcW w:w="1274"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D820E">
            <w:pPr>
              <w:widowControl/>
              <w:jc w:val="center"/>
              <w:textAlignment w:val="center"/>
              <w:rPr>
                <w:rFonts w:hint="eastAsia" w:ascii="仿宋" w:hAnsi="仿宋" w:eastAsia="仿宋" w:cs="仿宋"/>
                <w:b/>
                <w:bCs/>
                <w:color w:val="auto"/>
                <w:kern w:val="0"/>
                <w:sz w:val="16"/>
                <w:szCs w:val="16"/>
                <w:highlight w:val="none"/>
                <w:lang w:bidi="ar"/>
              </w:rPr>
            </w:pPr>
            <w:r>
              <w:rPr>
                <w:rFonts w:hint="eastAsia" w:ascii="仿宋" w:hAnsi="仿宋" w:eastAsia="仿宋" w:cs="仿宋"/>
                <w:b/>
                <w:bCs/>
                <w:color w:val="auto"/>
                <w:kern w:val="0"/>
                <w:sz w:val="16"/>
                <w:szCs w:val="16"/>
                <w:highlight w:val="none"/>
                <w:lang w:bidi="ar"/>
              </w:rPr>
              <w:t>报价含插入式2声道及以上超声流量计、配套太阳能监测终端设备的供货及现场安装。不含土建、开挖施工。</w:t>
            </w:r>
          </w:p>
        </w:tc>
      </w:tr>
      <w:tr w14:paraId="2E110B9E">
        <w:tblPrEx>
          <w:tblCellMar>
            <w:top w:w="0" w:type="dxa"/>
            <w:left w:w="108" w:type="dxa"/>
            <w:bottom w:w="0" w:type="dxa"/>
            <w:right w:w="108" w:type="dxa"/>
          </w:tblCellMar>
        </w:tblPrEx>
        <w:trPr>
          <w:trHeight w:val="312"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3472">
            <w:pPr>
              <w:jc w:val="center"/>
              <w:rPr>
                <w:rFonts w:hint="eastAsia" w:ascii="宋体" w:hAnsi="宋体" w:eastAsia="宋体" w:cs="宋体"/>
                <w:color w:val="auto"/>
                <w:sz w:val="21"/>
                <w:szCs w:val="21"/>
                <w:highlight w:val="none"/>
              </w:rPr>
            </w:pP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4AF1D">
            <w:pPr>
              <w:jc w:val="center"/>
              <w:rPr>
                <w:rFonts w:hint="eastAsia" w:ascii="宋体" w:hAnsi="宋体" w:cs="宋体"/>
                <w:color w:val="auto"/>
                <w:sz w:val="22"/>
                <w:szCs w:val="22"/>
                <w:highlight w:val="none"/>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E07F">
            <w:pPr>
              <w:jc w:val="center"/>
              <w:rPr>
                <w:rFonts w:hint="eastAsia" w:ascii="宋体" w:hAnsi="宋体" w:cs="宋体"/>
                <w:color w:val="auto"/>
                <w:sz w:val="22"/>
                <w:szCs w:val="22"/>
                <w:highlight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B024">
            <w:pPr>
              <w:jc w:val="center"/>
              <w:rPr>
                <w:rFonts w:hint="eastAsia" w:ascii="宋体" w:hAnsi="宋体" w:cs="宋体"/>
                <w:color w:val="auto"/>
                <w:sz w:val="22"/>
                <w:szCs w:val="22"/>
                <w:highlight w:val="none"/>
              </w:rPr>
            </w:pP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D1C4">
            <w:pPr>
              <w:jc w:val="center"/>
              <w:rPr>
                <w:rFonts w:hint="eastAsia" w:ascii="宋体" w:hAnsi="宋体" w:cs="宋体"/>
                <w:color w:val="auto"/>
                <w:sz w:val="24"/>
                <w:highlight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1703D">
            <w:pPr>
              <w:jc w:val="center"/>
              <w:rPr>
                <w:rFonts w:hint="eastAsia" w:ascii="仿宋" w:hAnsi="仿宋" w:eastAsia="仿宋" w:cs="仿宋"/>
                <w:b/>
                <w:bCs/>
                <w:color w:val="auto"/>
                <w:sz w:val="18"/>
                <w:szCs w:val="18"/>
                <w:highlight w:val="none"/>
              </w:rPr>
            </w:pP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646A2">
            <w:pPr>
              <w:jc w:val="center"/>
              <w:rPr>
                <w:rFonts w:hint="eastAsia" w:ascii="仿宋" w:hAnsi="仿宋" w:eastAsia="仿宋" w:cs="仿宋"/>
                <w:b/>
                <w:bCs/>
                <w:color w:val="auto"/>
                <w:sz w:val="18"/>
                <w:szCs w:val="18"/>
                <w:highlight w:val="none"/>
              </w:rPr>
            </w:pPr>
          </w:p>
        </w:tc>
      </w:tr>
      <w:tr w14:paraId="548A98BA">
        <w:tblPrEx>
          <w:tblCellMar>
            <w:top w:w="0" w:type="dxa"/>
            <w:left w:w="108" w:type="dxa"/>
            <w:bottom w:w="0" w:type="dxa"/>
            <w:right w:w="108" w:type="dxa"/>
          </w:tblCellMar>
        </w:tblPrEx>
        <w:trPr>
          <w:trHeight w:val="614"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056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04CAC">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7960">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DN600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22A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126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33102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AE74F">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628938</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C51F5">
            <w:pPr>
              <w:jc w:val="center"/>
              <w:rPr>
                <w:rFonts w:hint="eastAsia" w:ascii="仿宋" w:hAnsi="仿宋" w:eastAsia="仿宋" w:cs="仿宋"/>
                <w:b/>
                <w:bCs/>
                <w:color w:val="auto"/>
                <w:sz w:val="18"/>
                <w:szCs w:val="18"/>
                <w:highlight w:val="none"/>
              </w:rPr>
            </w:pPr>
          </w:p>
        </w:tc>
      </w:tr>
      <w:tr w14:paraId="528BB74B">
        <w:tblPrEx>
          <w:tblCellMar>
            <w:top w:w="0" w:type="dxa"/>
            <w:left w:w="108" w:type="dxa"/>
            <w:bottom w:w="0" w:type="dxa"/>
            <w:right w:w="108" w:type="dxa"/>
          </w:tblCellMar>
        </w:tblPrEx>
        <w:trPr>
          <w:trHeight w:val="508"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1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BBE1F">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500A">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DN800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38C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1B4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33817</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526E2">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135268</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A85A9">
            <w:pPr>
              <w:jc w:val="center"/>
              <w:rPr>
                <w:rFonts w:hint="eastAsia" w:ascii="仿宋" w:hAnsi="仿宋" w:eastAsia="仿宋" w:cs="仿宋"/>
                <w:b/>
                <w:bCs/>
                <w:color w:val="auto"/>
                <w:sz w:val="18"/>
                <w:szCs w:val="18"/>
                <w:highlight w:val="none"/>
              </w:rPr>
            </w:pPr>
          </w:p>
        </w:tc>
      </w:tr>
      <w:tr w14:paraId="79B1ABC7">
        <w:tblPrEx>
          <w:tblCellMar>
            <w:top w:w="0" w:type="dxa"/>
            <w:left w:w="108" w:type="dxa"/>
            <w:bottom w:w="0" w:type="dxa"/>
            <w:right w:w="108" w:type="dxa"/>
          </w:tblCellMar>
        </w:tblPrEx>
        <w:trPr>
          <w:trHeight w:val="464"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B7E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C2F2">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852E">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DN1000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9A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24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34492</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96D5">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34492</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DC978">
            <w:pPr>
              <w:jc w:val="center"/>
              <w:rPr>
                <w:rFonts w:hint="eastAsia" w:ascii="仿宋" w:hAnsi="仿宋" w:eastAsia="仿宋" w:cs="仿宋"/>
                <w:b/>
                <w:bCs/>
                <w:color w:val="auto"/>
                <w:sz w:val="18"/>
                <w:szCs w:val="18"/>
                <w:highlight w:val="none"/>
              </w:rPr>
            </w:pPr>
          </w:p>
        </w:tc>
      </w:tr>
      <w:tr w14:paraId="6711C013">
        <w:tblPrEx>
          <w:tblCellMar>
            <w:top w:w="0" w:type="dxa"/>
            <w:left w:w="108" w:type="dxa"/>
            <w:bottom w:w="0" w:type="dxa"/>
            <w:right w:w="108" w:type="dxa"/>
          </w:tblCellMar>
        </w:tblPrEx>
        <w:trPr>
          <w:trHeight w:val="4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2B05">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7</w:t>
            </w:r>
          </w:p>
        </w:tc>
        <w:tc>
          <w:tcPr>
            <w:tcW w:w="89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9EE88">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不锈钢卡具</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23B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DN500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8F3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0C0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2461</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262">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2461</w:t>
            </w:r>
          </w:p>
        </w:tc>
        <w:tc>
          <w:tcPr>
            <w:tcW w:w="1274"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A5092">
            <w:pPr>
              <w:widowControl/>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kern w:val="0"/>
                <w:sz w:val="16"/>
                <w:szCs w:val="16"/>
                <w:highlight w:val="none"/>
                <w:lang w:bidi="ar"/>
              </w:rPr>
              <w:t>用于无法焊接安装的管道的传感器的固定， 一台流量计使用一套，卡具材质要求采用304 不 锈钢，水泥、PE、铸铁等不可焊接管道需要订做。含供货安装。不含土建。</w:t>
            </w:r>
          </w:p>
        </w:tc>
      </w:tr>
      <w:tr w14:paraId="505E3996">
        <w:tblPrEx>
          <w:tblCellMar>
            <w:top w:w="0" w:type="dxa"/>
            <w:left w:w="108" w:type="dxa"/>
            <w:bottom w:w="0" w:type="dxa"/>
            <w:right w:w="108" w:type="dxa"/>
          </w:tblCellMar>
        </w:tblPrEx>
        <w:trPr>
          <w:trHeight w:val="409"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6E11">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8</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B5677">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3ABB">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DN600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C476">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19</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9E2">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2758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45DE8">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52402</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85D7253">
            <w:pPr>
              <w:jc w:val="center"/>
              <w:rPr>
                <w:rFonts w:hint="eastAsia" w:ascii="仿宋" w:hAnsi="仿宋" w:eastAsia="仿宋" w:cs="仿宋"/>
                <w:b/>
                <w:bCs/>
                <w:color w:val="auto"/>
                <w:sz w:val="16"/>
                <w:szCs w:val="16"/>
                <w:highlight w:val="none"/>
              </w:rPr>
            </w:pPr>
          </w:p>
        </w:tc>
      </w:tr>
      <w:tr w14:paraId="2BF73025">
        <w:tblPrEx>
          <w:tblCellMar>
            <w:top w:w="0" w:type="dxa"/>
            <w:left w:w="108" w:type="dxa"/>
            <w:bottom w:w="0" w:type="dxa"/>
            <w:right w:w="108" w:type="dxa"/>
          </w:tblCellMar>
        </w:tblPrEx>
        <w:trPr>
          <w:trHeight w:val="441"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296D">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9</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91DE0">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250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DN800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2F29">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E5A4">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3540</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CB0A7">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14160</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3384D36">
            <w:pPr>
              <w:jc w:val="center"/>
              <w:rPr>
                <w:rFonts w:hint="eastAsia" w:ascii="仿宋" w:hAnsi="仿宋" w:eastAsia="仿宋" w:cs="仿宋"/>
                <w:b/>
                <w:bCs/>
                <w:color w:val="auto"/>
                <w:sz w:val="16"/>
                <w:szCs w:val="16"/>
                <w:highlight w:val="none"/>
              </w:rPr>
            </w:pPr>
          </w:p>
        </w:tc>
      </w:tr>
      <w:tr w14:paraId="51790902">
        <w:tblPrEx>
          <w:tblCellMar>
            <w:top w:w="0" w:type="dxa"/>
            <w:left w:w="108" w:type="dxa"/>
            <w:bottom w:w="0" w:type="dxa"/>
            <w:right w:w="108" w:type="dxa"/>
          </w:tblCellMar>
        </w:tblPrEx>
        <w:trPr>
          <w:trHeight w:val="603"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431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w:t>
            </w:r>
          </w:p>
        </w:tc>
        <w:tc>
          <w:tcPr>
            <w:tcW w:w="89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FAA58">
            <w:pPr>
              <w:jc w:val="center"/>
              <w:rPr>
                <w:rFonts w:hint="eastAsia" w:ascii="宋体" w:hAnsi="宋体" w:cs="宋体"/>
                <w:color w:val="auto"/>
                <w:sz w:val="22"/>
                <w:szCs w:val="22"/>
                <w:highlight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5865">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DN1000</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5FBD">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813">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3888</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38CAB">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3888</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73DAD02">
            <w:pPr>
              <w:jc w:val="center"/>
              <w:rPr>
                <w:rFonts w:hint="eastAsia" w:ascii="仿宋" w:hAnsi="仿宋" w:eastAsia="仿宋" w:cs="仿宋"/>
                <w:b/>
                <w:bCs/>
                <w:color w:val="auto"/>
                <w:sz w:val="16"/>
                <w:szCs w:val="16"/>
                <w:highlight w:val="none"/>
              </w:rPr>
            </w:pPr>
          </w:p>
        </w:tc>
      </w:tr>
      <w:tr w14:paraId="00335C53">
        <w:tblPrEx>
          <w:tblCellMar>
            <w:top w:w="0" w:type="dxa"/>
            <w:left w:w="108" w:type="dxa"/>
            <w:bottom w:w="0" w:type="dxa"/>
            <w:right w:w="108" w:type="dxa"/>
          </w:tblCellMar>
        </w:tblPrEx>
        <w:trPr>
          <w:trHeight w:val="667"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7954">
            <w:pPr>
              <w:jc w:val="center"/>
              <w:rPr>
                <w:rFonts w:hint="eastAsia" w:ascii="宋体" w:hAnsi="宋体" w:cs="宋体"/>
                <w:color w:val="auto"/>
                <w:sz w:val="22"/>
                <w:szCs w:val="22"/>
                <w:highlight w:val="none"/>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5CEA6">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合计金额</w:t>
            </w:r>
          </w:p>
          <w:p w14:paraId="1D676A3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(预算总额）</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B79C">
            <w:pPr>
              <w:jc w:val="center"/>
              <w:rPr>
                <w:rFonts w:hint="eastAsia" w:ascii="宋体" w:hAnsi="宋体" w:cs="宋体"/>
                <w:color w:val="auto"/>
                <w:sz w:val="22"/>
                <w:szCs w:val="22"/>
                <w:highlight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20FF">
            <w:pPr>
              <w:jc w:val="center"/>
              <w:rPr>
                <w:rFonts w:hint="eastAsia" w:ascii="宋体" w:hAnsi="宋体" w:cs="宋体"/>
                <w:color w:val="auto"/>
                <w:sz w:val="22"/>
                <w:szCs w:val="22"/>
                <w:highlight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6680">
            <w:pPr>
              <w:jc w:val="center"/>
              <w:rPr>
                <w:rFonts w:hint="eastAsia" w:ascii="宋体" w:hAnsi="宋体" w:cs="宋体"/>
                <w:color w:val="auto"/>
                <w:sz w:val="22"/>
                <w:szCs w:val="22"/>
                <w:highlight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35381">
            <w:pPr>
              <w:widowControl/>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bidi="ar"/>
              </w:rPr>
              <w:t>1488017</w:t>
            </w: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BFB0EA1">
            <w:pPr>
              <w:jc w:val="center"/>
              <w:rPr>
                <w:rFonts w:hint="eastAsia" w:ascii="仿宋" w:hAnsi="仿宋" w:eastAsia="仿宋" w:cs="仿宋"/>
                <w:b/>
                <w:bCs/>
                <w:color w:val="auto"/>
                <w:sz w:val="16"/>
                <w:szCs w:val="16"/>
                <w:highlight w:val="none"/>
              </w:rPr>
            </w:pPr>
          </w:p>
        </w:tc>
      </w:tr>
    </w:tbl>
    <w:p w14:paraId="59112FC0">
      <w:pPr>
        <w:spacing w:line="400" w:lineRule="exact"/>
        <w:rPr>
          <w:rFonts w:hint="eastAsia" w:ascii="宋体" w:hAnsi="宋体" w:cs="宋体"/>
          <w:bCs/>
          <w:color w:val="auto"/>
          <w:szCs w:val="21"/>
          <w:highlight w:val="none"/>
        </w:rPr>
      </w:pPr>
    </w:p>
    <w:p w14:paraId="655A8D90">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注：（1）投标人投标价格均含流量计监测、远传终端设备，太阳能供电设施、电池、流量计现场安装、调试的费用；其中流量计采用太阳能、锂电池双电源供电，价格中应包含太阳能设备及安装的费用；采购数量以实际供货安装的数量为准。</w:t>
      </w:r>
    </w:p>
    <w:p w14:paraId="74EBE3F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（2）合同周期：</w:t>
      </w:r>
      <w:r>
        <w:rPr>
          <w:rFonts w:hint="eastAsia" w:ascii="宋体" w:hAnsi="宋体" w:cs="宋体"/>
          <w:bCs/>
          <w:color w:val="auto"/>
          <w:szCs w:val="21"/>
          <w:highlight w:val="none"/>
        </w:rPr>
        <w:t>1年</w:t>
      </w:r>
      <w:r>
        <w:rPr>
          <w:rFonts w:hint="eastAsia" w:ascii="宋体" w:hAnsi="宋体" w:cs="宋体"/>
          <w:bCs/>
          <w:color w:val="auto"/>
          <w:szCs w:val="21"/>
          <w:highlight w:val="none"/>
        </w:rPr>
        <w:t>（自合同签订之日起计算），按采购人需求供货。合同到期，订货总金额未达到合同金额，则不再继续订货。（每批次货款结算=中标单价×实际供货数量）</w:t>
      </w:r>
    </w:p>
    <w:p w14:paraId="20A2D5E5">
      <w:pPr>
        <w:spacing w:line="400" w:lineRule="exact"/>
        <w:rPr>
          <w:rFonts w:hint="eastAsia" w:ascii="宋体" w:hAnsi="宋体" w:cs="宋体"/>
          <w:b/>
          <w:color w:val="auto"/>
          <w:szCs w:val="21"/>
          <w:highlight w:val="none"/>
        </w:rPr>
      </w:pPr>
      <w:bookmarkStart w:id="36" w:name="_Toc169190824"/>
    </w:p>
    <w:p w14:paraId="6986C112">
      <w:pPr>
        <w:spacing w:line="400" w:lineRule="exact"/>
        <w:outlineLvl w:val="1"/>
        <w:rPr>
          <w:rFonts w:hint="eastAsia" w:ascii="宋体" w:hAnsi="宋体" w:cs="宋体"/>
          <w:b/>
          <w:color w:val="auto"/>
          <w:szCs w:val="21"/>
          <w:highlight w:val="none"/>
        </w:rPr>
      </w:pPr>
      <w:r>
        <w:rPr>
          <w:rFonts w:hint="eastAsia" w:ascii="宋体" w:hAnsi="宋体" w:cs="宋体"/>
          <w:b/>
          <w:color w:val="auto"/>
          <w:szCs w:val="21"/>
          <w:highlight w:val="none"/>
        </w:rPr>
        <w:t>二、产品要求</w:t>
      </w:r>
      <w:bookmarkEnd w:id="36"/>
    </w:p>
    <w:p w14:paraId="66314B52">
      <w:pPr>
        <w:spacing w:line="400" w:lineRule="exact"/>
        <w:rPr>
          <w:rFonts w:hint="eastAsia" w:ascii="宋体" w:hAnsi="宋体" w:cs="宋体"/>
          <w:b/>
          <w:bCs/>
          <w:color w:val="auto"/>
          <w:sz w:val="24"/>
          <w:highlight w:val="none"/>
        </w:rPr>
      </w:pPr>
      <w:r>
        <w:rPr>
          <w:rFonts w:hint="eastAsia" w:ascii="宋体" w:hAnsi="宋体" w:cs="宋体"/>
          <w:b/>
          <w:color w:val="auto"/>
          <w:sz w:val="24"/>
          <w:highlight w:val="none"/>
        </w:rPr>
        <w:t>（一）</w:t>
      </w:r>
      <w:r>
        <w:rPr>
          <w:rFonts w:hint="eastAsia" w:ascii="宋体" w:hAnsi="宋体" w:cs="宋体"/>
          <w:b/>
          <w:bCs/>
          <w:color w:val="auto"/>
          <w:sz w:val="24"/>
          <w:highlight w:val="none"/>
        </w:rPr>
        <w:t>电磁流量计技术参数及要求</w:t>
      </w:r>
    </w:p>
    <w:p w14:paraId="60B1550B">
      <w:pPr>
        <w:spacing w:line="400" w:lineRule="exact"/>
        <w:rPr>
          <w:rFonts w:hint="eastAsia" w:ascii="宋体" w:hAnsi="宋体" w:cs="宋体"/>
          <w:color w:val="auto"/>
          <w:szCs w:val="21"/>
          <w:highlight w:val="none"/>
        </w:rPr>
      </w:pPr>
      <w:bookmarkStart w:id="37" w:name="_Toc62484664"/>
      <w:r>
        <w:rPr>
          <w:rFonts w:hint="eastAsia" w:ascii="宋体" w:hAnsi="宋体" w:cs="宋体"/>
          <w:color w:val="auto"/>
          <w:szCs w:val="21"/>
          <w:highlight w:val="none"/>
        </w:rPr>
        <w:t>1.执行标准</w:t>
      </w:r>
      <w:bookmarkEnd w:id="37"/>
      <w:r>
        <w:rPr>
          <w:rFonts w:hint="eastAsia" w:ascii="宋体" w:hAnsi="宋体" w:cs="宋体"/>
          <w:color w:val="auto"/>
          <w:szCs w:val="21"/>
          <w:highlight w:val="none"/>
        </w:rPr>
        <w:t>：</w:t>
      </w:r>
    </w:p>
    <w:p w14:paraId="34E018B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所投产品应至少执行以下标准，凡是注日期的引用文件，仅注日期的版本适用于本文件。凡是未注日期的引用文件，其最新版本（包括所有的修改单）适用于本文件。</w:t>
      </w:r>
    </w:p>
    <w:p w14:paraId="7E08745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JB/T 9248-2015  电磁流量计行业标准。</w:t>
      </w:r>
    </w:p>
    <w:p w14:paraId="14D2301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JJG 1033-2007 电磁流量计检定规程。</w:t>
      </w:r>
    </w:p>
    <w:p w14:paraId="295C068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17626.1  电磁兼容 试验和测量技术 抗扰度试验总论。</w:t>
      </w:r>
    </w:p>
    <w:p w14:paraId="608DD51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17626.2  电磁兼容 试验和测量技术 静电放电抗扰度试验。</w:t>
      </w:r>
    </w:p>
    <w:p w14:paraId="69E1B86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17626.3  电磁兼容 试验和测量技术 射频电磁场辐射抗扰度试验。</w:t>
      </w:r>
    </w:p>
    <w:p w14:paraId="6DB5806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17626.4  电磁兼容 试验和测量技术 电快速瞬变脉冲群抗扰度试验。</w:t>
      </w:r>
    </w:p>
    <w:p w14:paraId="44CCAE7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17626.5  电磁兼容 试验和测量技术 浪涌(冲击)抗扰度试验。</w:t>
      </w:r>
    </w:p>
    <w:p w14:paraId="1904074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17626.6  电磁兼容 试验和测量技术 射频场感应的传导骚扰抗扰度。</w:t>
      </w:r>
    </w:p>
    <w:p w14:paraId="0E825A4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17626.8  电磁兼容 试验和测量技术 工频磁场抗扰度试验。</w:t>
      </w:r>
    </w:p>
    <w:p w14:paraId="0B24DA4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GB/T 17626.9  电磁兼容  试验和测量技术 脉冲磁场抗扰度试验。</w:t>
      </w:r>
    </w:p>
    <w:p w14:paraId="719CC8F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17626.11  电磁兼容 试验和测量技术 电压暂降、短时中断和电压变化的抗扰度试验。</w:t>
      </w:r>
    </w:p>
    <w:p w14:paraId="5B1C306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GB/T 18659</w:t>
      </w:r>
      <w:r>
        <w:rPr>
          <w:rFonts w:hint="eastAsia" w:ascii="宋体" w:hAnsi="宋体" w:cs="宋体"/>
          <w:color w:val="auto"/>
          <w:szCs w:val="21"/>
          <w:highlight w:val="none"/>
        </w:rPr>
        <w:t xml:space="preserve"> </w:t>
      </w:r>
      <w:r>
        <w:rPr>
          <w:rFonts w:ascii="宋体" w:hAnsi="宋体" w:cs="宋体"/>
          <w:color w:val="auto"/>
          <w:szCs w:val="21"/>
          <w:highlight w:val="none"/>
        </w:rPr>
        <w:t>封闭管道中导电液体流量的测量　电磁流量计的性能评定方法</w:t>
      </w:r>
      <w:r>
        <w:rPr>
          <w:rFonts w:hint="eastAsia" w:ascii="宋体" w:hAnsi="宋体" w:cs="宋体"/>
          <w:color w:val="auto"/>
          <w:szCs w:val="21"/>
          <w:highlight w:val="none"/>
        </w:rPr>
        <w:t>。</w:t>
      </w:r>
    </w:p>
    <w:p w14:paraId="44E7BD8E">
      <w:pPr>
        <w:spacing w:line="400" w:lineRule="exact"/>
        <w:ind w:firstLine="210" w:firstLineChars="100"/>
        <w:rPr>
          <w:rFonts w:hint="eastAsia" w:ascii="宋体" w:hAnsi="宋体" w:cs="宋体"/>
          <w:color w:val="auto"/>
          <w:szCs w:val="21"/>
          <w:highlight w:val="none"/>
        </w:rPr>
      </w:pPr>
      <w:r>
        <w:rPr>
          <w:rFonts w:ascii="宋体" w:hAnsi="宋体" w:cs="宋体"/>
          <w:color w:val="auto"/>
          <w:szCs w:val="21"/>
          <w:highlight w:val="none"/>
        </w:rPr>
        <w:t>GB/T 186</w:t>
      </w:r>
      <w:r>
        <w:rPr>
          <w:rFonts w:hint="eastAsia" w:ascii="宋体" w:hAnsi="宋体" w:cs="宋体"/>
          <w:color w:val="auto"/>
          <w:szCs w:val="21"/>
          <w:highlight w:val="none"/>
        </w:rPr>
        <w:t xml:space="preserve">60 </w:t>
      </w:r>
      <w:r>
        <w:rPr>
          <w:rFonts w:ascii="宋体" w:hAnsi="宋体" w:cs="宋体"/>
          <w:color w:val="auto"/>
          <w:szCs w:val="21"/>
          <w:highlight w:val="none"/>
        </w:rPr>
        <w:t>封闭管道中导电液体流量的测量 电磁流量计的使用方法</w:t>
      </w:r>
      <w:r>
        <w:rPr>
          <w:rFonts w:hint="eastAsia" w:ascii="宋体" w:hAnsi="宋体" w:cs="宋体"/>
          <w:color w:val="auto"/>
          <w:szCs w:val="21"/>
          <w:highlight w:val="none"/>
        </w:rPr>
        <w:t>。</w:t>
      </w:r>
    </w:p>
    <w:p w14:paraId="6B20529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 4208-2008  外壳防护等级(IP代码)。  </w:t>
      </w:r>
    </w:p>
    <w:p w14:paraId="2B82317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GB/T 9124.1-2019 钢制管法兰。</w:t>
      </w:r>
    </w:p>
    <w:p w14:paraId="503F2DF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GB/T 13384 机电产品包装通用技术标准。</w:t>
      </w:r>
    </w:p>
    <w:p w14:paraId="505B4B0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 191 包装储运图示标志标准。</w:t>
      </w:r>
    </w:p>
    <w:p w14:paraId="61B8730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GB/T25480 仪器仪表运输、贮存基本环境条件及试验方法。</w:t>
      </w:r>
    </w:p>
    <w:p w14:paraId="773359D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2.产品质量：</w:t>
      </w:r>
    </w:p>
    <w:p w14:paraId="6EBD8B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 遵循电磁流量计行业标准，按产品图样、工艺标准和产品质量检验标准；</w:t>
      </w:r>
    </w:p>
    <w:p w14:paraId="29E345A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 外观：电磁流量计的外观平整、光滑无明显龟裂、皱纹等缺陷；</w:t>
      </w:r>
    </w:p>
    <w:p w14:paraId="08BC99A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 包装：每台电磁流量计必须要有木箱包装；</w:t>
      </w:r>
    </w:p>
    <w:p w14:paraId="7A24FBA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 标志：每件产品均应标有产品型号、规格、合格标志和本厂制造标志。</w:t>
      </w:r>
      <w:bookmarkStart w:id="38" w:name="_Toc62484665"/>
    </w:p>
    <w:p w14:paraId="36A50F2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 通用技术要求</w:t>
      </w:r>
      <w:bookmarkEnd w:id="38"/>
      <w:r>
        <w:rPr>
          <w:rFonts w:hint="eastAsia" w:ascii="宋体" w:hAnsi="宋体" w:cs="宋体"/>
          <w:color w:val="auto"/>
          <w:szCs w:val="21"/>
          <w:highlight w:val="none"/>
        </w:rPr>
        <w:t>：</w:t>
      </w:r>
    </w:p>
    <w:p w14:paraId="59AB2A4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产品的主要用途、功能以及特点：基于法拉第电磁感应原理的电磁流量计，用于测量自来水流量，能够显示瞬时流量、瞬时流量百分比、瞬时流量进度条、正反向累积流量、信号质量、运行状态、流速、时间日期等。</w:t>
      </w:r>
    </w:p>
    <w:p w14:paraId="5DCC124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1）测量介质：水。</w:t>
      </w:r>
    </w:p>
    <w:p w14:paraId="0A8C3324">
      <w:pPr>
        <w:spacing w:line="400" w:lineRule="exact"/>
        <w:rPr>
          <w:rFonts w:hint="eastAsia" w:ascii="宋体" w:hAnsi="宋体" w:cs="宋体"/>
          <w:color w:val="auto"/>
          <w:szCs w:val="21"/>
          <w:highlight w:val="none"/>
        </w:rPr>
      </w:pPr>
      <w:r>
        <w:rPr>
          <w:rFonts w:hint="eastAsia" w:ascii="仿宋" w:hAnsi="仿宋" w:eastAsia="仿宋" w:cs="宋体"/>
          <w:color w:val="auto"/>
          <w:sz w:val="22"/>
          <w:szCs w:val="22"/>
          <w:highlight w:val="none"/>
        </w:rPr>
        <w:t>2）</w:t>
      </w:r>
      <w:r>
        <w:rPr>
          <w:rFonts w:hint="eastAsia" w:ascii="宋体" w:hAnsi="宋体" w:cs="宋体"/>
          <w:color w:val="auto"/>
          <w:szCs w:val="21"/>
          <w:highlight w:val="none"/>
        </w:rPr>
        <w:t>压力等级不低于1.0MPa 。</w:t>
      </w:r>
    </w:p>
    <w:p w14:paraId="58D44AE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3）仪表工作环境温度：-40℃～+60℃。</w:t>
      </w:r>
    </w:p>
    <w:p w14:paraId="338324C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4）环境湿度：0℃～+55℃。</w:t>
      </w:r>
    </w:p>
    <w:p w14:paraId="19415D95">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5）准确度等级：电磁流量计的准确度等级</w:t>
      </w:r>
      <w:r>
        <w:rPr>
          <w:rFonts w:hint="eastAsia" w:ascii="宋体" w:hAnsi="宋体" w:cs="宋体"/>
          <w:color w:val="auto"/>
          <w:kern w:val="0"/>
          <w:sz w:val="22"/>
          <w:szCs w:val="22"/>
          <w:highlight w:val="none"/>
          <w:lang w:bidi="ar"/>
        </w:rPr>
        <w:t>≥</w:t>
      </w:r>
      <w:r>
        <w:rPr>
          <w:rFonts w:hint="eastAsia" w:ascii="宋体" w:hAnsi="宋体" w:cs="宋体"/>
          <w:color w:val="auto"/>
          <w:szCs w:val="21"/>
          <w:highlight w:val="none"/>
        </w:rPr>
        <w:t>0.5级。</w:t>
      </w:r>
    </w:p>
    <w:p w14:paraId="2C9A8A4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6）供电：220V供电或24V供电（支持太阳能供电）。</w:t>
      </w:r>
    </w:p>
    <w:p w14:paraId="2A265673">
      <w:pPr>
        <w:spacing w:line="400" w:lineRule="exact"/>
        <w:rPr>
          <w:rFonts w:hint="eastAsia" w:ascii="宋体" w:hAnsi="宋体" w:cs="宋体"/>
          <w:color w:val="auto"/>
          <w:szCs w:val="21"/>
          <w:highlight w:val="none"/>
        </w:rPr>
      </w:pPr>
      <w:bookmarkStart w:id="39" w:name="OLE_LINK1"/>
      <w:r>
        <w:rPr>
          <w:rFonts w:hint="eastAsia" w:ascii="宋体" w:hAnsi="宋体" w:cs="宋体"/>
          <w:bCs/>
          <w:color w:val="auto"/>
          <w:sz w:val="24"/>
          <w:highlight w:val="none"/>
        </w:rPr>
        <w:t>★</w:t>
      </w:r>
      <w:bookmarkEnd w:id="39"/>
      <w:r>
        <w:rPr>
          <w:rFonts w:hint="eastAsia" w:ascii="宋体" w:hAnsi="宋体" w:cs="宋体"/>
          <w:color w:val="auto"/>
          <w:szCs w:val="21"/>
          <w:highlight w:val="none"/>
        </w:rPr>
        <w:t>7）防护等级：:传感器IP68，要求在浸泡在水里的环境下正常计量</w:t>
      </w:r>
      <w:r>
        <w:rPr>
          <w:rFonts w:hint="eastAsia" w:ascii="宋体" w:hAnsi="宋体" w:cs="宋体"/>
          <w:b/>
          <w:bCs/>
          <w:color w:val="auto"/>
          <w:szCs w:val="21"/>
          <w:highlight w:val="none"/>
        </w:rPr>
        <w:t>（须提供法定计量检测机构出具的检测报告原件扫描件并加盖公章）</w:t>
      </w:r>
      <w:r>
        <w:rPr>
          <w:rFonts w:hint="eastAsia" w:ascii="宋体" w:hAnsi="宋体" w:cs="宋体"/>
          <w:color w:val="auto"/>
          <w:szCs w:val="21"/>
          <w:highlight w:val="none"/>
        </w:rPr>
        <w:t>。</w:t>
      </w:r>
    </w:p>
    <w:p w14:paraId="549C62F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8）转换器显示：正负瞬时流量、正负累计流量、流速、故障报警等。</w:t>
      </w:r>
    </w:p>
    <w:p w14:paraId="0D905BC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9）具有双向流测量功能。</w:t>
      </w:r>
    </w:p>
    <w:p w14:paraId="74DD2E2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10）结构形式：传感器和转换器连接方式：</w:t>
      </w:r>
      <w:r>
        <w:rPr>
          <w:rFonts w:hint="eastAsia" w:ascii="宋体" w:hAnsi="宋体" w:cs="宋体"/>
          <w:b/>
          <w:bCs/>
          <w:color w:val="auto"/>
          <w:szCs w:val="21"/>
          <w:highlight w:val="none"/>
        </w:rPr>
        <w:t>分体式。</w:t>
      </w:r>
    </w:p>
    <w:p w14:paraId="0E43B3AD">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kern w:val="0"/>
          <w:szCs w:val="21"/>
          <w:highlight w:val="none"/>
        </w:rPr>
        <w:t>4.</w:t>
      </w:r>
      <w:r>
        <w:rPr>
          <w:rFonts w:hint="eastAsia" w:ascii="宋体" w:hAnsi="宋体" w:cs="宋体"/>
          <w:color w:val="auto"/>
          <w:szCs w:val="21"/>
          <w:highlight w:val="none"/>
        </w:rPr>
        <w:t>传感器要求：</w:t>
      </w:r>
    </w:p>
    <w:p w14:paraId="687A70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4.1所投电磁流量计应有多电极结构设计。电极数量不低于3个。</w:t>
      </w:r>
    </w:p>
    <w:p w14:paraId="159CC02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4.2输出信号：:具备电流输出、脉冲频率输出、RS-485输出。</w:t>
      </w:r>
    </w:p>
    <w:p w14:paraId="029145B6">
      <w:pPr>
        <w:spacing w:line="400" w:lineRule="exact"/>
        <w:rPr>
          <w:rFonts w:ascii="宋体" w:hAnsi="宋体" w:cs="宋体"/>
          <w:color w:val="auto"/>
          <w:szCs w:val="21"/>
          <w:highlight w:val="none"/>
        </w:rPr>
      </w:pPr>
      <w:r>
        <w:rPr>
          <w:rFonts w:hint="eastAsia" w:ascii="宋体" w:hAnsi="宋体" w:cs="宋体"/>
          <w:color w:val="auto"/>
          <w:szCs w:val="21"/>
          <w:highlight w:val="none"/>
        </w:rPr>
        <w:t>4.3通讯要求：通讯数据可按照招标方要求送至指定的数据采集终端。</w:t>
      </w:r>
    </w:p>
    <w:p w14:paraId="6D19AA45">
      <w:pPr>
        <w:numPr>
          <w:ilvl w:val="0"/>
          <w:numId w:val="4"/>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材质要求：</w:t>
      </w:r>
    </w:p>
    <w:p w14:paraId="3D9164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电子装置的外壳防护应达到IP68等级要求,电磁流量计的材料和结构还要符合GB/T 778.1-2018中6.1的要求。（投标人应提供使用和技术说明书、典型的外壳防护等级检测报告。）</w:t>
      </w:r>
    </w:p>
    <w:p w14:paraId="0F4B0AA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5.1测量电极材质：316L或更高等级不锈钢电极</w:t>
      </w:r>
      <w:r>
        <w:rPr>
          <w:rFonts w:hint="eastAsia" w:ascii="宋体" w:hAnsi="宋体" w:cs="宋体"/>
          <w:b/>
          <w:bCs/>
          <w:color w:val="auto"/>
          <w:szCs w:val="21"/>
          <w:highlight w:val="none"/>
        </w:rPr>
        <w:t>（须提供法定检测机构出具的检测报告原件扫描件并加盖公章）</w:t>
      </w:r>
      <w:r>
        <w:rPr>
          <w:rFonts w:hint="eastAsia" w:ascii="宋体" w:hAnsi="宋体" w:cs="宋体"/>
          <w:color w:val="auto"/>
          <w:szCs w:val="21"/>
          <w:highlight w:val="none"/>
        </w:rPr>
        <w:t>；</w:t>
      </w:r>
    </w:p>
    <w:p w14:paraId="0743F76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5.2内衬材质：氯丁橡胶或性能优于此的其他材质；</w:t>
      </w:r>
    </w:p>
    <w:p w14:paraId="6C0A6D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5.3导流管（流量管）:304不锈钢；</w:t>
      </w:r>
    </w:p>
    <w:p w14:paraId="29EC33F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5.4法兰材质：碳钢或性能优于此的其他材质；</w:t>
      </w:r>
    </w:p>
    <w:p w14:paraId="39DCD3D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5.5表体（包板、侧板）: 碳钢；</w:t>
      </w:r>
    </w:p>
    <w:p w14:paraId="4DF805E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5.6转换器外壳:铝铸件或更高级材质；</w:t>
      </w:r>
    </w:p>
    <w:p w14:paraId="2E2B5461">
      <w:pPr>
        <w:spacing w:line="400" w:lineRule="exact"/>
        <w:rPr>
          <w:rFonts w:ascii="宋体" w:hAnsi="宋体" w:cs="宋体"/>
          <w:color w:val="auto"/>
          <w:szCs w:val="21"/>
          <w:highlight w:val="none"/>
        </w:rPr>
      </w:pPr>
      <w:r>
        <w:rPr>
          <w:rFonts w:hint="eastAsia" w:ascii="宋体" w:hAnsi="宋体" w:cs="宋体"/>
          <w:color w:val="auto"/>
          <w:szCs w:val="21"/>
          <w:highlight w:val="none"/>
        </w:rPr>
        <w:t>5.7接线盒：304不锈钢。</w:t>
      </w:r>
    </w:p>
    <w:p w14:paraId="4232ABC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6.安装条件：直管段要求U5 D3及以上；内置接地电极（不锈钢电极），具备双层屏蔽（可防磁干扰）防雷功能，短路保护。</w:t>
      </w:r>
    </w:p>
    <w:p w14:paraId="0CD12B2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7.出厂检定要求：每台仪表在出厂前都经过标准容器法或静态质量法进行实流标定。   </w:t>
      </w:r>
    </w:p>
    <w:p w14:paraId="2C88E54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8.原材料分析报告：所投产品需要提供原材料光谱分析报告（本体法兰、导管、包板、接线盒）。</w:t>
      </w:r>
    </w:p>
    <w:p w14:paraId="69B2EFF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9.显示器：液晶屏显示（带背光），采用电容或红外式触摸按键 ，以满足在寒冷环境下正常使用。</w:t>
      </w:r>
    </w:p>
    <w:p w14:paraId="0ACBA0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10.可测流速范围：-12m/s～12m/s。</w:t>
      </w:r>
    </w:p>
    <w:p w14:paraId="3DAF3797">
      <w:pPr>
        <w:spacing w:line="400" w:lineRule="exact"/>
        <w:rPr>
          <w:rFonts w:ascii="宋体" w:hAnsi="宋体" w:cs="宋体"/>
          <w:color w:val="auto"/>
          <w:szCs w:val="21"/>
          <w:highlight w:val="none"/>
        </w:rPr>
      </w:pPr>
      <w:r>
        <w:rPr>
          <w:rFonts w:hint="eastAsia" w:ascii="宋体" w:hAnsi="宋体" w:cs="宋体"/>
          <w:color w:val="auto"/>
          <w:szCs w:val="21"/>
          <w:highlight w:val="none"/>
        </w:rPr>
        <w:t>11.精度保证流速范围：0.4m/s～6m/s。</w:t>
      </w:r>
    </w:p>
    <w:p w14:paraId="7852E2F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12.现场操控：采用电容式或者红外式的触摸按键，无需开盖即可操作，确保转换器的密封性能，提升线路板的绝缘性，保证长期可靠运行。</w:t>
      </w:r>
    </w:p>
    <w:p w14:paraId="6D27E0C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13.报警功能：应具有信号溢出、断励磁、空管等报警功能，并在显示界面醒目显示。</w:t>
      </w:r>
    </w:p>
    <w:p w14:paraId="43995C6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14.传感器安装方式：法兰安装，法兰符合GB/T 9124.1-2019要求。</w:t>
      </w:r>
    </w:p>
    <w:p w14:paraId="513485F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15.重复性误差：流量计的重复性误差应不超过其基本误差限绝对值的1/3。</w:t>
      </w:r>
    </w:p>
    <w:p w14:paraId="5B3A2C67">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16.始动流速：:所提供流量计始动流速≤5mm/s</w:t>
      </w:r>
      <w:r>
        <w:rPr>
          <w:rFonts w:hint="eastAsia" w:ascii="宋体" w:hAnsi="宋体" w:cs="宋体"/>
          <w:b/>
          <w:bCs/>
          <w:color w:val="auto"/>
          <w:szCs w:val="21"/>
          <w:highlight w:val="none"/>
        </w:rPr>
        <w:t>（须提供法定计量检测机构出具的检测报告原件扫描件并加盖公章）</w:t>
      </w:r>
      <w:r>
        <w:rPr>
          <w:rFonts w:hint="eastAsia" w:ascii="宋体" w:hAnsi="宋体" w:cs="宋体"/>
          <w:color w:val="auto"/>
          <w:szCs w:val="21"/>
          <w:highlight w:val="none"/>
        </w:rPr>
        <w:t>。</w:t>
      </w:r>
    </w:p>
    <w:p w14:paraId="4F4CE613">
      <w:pPr>
        <w:spacing w:line="400" w:lineRule="exact"/>
        <w:rPr>
          <w:rFonts w:hint="eastAsia" w:ascii="宋体" w:hAnsi="宋体" w:cs="宋体"/>
          <w:b/>
          <w:bCs/>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17.导流管结构要求：流量计为直通结构，不缩径，压损△p≤0.005MPa。</w:t>
      </w:r>
    </w:p>
    <w:p w14:paraId="12DC0557">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18.抗干扰性能：电磁流量计具有良好的抗干扰性能，产品信号线应符合《GB/T17626.5》的相关要求</w:t>
      </w:r>
      <w:r>
        <w:rPr>
          <w:rFonts w:hint="eastAsia" w:ascii="宋体" w:hAnsi="宋体" w:cs="宋体"/>
          <w:b/>
          <w:bCs/>
          <w:color w:val="auto"/>
          <w:szCs w:val="21"/>
          <w:highlight w:val="none"/>
        </w:rPr>
        <w:t>（须提供法定检测机构出具的检测报告原件扫描件并加盖公章）</w:t>
      </w:r>
      <w:r>
        <w:rPr>
          <w:rFonts w:hint="eastAsia" w:ascii="宋体" w:hAnsi="宋体" w:cs="宋体"/>
          <w:color w:val="auto"/>
          <w:szCs w:val="21"/>
          <w:highlight w:val="none"/>
        </w:rPr>
        <w:t>。</w:t>
      </w:r>
    </w:p>
    <w:p w14:paraId="5AD02566">
      <w:pPr>
        <w:spacing w:line="400" w:lineRule="exact"/>
        <w:rPr>
          <w:rFonts w:hint="eastAsia" w:ascii="宋体" w:hAnsi="宋体" w:cs="宋体"/>
          <w:color w:val="auto"/>
          <w:szCs w:val="21"/>
          <w:highlight w:val="none"/>
        </w:rPr>
      </w:pPr>
      <w:r>
        <w:rPr>
          <w:rFonts w:hint="eastAsia" w:ascii="宋体" w:hAnsi="宋体" w:cs="宋体"/>
          <w:bCs/>
          <w:color w:val="auto"/>
          <w:sz w:val="24"/>
          <w:highlight w:val="none"/>
        </w:rPr>
        <w:t>★</w:t>
      </w:r>
      <w:r>
        <w:rPr>
          <w:rFonts w:hint="eastAsia" w:ascii="宋体" w:hAnsi="宋体" w:cs="宋体"/>
          <w:color w:val="auto"/>
          <w:szCs w:val="21"/>
          <w:highlight w:val="none"/>
        </w:rPr>
        <w:t>19.投标产品节能环保要求：电磁流量计产品整机用料符合节能环保设计要求，不会对周边环境产生污染（</w:t>
      </w:r>
      <w:r>
        <w:rPr>
          <w:rFonts w:hint="eastAsia" w:ascii="宋体" w:hAnsi="宋体" w:cs="宋体"/>
          <w:color w:val="auto"/>
          <w:szCs w:val="21"/>
          <w:highlight w:val="none"/>
        </w:rPr>
        <w:t>须提供第三方机构出具的</w:t>
      </w:r>
      <w:r>
        <w:rPr>
          <w:rFonts w:hint="eastAsia" w:ascii="宋体" w:hAnsi="宋体" w:cs="宋体"/>
          <w:color w:val="auto"/>
          <w:szCs w:val="21"/>
          <w:highlight w:val="none"/>
          <w:u w:val="single"/>
        </w:rPr>
        <w:t>环境保护产品认证证书）</w:t>
      </w:r>
      <w:r>
        <w:rPr>
          <w:rFonts w:hint="eastAsia" w:ascii="宋体" w:hAnsi="宋体" w:cs="宋体"/>
          <w:color w:val="auto"/>
          <w:szCs w:val="21"/>
          <w:highlight w:val="none"/>
        </w:rPr>
        <w:t>。</w:t>
      </w:r>
    </w:p>
    <w:p w14:paraId="702F9B95">
      <w:pPr>
        <w:spacing w:line="400" w:lineRule="exact"/>
        <w:rPr>
          <w:rFonts w:hint="eastAsia" w:ascii="宋体" w:hAnsi="宋体" w:cs="宋体"/>
          <w:color w:val="auto"/>
          <w:szCs w:val="21"/>
          <w:highlight w:val="none"/>
        </w:rPr>
      </w:pPr>
    </w:p>
    <w:p w14:paraId="46DB73B2">
      <w:pPr>
        <w:spacing w:line="400" w:lineRule="exact"/>
        <w:rPr>
          <w:rFonts w:ascii="宋体" w:hAnsi="宋体" w:cs="宋体"/>
          <w:color w:val="auto"/>
          <w:szCs w:val="21"/>
          <w:highlight w:val="none"/>
        </w:rPr>
      </w:pPr>
      <w:r>
        <w:rPr>
          <w:rFonts w:hint="eastAsia" w:ascii="宋体" w:hAnsi="宋体" w:cs="宋体"/>
          <w:b/>
          <w:bCs/>
          <w:color w:val="auto"/>
          <w:sz w:val="22"/>
          <w:szCs w:val="22"/>
          <w:highlight w:val="none"/>
        </w:rPr>
        <w:t>2.市电监测终端（配套电磁流量计用）</w:t>
      </w:r>
    </w:p>
    <w:p w14:paraId="1BA394C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 内含设备</w:t>
      </w:r>
    </w:p>
    <w:p w14:paraId="082C85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A-不锈钢仪表箱（带可视窗）、B-空气开关、C-隔离变压器、D-防雷模块、E-防浪涌模块、F-24V电源模块、G-接线端子、H-遥测终端、I-(预留220V流量计转换器安装位置)</w:t>
      </w:r>
    </w:p>
    <w:p w14:paraId="0F6426E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 供电对象</w:t>
      </w:r>
    </w:p>
    <w:p w14:paraId="26C769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流量计、数据采集器、其他与仪表正常运行相关的辅助设备由此配电柜供电。</w:t>
      </w:r>
    </w:p>
    <w:p w14:paraId="4E5B12F8">
      <w:pPr>
        <w:spacing w:line="400" w:lineRule="exact"/>
        <w:rPr>
          <w:rFonts w:ascii="宋体" w:hAnsi="宋体" w:cs="宋体"/>
          <w:color w:val="auto"/>
          <w:szCs w:val="21"/>
          <w:highlight w:val="none"/>
        </w:rPr>
      </w:pPr>
      <w:r>
        <w:rPr>
          <w:rFonts w:hint="eastAsia" w:ascii="宋体" w:hAnsi="宋体" w:cs="宋体"/>
          <w:color w:val="auto"/>
          <w:szCs w:val="21"/>
          <w:highlight w:val="none"/>
        </w:rPr>
        <w:t>2.3 主要配件功能</w:t>
      </w:r>
    </w:p>
    <w:p w14:paraId="1F7F7D4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1）防雷模块：防雷模块主要起到防雷作用，保护设备不被雷击损坏，需符合国标。</w:t>
      </w:r>
    </w:p>
    <w:p w14:paraId="6E94EF7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2）24V开关电源：AV-220V转DC-24V，主要给遥测终端等其它设备供电，可根据实际需求进行选配，</w:t>
      </w:r>
      <w:r>
        <w:rPr>
          <w:rFonts w:hint="eastAsia" w:ascii="宋体" w:hAnsi="宋体" w:cs="宋体"/>
          <w:color w:val="auto"/>
          <w:szCs w:val="21"/>
          <w:highlight w:val="none"/>
        </w:rPr>
        <w:t>可根据实际需求进行选择。</w:t>
      </w:r>
    </w:p>
    <w:p w14:paraId="2AADDAD9">
      <w:pPr>
        <w:spacing w:line="400" w:lineRule="exact"/>
        <w:rPr>
          <w:rFonts w:ascii="宋体" w:hAnsi="宋体" w:cs="宋体"/>
          <w:color w:val="auto"/>
          <w:szCs w:val="21"/>
          <w:highlight w:val="none"/>
        </w:rPr>
      </w:pPr>
      <w:r>
        <w:rPr>
          <w:rFonts w:hint="eastAsia" w:ascii="宋体" w:hAnsi="宋体" w:cs="宋体"/>
          <w:color w:val="auto"/>
          <w:szCs w:val="21"/>
          <w:highlight w:val="none"/>
        </w:rPr>
        <w:t>3) 防浪涌模块：防大浪涌，突发异常，起保护设备功能。</w:t>
      </w:r>
    </w:p>
    <w:p w14:paraId="72E0837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 隔离变压器(1:1 220V 500VA)：三种功能：a-人身安全隔离，b-充当一二级避雷互耦器 c-滤波抗干扰，防小浪涌。</w:t>
      </w:r>
    </w:p>
    <w:p w14:paraId="3FB30098">
      <w:pPr>
        <w:spacing w:line="400" w:lineRule="exact"/>
        <w:rPr>
          <w:rFonts w:ascii="宋体" w:hAnsi="宋体" w:cs="宋体"/>
          <w:color w:val="auto"/>
          <w:szCs w:val="21"/>
          <w:highlight w:val="none"/>
        </w:rPr>
      </w:pPr>
      <w:r>
        <w:rPr>
          <w:rFonts w:hint="eastAsia" w:ascii="宋体" w:hAnsi="宋体" w:cs="宋体"/>
          <w:color w:val="auto"/>
          <w:szCs w:val="21"/>
          <w:highlight w:val="none"/>
        </w:rPr>
        <w:t>5) 空开：控制电源回路，起短路保护，市电过流保护。</w:t>
      </w:r>
    </w:p>
    <w:p w14:paraId="31D14AD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 箱体：采用304不锈钢材料，防雨水设计，接线规范，标示清晰，带视窗玻璃，合理布局。箱门外张贴用户要求的logo图。(预留流量计转换器安装位置)</w:t>
      </w:r>
    </w:p>
    <w:p w14:paraId="278B812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7）预留接线端子：预留压力传变送器信号线端子。以备后续增加压力信号采集和上传。</w:t>
      </w:r>
    </w:p>
    <w:p w14:paraId="2612D53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8）遥测终端：流量、压力信号的采集和传输。（压力信号的采集与传输需选配相关压力变送器）。</w:t>
      </w:r>
    </w:p>
    <w:p w14:paraId="2215E541">
      <w:pPr>
        <w:spacing w:line="400" w:lineRule="exact"/>
        <w:rPr>
          <w:rFonts w:hint="eastAsia" w:ascii="宋体" w:hAnsi="宋体" w:cs="宋体"/>
          <w:color w:val="auto"/>
          <w:szCs w:val="21"/>
          <w:highlight w:val="none"/>
        </w:rPr>
      </w:pPr>
    </w:p>
    <w:p w14:paraId="4F8BA94F">
      <w:pPr>
        <w:spacing w:line="400" w:lineRule="exact"/>
        <w:rPr>
          <w:color w:val="auto"/>
          <w:sz w:val="24"/>
          <w:highlight w:val="none"/>
        </w:rPr>
      </w:pPr>
      <w:r>
        <w:rPr>
          <w:rFonts w:hint="eastAsia" w:ascii="宋体" w:hAnsi="宋体" w:cs="宋体"/>
          <w:b/>
          <w:color w:val="auto"/>
          <w:sz w:val="24"/>
          <w:highlight w:val="none"/>
        </w:rPr>
        <w:t>（二）</w:t>
      </w:r>
      <w:r>
        <w:rPr>
          <w:rFonts w:hint="eastAsia" w:ascii="宋体" w:hAnsi="宋体" w:cs="宋体"/>
          <w:b/>
          <w:bCs/>
          <w:color w:val="auto"/>
          <w:sz w:val="24"/>
          <w:highlight w:val="none"/>
        </w:rPr>
        <w:t>超声波</w:t>
      </w:r>
      <w:r>
        <w:rPr>
          <w:rFonts w:ascii="宋体" w:hAnsi="宋体" w:cs="宋体"/>
          <w:b/>
          <w:bCs/>
          <w:color w:val="auto"/>
          <w:sz w:val="24"/>
          <w:highlight w:val="none"/>
        </w:rPr>
        <w:t>流量计</w:t>
      </w:r>
      <w:r>
        <w:rPr>
          <w:rFonts w:hint="eastAsia" w:ascii="宋体" w:hAnsi="宋体" w:cs="宋体"/>
          <w:b/>
          <w:bCs/>
          <w:color w:val="auto"/>
          <w:sz w:val="24"/>
          <w:highlight w:val="none"/>
        </w:rPr>
        <w:t>（插入式）</w:t>
      </w:r>
    </w:p>
    <w:p w14:paraId="3D6B65EB">
      <w:pPr>
        <w:spacing w:line="400" w:lineRule="exact"/>
        <w:rPr>
          <w:rFonts w:hint="eastAsia" w:ascii="宋体" w:hAnsi="宋体" w:cs="宋体"/>
          <w:bCs/>
          <w:color w:val="auto"/>
          <w:szCs w:val="21"/>
          <w:highlight w:val="none"/>
        </w:rPr>
      </w:pPr>
      <w:r>
        <w:rPr>
          <w:rFonts w:hint="eastAsia" w:ascii="宋体" w:hAnsi="宋体" w:cs="宋体"/>
          <w:bCs/>
          <w:color w:val="auto"/>
          <w:sz w:val="24"/>
          <w:highlight w:val="none"/>
        </w:rPr>
        <w:t>★</w:t>
      </w:r>
      <w:r>
        <w:rPr>
          <w:rFonts w:hint="eastAsia" w:ascii="宋体" w:hAnsi="宋体" w:cs="宋体"/>
          <w:bCs/>
          <w:color w:val="auto"/>
          <w:szCs w:val="21"/>
          <w:highlight w:val="none"/>
        </w:rPr>
        <w:t>1.声道数：</w:t>
      </w:r>
      <w:r>
        <w:rPr>
          <w:rFonts w:hint="eastAsia" w:ascii="仿宋" w:hAnsi="仿宋" w:eastAsia="仿宋" w:cs="仿宋"/>
          <w:color w:val="auto"/>
          <w:kern w:val="0"/>
          <w:sz w:val="24"/>
          <w:highlight w:val="none"/>
        </w:rPr>
        <w:t>2声道及以上。</w:t>
      </w:r>
      <w:r>
        <w:rPr>
          <w:rFonts w:hint="eastAsia" w:ascii="宋体" w:hAnsi="宋体" w:cs="宋体"/>
          <w:bCs/>
          <w:color w:val="auto"/>
          <w:szCs w:val="21"/>
          <w:highlight w:val="none"/>
        </w:rPr>
        <w:t xml:space="preserve"> </w:t>
      </w:r>
    </w:p>
    <w:p w14:paraId="3558AB7D">
      <w:pPr>
        <w:numPr>
          <w:ilvl w:val="0"/>
          <w:numId w:val="5"/>
        </w:num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准确度等级：</w:t>
      </w:r>
      <w:r>
        <w:rPr>
          <w:rFonts w:hint="eastAsia" w:ascii="宋体" w:hAnsi="宋体" w:cs="宋体"/>
          <w:color w:val="auto"/>
          <w:szCs w:val="21"/>
          <w:highlight w:val="none"/>
        </w:rPr>
        <w:t>准确度等级</w:t>
      </w:r>
      <w:r>
        <w:rPr>
          <w:rFonts w:hint="eastAsia" w:ascii="宋体" w:hAnsi="宋体" w:cs="宋体"/>
          <w:color w:val="auto"/>
          <w:kern w:val="0"/>
          <w:sz w:val="22"/>
          <w:szCs w:val="22"/>
          <w:highlight w:val="none"/>
          <w:lang w:bidi="ar"/>
        </w:rPr>
        <w:t>≥</w:t>
      </w:r>
      <w:r>
        <w:rPr>
          <w:rFonts w:hint="eastAsia" w:ascii="宋体" w:hAnsi="宋体" w:cs="宋体"/>
          <w:color w:val="auto"/>
          <w:szCs w:val="21"/>
          <w:highlight w:val="none"/>
        </w:rPr>
        <w:t>0.5级。</w:t>
      </w:r>
    </w:p>
    <w:p w14:paraId="677C51F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3.被测管道材质：钢、铸铁、水泥、PE、PVC 等可承受开孔安装的管道； </w:t>
      </w:r>
    </w:p>
    <w:p w14:paraId="0B5C50C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4.公称直径（测量范围）：DN100-DN2000； </w:t>
      </w:r>
    </w:p>
    <w:p w14:paraId="62C71C8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5.被测介质温度：常温型：0℃至 50℃ ； </w:t>
      </w:r>
    </w:p>
    <w:p w14:paraId="11A3083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6.流速测量范围：0m/s-12m/s； </w:t>
      </w:r>
    </w:p>
    <w:p w14:paraId="39766A54">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7.安装形式：插入式； </w:t>
      </w:r>
    </w:p>
    <w:p w14:paraId="445887E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8.工作环境：温度：-10℃至+45℃ 相对湿度：≤85%； </w:t>
      </w:r>
    </w:p>
    <w:p w14:paraId="4ED66B6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9.防护等级：整机及各零部件 IP68（中标后提供省级部门出具的检测报告复印件）； </w:t>
      </w:r>
    </w:p>
    <w:p w14:paraId="694415D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10. 显示内容：瞬时流量（m³/h)累积流量（m³）累计有效运行时间（h)日期（年/月/ 日）时间（时/分/秒）信号强度，液体流动方向等； </w:t>
      </w:r>
    </w:p>
    <w:p w14:paraId="5859FE1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11.显示范围：累积流量：-199999999m³~+199999999m³； </w:t>
      </w:r>
    </w:p>
    <w:p w14:paraId="794B0D1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12.瞬时流量：-9999999.9m³/h~+9999999.9m³/h，； </w:t>
      </w:r>
    </w:p>
    <w:p w14:paraId="70180741">
      <w:pPr>
        <w:spacing w:line="400" w:lineRule="exact"/>
        <w:rPr>
          <w:rFonts w:hint="eastAsia" w:ascii="宋体" w:hAnsi="宋体" w:cs="宋体"/>
          <w:bCs/>
          <w:color w:val="auto"/>
          <w:szCs w:val="21"/>
          <w:highlight w:val="none"/>
        </w:rPr>
      </w:pPr>
      <w:r>
        <w:rPr>
          <w:rFonts w:hint="eastAsia" w:ascii="宋体" w:hAnsi="宋体" w:cs="宋体"/>
          <w:bCs/>
          <w:color w:val="auto"/>
          <w:sz w:val="24"/>
          <w:highlight w:val="none"/>
        </w:rPr>
        <w:t>★</w:t>
      </w:r>
      <w:r>
        <w:rPr>
          <w:rFonts w:hint="eastAsia" w:ascii="宋体" w:hAnsi="宋体" w:cs="宋体"/>
          <w:bCs/>
          <w:color w:val="auto"/>
          <w:szCs w:val="21"/>
          <w:highlight w:val="none"/>
        </w:rPr>
        <w:t>17.供电电源: 太阳能、锂电池双电源供电。具有12V或24V的供电接口（由太阳能或市电转化供电）或3.6V锂电池供电；</w:t>
      </w:r>
    </w:p>
    <w:p w14:paraId="68E8555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18.功耗：小于 0.5mW； </w:t>
      </w:r>
    </w:p>
    <w:p w14:paraId="08126E23">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19.材质：①不可焊接管道需要定做卡具 ，不锈钢卡具材质:304不锈钢 ；②传感器材质：304不锈钢。</w:t>
      </w:r>
    </w:p>
    <w:p w14:paraId="5DD28F0C">
      <w:pPr>
        <w:spacing w:line="400" w:lineRule="exact"/>
        <w:rPr>
          <w:rFonts w:hint="eastAsia" w:ascii="宋体" w:hAnsi="宋体" w:cs="宋体"/>
          <w:bCs/>
          <w:color w:val="auto"/>
          <w:szCs w:val="21"/>
          <w:highlight w:val="none"/>
        </w:rPr>
      </w:pPr>
      <w:bookmarkStart w:id="40" w:name="_Toc479622299"/>
      <w:r>
        <w:rPr>
          <w:rFonts w:hint="eastAsia" w:ascii="宋体" w:hAnsi="宋体" w:cs="宋体"/>
          <w:bCs/>
          <w:color w:val="auto"/>
          <w:szCs w:val="21"/>
          <w:highlight w:val="none"/>
        </w:rPr>
        <w:t>20.安装条件：设备安装管道直管段要求U10D5。</w:t>
      </w:r>
    </w:p>
    <w:bookmarkEnd w:id="40"/>
    <w:p w14:paraId="0BE052AB">
      <w:pPr>
        <w:spacing w:line="400" w:lineRule="exact"/>
        <w:rPr>
          <w:rFonts w:hint="eastAsia" w:ascii="宋体" w:hAnsi="宋体" w:cs="宋体"/>
          <w:bCs/>
          <w:color w:val="auto"/>
          <w:sz w:val="24"/>
          <w:highlight w:val="none"/>
        </w:rPr>
      </w:pPr>
    </w:p>
    <w:p w14:paraId="7F761776">
      <w:pPr>
        <w:spacing w:line="400" w:lineRule="exact"/>
        <w:rPr>
          <w:rFonts w:hint="eastAsia" w:ascii="宋体" w:hAnsi="宋体" w:cs="宋体"/>
          <w:b/>
          <w:color w:val="auto"/>
          <w:szCs w:val="21"/>
          <w:highlight w:val="none"/>
        </w:rPr>
      </w:pPr>
      <w:r>
        <w:rPr>
          <w:rFonts w:hint="eastAsia" w:ascii="宋体" w:hAnsi="宋体" w:cs="宋体"/>
          <w:bCs/>
          <w:color w:val="auto"/>
          <w:sz w:val="24"/>
          <w:highlight w:val="none"/>
        </w:rPr>
        <w:t>★</w:t>
      </w:r>
      <w:r>
        <w:rPr>
          <w:rFonts w:hint="eastAsia" w:ascii="宋体" w:hAnsi="宋体" w:cs="宋体"/>
          <w:b/>
          <w:color w:val="auto"/>
          <w:szCs w:val="21"/>
          <w:highlight w:val="none"/>
        </w:rPr>
        <w:t>2.电子设备技术及功能要求</w:t>
      </w:r>
    </w:p>
    <w:p w14:paraId="50E1E55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2.1数据通讯：插入式流量计需具备远传功能，输出信号为 RS-485，无线手持抄表和 4G 无线远传通信等功能，波特率为 2400bps、4800bps、9600bps 可选，远传协议须接入义乌水司的标准协议，接入费用由中标供应商与平台开发商自行协商承担。（ 传输发射装置物联网卡6年的通讯费用，须提供承诺函)，</w:t>
      </w:r>
      <w:r>
        <w:rPr>
          <w:rFonts w:ascii="仿宋" w:hAnsi="仿宋" w:eastAsia="仿宋" w:cs="仿宋"/>
          <w:color w:val="auto"/>
          <w:sz w:val="24"/>
          <w:highlight w:val="none"/>
        </w:rPr>
        <w:t xml:space="preserve">支持 EN13757 协议、Modbus 协议 </w:t>
      </w:r>
      <w:r>
        <w:rPr>
          <w:rFonts w:hint="eastAsia" w:ascii="宋体" w:hAnsi="宋体" w:cs="宋体"/>
          <w:bCs/>
          <w:color w:val="auto"/>
          <w:szCs w:val="21"/>
          <w:highlight w:val="none"/>
        </w:rPr>
        <w:t>。</w:t>
      </w:r>
    </w:p>
    <w:p w14:paraId="66AEEED0">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2.2测量周期：采集频率不低于4 次/秒，参数可配置。</w:t>
      </w:r>
    </w:p>
    <w:p w14:paraId="1BA3F28D">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2.3数据存储：采用 EEPROM 存储累积流量、累积有效运行时间，断电后数据可保存 6年，可自动存储前 24 个月的日累积流量、累积有效运行时间；且再次通电后数据自动恢复；同时具有必要的数据存取纠错措施，确保数据存取的准确。 </w:t>
      </w:r>
    </w:p>
    <w:p w14:paraId="1D63D8D1">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具备数据静态存储功能，能存储不低于6年的累计正水量、累计逆水量、累计水量、电池电压等数据，并可现场或远程进行数据读取。当存储数据存满存储介质时，新采集的数据自动覆盖最早数据。</w:t>
      </w:r>
    </w:p>
    <w:p w14:paraId="0AA667F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2.4.数据储存系统：标准配置本地存储不少于6个年历史数据，可根据现场要求另选。设备具备自校验功能。</w:t>
      </w:r>
    </w:p>
    <w:p w14:paraId="58AB227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2.5数据周期上传：累计水量、累计正水量、累计逆水量、时间、数据间隔、电池电压、信号强度等，且支持自动和手动上报离散。最小支持每分钟上报1次，参数可配置。</w:t>
      </w:r>
    </w:p>
    <w:p w14:paraId="07C896B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2.6重发功能：当周期上报失败时该周期数据可实现重发，重发次数不超过3次，重发时间间隔为5分钟。</w:t>
      </w:r>
    </w:p>
    <w:p w14:paraId="3FABE0B2">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2.7补包功能：本次数据上报不成功，下个上报周期数据自动补包，在数据有效保存期内的数据都可以补包。</w:t>
      </w:r>
    </w:p>
    <w:p w14:paraId="2A517AD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2.8数据读取间隔：可远程设置数据读取间隔，设置任意时间间隔（最小时间间隔为1分钟）采集、存储数据。</w:t>
      </w:r>
    </w:p>
    <w:p w14:paraId="1748DDED">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2.9数据上传频率设置：可远程设置数据上报频率，设置任意时间间隔（以每小时为单位）。</w:t>
      </w:r>
    </w:p>
    <w:p w14:paraId="44293524">
      <w:pPr>
        <w:spacing w:line="400" w:lineRule="exact"/>
        <w:rPr>
          <w:rFonts w:hint="eastAsia" w:ascii="宋体" w:hAnsi="宋体" w:cs="宋体"/>
          <w:bCs/>
          <w:color w:val="auto"/>
          <w:szCs w:val="21"/>
          <w:highlight w:val="none"/>
        </w:rPr>
      </w:pPr>
    </w:p>
    <w:p w14:paraId="2830B5E3">
      <w:pPr>
        <w:spacing w:line="400" w:lineRule="exact"/>
        <w:rPr>
          <w:rFonts w:ascii="宋体" w:hAnsi="宋体" w:cs="宋体"/>
          <w:b/>
          <w:color w:val="auto"/>
          <w:sz w:val="24"/>
          <w:highlight w:val="none"/>
        </w:rPr>
      </w:pPr>
      <w:r>
        <w:rPr>
          <w:rFonts w:hint="eastAsia" w:ascii="宋体" w:hAnsi="宋体" w:cs="宋体"/>
          <w:bCs/>
          <w:color w:val="auto"/>
          <w:sz w:val="24"/>
          <w:highlight w:val="none"/>
        </w:rPr>
        <w:t>★</w:t>
      </w:r>
      <w:r>
        <w:rPr>
          <w:rFonts w:hint="eastAsia" w:ascii="宋体" w:hAnsi="宋体" w:cs="宋体"/>
          <w:b/>
          <w:color w:val="auto"/>
          <w:sz w:val="24"/>
          <w:highlight w:val="none"/>
        </w:rPr>
        <w:t>（三）太阳能监测终端设备，配套电磁流量计及插入式超声波流量计</w:t>
      </w:r>
    </w:p>
    <w:p w14:paraId="645197EA">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1.1内含设备：不锈钢仪表箱、遥测终端机、蓄电池、太阳能控制器、太阳能立杆及相关辅件、太阳能板、防雷模块、空气开关</w:t>
      </w:r>
      <w:r>
        <w:rPr>
          <w:rFonts w:hint="eastAsia" w:ascii="宋体" w:hAnsi="宋体" w:cs="宋体"/>
          <w:color w:val="auto"/>
          <w:szCs w:val="21"/>
          <w:highlight w:val="none"/>
        </w:rPr>
        <w:t>(预留24V流量计转换器安装位置)</w:t>
      </w:r>
      <w:r>
        <w:rPr>
          <w:rFonts w:hint="eastAsia" w:ascii="宋体" w:hAnsi="宋体" w:cs="宋体"/>
          <w:bCs/>
          <w:color w:val="auto"/>
          <w:szCs w:val="21"/>
          <w:highlight w:val="none"/>
        </w:rPr>
        <w:t>。</w:t>
      </w:r>
    </w:p>
    <w:p w14:paraId="3195C52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1.2供电对象：流量计、通信模块、其他与仪表正常运行相关的辅助设备由此配电柜供电。</w:t>
      </w:r>
    </w:p>
    <w:p w14:paraId="41904E6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1.3蓄电池容量要求：每分钟采集并上传流量等数据，蓄电池确保连续阴雨天工作时间15天以上，</w:t>
      </w:r>
      <w:r>
        <w:rPr>
          <w:rFonts w:hint="eastAsia" w:ascii="宋体" w:hAnsi="宋体" w:cs="宋体"/>
          <w:color w:val="auto"/>
          <w:szCs w:val="21"/>
          <w:highlight w:val="none"/>
        </w:rPr>
        <w:t>配套不低于两只12v 100ah或以上容量蓄电池。</w:t>
      </w:r>
    </w:p>
    <w:p w14:paraId="0F90AB9D">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1.4防雷模块：</w:t>
      </w:r>
      <w:r>
        <w:rPr>
          <w:rFonts w:hint="eastAsia" w:ascii="宋体" w:hAnsi="宋体" w:cs="宋体"/>
          <w:color w:val="auto"/>
          <w:szCs w:val="21"/>
          <w:highlight w:val="none"/>
        </w:rPr>
        <w:t>需符合国标。</w:t>
      </w:r>
    </w:p>
    <w:p w14:paraId="163BD7E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1.5太阳能控制器：自动智能识别输出电源类型，蓄电池与太阳能供电系统智能切换，并给流量计、遥测终端等用电设备供电。</w:t>
      </w:r>
    </w:p>
    <w:p w14:paraId="4091A1F2">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1.6太阳能板：</w:t>
      </w:r>
      <w:r>
        <w:rPr>
          <w:rFonts w:hint="eastAsia" w:ascii="宋体" w:hAnsi="宋体" w:cs="宋体"/>
          <w:color w:val="auto"/>
          <w:szCs w:val="21"/>
          <w:highlight w:val="none"/>
        </w:rPr>
        <w:t>配套两个单晶≥100Wp或以上。</w:t>
      </w:r>
    </w:p>
    <w:p w14:paraId="1CD4DA5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1.7免维护蓄电池，容量12v100AH以上</w:t>
      </w:r>
      <w:r>
        <w:rPr>
          <w:rFonts w:hint="eastAsia" w:ascii="宋体" w:hAnsi="宋体" w:cs="宋体"/>
          <w:color w:val="auto"/>
          <w:szCs w:val="21"/>
          <w:highlight w:val="none"/>
        </w:rPr>
        <w:t>国内知名品牌。</w:t>
      </w:r>
    </w:p>
    <w:p w14:paraId="466D87F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1.8空开，控制电源回路，起短路保护。</w:t>
      </w:r>
    </w:p>
    <w:p w14:paraId="4A5CAE4E">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1.9定制机柜：箱体采用304不锈钢材料，防盗、防雨水设计，接线规范，标示清晰，合理布局，</w:t>
      </w:r>
      <w:r>
        <w:rPr>
          <w:rFonts w:hint="eastAsia" w:ascii="宋体" w:hAnsi="宋体" w:cs="宋体"/>
          <w:color w:val="auto"/>
          <w:szCs w:val="21"/>
          <w:highlight w:val="none"/>
        </w:rPr>
        <w:t>需预留流量计转换器安装位置</w:t>
      </w:r>
      <w:r>
        <w:rPr>
          <w:rFonts w:hint="eastAsia" w:ascii="宋体" w:hAnsi="宋体" w:cs="宋体"/>
          <w:bCs/>
          <w:color w:val="auto"/>
          <w:szCs w:val="21"/>
          <w:highlight w:val="none"/>
        </w:rPr>
        <w:t>。箱门外张贴用户要求的logo图。</w:t>
      </w:r>
    </w:p>
    <w:p w14:paraId="7FE88117">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1.10具有无线远传数据采集传输模块，远程采集的数据须接入本公司运行的物联平台。</w:t>
      </w:r>
    </w:p>
    <w:p w14:paraId="637A4FF5">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1.11太阳能设备包含安装调试费用。</w:t>
      </w:r>
    </w:p>
    <w:p w14:paraId="7317C00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1.12材质要求：</w:t>
      </w:r>
      <w:r>
        <w:rPr>
          <w:rFonts w:hint="eastAsia" w:ascii="宋体" w:hAnsi="宋体" w:cs="宋体"/>
          <w:bCs/>
          <w:color w:val="auto"/>
          <w:szCs w:val="21"/>
          <w:highlight w:val="none"/>
        </w:rPr>
        <w:t>与饮用水接触的部件的材质不应对水质产生有害影响，供应商提供的所投产品须具备省级及以上卫生疾控部门或第三方权威检测机构颁发的涉及饮用水卫生安全的检测报告。</w:t>
      </w:r>
    </w:p>
    <w:p w14:paraId="5258E85E">
      <w:pPr>
        <w:spacing w:line="400" w:lineRule="exact"/>
        <w:rPr>
          <w:rFonts w:hint="eastAsia" w:ascii="宋体" w:hAnsi="宋体" w:cs="宋体"/>
          <w:bCs/>
          <w:color w:val="auto"/>
          <w:szCs w:val="21"/>
          <w:highlight w:val="none"/>
        </w:rPr>
      </w:pPr>
    </w:p>
    <w:p w14:paraId="42C03D96">
      <w:pP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（四）数据终端系统</w:t>
      </w:r>
    </w:p>
    <w:p w14:paraId="0294FDBA">
      <w:pPr>
        <w:spacing w:line="400" w:lineRule="exact"/>
        <w:rPr>
          <w:rFonts w:hint="eastAsia" w:ascii="宋体" w:hAnsi="宋体" w:cs="宋体"/>
          <w:bCs/>
          <w:color w:val="auto"/>
          <w:szCs w:val="21"/>
          <w:highlight w:val="none"/>
        </w:rPr>
      </w:pPr>
      <w:r>
        <w:rPr>
          <w:rFonts w:hint="eastAsia" w:ascii="宋体" w:hAnsi="宋体" w:cs="宋体"/>
          <w:b/>
          <w:color w:val="auto"/>
          <w:szCs w:val="21"/>
          <w:highlight w:val="none"/>
        </w:rPr>
        <w:t>★</w:t>
      </w:r>
      <w:r>
        <w:rPr>
          <w:rFonts w:hint="eastAsia" w:ascii="宋体" w:hAnsi="宋体" w:cs="宋体"/>
          <w:bCs/>
          <w:color w:val="auto"/>
          <w:szCs w:val="21"/>
          <w:highlight w:val="none"/>
        </w:rPr>
        <w:t>1.采用远传物联网设备接入标准协议：采购方根据实际情况并参考业内国标协议，制订符合采购人要求的标准协议。中标方</w:t>
      </w:r>
      <w:r>
        <w:rPr>
          <w:rFonts w:hint="eastAsia" w:ascii="宋体" w:hAnsi="宋体" w:cs="宋体"/>
          <w:bCs/>
          <w:color w:val="auto"/>
          <w:szCs w:val="21"/>
          <w:highlight w:val="none"/>
          <w:lang w:val="zh-CN"/>
        </w:rPr>
        <w:t>按采购</w:t>
      </w:r>
      <w:r>
        <w:rPr>
          <w:rFonts w:hint="eastAsia" w:ascii="宋体" w:hAnsi="宋体" w:cs="宋体"/>
          <w:bCs/>
          <w:color w:val="auto"/>
          <w:szCs w:val="21"/>
          <w:highlight w:val="none"/>
        </w:rPr>
        <w:t>人</w:t>
      </w:r>
      <w:r>
        <w:rPr>
          <w:rFonts w:hint="eastAsia" w:ascii="宋体" w:hAnsi="宋体" w:cs="宋体"/>
          <w:bCs/>
          <w:color w:val="auto"/>
          <w:szCs w:val="21"/>
          <w:highlight w:val="none"/>
          <w:lang w:val="zh-CN"/>
        </w:rPr>
        <w:t>制定的通讯协议标准接入</w:t>
      </w:r>
      <w:r>
        <w:rPr>
          <w:rFonts w:hint="eastAsia" w:ascii="宋体" w:hAnsi="宋体" w:cs="宋体"/>
          <w:bCs/>
          <w:color w:val="auto"/>
          <w:szCs w:val="21"/>
          <w:highlight w:val="none"/>
        </w:rPr>
        <w:t>，将设备数据直接对接传输至采购人物联网平台。当采购方设备传输协议进行版本升级时，中标方必须依据新版协议同步进行设备程序升级</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所涉相关费用，由中标人承担）</w:t>
      </w:r>
    </w:p>
    <w:p w14:paraId="5F2257CA">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参加投标厂商设备必须满足该协议要求，按照采购人制定的协议进行数据的上行和下发。简要要求如下：</w:t>
      </w:r>
    </w:p>
    <w:p w14:paraId="64685948">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1)可以设置多个上传服务器IP端口；</w:t>
      </w:r>
    </w:p>
    <w:p w14:paraId="572BB543">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2)支持通过主台下发指令，如：修改设备上传频率和采集密度等；</w:t>
      </w:r>
    </w:p>
    <w:p w14:paraId="709B7A5B">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3)支持通过主台修改和服务器时钟同步；</w:t>
      </w:r>
    </w:p>
    <w:p w14:paraId="0BB63E26">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4)支持通过主台定时接受数据包。</w:t>
      </w:r>
    </w:p>
    <w:p w14:paraId="58954BCC">
      <w:pPr>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采购人的标准协议《义乌市自来水有限公司物联网设备通讯技术规范》中标后将会提供，</w:t>
      </w:r>
      <w:bookmarkStart w:id="41" w:name="_Hlk130991300"/>
      <w:r>
        <w:rPr>
          <w:rFonts w:hint="eastAsia" w:ascii="宋体" w:hAnsi="宋体" w:cs="宋体"/>
          <w:bCs/>
          <w:color w:val="auto"/>
          <w:szCs w:val="21"/>
          <w:highlight w:val="none"/>
        </w:rPr>
        <w:t>中标人需在中标通知书下达之日起20天内完成协议对接。</w:t>
      </w:r>
      <w:bookmarkEnd w:id="41"/>
    </w:p>
    <w:p w14:paraId="0CD97271">
      <w:pPr>
        <w:spacing w:line="400" w:lineRule="exact"/>
        <w:rPr>
          <w:rFonts w:hint="eastAsia" w:ascii="宋体" w:hAnsi="宋体" w:cs="宋体"/>
          <w:bCs/>
          <w:color w:val="auto"/>
          <w:szCs w:val="21"/>
          <w:highlight w:val="none"/>
        </w:rPr>
      </w:pPr>
      <w:r>
        <w:rPr>
          <w:rFonts w:hint="eastAsia" w:hAnsi="宋体" w:cs="宋体"/>
          <w:color w:val="auto"/>
          <w:highlight w:val="none"/>
        </w:rPr>
        <w:t>★</w:t>
      </w:r>
      <w:r>
        <w:rPr>
          <w:rFonts w:hint="eastAsia" w:ascii="宋体" w:hAnsi="宋体" w:cs="宋体"/>
          <w:b/>
          <w:color w:val="auto"/>
          <w:szCs w:val="21"/>
          <w:highlight w:val="none"/>
        </w:rPr>
        <w:t>2.本项目质保期不低于</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年。</w:t>
      </w:r>
    </w:p>
    <w:p w14:paraId="3B9FE43D">
      <w:pPr>
        <w:spacing w:line="400" w:lineRule="exact"/>
        <w:rPr>
          <w:rFonts w:hint="eastAsia" w:ascii="宋体" w:hAnsi="宋体" w:cs="宋体"/>
          <w:bCs/>
          <w:color w:val="auto"/>
          <w:szCs w:val="21"/>
          <w:highlight w:val="none"/>
        </w:rPr>
      </w:pPr>
    </w:p>
    <w:p w14:paraId="7E02C1D3">
      <w:pPr>
        <w:spacing w:line="360" w:lineRule="auto"/>
        <w:outlineLvl w:val="1"/>
        <w:rPr>
          <w:rFonts w:hint="eastAsia" w:ascii="宋体" w:hAnsi="宋体" w:cs="宋体"/>
          <w:color w:val="auto"/>
          <w:szCs w:val="21"/>
          <w:highlight w:val="none"/>
        </w:rPr>
      </w:pPr>
      <w:bookmarkStart w:id="42" w:name="_Toc169190825"/>
      <w:r>
        <w:rPr>
          <w:rFonts w:hint="eastAsia" w:ascii="宋体" w:hAnsi="宋体" w:cs="宋体"/>
          <w:b/>
          <w:bCs/>
          <w:color w:val="auto"/>
          <w:szCs w:val="21"/>
          <w:highlight w:val="none"/>
        </w:rPr>
        <w:t>三、商务要求</w:t>
      </w:r>
      <w:bookmarkEnd w:id="42"/>
    </w:p>
    <w:p w14:paraId="4F3BF67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（一）项目投标报价要求</w:t>
      </w:r>
    </w:p>
    <w:p w14:paraId="0C398545">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1、投标报价以人民币为结算货币，投标报价包括产品价款（必备的附件、系统安装施工等）、运输装卸费、保险费、利润、税金等所有费用及政策性文件规定等及合同中明示或暗示的所有一般风险、责任和义务等一切应由投标人支付的费用和政策性文件规定及合同包含的所有风险、责任等各项应有费用，如有漏项，视同已包含在其总项目中，合同总价不予调整。投标报价为投标方所能承受的最低、最终一次性报价。须由中标单位开具增值税专用发票。</w:t>
      </w:r>
    </w:p>
    <w:p w14:paraId="64CF8AB5">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 xml:space="preserve">2.投标方须在《开标一览表》上写明投标货物的单价和投标总价。如果大写金额和小写金额不一致的，以大写金额为准；单价金额小数点或者百分比有明显错位的，以《开标一览表》的总价为准，并修改单价；总价金额与按单价汇总金额不一致的，以单价金额计算结果为准。             </w:t>
      </w:r>
    </w:p>
    <w:p w14:paraId="635BF60B">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中标方所填写的单价在合同实施期间不因市场变化因素而变动；</w:t>
      </w:r>
      <w:r>
        <w:rPr>
          <w:rFonts w:hint="eastAsia" w:hAnsi="宋体" w:cs="宋体"/>
          <w:color w:val="auto"/>
          <w:highlight w:val="none"/>
        </w:rPr>
        <w:t>投标方在计算报价时应考虑一定的风险系数。因设计与工程因素引起实际施工中发生设计变更、修改、调整、完善等情况，修改部分则按其投标书相应部分货物及施工的单价同口径计算。</w:t>
      </w:r>
    </w:p>
    <w:p w14:paraId="0235A7B2">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4.投标方应按招标文件规定的报价格式进行投标报价。投标人对每种货物只允许有一个报价，采购人不接受任何有选择性的报价。</w:t>
      </w:r>
    </w:p>
    <w:p w14:paraId="025F5F37">
      <w:pPr>
        <w:pStyle w:val="20"/>
        <w:spacing w:line="460" w:lineRule="exact"/>
        <w:ind w:firstLine="420" w:firstLineChars="200"/>
        <w:rPr>
          <w:rFonts w:hint="eastAsia" w:hAnsi="宋体" w:cs="宋体"/>
          <w:color w:val="auto"/>
          <w:spacing w:val="-8"/>
          <w:highlight w:val="none"/>
        </w:rPr>
      </w:pPr>
      <w:r>
        <w:rPr>
          <w:rFonts w:hint="eastAsia" w:hAnsi="宋体" w:cs="宋体"/>
          <w:color w:val="auto"/>
          <w:highlight w:val="none"/>
        </w:rPr>
        <w:t>5.</w:t>
      </w:r>
      <w:r>
        <w:rPr>
          <w:rFonts w:hint="eastAsia" w:hAnsi="宋体" w:cs="宋体"/>
          <w:color w:val="auto"/>
          <w:spacing w:val="-8"/>
          <w:highlight w:val="none"/>
        </w:rPr>
        <w:t>采购人不接受低于成本的投标报价。</w:t>
      </w:r>
    </w:p>
    <w:p w14:paraId="34922E78">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6.投标方按照上述要求编制投标报价。一旦确认某一投标人中标，除合同规定的可调整内容外，中标人不得要求追加任何费用。</w:t>
      </w:r>
    </w:p>
    <w:p w14:paraId="22DBCD03">
      <w:pPr>
        <w:pStyle w:val="20"/>
        <w:spacing w:line="460" w:lineRule="exact"/>
        <w:ind w:firstLine="420" w:firstLineChars="200"/>
        <w:rPr>
          <w:rFonts w:hint="eastAsia" w:hAnsi="宋体" w:cs="宋体"/>
          <w:color w:val="auto"/>
          <w:highlight w:val="none"/>
        </w:rPr>
      </w:pPr>
      <w:r>
        <w:rPr>
          <w:rFonts w:hint="eastAsia" w:hAnsi="宋体" w:cs="宋体"/>
          <w:color w:val="auto"/>
          <w:highlight w:val="none"/>
        </w:rPr>
        <w:t>★7.须由中标单位开具增值税专用发票。</w:t>
      </w:r>
    </w:p>
    <w:p w14:paraId="7A0DC6EB">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8.招标文件中规定由投标单位承担并支付的相关费用在投标报价时应一并考虑</w:t>
      </w:r>
      <w:r>
        <w:rPr>
          <w:rFonts w:hint="eastAsia" w:ascii="宋体" w:hAnsi="宋体" w:cs="宋体"/>
          <w:bCs/>
          <w:color w:val="auto"/>
          <w:szCs w:val="21"/>
          <w:highlight w:val="none"/>
        </w:rPr>
        <w:t>。</w:t>
      </w:r>
    </w:p>
    <w:p w14:paraId="152E7CFE">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9．投标方投标报价不得超过采购预算及最高限价，否则作废标处理。</w:t>
      </w:r>
    </w:p>
    <w:p w14:paraId="0EF1D616">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10．按国家规定由中标方缴纳的各种税收已包含在投标总价内，由中标方向税务机关缴纳。</w:t>
      </w:r>
    </w:p>
    <w:p w14:paraId="56C4EFFF">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（二）售后服务要求</w:t>
      </w:r>
    </w:p>
    <w:p w14:paraId="10479723">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1、中标通知书下达一个月内，中标方需提供本次</w:t>
      </w:r>
      <w:bookmarkStart w:id="43" w:name="_Hlk130991348"/>
      <w:r>
        <w:rPr>
          <w:rFonts w:hint="eastAsia" w:ascii="宋体" w:hAnsi="宋体" w:cs="宋体"/>
          <w:color w:val="auto"/>
          <w:szCs w:val="21"/>
          <w:highlight w:val="none"/>
        </w:rPr>
        <w:t>采购货物的</w:t>
      </w:r>
      <w:bookmarkEnd w:id="43"/>
      <w:r>
        <w:rPr>
          <w:rFonts w:hint="eastAsia" w:ascii="宋体" w:hAnsi="宋体" w:cs="宋体"/>
          <w:color w:val="auto"/>
          <w:szCs w:val="21"/>
          <w:highlight w:val="none"/>
        </w:rPr>
        <w:t>售后小组负责人及成员名单、联系方式。</w:t>
      </w:r>
    </w:p>
    <w:p w14:paraId="3BD67565">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供应商所提供的货物除符合国家相关质量和技术标准外，还应当在国家规定的使用周期内能够表现出计量精度稳定，可靠等品质，货物的设计、原材料的运用、生产制造、装配，以及检测都应当达到上述要求。</w:t>
      </w:r>
    </w:p>
    <w:p w14:paraId="288B29AA">
      <w:pPr>
        <w:spacing w:line="45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中标方应对所供货物提供至少2年的商品服务期及免费维修和保养，时间从最后一批设备安装调试验收合格办理移交手续之日后满六个月起计。在质量保证期内负责对设备的检测、保养和运行的监理工作，及时、自费负责在设备运转地修理和替换任何由于产品自身的质量问题造成的损坏及故障。</w:t>
      </w:r>
    </w:p>
    <w:p w14:paraId="10D1AE3E">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、质保期内如发生故障, 供应商须免费更换部件，该部件必须是原厂的产品。若无法修复，整套免费换新。</w:t>
      </w:r>
    </w:p>
    <w:p w14:paraId="36467FE7">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、产品在使用过程中出现故障后，供应商驻点售后人员应立即做出响应，并到达现场(逾期采购人有权另请他人维修，费用由供应商承担，</w:t>
      </w:r>
      <w:r>
        <w:rPr>
          <w:rFonts w:hint="eastAsia" w:ascii="宋体" w:hAnsi="宋体" w:cs="宋体"/>
          <w:b/>
          <w:bCs/>
          <w:color w:val="auto"/>
          <w:szCs w:val="21"/>
          <w:highlight w:val="none"/>
        </w:rPr>
        <w:t>或者从尾款中扣除</w:t>
      </w:r>
      <w:r>
        <w:rPr>
          <w:rFonts w:hint="eastAsia" w:ascii="宋体" w:hAnsi="宋体" w:cs="宋体"/>
          <w:color w:val="auto"/>
          <w:szCs w:val="21"/>
          <w:highlight w:val="none"/>
        </w:rPr>
        <w:t>)进行维修和更换零部件等服务。</w:t>
      </w:r>
    </w:p>
    <w:p w14:paraId="127C27EC">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、质保期结束后，供应商仍应负责对设备提供终身维修服务，收取配件成本费，并承诺优惠程度，免收人工服务费，供应商必须提供设备在质保期过后一年内所需的备品备件清单及价格清单。</w:t>
      </w:r>
    </w:p>
    <w:p w14:paraId="071E911E">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、如果电池寿命不能达承诺质保年限使用寿命，免费更换。</w:t>
      </w:r>
    </w:p>
    <w:p w14:paraId="537661E8">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、中标方需严格兑现相应售前、售后承诺，若发生严重违背承诺的事件，或发现所供货物未达到招标技术要求或承诺书要求，买方有权取消合同，</w:t>
      </w:r>
      <w:bookmarkStart w:id="44" w:name="_Hlk130582760"/>
      <w:r>
        <w:rPr>
          <w:rFonts w:hint="eastAsia" w:ascii="宋体" w:hAnsi="宋体" w:cs="宋体"/>
          <w:color w:val="auto"/>
          <w:szCs w:val="21"/>
          <w:highlight w:val="none"/>
        </w:rPr>
        <w:t>且质保期内因产品质量问题或售后问题产生的用水纠纷损失由中标方承担，并从尾款中扣除。</w:t>
      </w:r>
    </w:p>
    <w:p w14:paraId="7BC0A4F9">
      <w:pPr>
        <w:spacing w:line="45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w:t>
      </w:r>
      <w:bookmarkEnd w:id="44"/>
      <w:bookmarkStart w:id="45" w:name="_Hlk129858532"/>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bookmarkEnd w:id="45"/>
      <w:r>
        <w:rPr>
          <w:rFonts w:hint="eastAsia" w:ascii="宋体" w:hAnsi="宋体" w:cs="宋体"/>
          <w:b/>
          <w:bCs/>
          <w:color w:val="auto"/>
          <w:szCs w:val="21"/>
          <w:highlight w:val="none"/>
        </w:rPr>
        <w:t>中标方在投标产品质保期内需为本次中标产品新派遣不少于一名常驻维护人员，（</w:t>
      </w:r>
      <w:bookmarkStart w:id="46" w:name="_Hlk130908150"/>
      <w:r>
        <w:rPr>
          <w:rFonts w:hint="eastAsia" w:ascii="宋体" w:hAnsi="宋体" w:cs="宋体"/>
          <w:b/>
          <w:bCs/>
          <w:color w:val="auto"/>
          <w:szCs w:val="21"/>
          <w:highlight w:val="none"/>
          <w:shd w:val="pct10" w:color="auto" w:fill="FFFFFF"/>
        </w:rPr>
        <w:t>需</w:t>
      </w:r>
      <w:bookmarkEnd w:id="46"/>
      <w:r>
        <w:rPr>
          <w:rFonts w:hint="eastAsia" w:ascii="宋体" w:hAnsi="宋体" w:cs="宋体"/>
          <w:b/>
          <w:bCs/>
          <w:color w:val="auto"/>
          <w:szCs w:val="21"/>
          <w:highlight w:val="none"/>
          <w:shd w:val="pct10" w:color="auto" w:fill="FFFFFF"/>
        </w:rPr>
        <w:t>提供社保证明并在本项目采购合同签订前完成人员驻点）</w:t>
      </w:r>
      <w:r>
        <w:rPr>
          <w:rFonts w:hint="eastAsia" w:ascii="宋体" w:hAnsi="宋体" w:cs="宋体"/>
          <w:b/>
          <w:bCs/>
          <w:color w:val="auto"/>
          <w:szCs w:val="21"/>
          <w:highlight w:val="none"/>
        </w:rPr>
        <w:t>，中标方需派遣一名售后代表（或从驻点人员中指定，并以书面形式告知采购方），管理协调售后驻点人员，并根据采购方的需求，开展维保工作</w:t>
      </w:r>
    </w:p>
    <w:p w14:paraId="78573DD1">
      <w:pPr>
        <w:spacing w:line="45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、设备安装调试完成后，进入质保期时，中标方每年度提供2次现场校准，并提供结果报告；质保期内中标方每季度对已完成安装验收并进入质保期的设备进行巡检，并提供现场巡检记录及照片。</w:t>
      </w:r>
    </w:p>
    <w:p w14:paraId="0FCF73BB">
      <w:pPr>
        <w:spacing w:line="45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、在流量计安装、调试完毕后15天内，中标方应依照采购方要求及时调试相关远传设备，并接入采购方集抄平台，保障传输数据稳定准确。</w:t>
      </w:r>
      <w:r>
        <w:rPr>
          <w:rFonts w:hint="eastAsia" w:ascii="宋体" w:hAnsi="宋体" w:cs="宋体"/>
          <w:color w:val="auto"/>
          <w:szCs w:val="21"/>
          <w:highlight w:val="none"/>
        </w:rPr>
        <w:t xml:space="preserve">                                                                                                                                                                                                                                                                                                                                                                                                                                                                                                                </w:t>
      </w:r>
    </w:p>
    <w:p w14:paraId="33799032">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（三）工期要求</w:t>
      </w:r>
    </w:p>
    <w:p w14:paraId="7E93B3C1">
      <w:pPr>
        <w:spacing w:line="45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color w:val="auto"/>
          <w:szCs w:val="21"/>
          <w:highlight w:val="none"/>
        </w:rPr>
        <w:t>交货时间：</w:t>
      </w:r>
      <w:r>
        <w:rPr>
          <w:rFonts w:hint="eastAsia" w:ascii="宋体" w:hAnsi="宋体" w:cs="宋体"/>
          <w:b/>
          <w:bCs/>
          <w:color w:val="auto"/>
          <w:szCs w:val="21"/>
          <w:highlight w:val="none"/>
        </w:rPr>
        <w:t>供方必须在接到需方订单后，每10个工作日完成供货。</w:t>
      </w:r>
    </w:p>
    <w:p w14:paraId="060281B3">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p>
    <w:p w14:paraId="61F1B651">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供方应派员在所供产品到需方时进行到货验收。若发现任何损坏及质量问题，供方应负责妥善处理直至需方满意。此工作所发生的费用应由供方自行承担。</w:t>
      </w:r>
    </w:p>
    <w:p w14:paraId="3F7B5BE8">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货物卸至指定地点。经需方有关人员进行到货验收合格后方可安装，并负责设备现场安装、调试完成。</w:t>
      </w:r>
    </w:p>
    <w:p w14:paraId="743EE4F0">
      <w:pPr>
        <w:spacing w:line="45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★（四）付款方式</w:t>
      </w:r>
    </w:p>
    <w:p w14:paraId="1B39E963">
      <w:pPr>
        <w:spacing w:line="450" w:lineRule="exact"/>
        <w:ind w:firstLine="422" w:firstLineChars="200"/>
        <w:rPr>
          <w:rFonts w:hint="eastAsia" w:hAnsi="宋体" w:cs="宋体"/>
          <w:b/>
          <w:bCs/>
          <w:color w:val="auto"/>
          <w:szCs w:val="21"/>
          <w:highlight w:val="none"/>
        </w:rPr>
      </w:pPr>
      <w:bookmarkStart w:id="47" w:name="_Hlk184715080"/>
      <w:r>
        <w:rPr>
          <w:rFonts w:hint="eastAsia" w:hAnsi="宋体" w:cs="宋体"/>
          <w:b/>
          <w:bCs/>
          <w:color w:val="auto"/>
          <w:szCs w:val="21"/>
          <w:highlight w:val="none"/>
        </w:rPr>
        <w:t>每批次货款在该批货物完成入库验收后凭增值税发票、合同、安装及调试验收单，向采购方申请结算该批货款的80%，剩余20%（增值税发票挂账）尾款（不计息）在质保期结束后一个月内经中标方书面申请，经收货方</w:t>
      </w:r>
      <w:r>
        <w:rPr>
          <w:rFonts w:hint="eastAsia" w:hAnsi="宋体" w:cs="宋体"/>
          <w:b/>
          <w:bCs/>
          <w:color w:val="auto"/>
          <w:szCs w:val="21"/>
          <w:highlight w:val="none"/>
        </w:rPr>
        <w:t>验收</w:t>
      </w:r>
      <w:r>
        <w:rPr>
          <w:rFonts w:hint="eastAsia" w:hAnsi="宋体" w:cs="宋体"/>
          <w:b/>
          <w:bCs/>
          <w:color w:val="auto"/>
          <w:szCs w:val="21"/>
          <w:highlight w:val="none"/>
        </w:rPr>
        <w:t>后，根据</w:t>
      </w:r>
      <w:r>
        <w:rPr>
          <w:rFonts w:hint="eastAsia" w:hAnsi="宋体" w:cs="宋体"/>
          <w:b/>
          <w:bCs/>
          <w:color w:val="auto"/>
          <w:szCs w:val="21"/>
          <w:highlight w:val="none"/>
        </w:rPr>
        <w:t>验收</w:t>
      </w:r>
      <w:r>
        <w:rPr>
          <w:rFonts w:hint="eastAsia" w:hAnsi="宋体" w:cs="宋体"/>
          <w:b/>
          <w:bCs/>
          <w:color w:val="auto"/>
          <w:szCs w:val="21"/>
          <w:highlight w:val="none"/>
        </w:rPr>
        <w:t>结果支付。</w:t>
      </w:r>
      <w:r>
        <w:rPr>
          <w:rFonts w:hint="eastAsia" w:hAnsi="宋体" w:cs="宋体"/>
          <w:b/>
          <w:bCs/>
          <w:color w:val="auto"/>
          <w:szCs w:val="21"/>
          <w:highlight w:val="none"/>
        </w:rPr>
        <w:t>（分批安装，分批验收；流量计安装后上线并准确传输，视为安装验收合格，收货方将依据上线流量计数量出具相应的安装调试验收单）</w:t>
      </w:r>
    </w:p>
    <w:bookmarkEnd w:id="47"/>
    <w:p w14:paraId="36681C58">
      <w:pPr>
        <w:spacing w:line="450" w:lineRule="exact"/>
        <w:ind w:firstLine="422" w:firstLineChars="200"/>
        <w:outlineLvl w:val="1"/>
        <w:rPr>
          <w:rFonts w:hint="eastAsia" w:ascii="宋体" w:hAnsi="宋体" w:cs="宋体"/>
          <w:b/>
          <w:bCs/>
          <w:color w:val="auto"/>
          <w:szCs w:val="21"/>
          <w:highlight w:val="none"/>
        </w:rPr>
      </w:pPr>
      <w:bookmarkStart w:id="48" w:name="_Toc169190826"/>
      <w:r>
        <w:rPr>
          <w:rFonts w:hint="eastAsia" w:ascii="宋体" w:hAnsi="宋体" w:cs="宋体"/>
          <w:b/>
          <w:bCs/>
          <w:color w:val="auto"/>
          <w:szCs w:val="21"/>
          <w:highlight w:val="none"/>
        </w:rPr>
        <w:t>四、其它说明</w:t>
      </w:r>
      <w:bookmarkEnd w:id="48"/>
    </w:p>
    <w:p w14:paraId="7CD263D4">
      <w:pPr>
        <w:keepNext w:val="0"/>
        <w:keepLines w:val="0"/>
        <w:pageBreakBefore w:val="0"/>
        <w:widowControl w:val="0"/>
        <w:kinsoku/>
        <w:wordWrap/>
        <w:overflowPunct/>
        <w:topLinePunct w:val="0"/>
        <w:autoSpaceDE/>
        <w:autoSpaceDN/>
        <w:bidi w:val="0"/>
        <w:adjustRightInd/>
        <w:snapToGrid/>
        <w:spacing w:line="450" w:lineRule="exact"/>
        <w:ind w:firstLine="420" w:firstLineChars="200"/>
        <w:jc w:val="center"/>
        <w:textAlignment w:val="auto"/>
        <w:outlineLvl w:val="9"/>
        <w:rPr>
          <w:rFonts w:hint="eastAsia" w:ascii="宋体" w:hAnsi="宋体" w:cs="宋体"/>
          <w:color w:val="auto"/>
          <w:szCs w:val="21"/>
          <w:highlight w:val="none"/>
          <w:lang w:eastAsia="zh-CN"/>
        </w:rPr>
      </w:pPr>
      <w:r>
        <w:rPr>
          <w:rFonts w:hint="eastAsia" w:ascii="宋体" w:hAnsi="宋体" w:cs="宋体"/>
          <w:color w:val="auto"/>
          <w:szCs w:val="21"/>
          <w:highlight w:val="none"/>
        </w:rPr>
        <w:t>1.中标之后，如采购人发现供货产品与招标文件内容有不一致，应以有利于采购人原则为准</w:t>
      </w:r>
      <w:r>
        <w:rPr>
          <w:rFonts w:hint="eastAsia" w:ascii="宋体" w:hAnsi="宋体" w:cs="宋体"/>
          <w:color w:val="auto"/>
          <w:szCs w:val="21"/>
          <w:highlight w:val="none"/>
          <w:lang w:eastAsia="zh-CN"/>
        </w:rPr>
        <w:t>。</w:t>
      </w:r>
    </w:p>
    <w:p w14:paraId="1BD2172A">
      <w:pP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br w:type="page"/>
      </w:r>
    </w:p>
    <w:p w14:paraId="1353C5A1">
      <w:pPr>
        <w:keepNext w:val="0"/>
        <w:keepLines w:val="0"/>
        <w:pageBreakBefore w:val="0"/>
        <w:widowControl w:val="0"/>
        <w:kinsoku/>
        <w:wordWrap/>
        <w:overflowPunct/>
        <w:topLinePunct w:val="0"/>
        <w:autoSpaceDE/>
        <w:autoSpaceDN/>
        <w:bidi w:val="0"/>
        <w:adjustRightInd/>
        <w:snapToGrid/>
        <w:spacing w:line="450" w:lineRule="exact"/>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49" w:name="_Toc18887"/>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4"/>
      <w:bookmarkEnd w:id="49"/>
    </w:p>
    <w:p w14:paraId="47A8E630">
      <w:pPr>
        <w:pStyle w:val="5"/>
        <w:spacing w:before="0" w:after="0" w:line="460" w:lineRule="exact"/>
        <w:rPr>
          <w:rFonts w:ascii="宋体" w:hAnsi="宋体" w:eastAsia="宋体"/>
          <w:color w:val="auto"/>
          <w:sz w:val="21"/>
          <w:szCs w:val="21"/>
          <w:highlight w:val="none"/>
        </w:rPr>
      </w:pPr>
      <w:bookmarkStart w:id="50" w:name="_Toc22509"/>
      <w:bookmarkStart w:id="51" w:name="_Toc4487"/>
      <w:bookmarkStart w:id="52" w:name="_Toc406413937"/>
      <w:bookmarkStart w:id="53" w:name="_Toc274303253"/>
      <w:bookmarkStart w:id="54" w:name="_Toc27000"/>
      <w:bookmarkStart w:id="55" w:name="_Toc226973002"/>
      <w:bookmarkStart w:id="56" w:name="_Toc261519847"/>
      <w:bookmarkStart w:id="57" w:name="_Toc20175"/>
      <w:bookmarkStart w:id="58" w:name="_Toc263090375"/>
      <w:bookmarkStart w:id="59" w:name="_Toc362250705"/>
      <w:r>
        <w:rPr>
          <w:rFonts w:hint="eastAsia" w:ascii="宋体" w:hAnsi="宋体" w:eastAsia="宋体"/>
          <w:color w:val="auto"/>
          <w:sz w:val="21"/>
          <w:szCs w:val="21"/>
          <w:highlight w:val="none"/>
        </w:rPr>
        <w:t>一、开标</w:t>
      </w:r>
      <w:bookmarkEnd w:id="50"/>
      <w:bookmarkEnd w:id="51"/>
      <w:bookmarkEnd w:id="52"/>
    </w:p>
    <w:p w14:paraId="713A732A">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368D04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049382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718CE0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40A4B8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22EA75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36383123">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069F6D2">
      <w:pPr>
        <w:pStyle w:val="5"/>
        <w:spacing w:before="120" w:after="120" w:line="460" w:lineRule="exact"/>
        <w:rPr>
          <w:rFonts w:ascii="宋体" w:hAnsi="宋体" w:eastAsia="宋体" w:cs="宋体"/>
          <w:color w:val="auto"/>
          <w:sz w:val="21"/>
          <w:szCs w:val="21"/>
          <w:highlight w:val="none"/>
        </w:rPr>
      </w:pPr>
      <w:bookmarkStart w:id="60" w:name="_Toc26217"/>
      <w:r>
        <w:rPr>
          <w:rFonts w:hint="eastAsia" w:ascii="宋体" w:hAnsi="宋体" w:eastAsia="宋体" w:cs="宋体"/>
          <w:color w:val="auto"/>
          <w:sz w:val="21"/>
          <w:szCs w:val="21"/>
          <w:highlight w:val="none"/>
        </w:rPr>
        <w:t>二、评标</w:t>
      </w:r>
      <w:bookmarkEnd w:id="53"/>
      <w:bookmarkEnd w:id="54"/>
      <w:bookmarkEnd w:id="55"/>
      <w:bookmarkEnd w:id="56"/>
      <w:bookmarkEnd w:id="57"/>
      <w:bookmarkEnd w:id="58"/>
      <w:bookmarkEnd w:id="59"/>
      <w:bookmarkEnd w:id="60"/>
    </w:p>
    <w:p w14:paraId="743E9C9E">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55117FA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30CA0E16">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7B5E1CDC">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5D5E9D3D">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3EE44B17">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601AEE26">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1FFE21C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7CDF007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7A3FD654">
      <w:pPr>
        <w:pStyle w:val="20"/>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36DC44AB">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1237F570">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0CBED8AE">
      <w:pPr>
        <w:pStyle w:val="20"/>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591981DA">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323B9832">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518426D0">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197A9804">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4234762E">
      <w:pPr>
        <w:spacing w:line="46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096287E1">
      <w:pPr>
        <w:spacing w:line="4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4CE9E260">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5F67A1ED">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2A33BCF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8.2如果投标人代表拒绝按评标委员会要求在“义乌市阳光招标采购平台”作出在线回复且无其他有效回复方式的，评标委员会可以对其作出无效标处理。</w:t>
      </w:r>
    </w:p>
    <w:p w14:paraId="01EC903F">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0518DF62">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14CEB419">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7FC92AD1">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58B0F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54660F2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61FF08D5">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57529704">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06D1196F">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08BF7805">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2906AF28">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4C848CF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3CAC38B">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0BA874DB">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47ECC6D8">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54A8798C">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79B411A0">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47035552">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1FFDEB35">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07CEA877">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04744ECE">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24A296EE">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3910B5FB">
      <w:pPr>
        <w:pStyle w:val="20"/>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71EB3BCF">
      <w:pPr>
        <w:pStyle w:val="20"/>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7F4533E2">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采用综合评分法（具体评标办法见后）。</w:t>
      </w:r>
    </w:p>
    <w:p w14:paraId="4E1C811C">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0365E982">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61" w:name="_Toc226973003"/>
      <w:bookmarkStart w:id="62" w:name="_Toc263090376"/>
      <w:bookmarkStart w:id="63" w:name="_Toc10636"/>
      <w:bookmarkStart w:id="64" w:name="_Toc261519848"/>
      <w:bookmarkStart w:id="65" w:name="_Toc4305"/>
      <w:bookmarkStart w:id="66" w:name="_Toc362250706"/>
      <w:bookmarkStart w:id="67" w:name="_Toc274303254"/>
      <w:r>
        <w:rPr>
          <w:rFonts w:hint="eastAsia" w:ascii="宋体" w:hAnsi="宋体" w:cs="宋体"/>
          <w:color w:val="auto"/>
          <w:szCs w:val="21"/>
          <w:highlight w:val="none"/>
          <w:lang w:val="en-US" w:eastAsia="zh-CN"/>
        </w:rPr>
        <w:t>采购人也可以授权评标小组直接确定中标人。</w:t>
      </w:r>
    </w:p>
    <w:p w14:paraId="721449AB">
      <w:pPr>
        <w:pStyle w:val="5"/>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68" w:name="_Toc27471"/>
      <w:r>
        <w:rPr>
          <w:rFonts w:hint="eastAsia" w:ascii="宋体" w:hAnsi="宋体" w:eastAsia="宋体" w:cs="宋体"/>
          <w:color w:val="auto"/>
          <w:sz w:val="21"/>
          <w:szCs w:val="21"/>
          <w:highlight w:val="none"/>
        </w:rPr>
        <w:t>三、定标</w:t>
      </w:r>
      <w:bookmarkEnd w:id="61"/>
      <w:bookmarkEnd w:id="62"/>
      <w:bookmarkEnd w:id="63"/>
      <w:bookmarkEnd w:id="64"/>
      <w:bookmarkEnd w:id="65"/>
      <w:bookmarkEnd w:id="66"/>
      <w:bookmarkEnd w:id="67"/>
      <w:bookmarkEnd w:id="68"/>
    </w:p>
    <w:p w14:paraId="7060BE93">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04FD040F">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14.1评标结束后，评标结果公告1个工作日，发布评标结果公告的媒体为：义乌产权交易网。</w:t>
      </w:r>
    </w:p>
    <w:p w14:paraId="77C219A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26A97A0C">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0ED82EDE">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5546A1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2CFAA7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721DB7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0A9AFC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09D9D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74F425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03BCBD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14:paraId="71B2B954">
      <w:pPr>
        <w:pStyle w:val="20"/>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2504E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072FF1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25FC0E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6B10CF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732BB6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69F601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2EAB0D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118D5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7690EA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6AC684A6">
      <w:pPr>
        <w:spacing w:line="420" w:lineRule="exact"/>
        <w:ind w:firstLine="480" w:firstLineChars="200"/>
        <w:rPr>
          <w:color w:val="auto"/>
          <w:sz w:val="24"/>
          <w:highlight w:val="none"/>
        </w:rPr>
      </w:pPr>
    </w:p>
    <w:p w14:paraId="32251BCB">
      <w:pPr>
        <w:spacing w:line="420" w:lineRule="exact"/>
        <w:ind w:firstLine="480" w:firstLineChars="200"/>
        <w:rPr>
          <w:rFonts w:hint="eastAsia"/>
          <w:color w:val="auto"/>
          <w:sz w:val="24"/>
          <w:highlight w:val="none"/>
        </w:rPr>
      </w:pPr>
    </w:p>
    <w:p w14:paraId="1BD6E936">
      <w:pPr>
        <w:spacing w:line="420" w:lineRule="exact"/>
        <w:ind w:firstLine="480" w:firstLineChars="200"/>
        <w:rPr>
          <w:rFonts w:hint="eastAsia"/>
          <w:color w:val="auto"/>
          <w:sz w:val="24"/>
          <w:highlight w:val="none"/>
        </w:rPr>
      </w:pPr>
    </w:p>
    <w:p w14:paraId="17757F53">
      <w:pPr>
        <w:spacing w:line="420" w:lineRule="exact"/>
        <w:ind w:firstLine="480" w:firstLineChars="200"/>
        <w:rPr>
          <w:rFonts w:hint="eastAsia"/>
          <w:color w:val="auto"/>
          <w:sz w:val="24"/>
          <w:highlight w:val="none"/>
        </w:rPr>
      </w:pPr>
    </w:p>
    <w:p w14:paraId="0B64B1AA">
      <w:pPr>
        <w:pStyle w:val="4"/>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69" w:name="_Toc23756"/>
      <w:r>
        <w:rPr>
          <w:rFonts w:hint="eastAsia" w:hAnsi="宋体"/>
          <w:color w:val="auto"/>
          <w:sz w:val="36"/>
          <w:highlight w:val="none"/>
        </w:rPr>
        <w:br w:type="page"/>
      </w:r>
      <w:bookmarkStart w:id="70" w:name="_Toc31272"/>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69"/>
      <w:bookmarkEnd w:id="70"/>
    </w:p>
    <w:p w14:paraId="4E8B2080">
      <w:pPr>
        <w:pStyle w:val="20"/>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353F1C3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426005B5">
      <w:pPr>
        <w:adjustRightInd w:val="0"/>
        <w:snapToGrid w:val="0"/>
        <w:spacing w:line="440" w:lineRule="exact"/>
        <w:ind w:firstLine="420" w:firstLineChars="200"/>
        <w:rPr>
          <w:rFonts w:hint="default"/>
          <w:color w:val="auto"/>
          <w:highlight w:val="none"/>
        </w:rPr>
      </w:pPr>
      <w:r>
        <w:rPr>
          <w:rFonts w:hint="eastAsia" w:ascii="新宋体" w:hAnsi="新宋体" w:eastAsia="新宋体"/>
          <w:color w:val="auto"/>
          <w:szCs w:val="21"/>
          <w:highlight w:val="none"/>
        </w:rPr>
        <w:t>1.2电子投标文件在规定时间内解密未成功的</w:t>
      </w:r>
      <w:r>
        <w:rPr>
          <w:rFonts w:hint="default" w:ascii="新宋体" w:hAnsi="新宋体" w:eastAsia="新宋体"/>
          <w:color w:val="auto"/>
          <w:szCs w:val="21"/>
          <w:highlight w:val="none"/>
        </w:rPr>
        <w:t>；</w:t>
      </w:r>
    </w:p>
    <w:p w14:paraId="567F55B9">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01C08E83">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7D772E7">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8E01A4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0D1FCFF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07E337F3">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5C5BB018">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2C511B2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0C5B1AC4">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E566EFE">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2.9</w:t>
      </w:r>
      <w:r>
        <w:rPr>
          <w:rFonts w:hint="eastAsia" w:ascii="新宋体" w:hAnsi="新宋体" w:eastAsia="新宋体"/>
          <w:color w:val="auto"/>
          <w:kern w:val="0"/>
          <w:szCs w:val="21"/>
          <w:highlight w:val="none"/>
        </w:rPr>
        <w:t>经评标委员会认定，</w:t>
      </w:r>
      <w:r>
        <w:rPr>
          <w:rFonts w:hint="eastAsia" w:ascii="新宋体" w:hAnsi="新宋体" w:eastAsia="新宋体"/>
          <w:color w:val="auto"/>
          <w:szCs w:val="21"/>
          <w:highlight w:val="none"/>
        </w:rPr>
        <w:t>投标文件附有采购人不能接受的条件。</w:t>
      </w:r>
    </w:p>
    <w:p w14:paraId="4FAA0F68">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17C76426">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6F724665">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内容，投标人的投标文件内容未提供完整，或关键字迹模糊、无法辨认的，或未按其规定的格式及要求填写、签字、盖章，或提供的投标文件内容不符合招标文件的中有关打★号的条款的规定。</w:t>
      </w:r>
    </w:p>
    <w:p w14:paraId="3D103E88">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3.2投标总价高于预算价（或最高限价）或投标单价高于单价最高限价。</w:t>
      </w:r>
    </w:p>
    <w:p w14:paraId="0C297309">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3.3投标人的所投产品的数量不符合招标文件规定的。</w:t>
      </w:r>
    </w:p>
    <w:p w14:paraId="64BFAEE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32020E2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625FC62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453C677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69148A7B">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lang w:val="en-US" w:eastAsia="zh-CN"/>
        </w:rPr>
        <w:t>4.</w:t>
      </w:r>
      <w:r>
        <w:rPr>
          <w:rFonts w:hint="eastAsia" w:ascii="新宋体" w:hAnsi="新宋体" w:eastAsia="新宋体"/>
          <w:b/>
          <w:bCs/>
          <w:color w:val="auto"/>
          <w:szCs w:val="21"/>
          <w:highlight w:val="none"/>
        </w:rPr>
        <w:t>在资格审查及评审过程中，符合中华人民共和国财政部令第87号《政府采购货物和服务招标投标管理办法》第三十七条情形之一的，视为投标人串通投标，其投标无效，并移送采购监管部门：</w:t>
      </w:r>
    </w:p>
    <w:p w14:paraId="5E416BB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17A00F2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3D61FBA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643040C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6EB1D35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4FA36C36">
      <w:pPr>
        <w:spacing w:line="440" w:lineRule="exact"/>
        <w:ind w:firstLine="422" w:firstLineChars="200"/>
        <w:rPr>
          <w:rFonts w:hint="eastAsia" w:ascii="宋体" w:hAnsi="宋体" w:eastAsia="宋体" w:cs="宋体"/>
          <w:b/>
          <w:color w:val="auto"/>
          <w:kern w:val="0"/>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宋体" w:hAnsi="宋体" w:eastAsia="宋体" w:cs="宋体"/>
          <w:b/>
          <w:color w:val="auto"/>
          <w:kern w:val="0"/>
          <w:szCs w:val="21"/>
          <w:highlight w:val="none"/>
        </w:rPr>
        <w:t>同一个标段（包）的供应商存在下列情形之一的，其投标（响应）文件无效：</w:t>
      </w:r>
    </w:p>
    <w:p w14:paraId="6FCB9C46">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14:paraId="51988C20">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14:paraId="15D9A062">
      <w:pPr>
        <w:adjustRightInd w:val="0"/>
        <w:snapToGrid w:val="0"/>
        <w:spacing w:line="440" w:lineRule="exact"/>
        <w:ind w:firstLine="420" w:firstLineChars="200"/>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14:paraId="3DFDDD27">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14:paraId="521412F0">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74F9C953">
      <w:pPr>
        <w:spacing w:line="420" w:lineRule="exact"/>
        <w:ind w:firstLine="422" w:firstLineChars="200"/>
        <w:rPr>
          <w:rFonts w:hint="eastAsia"/>
          <w:b/>
          <w:bCs/>
          <w:color w:val="auto"/>
          <w:szCs w:val="21"/>
          <w:highlight w:val="none"/>
        </w:rPr>
      </w:pPr>
    </w:p>
    <w:p w14:paraId="74639D2A">
      <w:pPr>
        <w:spacing w:line="420" w:lineRule="exact"/>
        <w:ind w:firstLine="480" w:firstLineChars="200"/>
        <w:rPr>
          <w:rFonts w:hint="eastAsia"/>
          <w:color w:val="auto"/>
          <w:sz w:val="24"/>
          <w:highlight w:val="none"/>
        </w:rPr>
      </w:pPr>
    </w:p>
    <w:p w14:paraId="46613CAB">
      <w:pPr>
        <w:spacing w:line="420" w:lineRule="exact"/>
        <w:rPr>
          <w:rFonts w:hint="eastAsia"/>
          <w:color w:val="auto"/>
          <w:sz w:val="24"/>
          <w:highlight w:val="none"/>
        </w:rPr>
      </w:pPr>
    </w:p>
    <w:p w14:paraId="56CEE5E2">
      <w:pPr>
        <w:spacing w:line="420" w:lineRule="exact"/>
        <w:rPr>
          <w:rFonts w:hint="eastAsia"/>
          <w:color w:val="auto"/>
          <w:sz w:val="24"/>
          <w:highlight w:val="none"/>
        </w:rPr>
      </w:pPr>
    </w:p>
    <w:p w14:paraId="5BBE44BF">
      <w:pPr>
        <w:spacing w:line="420" w:lineRule="exact"/>
        <w:rPr>
          <w:rFonts w:hint="eastAsia"/>
          <w:color w:val="auto"/>
          <w:sz w:val="24"/>
          <w:highlight w:val="none"/>
        </w:rPr>
      </w:pPr>
    </w:p>
    <w:p w14:paraId="2B7EABB6">
      <w:pPr>
        <w:spacing w:line="420" w:lineRule="exact"/>
        <w:rPr>
          <w:rFonts w:hint="eastAsia"/>
          <w:color w:val="auto"/>
          <w:sz w:val="24"/>
          <w:highlight w:val="none"/>
        </w:rPr>
      </w:pPr>
    </w:p>
    <w:p w14:paraId="0D6CE7CB">
      <w:pPr>
        <w:spacing w:line="420" w:lineRule="exact"/>
        <w:rPr>
          <w:rFonts w:hint="eastAsia"/>
          <w:color w:val="auto"/>
          <w:sz w:val="24"/>
          <w:highlight w:val="none"/>
        </w:rPr>
      </w:pPr>
    </w:p>
    <w:p w14:paraId="447CADE1">
      <w:pPr>
        <w:spacing w:line="420" w:lineRule="exact"/>
        <w:rPr>
          <w:rFonts w:hint="eastAsia"/>
          <w:color w:val="auto"/>
          <w:sz w:val="24"/>
          <w:highlight w:val="none"/>
        </w:rPr>
      </w:pPr>
    </w:p>
    <w:p w14:paraId="3DAA0297">
      <w:pPr>
        <w:spacing w:line="420" w:lineRule="exact"/>
        <w:rPr>
          <w:rFonts w:hint="eastAsia"/>
          <w:color w:val="auto"/>
          <w:sz w:val="24"/>
          <w:highlight w:val="none"/>
        </w:rPr>
      </w:pPr>
    </w:p>
    <w:p w14:paraId="7285420C">
      <w:pPr>
        <w:spacing w:line="420" w:lineRule="exact"/>
        <w:rPr>
          <w:rFonts w:hint="eastAsia"/>
          <w:color w:val="auto"/>
          <w:sz w:val="24"/>
          <w:highlight w:val="none"/>
        </w:rPr>
      </w:pPr>
    </w:p>
    <w:p w14:paraId="261042BD">
      <w:pPr>
        <w:pStyle w:val="56"/>
        <w:ind w:firstLine="420" w:firstLineChars="200"/>
        <w:rPr>
          <w:rFonts w:hint="eastAsia" w:ascii="宋体" w:hAnsi="宋体" w:cs="宋体"/>
          <w:color w:val="auto"/>
          <w:sz w:val="21"/>
          <w:szCs w:val="21"/>
          <w:highlight w:val="none"/>
        </w:rPr>
      </w:pPr>
      <w:bookmarkStart w:id="71" w:name="_Toc274303257"/>
    </w:p>
    <w:p w14:paraId="382CFFCE">
      <w:pPr>
        <w:pStyle w:val="4"/>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72" w:name="_Toc226973004"/>
      <w:bookmarkStart w:id="73" w:name="_Toc19786"/>
      <w:bookmarkStart w:id="74" w:name="_Toc362250708"/>
      <w:bookmarkStart w:id="75" w:name="_Toc274303255"/>
      <w:bookmarkStart w:id="76" w:name="_Toc145992551"/>
      <w:r>
        <w:rPr>
          <w:rFonts w:hint="eastAsia"/>
          <w:color w:val="auto"/>
          <w:sz w:val="36"/>
          <w:highlight w:val="none"/>
        </w:rPr>
        <w:br w:type="page"/>
      </w:r>
      <w:bookmarkStart w:id="77" w:name="_Toc15470"/>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72"/>
      <w:bookmarkEnd w:id="73"/>
      <w:bookmarkEnd w:id="74"/>
      <w:bookmarkEnd w:id="75"/>
      <w:bookmarkEnd w:id="76"/>
      <w:bookmarkEnd w:id="77"/>
    </w:p>
    <w:bookmarkEnd w:id="71"/>
    <w:p w14:paraId="139CA6E8">
      <w:pPr>
        <w:pStyle w:val="56"/>
        <w:ind w:firstLine="420" w:firstLineChars="200"/>
        <w:rPr>
          <w:rFonts w:hint="eastAsia" w:ascii="宋体" w:hAnsi="宋体" w:cs="宋体"/>
          <w:color w:val="auto"/>
          <w:sz w:val="21"/>
          <w:szCs w:val="21"/>
          <w:highlight w:val="none"/>
        </w:rPr>
      </w:pPr>
      <w:bookmarkStart w:id="78" w:name="_Toc358884475"/>
      <w:bookmarkStart w:id="79" w:name="_Toc330474791"/>
      <w:bookmarkStart w:id="80" w:name="_Toc362250710"/>
      <w:bookmarkStart w:id="81" w:name="_Toc323024194"/>
      <w:bookmarkStart w:id="82" w:name="_Toc295815145"/>
      <w:bookmarkStart w:id="83" w:name="_Toc269969080"/>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5650177F">
      <w:pPr>
        <w:pStyle w:val="5"/>
        <w:spacing w:before="120" w:after="120" w:line="460" w:lineRule="exact"/>
        <w:rPr>
          <w:rFonts w:hint="eastAsia" w:ascii="宋体" w:hAnsi="宋体" w:eastAsia="宋体" w:cs="宋体"/>
          <w:b/>
          <w:bCs/>
          <w:color w:val="auto"/>
          <w:sz w:val="21"/>
          <w:szCs w:val="21"/>
          <w:highlight w:val="none"/>
        </w:rPr>
      </w:pPr>
      <w:bookmarkStart w:id="84" w:name="_Toc4831"/>
      <w:r>
        <w:rPr>
          <w:rFonts w:hint="eastAsia" w:ascii="宋体" w:hAnsi="宋体" w:eastAsia="宋体" w:cs="宋体"/>
          <w:b/>
          <w:bCs/>
          <w:color w:val="auto"/>
          <w:sz w:val="21"/>
          <w:szCs w:val="21"/>
          <w:highlight w:val="none"/>
        </w:rPr>
        <w:t>一、评审程序</w:t>
      </w:r>
      <w:bookmarkEnd w:id="84"/>
    </w:p>
    <w:p w14:paraId="475FC7E9">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4EF7F629">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4902238E">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（二）对通过资格性审查合格的投标标人的商务技术响应文件进行符合性审查；</w:t>
      </w:r>
    </w:p>
    <w:p w14:paraId="52543E6D">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4931697C">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8433A72">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p>
    <w:p w14:paraId="319B37B4">
      <w:pPr>
        <w:pStyle w:val="20"/>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2024E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6F6182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w:t>
      </w:r>
      <w:r>
        <w:rPr>
          <w:rFonts w:hint="eastAsia" w:ascii="宋体" w:hAnsi="宋体" w:cs="宋体"/>
          <w:color w:val="auto"/>
          <w:szCs w:val="21"/>
          <w:highlight w:val="none"/>
          <w:lang w:eastAsia="zh-CN"/>
        </w:rPr>
        <w:t>排名第一</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w:t>
      </w:r>
    </w:p>
    <w:p w14:paraId="34E3707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15EB6251">
      <w:pPr>
        <w:pStyle w:val="20"/>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1DB5CEEA">
      <w:pPr>
        <w:pStyle w:val="5"/>
        <w:spacing w:before="120" w:after="120" w:line="460" w:lineRule="exact"/>
        <w:rPr>
          <w:rFonts w:hint="eastAsia" w:ascii="宋体" w:hAnsi="宋体" w:eastAsia="宋体" w:cs="宋体"/>
          <w:b/>
          <w:bCs/>
          <w:color w:val="auto"/>
          <w:sz w:val="21"/>
          <w:szCs w:val="21"/>
          <w:highlight w:val="none"/>
        </w:rPr>
      </w:pPr>
      <w:bookmarkStart w:id="85" w:name="_Toc15023"/>
      <w:r>
        <w:rPr>
          <w:rFonts w:hint="eastAsia" w:ascii="宋体" w:hAnsi="宋体" w:eastAsia="宋体" w:cs="宋体"/>
          <w:b/>
          <w:bCs/>
          <w:color w:val="auto"/>
          <w:sz w:val="21"/>
          <w:szCs w:val="21"/>
          <w:highlight w:val="none"/>
        </w:rPr>
        <w:t>二、确定的中标人放弃中标等情况的处理</w:t>
      </w:r>
      <w:bookmarkEnd w:id="85"/>
    </w:p>
    <w:p w14:paraId="79627276">
      <w:pPr>
        <w:pStyle w:val="20"/>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36811D5B">
      <w:pPr>
        <w:pStyle w:val="20"/>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015C61CE">
      <w:pPr>
        <w:rPr>
          <w:rFonts w:hint="eastAsia" w:ascii="宋体" w:hAnsi="宋体" w:eastAsia="宋体" w:cs="宋体"/>
          <w:b/>
          <w:bCs/>
          <w:color w:val="auto"/>
          <w:sz w:val="21"/>
          <w:szCs w:val="21"/>
          <w:highlight w:val="none"/>
          <w:lang w:val="en-US" w:eastAsia="zh-CN"/>
        </w:rPr>
      </w:pPr>
      <w:bookmarkStart w:id="86" w:name="_Toc30980"/>
      <w:r>
        <w:rPr>
          <w:rFonts w:hint="eastAsia" w:ascii="宋体" w:hAnsi="宋体" w:eastAsia="宋体" w:cs="宋体"/>
          <w:b/>
          <w:bCs/>
          <w:color w:val="auto"/>
          <w:sz w:val="21"/>
          <w:szCs w:val="21"/>
          <w:highlight w:val="none"/>
          <w:lang w:val="en-US" w:eastAsia="zh-CN"/>
        </w:rPr>
        <w:br w:type="page"/>
      </w:r>
    </w:p>
    <w:p w14:paraId="45C1C2CC">
      <w:pPr>
        <w:pStyle w:val="5"/>
        <w:spacing w:before="120" w:after="120" w:line="4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三、评分细则</w:t>
      </w:r>
      <w:bookmarkEnd w:id="86"/>
    </w:p>
    <w:p w14:paraId="10A9EF95">
      <w:pPr>
        <w:bidi w:val="0"/>
        <w:rPr>
          <w:rFonts w:hint="eastAsia"/>
          <w:color w:val="auto"/>
          <w:highlight w:val="none"/>
        </w:rPr>
      </w:pPr>
    </w:p>
    <w:tbl>
      <w:tblPr>
        <w:tblStyle w:val="38"/>
        <w:tblW w:w="871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0"/>
        <w:gridCol w:w="1476"/>
        <w:gridCol w:w="1730"/>
        <w:gridCol w:w="4800"/>
      </w:tblGrid>
      <w:tr w14:paraId="216D66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20F48BB7">
            <w:pPr>
              <w:pStyle w:val="57"/>
              <w:widowControl/>
              <w:spacing w:line="360" w:lineRule="auto"/>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76" w:type="dxa"/>
            <w:noWrap/>
            <w:vAlign w:val="center"/>
          </w:tcPr>
          <w:p w14:paraId="1468C30E">
            <w:pPr>
              <w:pStyle w:val="57"/>
              <w:keepNext w:val="0"/>
              <w:keepLines w:val="0"/>
              <w:pageBreakBefore w:val="0"/>
              <w:widowControl/>
              <w:kinsoku/>
              <w:wordWrap/>
              <w:overflowPunct/>
              <w:topLinePunct w:val="0"/>
              <w:autoSpaceDE/>
              <w:autoSpaceDN/>
              <w:bidi w:val="0"/>
              <w:spacing w:line="360" w:lineRule="auto"/>
              <w:ind w:firstLine="0" w:firstLineChars="0"/>
              <w:jc w:val="center"/>
              <w:textAlignment w:val="auto"/>
              <w:rPr>
                <w:rFonts w:ascii="宋体" w:hAnsi="宋体"/>
                <w:b/>
                <w:bCs/>
                <w:color w:val="auto"/>
                <w:szCs w:val="21"/>
                <w:highlight w:val="none"/>
              </w:rPr>
            </w:pPr>
            <w:r>
              <w:rPr>
                <w:rFonts w:hint="eastAsia" w:ascii="宋体" w:hAnsi="宋体"/>
                <w:b/>
                <w:bCs/>
                <w:color w:val="auto"/>
                <w:szCs w:val="21"/>
                <w:highlight w:val="none"/>
              </w:rPr>
              <w:t>评分内容</w:t>
            </w:r>
          </w:p>
        </w:tc>
        <w:tc>
          <w:tcPr>
            <w:tcW w:w="1730" w:type="dxa"/>
            <w:noWrap/>
            <w:vAlign w:val="center"/>
          </w:tcPr>
          <w:p w14:paraId="00A47F49">
            <w:pPr>
              <w:pStyle w:val="57"/>
              <w:widowControl/>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分数</w:t>
            </w:r>
          </w:p>
        </w:tc>
        <w:tc>
          <w:tcPr>
            <w:tcW w:w="4800" w:type="dxa"/>
            <w:noWrap/>
            <w:vAlign w:val="center"/>
          </w:tcPr>
          <w:p w14:paraId="47E142FC">
            <w:pPr>
              <w:pStyle w:val="57"/>
              <w:widowControl/>
              <w:spacing w:line="360" w:lineRule="auto"/>
              <w:jc w:val="center"/>
              <w:rPr>
                <w:rFonts w:ascii="宋体" w:hAnsi="宋体"/>
                <w:b/>
                <w:bCs/>
                <w:color w:val="auto"/>
                <w:szCs w:val="21"/>
                <w:highlight w:val="none"/>
              </w:rPr>
            </w:pPr>
            <w:r>
              <w:rPr>
                <w:rFonts w:hint="eastAsia" w:ascii="宋体" w:hAnsi="宋体"/>
                <w:b/>
                <w:bCs/>
                <w:color w:val="auto"/>
                <w:szCs w:val="21"/>
                <w:highlight w:val="none"/>
              </w:rPr>
              <w:t>评分标准</w:t>
            </w:r>
          </w:p>
        </w:tc>
      </w:tr>
      <w:tr w14:paraId="1C278D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noWrap/>
            <w:vAlign w:val="center"/>
          </w:tcPr>
          <w:p w14:paraId="52910F05">
            <w:pPr>
              <w:pStyle w:val="20"/>
              <w:spacing w:line="360" w:lineRule="auto"/>
              <w:jc w:val="center"/>
              <w:rPr>
                <w:rFonts w:hint="eastAsia" w:hAnsi="宋体"/>
                <w:b/>
                <w:bCs/>
                <w:color w:val="auto"/>
                <w:highlight w:val="none"/>
              </w:rPr>
            </w:pPr>
            <w:r>
              <w:rPr>
                <w:rFonts w:hint="eastAsia" w:ascii="新宋体" w:hAnsi="新宋体" w:eastAsia="新宋体"/>
                <w:color w:val="auto"/>
                <w:highlight w:val="none"/>
              </w:rPr>
              <w:t>一</w:t>
            </w:r>
          </w:p>
        </w:tc>
        <w:tc>
          <w:tcPr>
            <w:tcW w:w="1476" w:type="dxa"/>
            <w:noWrap/>
            <w:vAlign w:val="center"/>
          </w:tcPr>
          <w:p w14:paraId="740D7FAE">
            <w:pPr>
              <w:pStyle w:val="20"/>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hAnsi="宋体"/>
                <w:b/>
                <w:bCs/>
                <w:color w:val="auto"/>
                <w:highlight w:val="none"/>
              </w:rPr>
            </w:pPr>
            <w:r>
              <w:rPr>
                <w:rFonts w:hint="eastAsia" w:ascii="新宋体" w:hAnsi="新宋体" w:eastAsia="新宋体"/>
                <w:color w:val="auto"/>
                <w:highlight w:val="none"/>
                <w:lang w:val="en-US" w:eastAsia="zh-CN"/>
              </w:rPr>
              <w:t>商务</w:t>
            </w:r>
            <w:r>
              <w:rPr>
                <w:rFonts w:hint="eastAsia" w:ascii="新宋体" w:hAnsi="新宋体" w:eastAsia="新宋体"/>
                <w:color w:val="auto"/>
                <w:highlight w:val="none"/>
              </w:rPr>
              <w:t>技术分</w:t>
            </w:r>
          </w:p>
        </w:tc>
        <w:tc>
          <w:tcPr>
            <w:tcW w:w="1730" w:type="dxa"/>
            <w:noWrap/>
            <w:vAlign w:val="center"/>
          </w:tcPr>
          <w:p w14:paraId="43EA2C86">
            <w:pPr>
              <w:pStyle w:val="20"/>
              <w:spacing w:line="360" w:lineRule="auto"/>
              <w:jc w:val="center"/>
              <w:rPr>
                <w:rFonts w:hAnsi="宋体"/>
                <w:b/>
                <w:bCs/>
                <w:color w:val="auto"/>
                <w:highlight w:val="none"/>
              </w:rPr>
            </w:pPr>
            <w:r>
              <w:rPr>
                <w:rFonts w:hint="eastAsia" w:ascii="新宋体" w:hAnsi="新宋体" w:eastAsia="新宋体"/>
                <w:color w:val="auto"/>
                <w:highlight w:val="none"/>
              </w:rPr>
              <w:t>40</w:t>
            </w:r>
          </w:p>
        </w:tc>
        <w:tc>
          <w:tcPr>
            <w:tcW w:w="4800" w:type="dxa"/>
            <w:noWrap/>
            <w:vAlign w:val="center"/>
          </w:tcPr>
          <w:p w14:paraId="1BF18ACF">
            <w:pPr>
              <w:spacing w:line="360" w:lineRule="auto"/>
              <w:rPr>
                <w:rFonts w:hint="eastAsia" w:ascii="宋体" w:hAnsi="宋体"/>
                <w:b/>
                <w:bCs/>
                <w:color w:val="auto"/>
                <w:szCs w:val="21"/>
                <w:highlight w:val="none"/>
              </w:rPr>
            </w:pPr>
            <w:r>
              <w:rPr>
                <w:rFonts w:hint="eastAsia" w:ascii="新宋体" w:hAnsi="新宋体" w:eastAsia="新宋体"/>
                <w:color w:val="auto"/>
                <w:szCs w:val="21"/>
                <w:highlight w:val="none"/>
              </w:rPr>
              <w:t>评标委员会根据评分细则，对各投标人的</w:t>
            </w:r>
            <w:r>
              <w:rPr>
                <w:rFonts w:hint="eastAsia" w:ascii="新宋体" w:hAnsi="新宋体" w:eastAsia="新宋体"/>
                <w:color w:val="auto"/>
                <w:szCs w:val="21"/>
                <w:highlight w:val="none"/>
                <w:lang w:eastAsia="zh-CN"/>
              </w:rPr>
              <w:t>商务</w:t>
            </w:r>
            <w:r>
              <w:rPr>
                <w:rFonts w:hint="eastAsia" w:ascii="新宋体" w:hAnsi="新宋体" w:eastAsia="新宋体"/>
                <w:color w:val="auto"/>
                <w:szCs w:val="21"/>
                <w:highlight w:val="none"/>
              </w:rPr>
              <w:t>技术文件进行书面审核和评论后，由各成员独立给分，打分时保留小数1位，每人一份评分表，并签名。在统计得分时，如果发现某一单项评分超过评分细则规定的分值范围，则该张评分表无效。投标人</w:t>
            </w:r>
            <w:r>
              <w:rPr>
                <w:rFonts w:hint="eastAsia" w:ascii="新宋体" w:hAnsi="新宋体" w:eastAsia="新宋体"/>
                <w:color w:val="auto"/>
                <w:szCs w:val="21"/>
                <w:highlight w:val="none"/>
                <w:lang w:val="en-US" w:eastAsia="zh-CN"/>
              </w:rPr>
              <w:t>商务</w:t>
            </w:r>
            <w:r>
              <w:rPr>
                <w:rFonts w:hint="eastAsia" w:ascii="新宋体" w:hAnsi="新宋体" w:eastAsia="新宋体"/>
                <w:color w:val="auto"/>
                <w:szCs w:val="21"/>
                <w:highlight w:val="none"/>
              </w:rPr>
              <w:t>技术分的最终得分为评标委员会组成员的有效评分的算术平均值。计算结果保留小数2位(第三位四舍五入)。</w:t>
            </w:r>
          </w:p>
        </w:tc>
      </w:tr>
      <w:tr w14:paraId="0B045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vMerge w:val="restart"/>
            <w:noWrap/>
            <w:vAlign w:val="center"/>
          </w:tcPr>
          <w:p w14:paraId="46EF5719">
            <w:pPr>
              <w:pStyle w:val="57"/>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6" w:type="dxa"/>
            <w:vMerge w:val="restart"/>
            <w:noWrap/>
            <w:vAlign w:val="center"/>
          </w:tcPr>
          <w:p w14:paraId="18FC21B8">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企业综合实力（3分）</w:t>
            </w:r>
          </w:p>
        </w:tc>
        <w:tc>
          <w:tcPr>
            <w:tcW w:w="1730" w:type="dxa"/>
            <w:noWrap/>
            <w:vAlign w:val="center"/>
          </w:tcPr>
          <w:p w14:paraId="5EA99C09">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0-2.5（客观分）</w:t>
            </w:r>
          </w:p>
        </w:tc>
        <w:tc>
          <w:tcPr>
            <w:tcW w:w="4800" w:type="dxa"/>
            <w:noWrap/>
            <w:vAlign w:val="top"/>
          </w:tcPr>
          <w:p w14:paraId="1BDB5AB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投标人具有有效的质量管理体系、环境管理体系、信息安全管理体系</w:t>
            </w:r>
            <w:r>
              <w:rPr>
                <w:rFonts w:hint="eastAsia" w:ascii="宋体" w:hAnsi="宋体" w:cs="宋体"/>
                <w:color w:val="auto"/>
                <w:szCs w:val="21"/>
                <w:highlight w:val="none"/>
                <w:lang w:eastAsia="zh-CN"/>
              </w:rPr>
              <w:t>、</w:t>
            </w:r>
            <w:r>
              <w:rPr>
                <w:rFonts w:hint="eastAsia" w:ascii="宋体" w:hAnsi="宋体" w:cs="宋体"/>
                <w:color w:val="auto"/>
                <w:szCs w:val="21"/>
                <w:highlight w:val="none"/>
              </w:rPr>
              <w:t>职业健康安全管理体系认证</w:t>
            </w:r>
            <w:r>
              <w:rPr>
                <w:rFonts w:hint="eastAsia" w:ascii="宋体" w:hAnsi="宋体" w:cs="宋体"/>
                <w:color w:val="auto"/>
                <w:szCs w:val="21"/>
                <w:highlight w:val="none"/>
                <w:lang w:eastAsia="zh-CN"/>
              </w:rPr>
              <w:t>、</w:t>
            </w:r>
            <w:r>
              <w:rPr>
                <w:rFonts w:hint="eastAsia" w:ascii="宋体" w:hAnsi="宋体" w:cs="宋体"/>
                <w:color w:val="auto"/>
                <w:szCs w:val="21"/>
                <w:highlight w:val="none"/>
              </w:rPr>
              <w:t>测量管理体系认证，每有一项得0.5分，最高 2.5分。（提供相关文件并加盖公章，并</w:t>
            </w:r>
            <w:r>
              <w:rPr>
                <w:rFonts w:hint="eastAsia" w:ascii="宋体" w:hAnsi="宋体" w:cs="宋体"/>
                <w:color w:val="auto"/>
                <w:szCs w:val="21"/>
                <w:highlight w:val="none"/>
                <w:lang w:val="en-US" w:eastAsia="zh-CN"/>
              </w:rPr>
              <w:t>且</w:t>
            </w:r>
            <w:r>
              <w:rPr>
                <w:rFonts w:hint="eastAsia" w:cs="宋体"/>
                <w:color w:val="auto"/>
                <w:szCs w:val="21"/>
                <w:highlight w:val="none"/>
              </w:rPr>
              <w:t>以上认证必须经开标当天“全国认证认可信息公共服务平台”查询证书状态为“有效”</w:t>
            </w:r>
            <w:r>
              <w:rPr>
                <w:rFonts w:hint="eastAsia" w:ascii="宋体" w:hAnsi="宋体" w:cs="宋体"/>
                <w:color w:val="auto"/>
                <w:szCs w:val="21"/>
                <w:highlight w:val="none"/>
              </w:rPr>
              <w:t>）</w:t>
            </w:r>
          </w:p>
        </w:tc>
      </w:tr>
      <w:tr w14:paraId="44C518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710" w:type="dxa"/>
            <w:vMerge w:val="continue"/>
            <w:noWrap/>
            <w:vAlign w:val="center"/>
          </w:tcPr>
          <w:p w14:paraId="4DA2EFFE">
            <w:pPr>
              <w:pStyle w:val="57"/>
              <w:widowControl/>
              <w:spacing w:line="360" w:lineRule="auto"/>
              <w:jc w:val="center"/>
              <w:rPr>
                <w:rFonts w:hint="eastAsia" w:ascii="宋体" w:hAnsi="宋体" w:cs="宋体"/>
                <w:color w:val="auto"/>
                <w:szCs w:val="21"/>
                <w:highlight w:val="none"/>
              </w:rPr>
            </w:pPr>
          </w:p>
        </w:tc>
        <w:tc>
          <w:tcPr>
            <w:tcW w:w="1476" w:type="dxa"/>
            <w:vMerge w:val="continue"/>
            <w:noWrap/>
            <w:vAlign w:val="center"/>
          </w:tcPr>
          <w:p w14:paraId="0E2EFB70">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noWrap/>
            <w:vAlign w:val="center"/>
          </w:tcPr>
          <w:p w14:paraId="1423934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0-0.5（客观分）</w:t>
            </w:r>
          </w:p>
        </w:tc>
        <w:tc>
          <w:tcPr>
            <w:tcW w:w="4800" w:type="dxa"/>
            <w:noWrap/>
            <w:vAlign w:val="top"/>
          </w:tcPr>
          <w:p w14:paraId="2A72DF37">
            <w:pPr>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2.</w:t>
            </w:r>
            <w:r>
              <w:rPr>
                <w:rFonts w:hint="eastAsia" w:ascii="宋体" w:hAnsi="宋体" w:cs="宋体"/>
                <w:bCs/>
                <w:color w:val="auto"/>
                <w:kern w:val="0"/>
                <w:szCs w:val="21"/>
                <w:highlight w:val="none"/>
              </w:rPr>
              <w:t>投标人</w:t>
            </w:r>
            <w:r>
              <w:rPr>
                <w:rFonts w:hint="eastAsia" w:ascii="宋体" w:hAnsi="宋体" w:cs="宋体"/>
                <w:bCs/>
                <w:color w:val="auto"/>
                <w:kern w:val="0"/>
                <w:szCs w:val="21"/>
                <w:highlight w:val="none"/>
              </w:rPr>
              <w:t>2024</w:t>
            </w:r>
            <w:r>
              <w:rPr>
                <w:rFonts w:hint="eastAsia" w:ascii="宋体" w:hAnsi="宋体" w:cs="宋体"/>
                <w:bCs/>
                <w:color w:val="auto"/>
                <w:kern w:val="0"/>
                <w:szCs w:val="21"/>
                <w:highlight w:val="none"/>
              </w:rPr>
              <w:t>年度资产负债率少于50%的，</w:t>
            </w:r>
            <w:r>
              <w:rPr>
                <w:rFonts w:hint="eastAsia" w:ascii="宋体" w:hAnsi="宋体" w:cs="宋体"/>
                <w:b/>
                <w:color w:val="auto"/>
                <w:kern w:val="0"/>
                <w:szCs w:val="21"/>
                <w:highlight w:val="none"/>
              </w:rPr>
              <w:t>得0.5分</w:t>
            </w:r>
            <w:r>
              <w:rPr>
                <w:rFonts w:hint="eastAsia" w:ascii="宋体" w:hAnsi="宋体" w:cs="宋体"/>
                <w:bCs/>
                <w:color w:val="auto"/>
                <w:kern w:val="0"/>
                <w:szCs w:val="21"/>
                <w:highlight w:val="none"/>
              </w:rPr>
              <w:t>。（能够提供经会计事务所</w:t>
            </w:r>
            <w:r>
              <w:rPr>
                <w:rFonts w:hint="eastAsia" w:ascii="宋体" w:hAnsi="宋体" w:cs="宋体"/>
                <w:bCs/>
                <w:color w:val="auto"/>
                <w:kern w:val="0"/>
                <w:szCs w:val="21"/>
                <w:highlight w:val="none"/>
              </w:rPr>
              <w:t>2024</w:t>
            </w:r>
            <w:r>
              <w:rPr>
                <w:rFonts w:hint="eastAsia" w:ascii="宋体" w:hAnsi="宋体" w:cs="宋体"/>
                <w:bCs/>
                <w:color w:val="auto"/>
                <w:kern w:val="0"/>
                <w:szCs w:val="21"/>
                <w:highlight w:val="none"/>
              </w:rPr>
              <w:t>年审计后的财务报表）</w:t>
            </w:r>
          </w:p>
        </w:tc>
      </w:tr>
      <w:tr w14:paraId="561B03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0" w:type="dxa"/>
            <w:noWrap/>
            <w:vAlign w:val="center"/>
          </w:tcPr>
          <w:p w14:paraId="5388DD0C">
            <w:pPr>
              <w:pStyle w:val="57"/>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76" w:type="dxa"/>
            <w:noWrap/>
            <w:vAlign w:val="center"/>
          </w:tcPr>
          <w:p w14:paraId="0005415F">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企业业绩（3分）</w:t>
            </w:r>
          </w:p>
        </w:tc>
        <w:tc>
          <w:tcPr>
            <w:tcW w:w="1730" w:type="dxa"/>
            <w:noWrap/>
            <w:vAlign w:val="center"/>
          </w:tcPr>
          <w:p w14:paraId="3F60AFBF">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0-3（客观分）</w:t>
            </w:r>
          </w:p>
        </w:tc>
        <w:tc>
          <w:tcPr>
            <w:tcW w:w="4800" w:type="dxa"/>
            <w:noWrap/>
            <w:vAlign w:val="top"/>
          </w:tcPr>
          <w:p w14:paraId="4B6E887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投标单位</w:t>
            </w:r>
            <w:r>
              <w:rPr>
                <w:rFonts w:hint="eastAsia" w:ascii="宋体" w:hAnsi="宋体" w:cs="宋体"/>
                <w:color w:val="auto"/>
                <w:szCs w:val="21"/>
                <w:highlight w:val="none"/>
              </w:rPr>
              <w:t>2022年1月1日</w:t>
            </w:r>
            <w:r>
              <w:rPr>
                <w:rFonts w:hint="eastAsia" w:ascii="宋体" w:hAnsi="宋体" w:cs="宋体"/>
                <w:color w:val="auto"/>
                <w:szCs w:val="21"/>
                <w:highlight w:val="none"/>
              </w:rPr>
              <w:t>以来</w:t>
            </w:r>
            <w:r>
              <w:rPr>
                <w:rFonts w:ascii="宋体" w:hAnsi="宋体" w:cs="宋体"/>
                <w:color w:val="auto"/>
                <w:szCs w:val="21"/>
                <w:highlight w:val="none"/>
              </w:rPr>
              <w:t>（以合同签订时间为准）单一用户使用</w:t>
            </w:r>
            <w:r>
              <w:rPr>
                <w:rFonts w:hint="eastAsia" w:ascii="宋体" w:hAnsi="宋体" w:cs="宋体"/>
                <w:color w:val="auto"/>
                <w:szCs w:val="21"/>
                <w:highlight w:val="none"/>
              </w:rPr>
              <w:t>插入式</w:t>
            </w:r>
            <w:r>
              <w:rPr>
                <w:rFonts w:hint="eastAsia" w:ascii="宋体" w:hAnsi="宋体" w:cs="宋体"/>
                <w:color w:val="auto"/>
                <w:szCs w:val="21"/>
                <w:highlight w:val="none"/>
              </w:rPr>
              <w:t>超声波流</w:t>
            </w:r>
            <w:r>
              <w:rPr>
                <w:rFonts w:hint="eastAsia" w:ascii="宋体" w:hAnsi="宋体" w:cs="宋体"/>
                <w:color w:val="auto"/>
                <w:szCs w:val="21"/>
                <w:highlight w:val="none"/>
              </w:rPr>
              <w:t>量计</w:t>
            </w:r>
            <w:r>
              <w:rPr>
                <w:rFonts w:ascii="宋体" w:hAnsi="宋体" w:cs="宋体"/>
                <w:color w:val="auto"/>
                <w:szCs w:val="21"/>
                <w:highlight w:val="none"/>
              </w:rPr>
              <w:t>单个合同金额</w:t>
            </w:r>
            <w:r>
              <w:rPr>
                <w:rFonts w:hint="eastAsia" w:ascii="宋体" w:hAnsi="宋体" w:cs="宋体"/>
                <w:color w:val="auto"/>
                <w:szCs w:val="21"/>
                <w:highlight w:val="none"/>
              </w:rPr>
              <w:t>1</w:t>
            </w:r>
            <w:r>
              <w:rPr>
                <w:rFonts w:ascii="宋体" w:hAnsi="宋体" w:cs="宋体"/>
                <w:color w:val="auto"/>
                <w:szCs w:val="21"/>
                <w:highlight w:val="none"/>
              </w:rPr>
              <w:t>00万及以上</w:t>
            </w:r>
            <w:r>
              <w:rPr>
                <w:rFonts w:hint="eastAsia" w:ascii="宋体" w:hAnsi="宋体" w:cs="宋体"/>
                <w:color w:val="auto"/>
                <w:szCs w:val="21"/>
                <w:highlight w:val="none"/>
              </w:rPr>
              <w:t>（若是单价合同，须提供相关供货发票进行证明）</w:t>
            </w:r>
            <w:r>
              <w:rPr>
                <w:rFonts w:ascii="宋体" w:hAnsi="宋体" w:cs="宋体"/>
                <w:color w:val="auto"/>
                <w:szCs w:val="21"/>
                <w:highlight w:val="none"/>
              </w:rPr>
              <w:t>的供货业绩证明的，每提供一个得</w:t>
            </w:r>
            <w:r>
              <w:rPr>
                <w:rFonts w:hint="eastAsia" w:ascii="宋体" w:hAnsi="宋体" w:cs="宋体"/>
                <w:color w:val="auto"/>
                <w:szCs w:val="21"/>
                <w:highlight w:val="none"/>
              </w:rPr>
              <w:t>1.5</w:t>
            </w:r>
            <w:r>
              <w:rPr>
                <w:rFonts w:ascii="宋体" w:hAnsi="宋体" w:cs="宋体"/>
                <w:color w:val="auto"/>
                <w:szCs w:val="21"/>
                <w:highlight w:val="none"/>
              </w:rPr>
              <w:t>分</w:t>
            </w:r>
            <w:r>
              <w:rPr>
                <w:rFonts w:hint="eastAsia" w:ascii="宋体" w:hAnsi="宋体" w:cs="宋体"/>
                <w:color w:val="auto"/>
                <w:szCs w:val="21"/>
                <w:highlight w:val="none"/>
              </w:rPr>
              <w:t>;</w:t>
            </w:r>
          </w:p>
          <w:p w14:paraId="3E343975">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投标单位</w:t>
            </w:r>
            <w:r>
              <w:rPr>
                <w:rFonts w:hint="eastAsia" w:ascii="宋体" w:hAnsi="宋体" w:cs="宋体"/>
                <w:color w:val="auto"/>
                <w:szCs w:val="21"/>
                <w:highlight w:val="none"/>
              </w:rPr>
              <w:t>2022年1月1日</w:t>
            </w:r>
            <w:r>
              <w:rPr>
                <w:rFonts w:hint="eastAsia" w:ascii="宋体" w:hAnsi="宋体" w:cs="宋体"/>
                <w:color w:val="auto"/>
                <w:szCs w:val="21"/>
                <w:highlight w:val="none"/>
              </w:rPr>
              <w:t>以来</w:t>
            </w:r>
            <w:r>
              <w:rPr>
                <w:rFonts w:ascii="宋体" w:hAnsi="宋体" w:cs="宋体"/>
                <w:color w:val="auto"/>
                <w:szCs w:val="21"/>
                <w:highlight w:val="none"/>
              </w:rPr>
              <w:t>（以合同签订时间为准）单一用户使用</w:t>
            </w:r>
            <w:r>
              <w:rPr>
                <w:rFonts w:hint="eastAsia" w:ascii="宋体" w:hAnsi="宋体" w:cs="宋体"/>
                <w:color w:val="auto"/>
                <w:szCs w:val="21"/>
                <w:highlight w:val="none"/>
              </w:rPr>
              <w:t>管段式</w:t>
            </w:r>
            <w:r>
              <w:rPr>
                <w:rFonts w:hint="eastAsia" w:ascii="宋体" w:hAnsi="宋体" w:cs="宋体"/>
                <w:color w:val="auto"/>
                <w:szCs w:val="21"/>
                <w:highlight w:val="none"/>
              </w:rPr>
              <w:t>电磁流量计</w:t>
            </w:r>
            <w:r>
              <w:rPr>
                <w:rFonts w:ascii="宋体" w:hAnsi="宋体" w:cs="宋体"/>
                <w:color w:val="auto"/>
                <w:szCs w:val="21"/>
                <w:highlight w:val="none"/>
              </w:rPr>
              <w:t>单个合同金额</w:t>
            </w:r>
            <w:r>
              <w:rPr>
                <w:rFonts w:hint="eastAsia" w:ascii="宋体" w:hAnsi="宋体" w:cs="宋体"/>
                <w:color w:val="auto"/>
                <w:szCs w:val="21"/>
                <w:highlight w:val="none"/>
              </w:rPr>
              <w:t>1</w:t>
            </w:r>
            <w:r>
              <w:rPr>
                <w:rFonts w:ascii="宋体" w:hAnsi="宋体" w:cs="宋体"/>
                <w:color w:val="auto"/>
                <w:szCs w:val="21"/>
                <w:highlight w:val="none"/>
              </w:rPr>
              <w:t>00万及以上</w:t>
            </w:r>
            <w:r>
              <w:rPr>
                <w:rFonts w:hint="eastAsia" w:ascii="宋体" w:hAnsi="宋体" w:cs="宋体"/>
                <w:color w:val="auto"/>
                <w:szCs w:val="21"/>
                <w:highlight w:val="none"/>
              </w:rPr>
              <w:t>（若是单价合同，须提供相关供货发票进行证明）</w:t>
            </w:r>
            <w:r>
              <w:rPr>
                <w:rFonts w:ascii="宋体" w:hAnsi="宋体" w:cs="宋体"/>
                <w:color w:val="auto"/>
                <w:szCs w:val="21"/>
                <w:highlight w:val="none"/>
              </w:rPr>
              <w:t>的供货业绩证明的，每提供一个得</w:t>
            </w:r>
            <w:r>
              <w:rPr>
                <w:rFonts w:hint="eastAsia" w:ascii="宋体" w:hAnsi="宋体" w:cs="宋体"/>
                <w:color w:val="auto"/>
                <w:szCs w:val="21"/>
                <w:highlight w:val="none"/>
              </w:rPr>
              <w:t>1.5</w:t>
            </w:r>
            <w:r>
              <w:rPr>
                <w:rFonts w:ascii="宋体" w:hAnsi="宋体" w:cs="宋体"/>
                <w:color w:val="auto"/>
                <w:szCs w:val="21"/>
                <w:highlight w:val="none"/>
              </w:rPr>
              <w:t>分</w:t>
            </w:r>
            <w:r>
              <w:rPr>
                <w:rFonts w:hint="eastAsia" w:ascii="宋体" w:hAnsi="宋体" w:cs="宋体"/>
                <w:color w:val="auto"/>
                <w:szCs w:val="21"/>
                <w:highlight w:val="none"/>
              </w:rPr>
              <w:t>;</w:t>
            </w:r>
          </w:p>
          <w:p w14:paraId="38550CE5">
            <w:pPr>
              <w:tabs>
                <w:tab w:val="left" w:pos="0"/>
              </w:tabs>
              <w:spacing w:line="360" w:lineRule="auto"/>
              <w:jc w:val="left"/>
              <w:rPr>
                <w:rFonts w:hint="eastAsia" w:ascii="宋体" w:hAnsi="宋体" w:cs="宋体"/>
                <w:color w:val="auto"/>
                <w:szCs w:val="21"/>
                <w:highlight w:val="none"/>
              </w:rPr>
            </w:pPr>
            <w:r>
              <w:rPr>
                <w:color w:val="auto"/>
                <w:highlight w:val="none"/>
              </w:rPr>
              <w:t xml:space="preserve"> </w:t>
            </w:r>
            <w:r>
              <w:rPr>
                <w:rFonts w:ascii="宋体" w:hAnsi="宋体" w:cs="宋体"/>
                <w:b/>
                <w:bCs/>
                <w:color w:val="auto"/>
                <w:szCs w:val="21"/>
                <w:highlight w:val="none"/>
              </w:rPr>
              <w:t xml:space="preserve"> 注：同一客户只认可一份业绩，投标时须提供业绩合同</w:t>
            </w:r>
            <w:r>
              <w:rPr>
                <w:rFonts w:hint="eastAsia" w:ascii="宋体" w:hAnsi="宋体" w:cs="宋体"/>
                <w:b/>
                <w:bCs/>
                <w:color w:val="auto"/>
                <w:szCs w:val="21"/>
                <w:highlight w:val="none"/>
              </w:rPr>
              <w:t>（若是单价合同，须提供相关供货发票进行证明）</w:t>
            </w:r>
            <w:r>
              <w:rPr>
                <w:rFonts w:ascii="宋体" w:hAnsi="宋体" w:cs="宋体"/>
                <w:b/>
                <w:bCs/>
                <w:color w:val="auto"/>
                <w:szCs w:val="21"/>
                <w:highlight w:val="none"/>
              </w:rPr>
              <w:t>，合同包括但不限于合同首页、主要内容页、签章页、签订日期页</w:t>
            </w:r>
            <w:r>
              <w:rPr>
                <w:rFonts w:hint="eastAsia" w:ascii="宋体" w:hAnsi="宋体" w:cs="宋体"/>
                <w:b/>
                <w:bCs/>
                <w:color w:val="auto"/>
                <w:szCs w:val="21"/>
                <w:highlight w:val="none"/>
              </w:rPr>
              <w:t>，</w:t>
            </w:r>
            <w:r>
              <w:rPr>
                <w:rFonts w:ascii="宋体" w:hAnsi="宋体" w:cs="宋体"/>
                <w:b/>
                <w:bCs/>
                <w:color w:val="auto"/>
                <w:szCs w:val="21"/>
                <w:highlight w:val="none"/>
              </w:rPr>
              <w:t>未提供或提供不全不得分</w:t>
            </w:r>
            <w:r>
              <w:rPr>
                <w:rFonts w:ascii="宋体" w:hAnsi="宋体" w:cs="宋体"/>
                <w:b/>
                <w:bCs/>
                <w:color w:val="auto"/>
                <w:szCs w:val="21"/>
                <w:highlight w:val="none"/>
                <w:lang w:val="zh-CN"/>
              </w:rPr>
              <w:t>。</w:t>
            </w:r>
          </w:p>
        </w:tc>
      </w:tr>
      <w:tr w14:paraId="7B7509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restart"/>
            <w:noWrap/>
            <w:vAlign w:val="center"/>
          </w:tcPr>
          <w:p w14:paraId="1DB7D061">
            <w:pPr>
              <w:pStyle w:val="57"/>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76" w:type="dxa"/>
            <w:vMerge w:val="restart"/>
            <w:noWrap/>
            <w:vAlign w:val="center"/>
          </w:tcPr>
          <w:p w14:paraId="2E8C3143">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投标产品技术保障要求（12分）</w:t>
            </w:r>
          </w:p>
        </w:tc>
        <w:tc>
          <w:tcPr>
            <w:tcW w:w="1730" w:type="dxa"/>
            <w:tcBorders>
              <w:bottom w:val="single" w:color="auto" w:sz="4" w:space="0"/>
            </w:tcBorders>
            <w:noWrap/>
            <w:vAlign w:val="center"/>
          </w:tcPr>
          <w:p w14:paraId="08B7A065">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0-4（</w:t>
            </w:r>
            <w:r>
              <w:rPr>
                <w:rFonts w:hint="eastAsia" w:ascii="宋体" w:hAnsi="宋体" w:cs="宋体"/>
                <w:color w:val="auto"/>
                <w:kern w:val="0"/>
                <w:szCs w:val="21"/>
                <w:highlight w:val="none"/>
                <w:lang w:val="en-US" w:eastAsia="zh-CN"/>
              </w:rPr>
              <w:t>客</w:t>
            </w:r>
            <w:r>
              <w:rPr>
                <w:rFonts w:hint="eastAsia" w:ascii="宋体" w:hAnsi="宋体" w:cs="宋体"/>
                <w:color w:val="auto"/>
                <w:kern w:val="0"/>
                <w:szCs w:val="21"/>
                <w:highlight w:val="none"/>
              </w:rPr>
              <w:t>观分）</w:t>
            </w:r>
          </w:p>
        </w:tc>
        <w:tc>
          <w:tcPr>
            <w:tcW w:w="4800" w:type="dxa"/>
            <w:noWrap/>
            <w:vAlign w:val="top"/>
          </w:tcPr>
          <w:p w14:paraId="2208F4A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根据投标人拥有的生产设备情况、投标产品性能、质量控制、材料控制、生产工艺、方案的整体描述</w:t>
            </w:r>
            <w:r>
              <w:rPr>
                <w:rFonts w:hint="eastAsia" w:ascii="宋体" w:hAnsi="宋体" w:cs="宋体"/>
                <w:color w:val="auto"/>
                <w:szCs w:val="21"/>
                <w:highlight w:val="none"/>
                <w:lang w:val="zh-CN"/>
              </w:rPr>
              <w:t>进行评分，提供的方案完全符合采购需求的得</w:t>
            </w:r>
            <w:r>
              <w:rPr>
                <w:rFonts w:hint="eastAsia" w:ascii="宋体" w:hAnsi="宋体" w:cs="宋体"/>
                <w:color w:val="auto"/>
                <w:szCs w:val="21"/>
                <w:highlight w:val="none"/>
              </w:rPr>
              <w:t>4</w:t>
            </w:r>
            <w:r>
              <w:rPr>
                <w:rFonts w:hint="eastAsia" w:ascii="宋体" w:hAnsi="宋体" w:cs="宋体"/>
                <w:color w:val="auto"/>
                <w:szCs w:val="21"/>
                <w:highlight w:val="none"/>
                <w:lang w:val="zh-CN"/>
              </w:rPr>
              <w:t>分，每缺少一项扣1分，每有一项内容缺陷（技术方案不完整、不详细、不科学）扣0.5分，直至本项分值扣完为止。</w:t>
            </w:r>
          </w:p>
        </w:tc>
      </w:tr>
      <w:tr w14:paraId="15BCD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 w:hRule="atLeast"/>
          <w:jc w:val="center"/>
        </w:trPr>
        <w:tc>
          <w:tcPr>
            <w:tcW w:w="710" w:type="dxa"/>
            <w:vMerge w:val="continue"/>
            <w:noWrap/>
            <w:vAlign w:val="center"/>
          </w:tcPr>
          <w:p w14:paraId="1D669892">
            <w:pPr>
              <w:pStyle w:val="57"/>
              <w:widowControl/>
              <w:spacing w:line="360" w:lineRule="auto"/>
              <w:jc w:val="center"/>
              <w:rPr>
                <w:rFonts w:hint="eastAsia" w:ascii="宋体" w:hAnsi="宋体" w:cs="宋体"/>
                <w:color w:val="auto"/>
                <w:szCs w:val="21"/>
                <w:highlight w:val="none"/>
              </w:rPr>
            </w:pPr>
          </w:p>
        </w:tc>
        <w:tc>
          <w:tcPr>
            <w:tcW w:w="1476" w:type="dxa"/>
            <w:vMerge w:val="continue"/>
            <w:noWrap/>
            <w:vAlign w:val="center"/>
          </w:tcPr>
          <w:p w14:paraId="27D15111">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bottom w:val="single" w:color="auto" w:sz="4" w:space="0"/>
            </w:tcBorders>
            <w:noWrap/>
            <w:vAlign w:val="center"/>
          </w:tcPr>
          <w:p w14:paraId="30BF21F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0-4（</w:t>
            </w:r>
            <w:r>
              <w:rPr>
                <w:rFonts w:hint="eastAsia" w:ascii="宋体" w:hAnsi="宋体" w:cs="宋体"/>
                <w:color w:val="auto"/>
                <w:kern w:val="0"/>
                <w:szCs w:val="21"/>
                <w:highlight w:val="none"/>
                <w:lang w:val="en-US" w:eastAsia="zh-CN"/>
              </w:rPr>
              <w:t>客</w:t>
            </w:r>
            <w:r>
              <w:rPr>
                <w:rFonts w:hint="eastAsia" w:ascii="宋体" w:hAnsi="宋体" w:cs="宋体"/>
                <w:color w:val="auto"/>
                <w:kern w:val="0"/>
                <w:szCs w:val="21"/>
                <w:highlight w:val="none"/>
              </w:rPr>
              <w:t>观分）</w:t>
            </w:r>
          </w:p>
        </w:tc>
        <w:tc>
          <w:tcPr>
            <w:tcW w:w="4800" w:type="dxa"/>
            <w:noWrap/>
            <w:vAlign w:val="top"/>
          </w:tcPr>
          <w:p w14:paraId="7BBDEB5F">
            <w:pPr>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由投标人提供详细质量检测程序资料和检测设备的购置发票复印件，根据其检测设备先进程度及检测程序进行评分，</w:t>
            </w:r>
            <w:r>
              <w:rPr>
                <w:rFonts w:hint="eastAsia" w:ascii="宋体" w:hAnsi="宋体" w:cs="宋体"/>
                <w:color w:val="auto"/>
                <w:szCs w:val="21"/>
                <w:highlight w:val="none"/>
                <w:lang w:val="zh-CN"/>
              </w:rPr>
              <w:t>提供的方案完全符合采购需求的得</w:t>
            </w:r>
            <w:r>
              <w:rPr>
                <w:rFonts w:hint="eastAsia" w:ascii="宋体" w:hAnsi="宋体" w:cs="宋体"/>
                <w:color w:val="auto"/>
                <w:szCs w:val="21"/>
                <w:highlight w:val="none"/>
              </w:rPr>
              <w:t>4</w:t>
            </w:r>
            <w:r>
              <w:rPr>
                <w:rFonts w:hint="eastAsia" w:ascii="宋体" w:hAnsi="宋体" w:cs="宋体"/>
                <w:color w:val="auto"/>
                <w:szCs w:val="21"/>
                <w:highlight w:val="none"/>
                <w:lang w:val="zh-CN"/>
              </w:rPr>
              <w:t>分，每缺少一项扣1分，每有一项内容缺陷（技术方案不完整、不详细、不科学）扣0.5分，直至本项分值扣完为止。</w:t>
            </w:r>
          </w:p>
        </w:tc>
      </w:tr>
      <w:tr w14:paraId="0943E1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72" w:hRule="atLeast"/>
          <w:jc w:val="center"/>
        </w:trPr>
        <w:tc>
          <w:tcPr>
            <w:tcW w:w="710" w:type="dxa"/>
            <w:vMerge w:val="continue"/>
            <w:noWrap/>
            <w:vAlign w:val="center"/>
          </w:tcPr>
          <w:p w14:paraId="7D47579B">
            <w:pPr>
              <w:pStyle w:val="57"/>
              <w:widowControl/>
              <w:spacing w:line="360" w:lineRule="auto"/>
              <w:jc w:val="center"/>
              <w:rPr>
                <w:rFonts w:hint="eastAsia" w:ascii="宋体" w:hAnsi="宋体" w:cs="宋体"/>
                <w:color w:val="auto"/>
                <w:szCs w:val="21"/>
                <w:highlight w:val="none"/>
              </w:rPr>
            </w:pPr>
          </w:p>
        </w:tc>
        <w:tc>
          <w:tcPr>
            <w:tcW w:w="1476" w:type="dxa"/>
            <w:vMerge w:val="continue"/>
            <w:noWrap/>
            <w:vAlign w:val="center"/>
          </w:tcPr>
          <w:p w14:paraId="458B35D6">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bottom w:val="single" w:color="auto" w:sz="4" w:space="0"/>
            </w:tcBorders>
            <w:noWrap/>
            <w:vAlign w:val="center"/>
          </w:tcPr>
          <w:p w14:paraId="72B5A64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客</w:t>
            </w:r>
            <w:r>
              <w:rPr>
                <w:rFonts w:hint="eastAsia" w:ascii="宋体" w:hAnsi="宋体" w:cs="宋体"/>
                <w:color w:val="auto"/>
                <w:kern w:val="0"/>
                <w:szCs w:val="21"/>
                <w:highlight w:val="none"/>
              </w:rPr>
              <w:t>观分</w:t>
            </w:r>
            <w:r>
              <w:rPr>
                <w:rFonts w:hint="eastAsia" w:ascii="宋体" w:hAnsi="宋体" w:cs="宋体"/>
                <w:color w:val="auto"/>
                <w:kern w:val="0"/>
                <w:szCs w:val="21"/>
                <w:highlight w:val="none"/>
              </w:rPr>
              <w:t>）</w:t>
            </w:r>
          </w:p>
        </w:tc>
        <w:tc>
          <w:tcPr>
            <w:tcW w:w="4800" w:type="dxa"/>
            <w:noWrap/>
            <w:vAlign w:val="top"/>
          </w:tcPr>
          <w:p w14:paraId="519FC3B5">
            <w:pPr>
              <w:spacing w:line="360" w:lineRule="auto"/>
              <w:jc w:val="left"/>
              <w:rPr>
                <w:rFonts w:hint="eastAsia" w:ascii="宋体" w:hAnsi="宋体" w:cs="宋体"/>
                <w:b/>
                <w:color w:val="auto"/>
                <w:kern w:val="0"/>
                <w:szCs w:val="21"/>
                <w:highlight w:val="none"/>
              </w:rPr>
            </w:pPr>
            <w:r>
              <w:rPr>
                <w:rFonts w:hint="eastAsia" w:ascii="宋体" w:hAnsi="宋体" w:cs="宋体"/>
                <w:color w:val="auto"/>
                <w:highlight w:val="none"/>
                <w:lang w:val="zh-CN"/>
              </w:rPr>
              <w:t>实施方案（包括总体施工部署、工期、工作时间进度表、运输、供货措施、现场调试管理计划等内容），提供的实施方案完全符合采购需求的得</w:t>
            </w:r>
            <w:r>
              <w:rPr>
                <w:rFonts w:hint="eastAsia" w:cs="宋体"/>
                <w:color w:val="auto"/>
                <w:highlight w:val="none"/>
              </w:rPr>
              <w:t>4</w:t>
            </w:r>
            <w:r>
              <w:rPr>
                <w:rFonts w:hint="eastAsia" w:ascii="宋体" w:hAnsi="宋体" w:cs="宋体"/>
                <w:color w:val="auto"/>
                <w:highlight w:val="none"/>
                <w:lang w:val="zh-CN"/>
              </w:rPr>
              <w:t>分，每缺少一项扣1分，每有一项内容缺陷（实施方案不完整、不详细、不科学）扣0.5分，直至本项分值扣完为止。</w:t>
            </w:r>
          </w:p>
        </w:tc>
      </w:tr>
      <w:tr w14:paraId="720FCC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134" w:hRule="atLeast"/>
          <w:jc w:val="center"/>
        </w:trPr>
        <w:tc>
          <w:tcPr>
            <w:tcW w:w="710" w:type="dxa"/>
            <w:vMerge w:val="restart"/>
            <w:tcBorders>
              <w:top w:val="single" w:color="auto" w:sz="4" w:space="0"/>
            </w:tcBorders>
            <w:noWrap/>
            <w:vAlign w:val="center"/>
          </w:tcPr>
          <w:p w14:paraId="19A3411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76" w:type="dxa"/>
            <w:vMerge w:val="restart"/>
            <w:tcBorders>
              <w:top w:val="single" w:color="auto" w:sz="4" w:space="0"/>
            </w:tcBorders>
            <w:noWrap/>
            <w:vAlign w:val="center"/>
          </w:tcPr>
          <w:p w14:paraId="77B6C164">
            <w:pPr>
              <w:keepNext w:val="0"/>
              <w:keepLines w:val="0"/>
              <w:pageBreakBefore w:val="0"/>
              <w:kinsoku/>
              <w:wordWrap/>
              <w:overflowPunct/>
              <w:topLinePunct w:val="0"/>
              <w:autoSpaceDE/>
              <w:autoSpaceDN/>
              <w:bidi w:val="0"/>
              <w:spacing w:line="360" w:lineRule="auto"/>
              <w:ind w:firstLine="0" w:firstLineChars="0"/>
              <w:jc w:val="center"/>
              <w:textAlignment w:val="auto"/>
              <w:rPr>
                <w:rFonts w:ascii="宋体" w:hAnsi="宋体" w:cs="宋体"/>
                <w:color w:val="auto"/>
                <w:szCs w:val="21"/>
                <w:highlight w:val="none"/>
              </w:rPr>
            </w:pPr>
            <w:r>
              <w:rPr>
                <w:rFonts w:hint="eastAsia" w:ascii="宋体" w:hAnsi="宋体" w:cs="宋体"/>
                <w:b/>
                <w:color w:val="auto"/>
                <w:kern w:val="0"/>
                <w:szCs w:val="21"/>
                <w:highlight w:val="none"/>
              </w:rPr>
              <w:t>投标产品质量要求（</w:t>
            </w:r>
            <w:r>
              <w:rPr>
                <w:rFonts w:hint="eastAsia" w:ascii="宋体" w:hAnsi="宋体" w:cs="宋体"/>
                <w:b/>
                <w:color w:val="auto"/>
                <w:kern w:val="0"/>
                <w:szCs w:val="21"/>
                <w:highlight w:val="none"/>
              </w:rPr>
              <w:t>12</w:t>
            </w:r>
            <w:r>
              <w:rPr>
                <w:rFonts w:hint="eastAsia" w:ascii="宋体" w:hAnsi="宋体" w:cs="宋体"/>
                <w:b/>
                <w:color w:val="auto"/>
                <w:kern w:val="0"/>
                <w:szCs w:val="21"/>
                <w:highlight w:val="none"/>
              </w:rPr>
              <w:t>分）</w:t>
            </w:r>
          </w:p>
          <w:p w14:paraId="5006E042">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p>
        </w:tc>
        <w:tc>
          <w:tcPr>
            <w:tcW w:w="1730" w:type="dxa"/>
            <w:tcBorders>
              <w:top w:val="single" w:color="auto" w:sz="4" w:space="0"/>
              <w:bottom w:val="single" w:color="auto" w:sz="4" w:space="0"/>
            </w:tcBorders>
            <w:noWrap/>
            <w:vAlign w:val="center"/>
          </w:tcPr>
          <w:p w14:paraId="4D24D196">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0-10（客观分）</w:t>
            </w:r>
          </w:p>
        </w:tc>
        <w:tc>
          <w:tcPr>
            <w:tcW w:w="4800" w:type="dxa"/>
            <w:noWrap/>
            <w:vAlign w:val="top"/>
          </w:tcPr>
          <w:p w14:paraId="18CE1956">
            <w:pPr>
              <w:widowControl/>
              <w:jc w:val="left"/>
              <w:rPr>
                <w:rFonts w:hint="eastAsia"/>
                <w:color w:val="auto"/>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w:t>
            </w:r>
            <w:r>
              <w:rPr>
                <w:rFonts w:ascii="宋体" w:hAnsi="宋体" w:cs="宋体"/>
                <w:color w:val="auto"/>
                <w:szCs w:val="21"/>
                <w:highlight w:val="none"/>
              </w:rPr>
              <w:t>电磁流量计准确度等级：准确度等级≤0.2级的，得</w:t>
            </w:r>
            <w:r>
              <w:rPr>
                <w:rFonts w:hint="eastAsia" w:ascii="宋体" w:hAnsi="宋体" w:cs="宋体"/>
                <w:color w:val="auto"/>
                <w:szCs w:val="21"/>
                <w:highlight w:val="none"/>
              </w:rPr>
              <w:t>2</w:t>
            </w:r>
            <w:r>
              <w:rPr>
                <w:rFonts w:ascii="宋体" w:hAnsi="宋体" w:cs="宋体"/>
                <w:color w:val="auto"/>
                <w:szCs w:val="21"/>
                <w:highlight w:val="none"/>
              </w:rPr>
              <w:t>分；准确度等级≤0.3级的，</w:t>
            </w:r>
            <w:r>
              <w:rPr>
                <w:rFonts w:ascii="宋体" w:hAnsi="宋体" w:cs="宋体"/>
                <w:b/>
                <w:bCs/>
                <w:color w:val="auto"/>
                <w:szCs w:val="21"/>
                <w:highlight w:val="none"/>
              </w:rPr>
              <w:t>得</w:t>
            </w:r>
            <w:r>
              <w:rPr>
                <w:rFonts w:hint="eastAsia" w:ascii="宋体" w:hAnsi="宋体" w:cs="宋体"/>
                <w:b/>
                <w:bCs/>
                <w:color w:val="auto"/>
                <w:szCs w:val="21"/>
                <w:highlight w:val="none"/>
              </w:rPr>
              <w:t>1</w:t>
            </w:r>
            <w:r>
              <w:rPr>
                <w:rFonts w:ascii="宋体" w:hAnsi="宋体" w:cs="宋体"/>
                <w:b/>
                <w:bCs/>
                <w:color w:val="auto"/>
                <w:szCs w:val="21"/>
                <w:highlight w:val="none"/>
              </w:rPr>
              <w:t>分</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kern w:val="0"/>
                <w:highlight w:val="none"/>
              </w:rPr>
              <w:t>须</w:t>
            </w:r>
            <w:r>
              <w:rPr>
                <w:rFonts w:ascii="宋体" w:hAnsi="宋体" w:cs="宋体"/>
                <w:color w:val="auto"/>
                <w:szCs w:val="21"/>
                <w:highlight w:val="none"/>
              </w:rPr>
              <w:t>提供电磁流量</w:t>
            </w:r>
            <w:r>
              <w:rPr>
                <w:rFonts w:hint="eastAsia" w:ascii="宋体" w:hAnsi="宋体" w:cs="宋体"/>
                <w:color w:val="auto"/>
                <w:kern w:val="0"/>
                <w:highlight w:val="none"/>
              </w:rPr>
              <w:t>《计量器具型式批准证书》原件扫描件，未提供不得分</w:t>
            </w:r>
            <w:r>
              <w:rPr>
                <w:rFonts w:ascii="宋体" w:hAnsi="宋体" w:cs="宋体"/>
                <w:color w:val="auto"/>
                <w:szCs w:val="21"/>
                <w:highlight w:val="none"/>
              </w:rPr>
              <w:t>）</w:t>
            </w:r>
            <w:r>
              <w:rPr>
                <w:rFonts w:hint="eastAsia" w:ascii="宋体" w:hAnsi="宋体" w:cs="宋体"/>
                <w:color w:val="auto"/>
                <w:szCs w:val="21"/>
                <w:highlight w:val="none"/>
              </w:rPr>
              <w:t>。</w:t>
            </w:r>
            <w:r>
              <w:rPr>
                <w:rFonts w:hint="eastAsia" w:ascii="宋体" w:hAnsi="宋体" w:cs="宋体"/>
                <w:b/>
                <w:bCs/>
                <w:color w:val="auto"/>
                <w:kern w:val="0"/>
                <w:highlight w:val="none"/>
              </w:rPr>
              <w:t>本项最高得2分</w:t>
            </w:r>
            <w:r>
              <w:rPr>
                <w:rFonts w:ascii="宋体" w:hAnsi="宋体" w:cs="宋体"/>
                <w:b/>
                <w:bCs/>
                <w:color w:val="auto"/>
                <w:szCs w:val="21"/>
                <w:highlight w:val="none"/>
              </w:rPr>
              <w:t>。</w:t>
            </w:r>
          </w:p>
          <w:p w14:paraId="1A9BCE54">
            <w:pPr>
              <w:widowControl/>
              <w:jc w:val="left"/>
              <w:rPr>
                <w:rFonts w:hint="eastAsia" w:ascii="宋体" w:hAnsi="宋体" w:cs="宋体"/>
                <w:color w:val="auto"/>
                <w:kern w:val="0"/>
                <w:highlight w:val="none"/>
              </w:rPr>
            </w:pPr>
            <w:r>
              <w:rPr>
                <w:rFonts w:hint="eastAsia"/>
                <w:color w:val="auto"/>
                <w:highlight w:val="none"/>
              </w:rPr>
              <w:t>2.</w:t>
            </w:r>
            <w:r>
              <w:rPr>
                <w:rFonts w:hint="eastAsia" w:ascii="宋体" w:hAnsi="宋体" w:cs="宋体"/>
                <w:color w:val="auto"/>
                <w:kern w:val="0"/>
                <w:highlight w:val="none"/>
              </w:rPr>
              <w:t>超声波流量计准确度等级：</w:t>
            </w:r>
            <w:r>
              <w:rPr>
                <w:rFonts w:hint="eastAsia" w:ascii="宋体" w:hAnsi="宋体" w:cs="宋体"/>
                <w:color w:val="auto"/>
                <w:kern w:val="0"/>
                <w:highlight w:val="none"/>
              </w:rPr>
              <w:t>准确度等级≤0.5级的得2分；0.5级﹤准确度等级≤1.0级的得1分；1.0﹤准确度等级不得分。</w:t>
            </w:r>
            <w:r>
              <w:rPr>
                <w:rFonts w:hint="eastAsia" w:ascii="宋体" w:hAnsi="宋体" w:cs="宋体"/>
                <w:b/>
                <w:bCs/>
                <w:color w:val="auto"/>
                <w:kern w:val="0"/>
                <w:highlight w:val="none"/>
              </w:rPr>
              <w:t>本项最高得2分</w:t>
            </w:r>
            <w:r>
              <w:rPr>
                <w:rFonts w:hint="eastAsia" w:ascii="宋体" w:hAnsi="宋体" w:cs="宋体"/>
                <w:color w:val="auto"/>
                <w:kern w:val="0"/>
                <w:highlight w:val="none"/>
              </w:rPr>
              <w:t>。（须提供超声波流量计《计量器具型式批准证书》原件扫描件,未提供不得分）。</w:t>
            </w:r>
          </w:p>
          <w:p w14:paraId="59B13AEB">
            <w:pPr>
              <w:widowControl/>
              <w:jc w:val="left"/>
              <w:rPr>
                <w:rFonts w:hint="eastAsia" w:ascii="宋体" w:hAnsi="宋体" w:cs="宋体"/>
                <w:b/>
                <w:bCs/>
                <w:color w:val="auto"/>
                <w:szCs w:val="21"/>
                <w:highlight w:val="none"/>
              </w:rPr>
            </w:pPr>
            <w:r>
              <w:rPr>
                <w:rFonts w:hint="eastAsia" w:ascii="宋体" w:hAnsi="宋体" w:cs="宋体"/>
                <w:color w:val="auto"/>
                <w:kern w:val="0"/>
                <w:highlight w:val="none"/>
              </w:rPr>
              <w:t>3.投标产品（水表和流量计）的生产厂商具备流量计或水表生产经验:具有流量计或水表 5年以上生产经验(以流量计或水表的型式批准证书或生产许可证为准)得0.5分;具有流量计或水表10年以上生产经验(以流量计或水表的型式批准证书或生产许可证为准)得1分;按最高分计分，不重复计分。（须提供相关产品型式批准证书或生产许可证复印或扫描件并加盖公章作为证明材料）。</w:t>
            </w:r>
            <w:r>
              <w:rPr>
                <w:rFonts w:hint="eastAsia" w:ascii="宋体" w:hAnsi="宋体" w:cs="宋体"/>
                <w:b/>
                <w:bCs/>
                <w:color w:val="auto"/>
                <w:kern w:val="0"/>
                <w:highlight w:val="none"/>
              </w:rPr>
              <w:t>本项最高得1分</w:t>
            </w:r>
            <w:r>
              <w:rPr>
                <w:rFonts w:hint="eastAsia" w:ascii="宋体" w:hAnsi="宋体" w:cs="宋体"/>
                <w:b/>
                <w:bCs/>
                <w:color w:val="auto"/>
                <w:szCs w:val="21"/>
                <w:highlight w:val="none"/>
              </w:rPr>
              <w:t>。</w:t>
            </w:r>
          </w:p>
          <w:p w14:paraId="397674E2">
            <w:pPr>
              <w:widowControl/>
              <w:jc w:val="left"/>
              <w:rPr>
                <w:rFonts w:hint="eastAsia" w:ascii="宋体" w:hAnsi="宋体" w:cs="宋体"/>
                <w:b/>
                <w:bCs/>
                <w:color w:val="auto"/>
                <w:szCs w:val="21"/>
                <w:highlight w:val="none"/>
              </w:rPr>
            </w:pPr>
            <w:r>
              <w:rPr>
                <w:rFonts w:hint="eastAsia" w:ascii="宋体" w:hAnsi="宋体" w:cs="宋体"/>
                <w:b/>
                <w:bCs/>
                <w:color w:val="auto"/>
                <w:szCs w:val="21"/>
                <w:highlight w:val="none"/>
              </w:rPr>
              <w:t>4.超声波、</w:t>
            </w:r>
            <w:r>
              <w:rPr>
                <w:rFonts w:hint="eastAsia" w:ascii="宋体" w:hAnsi="宋体" w:cs="宋体"/>
                <w:b/>
                <w:bCs/>
                <w:color w:val="auto"/>
                <w:szCs w:val="21"/>
                <w:highlight w:val="none"/>
              </w:rPr>
              <w:t>电磁流量计</w:t>
            </w:r>
            <w:r>
              <w:rPr>
                <w:rFonts w:hint="eastAsia" w:ascii="宋体" w:hAnsi="宋体" w:cs="宋体"/>
                <w:color w:val="auto"/>
                <w:kern w:val="0"/>
                <w:szCs w:val="21"/>
                <w:highlight w:val="none"/>
                <w:lang w:bidi="ar"/>
              </w:rPr>
              <w:t>每1小时发送</w:t>
            </w:r>
            <w:r>
              <w:rPr>
                <w:color w:val="auto"/>
                <w:kern w:val="0"/>
                <w:szCs w:val="21"/>
                <w:highlight w:val="none"/>
                <w:lang w:bidi="ar"/>
              </w:rPr>
              <w:t>1</w:t>
            </w:r>
            <w:r>
              <w:rPr>
                <w:rFonts w:hint="eastAsia" w:ascii="宋体" w:hAnsi="宋体" w:cs="宋体"/>
                <w:color w:val="auto"/>
                <w:kern w:val="0"/>
                <w:szCs w:val="21"/>
                <w:highlight w:val="none"/>
                <w:lang w:bidi="ar"/>
              </w:rPr>
              <w:t>次数据</w:t>
            </w:r>
            <w:r>
              <w:rPr>
                <w:color w:val="auto"/>
                <w:kern w:val="0"/>
                <w:szCs w:val="21"/>
                <w:highlight w:val="none"/>
                <w:lang w:bidi="ar"/>
              </w:rPr>
              <w:t>(</w:t>
            </w:r>
            <w:r>
              <w:rPr>
                <w:rFonts w:hint="eastAsia" w:ascii="宋体" w:hAnsi="宋体" w:cs="宋体"/>
                <w:color w:val="auto"/>
                <w:kern w:val="0"/>
                <w:szCs w:val="21"/>
                <w:highlight w:val="none"/>
                <w:lang w:bidi="ar"/>
              </w:rPr>
              <w:t xml:space="preserve">包含每 </w:t>
            </w:r>
            <w:r>
              <w:rPr>
                <w:rFonts w:hint="eastAsia"/>
                <w:color w:val="auto"/>
                <w:kern w:val="0"/>
                <w:szCs w:val="21"/>
                <w:highlight w:val="none"/>
                <w:lang w:bidi="ar"/>
              </w:rPr>
              <w:t>1</w:t>
            </w:r>
            <w:r>
              <w:rPr>
                <w:color w:val="auto"/>
                <w:kern w:val="0"/>
                <w:szCs w:val="21"/>
                <w:highlight w:val="none"/>
                <w:lang w:bidi="ar"/>
              </w:rPr>
              <w:t xml:space="preserve"> </w:t>
            </w:r>
            <w:r>
              <w:rPr>
                <w:rFonts w:hint="eastAsia" w:ascii="宋体" w:hAnsi="宋体" w:cs="宋体"/>
                <w:color w:val="auto"/>
                <w:kern w:val="0"/>
                <w:szCs w:val="21"/>
                <w:highlight w:val="none"/>
                <w:lang w:bidi="ar"/>
              </w:rPr>
              <w:t>分钟采集的数据</w:t>
            </w:r>
            <w:r>
              <w:rPr>
                <w:color w:val="auto"/>
                <w:kern w:val="0"/>
                <w:szCs w:val="21"/>
                <w:highlight w:val="none"/>
                <w:lang w:bidi="ar"/>
              </w:rPr>
              <w:t>)</w:t>
            </w:r>
            <w:r>
              <w:rPr>
                <w:rFonts w:hint="eastAsia" w:ascii="宋体" w:hAnsi="宋体" w:cs="宋体"/>
                <w:color w:val="auto"/>
                <w:kern w:val="0"/>
                <w:szCs w:val="21"/>
                <w:highlight w:val="none"/>
                <w:lang w:bidi="ar"/>
              </w:rPr>
              <w:t>的情况下，电池工作寿命大于6年以上，</w:t>
            </w:r>
            <w:r>
              <w:rPr>
                <w:rFonts w:hint="eastAsia" w:ascii="宋体" w:hAnsi="宋体" w:cs="宋体"/>
                <w:b/>
                <w:bCs/>
                <w:color w:val="auto"/>
                <w:szCs w:val="21"/>
                <w:highlight w:val="none"/>
              </w:rPr>
              <w:t>得1分</w:t>
            </w:r>
            <w:r>
              <w:rPr>
                <w:rFonts w:hint="eastAsia" w:ascii="宋体" w:hAnsi="宋体" w:cs="宋体"/>
                <w:color w:val="auto"/>
                <w:kern w:val="0"/>
                <w:szCs w:val="21"/>
                <w:highlight w:val="none"/>
                <w:lang w:bidi="ar"/>
              </w:rPr>
              <w:t>（须</w:t>
            </w:r>
            <w:r>
              <w:rPr>
                <w:rFonts w:hint="eastAsia" w:ascii="宋体" w:hAnsi="宋体" w:cs="宋体"/>
                <w:b/>
                <w:bCs/>
                <w:color w:val="auto"/>
                <w:szCs w:val="21"/>
                <w:highlight w:val="none"/>
              </w:rPr>
              <w:t>提供第三方检测机构出具的检测报告及承诺书）。</w:t>
            </w:r>
          </w:p>
          <w:p w14:paraId="5592B70F">
            <w:pPr>
              <w:widowControl/>
              <w:jc w:val="left"/>
              <w:rPr>
                <w:rFonts w:ascii="宋体" w:hAnsi="宋体" w:cs="宋体"/>
                <w:b/>
                <w:bCs/>
                <w:color w:val="auto"/>
                <w:szCs w:val="21"/>
                <w:highlight w:val="none"/>
              </w:rPr>
            </w:pPr>
            <w:r>
              <w:rPr>
                <w:rFonts w:hint="eastAsia" w:ascii="宋体" w:hAnsi="宋体" w:cs="宋体"/>
                <w:bCs/>
                <w:color w:val="auto"/>
                <w:szCs w:val="21"/>
                <w:highlight w:val="none"/>
              </w:rPr>
              <w:t>5.投标人在招标文件数据存储功能要求存储6年基础上，承诺8年的得1分；10年的得2分。（</w:t>
            </w:r>
            <w:r>
              <w:rPr>
                <w:rFonts w:hint="eastAsia" w:ascii="宋体" w:hAnsi="宋体" w:cs="宋体"/>
                <w:color w:val="auto"/>
                <w:kern w:val="0"/>
                <w:szCs w:val="21"/>
                <w:highlight w:val="none"/>
                <w:lang w:bidi="ar"/>
              </w:rPr>
              <w:t>须</w:t>
            </w:r>
            <w:r>
              <w:rPr>
                <w:rFonts w:hint="eastAsia" w:ascii="宋体" w:hAnsi="宋体" w:cs="宋体"/>
                <w:color w:val="auto"/>
                <w:szCs w:val="21"/>
                <w:highlight w:val="none"/>
              </w:rPr>
              <w:t>提供承诺书</w:t>
            </w:r>
            <w:r>
              <w:rPr>
                <w:rFonts w:hint="eastAsia" w:ascii="宋体" w:hAnsi="宋体" w:cs="宋体"/>
                <w:bCs/>
                <w:color w:val="auto"/>
                <w:szCs w:val="21"/>
                <w:highlight w:val="none"/>
              </w:rPr>
              <w:t>）</w:t>
            </w:r>
            <w:r>
              <w:rPr>
                <w:rFonts w:hint="eastAsia" w:ascii="宋体" w:hAnsi="宋体" w:cs="宋体"/>
                <w:b/>
                <w:bCs/>
                <w:color w:val="auto"/>
                <w:kern w:val="0"/>
                <w:highlight w:val="none"/>
              </w:rPr>
              <w:t>本项最高得2分</w:t>
            </w:r>
            <w:r>
              <w:rPr>
                <w:rFonts w:hint="eastAsia" w:ascii="宋体" w:hAnsi="宋体" w:cs="宋体"/>
                <w:color w:val="auto"/>
                <w:kern w:val="0"/>
                <w:highlight w:val="none"/>
              </w:rPr>
              <w:t>。</w:t>
            </w:r>
          </w:p>
          <w:p w14:paraId="5A3EE252">
            <w:pPr>
              <w:widowControl/>
              <w:jc w:val="left"/>
              <w:rPr>
                <w:color w:val="auto"/>
                <w:highlight w:val="none"/>
              </w:rPr>
            </w:pPr>
            <w:r>
              <w:rPr>
                <w:rFonts w:hint="eastAsia"/>
                <w:color w:val="auto"/>
                <w:highlight w:val="none"/>
              </w:rPr>
              <w:t>6.具备生产DN2000超声波、</w:t>
            </w:r>
            <w:r>
              <w:rPr>
                <w:rFonts w:hint="eastAsia"/>
                <w:color w:val="auto"/>
                <w:highlight w:val="none"/>
              </w:rPr>
              <w:t>电磁</w:t>
            </w:r>
            <w:r>
              <w:rPr>
                <w:rFonts w:hint="eastAsia"/>
                <w:color w:val="auto"/>
                <w:highlight w:val="none"/>
              </w:rPr>
              <w:t>流量计的技术能力。（</w:t>
            </w:r>
            <w:r>
              <w:rPr>
                <w:rFonts w:hint="eastAsia" w:ascii="宋体" w:hAnsi="宋体" w:cs="宋体"/>
                <w:color w:val="auto"/>
                <w:kern w:val="0"/>
                <w:szCs w:val="21"/>
                <w:highlight w:val="none"/>
                <w:lang w:bidi="ar"/>
              </w:rPr>
              <w:t>须</w:t>
            </w:r>
            <w:r>
              <w:rPr>
                <w:rFonts w:hint="eastAsia" w:ascii="宋体" w:hAnsi="宋体" w:cs="宋体"/>
                <w:b/>
                <w:bCs/>
                <w:color w:val="auto"/>
                <w:szCs w:val="21"/>
                <w:highlight w:val="none"/>
              </w:rPr>
              <w:t>提供第三方检测机构出具的带CNAS标识的DN2000的校准报告），出具的得1分。</w:t>
            </w:r>
          </w:p>
          <w:p w14:paraId="3CCD4009">
            <w:pPr>
              <w:widowControl/>
              <w:jc w:val="left"/>
              <w:rPr>
                <w:rFonts w:hint="eastAsia" w:ascii="宋体" w:hAnsi="宋体" w:cs="宋体"/>
                <w:color w:val="auto"/>
                <w:szCs w:val="21"/>
                <w:highlight w:val="none"/>
              </w:rPr>
            </w:pPr>
            <w:r>
              <w:rPr>
                <w:rFonts w:hint="eastAsia" w:ascii="宋体" w:hAnsi="宋体" w:cs="宋体"/>
                <w:color w:val="auto"/>
                <w:kern w:val="0"/>
                <w:highlight w:val="none"/>
              </w:rPr>
              <w:t>7.超声波流量计或电磁流量计具有近五年内省级及以上疾病预防控制中心出具的合格检测报告的得1分。（须提供检测报告原件扫描件并加盖公章）</w:t>
            </w:r>
            <w:r>
              <w:rPr>
                <w:rFonts w:hint="eastAsia" w:ascii="宋体" w:hAnsi="宋体" w:cs="宋体"/>
                <w:b/>
                <w:bCs/>
                <w:color w:val="auto"/>
                <w:kern w:val="0"/>
                <w:highlight w:val="none"/>
              </w:rPr>
              <w:t>本项最高得1分</w:t>
            </w:r>
            <w:r>
              <w:rPr>
                <w:rFonts w:hint="eastAsia" w:ascii="宋体" w:hAnsi="宋体" w:cs="宋体"/>
                <w:color w:val="auto"/>
                <w:kern w:val="0"/>
                <w:highlight w:val="none"/>
              </w:rPr>
              <w:t>。</w:t>
            </w:r>
          </w:p>
        </w:tc>
      </w:tr>
      <w:tr w14:paraId="09152E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10" w:type="dxa"/>
            <w:vMerge w:val="continue"/>
            <w:noWrap/>
            <w:vAlign w:val="center"/>
          </w:tcPr>
          <w:p w14:paraId="24FE91B8">
            <w:pPr>
              <w:spacing w:line="360" w:lineRule="auto"/>
              <w:jc w:val="center"/>
              <w:rPr>
                <w:rFonts w:hint="eastAsia" w:ascii="宋体" w:hAnsi="宋体" w:cs="宋体"/>
                <w:color w:val="auto"/>
                <w:szCs w:val="21"/>
                <w:highlight w:val="none"/>
              </w:rPr>
            </w:pPr>
          </w:p>
        </w:tc>
        <w:tc>
          <w:tcPr>
            <w:tcW w:w="1476" w:type="dxa"/>
            <w:vMerge w:val="continue"/>
            <w:noWrap/>
            <w:vAlign w:val="center"/>
          </w:tcPr>
          <w:p w14:paraId="6B4C0884">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top w:val="single" w:color="auto" w:sz="4" w:space="0"/>
            </w:tcBorders>
            <w:noWrap/>
            <w:vAlign w:val="center"/>
          </w:tcPr>
          <w:p w14:paraId="5ED0BEB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0-2（客观分）</w:t>
            </w:r>
          </w:p>
          <w:p w14:paraId="356BFEAC">
            <w:pPr>
              <w:widowControl/>
              <w:spacing w:line="360" w:lineRule="auto"/>
              <w:jc w:val="center"/>
              <w:rPr>
                <w:rFonts w:hint="eastAsia" w:ascii="宋体" w:hAnsi="宋体" w:cs="宋体"/>
                <w:color w:val="auto"/>
                <w:szCs w:val="21"/>
                <w:highlight w:val="none"/>
              </w:rPr>
            </w:pPr>
          </w:p>
        </w:tc>
        <w:tc>
          <w:tcPr>
            <w:tcW w:w="4800" w:type="dxa"/>
            <w:noWrap/>
            <w:vAlign w:val="top"/>
          </w:tcPr>
          <w:p w14:paraId="4B8A0293">
            <w:pPr>
              <w:spacing w:line="360" w:lineRule="auto"/>
              <w:jc w:val="left"/>
              <w:rPr>
                <w:rFonts w:ascii="宋体" w:hAnsi="宋体" w:cs="宋体"/>
                <w:b/>
                <w:color w:val="auto"/>
                <w:kern w:val="0"/>
                <w:szCs w:val="21"/>
                <w:highlight w:val="none"/>
              </w:rPr>
            </w:pPr>
            <w:r>
              <w:rPr>
                <w:rFonts w:hint="eastAsia" w:ascii="宋体" w:hAnsi="宋体" w:cs="宋体"/>
                <w:color w:val="auto"/>
                <w:kern w:val="0"/>
                <w:highlight w:val="none"/>
              </w:rPr>
              <w:t>按采购性能指标要求，</w:t>
            </w:r>
            <w:r>
              <w:rPr>
                <w:rFonts w:hint="eastAsia" w:ascii="宋体" w:hAnsi="宋体" w:cs="宋体"/>
                <w:color w:val="auto"/>
                <w:kern w:val="0"/>
                <w:highlight w:val="none"/>
              </w:rPr>
              <w:t>技术参数正偏离一项多得0.5分，正偏离最多可得2分</w:t>
            </w:r>
            <w:r>
              <w:rPr>
                <w:rFonts w:hint="eastAsia" w:ascii="宋体" w:hAnsi="宋体" w:cs="宋体"/>
                <w:color w:val="auto"/>
                <w:kern w:val="0"/>
                <w:highlight w:val="none"/>
              </w:rPr>
              <w:t>。</w:t>
            </w:r>
            <w:r>
              <w:rPr>
                <w:rFonts w:hint="eastAsia" w:ascii="宋体" w:hAnsi="宋体" w:cs="宋体"/>
                <w:b/>
                <w:bCs/>
                <w:color w:val="auto"/>
                <w:kern w:val="0"/>
                <w:highlight w:val="none"/>
              </w:rPr>
              <w:t>本项最高得2分.</w:t>
            </w:r>
          </w:p>
        </w:tc>
      </w:tr>
      <w:tr w14:paraId="498682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710" w:type="dxa"/>
            <w:vMerge w:val="restart"/>
            <w:tcBorders>
              <w:top w:val="single" w:color="auto" w:sz="4" w:space="0"/>
            </w:tcBorders>
            <w:noWrap/>
            <w:vAlign w:val="center"/>
          </w:tcPr>
          <w:p w14:paraId="586F178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5</w:t>
            </w:r>
          </w:p>
        </w:tc>
        <w:tc>
          <w:tcPr>
            <w:tcW w:w="1476" w:type="dxa"/>
            <w:vMerge w:val="restart"/>
            <w:tcBorders>
              <w:top w:val="single" w:color="auto" w:sz="4" w:space="0"/>
            </w:tcBorders>
            <w:noWrap/>
            <w:vAlign w:val="center"/>
          </w:tcPr>
          <w:p w14:paraId="5A7715C3">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配置及优化</w:t>
            </w:r>
            <w:r>
              <w:rPr>
                <w:rFonts w:hint="eastAsia" w:ascii="宋体" w:hAnsi="宋体" w:cs="宋体"/>
                <w:b/>
                <w:color w:val="auto"/>
                <w:kern w:val="0"/>
                <w:szCs w:val="21"/>
                <w:highlight w:val="none"/>
              </w:rPr>
              <w:br w:type="textWrapping"/>
            </w:r>
            <w:r>
              <w:rPr>
                <w:rFonts w:hint="eastAsia" w:ascii="宋体" w:hAnsi="宋体" w:cs="宋体"/>
                <w:b/>
                <w:color w:val="auto"/>
                <w:kern w:val="0"/>
                <w:szCs w:val="21"/>
                <w:highlight w:val="none"/>
              </w:rPr>
              <w:t>情况（6分）</w:t>
            </w:r>
          </w:p>
        </w:tc>
        <w:tc>
          <w:tcPr>
            <w:tcW w:w="1730" w:type="dxa"/>
            <w:tcBorders>
              <w:top w:val="single" w:color="auto" w:sz="4" w:space="0"/>
            </w:tcBorders>
            <w:noWrap/>
            <w:vAlign w:val="center"/>
          </w:tcPr>
          <w:p w14:paraId="63826598">
            <w:pPr>
              <w:widowControl/>
              <w:spacing w:line="360" w:lineRule="auto"/>
              <w:jc w:val="center"/>
              <w:rPr>
                <w:rFonts w:hint="eastAsia" w:ascii="宋体" w:hAnsi="宋体" w:cs="宋体"/>
                <w:b/>
                <w:bCs/>
                <w:color w:val="auto"/>
                <w:szCs w:val="21"/>
                <w:highlight w:val="none"/>
              </w:rPr>
            </w:pPr>
            <w:r>
              <w:rPr>
                <w:rFonts w:hint="eastAsia" w:ascii="宋体" w:hAnsi="宋体" w:cs="宋体"/>
                <w:color w:val="auto"/>
                <w:kern w:val="0"/>
                <w:szCs w:val="21"/>
                <w:highlight w:val="none"/>
              </w:rPr>
              <w:t>0-6（客观分）</w:t>
            </w:r>
          </w:p>
        </w:tc>
        <w:tc>
          <w:tcPr>
            <w:tcW w:w="4800" w:type="dxa"/>
            <w:noWrap/>
            <w:vAlign w:val="top"/>
          </w:tcPr>
          <w:p w14:paraId="4508159A">
            <w:pPr>
              <w:numPr>
                <w:ilvl w:val="0"/>
                <w:numId w:val="6"/>
              </w:numPr>
              <w:spacing w:line="360" w:lineRule="auto"/>
              <w:jc w:val="left"/>
              <w:rPr>
                <w:rFonts w:hint="eastAsia" w:ascii="宋体" w:hAnsi="宋体" w:cs="宋体"/>
                <w:b/>
                <w:bCs/>
                <w:color w:val="auto"/>
                <w:kern w:val="0"/>
                <w:highlight w:val="none"/>
              </w:rPr>
            </w:pPr>
            <w:r>
              <w:rPr>
                <w:rFonts w:hint="eastAsia" w:ascii="宋体" w:hAnsi="宋体" w:cs="宋体"/>
                <w:color w:val="auto"/>
                <w:kern w:val="0"/>
                <w:highlight w:val="none"/>
              </w:rPr>
              <w:t>投标单位</w:t>
            </w:r>
            <w:r>
              <w:rPr>
                <w:rFonts w:ascii="宋体" w:hAnsi="宋体" w:cs="宋体"/>
                <w:color w:val="auto"/>
                <w:kern w:val="0"/>
                <w:highlight w:val="none"/>
              </w:rPr>
              <w:t>具有DN</w:t>
            </w:r>
            <w:r>
              <w:rPr>
                <w:rFonts w:hint="eastAsia" w:ascii="宋体" w:hAnsi="宋体" w:cs="宋体"/>
                <w:color w:val="auto"/>
                <w:kern w:val="0"/>
                <w:highlight w:val="none"/>
              </w:rPr>
              <w:t>100</w:t>
            </w:r>
            <w:r>
              <w:rPr>
                <w:rFonts w:ascii="宋体" w:hAnsi="宋体" w:cs="宋体"/>
                <w:color w:val="auto"/>
                <w:kern w:val="0"/>
                <w:highlight w:val="none"/>
              </w:rPr>
              <w:t>-DN</w:t>
            </w:r>
            <w:r>
              <w:rPr>
                <w:rFonts w:hint="eastAsia" w:ascii="宋体" w:hAnsi="宋体" w:cs="宋体"/>
                <w:color w:val="auto"/>
                <w:kern w:val="0"/>
                <w:highlight w:val="none"/>
              </w:rPr>
              <w:t>10</w:t>
            </w:r>
            <w:r>
              <w:rPr>
                <w:rFonts w:ascii="宋体" w:hAnsi="宋体" w:cs="宋体"/>
                <w:color w:val="auto"/>
                <w:kern w:val="0"/>
                <w:highlight w:val="none"/>
              </w:rPr>
              <w:t>0</w:t>
            </w:r>
            <w:r>
              <w:rPr>
                <w:rFonts w:hint="eastAsia" w:ascii="宋体" w:hAnsi="宋体" w:cs="宋体"/>
                <w:color w:val="auto"/>
                <w:kern w:val="0"/>
                <w:highlight w:val="none"/>
              </w:rPr>
              <w:t>0</w:t>
            </w:r>
            <w:r>
              <w:rPr>
                <w:rFonts w:ascii="宋体" w:hAnsi="宋体" w:cs="宋体"/>
                <w:color w:val="auto"/>
                <w:kern w:val="0"/>
                <w:highlight w:val="none"/>
              </w:rPr>
              <w:t>的校验装置</w:t>
            </w:r>
            <w:r>
              <w:rPr>
                <w:rFonts w:hint="eastAsia" w:ascii="宋体" w:hAnsi="宋体" w:cs="宋体"/>
                <w:color w:val="auto"/>
                <w:kern w:val="0"/>
                <w:highlight w:val="none"/>
              </w:rPr>
              <w:t>的</w:t>
            </w:r>
            <w:r>
              <w:rPr>
                <w:rFonts w:ascii="宋体" w:hAnsi="宋体" w:cs="宋体"/>
                <w:b/>
                <w:bCs/>
                <w:color w:val="auto"/>
                <w:kern w:val="0"/>
                <w:highlight w:val="none"/>
              </w:rPr>
              <w:t>得</w:t>
            </w:r>
            <w:r>
              <w:rPr>
                <w:rFonts w:hint="eastAsia" w:ascii="宋体" w:hAnsi="宋体" w:cs="宋体"/>
                <w:b/>
                <w:bCs/>
                <w:color w:val="auto"/>
                <w:kern w:val="0"/>
                <w:highlight w:val="none"/>
              </w:rPr>
              <w:t>1</w:t>
            </w:r>
            <w:r>
              <w:rPr>
                <w:rFonts w:ascii="宋体" w:hAnsi="宋体" w:cs="宋体"/>
                <w:b/>
                <w:bCs/>
                <w:color w:val="auto"/>
                <w:kern w:val="0"/>
                <w:highlight w:val="none"/>
              </w:rPr>
              <w:t>分</w:t>
            </w:r>
            <w:r>
              <w:rPr>
                <w:rFonts w:hint="eastAsia" w:ascii="宋体" w:hAnsi="宋体" w:cs="宋体"/>
                <w:color w:val="auto"/>
                <w:kern w:val="0"/>
                <w:highlight w:val="none"/>
              </w:rPr>
              <w:t>；</w:t>
            </w:r>
            <w:r>
              <w:rPr>
                <w:rFonts w:ascii="宋体" w:hAnsi="宋体" w:cs="宋体"/>
                <w:color w:val="auto"/>
                <w:kern w:val="0"/>
                <w:highlight w:val="none"/>
              </w:rPr>
              <w:t>具有DN</w:t>
            </w:r>
            <w:r>
              <w:rPr>
                <w:rFonts w:hint="eastAsia" w:ascii="宋体" w:hAnsi="宋体" w:cs="宋体"/>
                <w:color w:val="auto"/>
                <w:kern w:val="0"/>
                <w:highlight w:val="none"/>
              </w:rPr>
              <w:t>100</w:t>
            </w:r>
            <w:r>
              <w:rPr>
                <w:rFonts w:ascii="宋体" w:hAnsi="宋体" w:cs="宋体"/>
                <w:color w:val="auto"/>
                <w:kern w:val="0"/>
                <w:highlight w:val="none"/>
              </w:rPr>
              <w:t>-</w:t>
            </w:r>
            <w:r>
              <w:rPr>
                <w:rFonts w:hint="eastAsia" w:ascii="宋体" w:hAnsi="宋体" w:cs="宋体"/>
                <w:color w:val="auto"/>
                <w:kern w:val="0"/>
                <w:highlight w:val="none"/>
              </w:rPr>
              <w:t>DN20</w:t>
            </w:r>
            <w:r>
              <w:rPr>
                <w:rFonts w:ascii="宋体" w:hAnsi="宋体" w:cs="宋体"/>
                <w:color w:val="auto"/>
                <w:kern w:val="0"/>
                <w:highlight w:val="none"/>
              </w:rPr>
              <w:t>00的校验装置</w:t>
            </w:r>
            <w:r>
              <w:rPr>
                <w:rFonts w:hint="eastAsia" w:ascii="宋体" w:hAnsi="宋体" w:cs="宋体"/>
                <w:color w:val="auto"/>
                <w:kern w:val="0"/>
                <w:highlight w:val="none"/>
              </w:rPr>
              <w:t>的</w:t>
            </w:r>
            <w:r>
              <w:rPr>
                <w:rFonts w:ascii="宋体" w:hAnsi="宋体" w:cs="宋体"/>
                <w:b/>
                <w:bCs/>
                <w:color w:val="auto"/>
                <w:kern w:val="0"/>
                <w:highlight w:val="none"/>
              </w:rPr>
              <w:t>得</w:t>
            </w:r>
            <w:r>
              <w:rPr>
                <w:rFonts w:hint="eastAsia" w:ascii="宋体" w:hAnsi="宋体" w:cs="宋体"/>
                <w:b/>
                <w:bCs/>
                <w:color w:val="auto"/>
                <w:kern w:val="0"/>
                <w:highlight w:val="none"/>
              </w:rPr>
              <w:t>2</w:t>
            </w:r>
            <w:r>
              <w:rPr>
                <w:rFonts w:ascii="宋体" w:hAnsi="宋体" w:cs="宋体"/>
                <w:b/>
                <w:bCs/>
                <w:color w:val="auto"/>
                <w:kern w:val="0"/>
                <w:highlight w:val="none"/>
              </w:rPr>
              <w:t>分</w:t>
            </w:r>
            <w:r>
              <w:rPr>
                <w:rFonts w:hint="eastAsia" w:ascii="宋体" w:hAnsi="宋体" w:cs="宋体"/>
                <w:b/>
                <w:bCs/>
                <w:color w:val="auto"/>
                <w:kern w:val="0"/>
                <w:highlight w:val="none"/>
              </w:rPr>
              <w:t>。本项最高得3分。</w:t>
            </w:r>
          </w:p>
          <w:p w14:paraId="45EAA982">
            <w:pPr>
              <w:spacing w:line="360" w:lineRule="auto"/>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2.投标单位的校验设备具有中国合格评定国家认可委员会出具校准能力DN100-DN1000的实验室认可认证CNAS证书，</w:t>
            </w:r>
            <w:r>
              <w:rPr>
                <w:rFonts w:hint="eastAsia" w:ascii="宋体" w:hAnsi="宋体" w:cs="宋体"/>
                <w:b/>
                <w:bCs/>
                <w:color w:val="auto"/>
                <w:kern w:val="0"/>
                <w:highlight w:val="none"/>
              </w:rPr>
              <w:t>得1分</w:t>
            </w:r>
            <w:r>
              <w:rPr>
                <w:rFonts w:hint="eastAsia" w:ascii="宋体" w:hAnsi="宋体" w:cs="宋体"/>
                <w:color w:val="auto"/>
                <w:kern w:val="0"/>
                <w:highlight w:val="none"/>
              </w:rPr>
              <w:t>；出具校准能力DN100-DN2000的实验室认可认证CNAS证书，</w:t>
            </w:r>
            <w:r>
              <w:rPr>
                <w:rFonts w:hint="eastAsia" w:ascii="宋体" w:hAnsi="宋体" w:cs="宋体"/>
                <w:b/>
                <w:bCs/>
                <w:color w:val="auto"/>
                <w:kern w:val="0"/>
                <w:highlight w:val="none"/>
              </w:rPr>
              <w:t>得2分。</w:t>
            </w:r>
            <w:r>
              <w:rPr>
                <w:rFonts w:hint="eastAsia" w:ascii="宋体" w:hAnsi="宋体" w:cs="宋体"/>
                <w:b/>
                <w:bCs/>
                <w:color w:val="auto"/>
                <w:kern w:val="0"/>
                <w:highlight w:val="none"/>
              </w:rPr>
              <w:t>本项最高得3分</w:t>
            </w:r>
            <w:r>
              <w:rPr>
                <w:rFonts w:hint="eastAsia" w:ascii="宋体" w:hAnsi="宋体" w:cs="宋体"/>
                <w:b/>
                <w:bCs/>
                <w:color w:val="auto"/>
                <w:kern w:val="0"/>
                <w:highlight w:val="none"/>
                <w:lang w:eastAsia="zh-CN"/>
              </w:rPr>
              <w:t>。</w:t>
            </w:r>
            <w:bookmarkStart w:id="94" w:name="_GoBack"/>
            <w:bookmarkEnd w:id="94"/>
          </w:p>
          <w:p w14:paraId="3CBD63E0">
            <w:pPr>
              <w:spacing w:line="360" w:lineRule="auto"/>
              <w:jc w:val="left"/>
              <w:rPr>
                <w:rFonts w:hint="eastAsia"/>
                <w:color w:val="auto"/>
                <w:szCs w:val="20"/>
                <w:highlight w:val="none"/>
              </w:rPr>
            </w:pPr>
            <w:r>
              <w:rPr>
                <w:rFonts w:ascii="宋体" w:hAnsi="宋体" w:cs="宋体"/>
                <w:b/>
                <w:bCs/>
                <w:color w:val="auto"/>
                <w:kern w:val="0"/>
                <w:highlight w:val="none"/>
              </w:rPr>
              <w:t>须提供</w:t>
            </w:r>
            <w:r>
              <w:rPr>
                <w:rFonts w:hint="eastAsia" w:ascii="宋体" w:hAnsi="宋体" w:cs="宋体"/>
                <w:b/>
                <w:bCs/>
                <w:color w:val="auto"/>
                <w:kern w:val="0"/>
                <w:highlight w:val="none"/>
              </w:rPr>
              <w:t>相应有效证书（或报告）扫描件并加盖公章</w:t>
            </w:r>
            <w:r>
              <w:rPr>
                <w:rFonts w:ascii="宋体" w:hAnsi="宋体" w:cs="宋体"/>
                <w:b/>
                <w:bCs/>
                <w:color w:val="auto"/>
                <w:kern w:val="0"/>
                <w:highlight w:val="none"/>
              </w:rPr>
              <w:t>，</w:t>
            </w:r>
            <w:r>
              <w:rPr>
                <w:rFonts w:hint="eastAsia" w:ascii="宋体" w:hAnsi="宋体" w:cs="宋体"/>
                <w:b/>
                <w:bCs/>
                <w:color w:val="auto"/>
                <w:kern w:val="0"/>
                <w:highlight w:val="none"/>
              </w:rPr>
              <w:t>未提供</w:t>
            </w:r>
            <w:r>
              <w:rPr>
                <w:rFonts w:ascii="宋体" w:hAnsi="宋体" w:cs="宋体"/>
                <w:b/>
                <w:bCs/>
                <w:color w:val="auto"/>
                <w:kern w:val="0"/>
                <w:highlight w:val="none"/>
              </w:rPr>
              <w:t>不得分。</w:t>
            </w:r>
          </w:p>
        </w:tc>
      </w:tr>
      <w:tr w14:paraId="04DF7C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jc w:val="center"/>
        </w:trPr>
        <w:tc>
          <w:tcPr>
            <w:tcW w:w="710" w:type="dxa"/>
            <w:vMerge w:val="restart"/>
            <w:noWrap/>
            <w:vAlign w:val="center"/>
          </w:tcPr>
          <w:p w14:paraId="530B2EEB">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6</w:t>
            </w:r>
          </w:p>
        </w:tc>
        <w:tc>
          <w:tcPr>
            <w:tcW w:w="1476" w:type="dxa"/>
            <w:vMerge w:val="restart"/>
            <w:noWrap/>
            <w:vAlign w:val="center"/>
          </w:tcPr>
          <w:p w14:paraId="40BD0C7E">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p w14:paraId="0071DAE5">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color w:val="auto"/>
                <w:szCs w:val="21"/>
                <w:highlight w:val="none"/>
              </w:rPr>
            </w:pPr>
            <w:r>
              <w:rPr>
                <w:rFonts w:hint="eastAsia" w:ascii="宋体" w:hAnsi="宋体" w:cs="宋体"/>
                <w:b/>
                <w:color w:val="auto"/>
                <w:kern w:val="0"/>
                <w:szCs w:val="21"/>
                <w:highlight w:val="none"/>
              </w:rPr>
              <w:t>售后服务及保障（4分）</w:t>
            </w:r>
          </w:p>
        </w:tc>
        <w:tc>
          <w:tcPr>
            <w:tcW w:w="1730" w:type="dxa"/>
            <w:tcBorders>
              <w:top w:val="single" w:color="auto" w:sz="4" w:space="0"/>
            </w:tcBorders>
            <w:noWrap/>
            <w:vAlign w:val="center"/>
          </w:tcPr>
          <w:p w14:paraId="519E258A">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0-1（客观分）</w:t>
            </w:r>
          </w:p>
        </w:tc>
        <w:tc>
          <w:tcPr>
            <w:tcW w:w="4800" w:type="dxa"/>
            <w:noWrap/>
            <w:vAlign w:val="top"/>
          </w:tcPr>
          <w:p w14:paraId="43D2C5AC">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具有十二星级售后服务体系完善程度认证证书的得0.5分；具有七星或八星级售后服务体系完善程度认证证书的得1分</w:t>
            </w:r>
            <w:r>
              <w:rPr>
                <w:rFonts w:hint="eastAsia" w:ascii="宋体" w:hAnsi="宋体" w:cs="宋体"/>
                <w:color w:val="auto"/>
                <w:szCs w:val="21"/>
                <w:highlight w:val="none"/>
                <w:lang w:eastAsia="zh-CN"/>
              </w:rPr>
              <w:t>。</w:t>
            </w:r>
          </w:p>
        </w:tc>
      </w:tr>
      <w:tr w14:paraId="41CAF2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4" w:hRule="atLeast"/>
          <w:jc w:val="center"/>
        </w:trPr>
        <w:tc>
          <w:tcPr>
            <w:tcW w:w="710" w:type="dxa"/>
            <w:vMerge w:val="continue"/>
            <w:noWrap/>
            <w:vAlign w:val="center"/>
          </w:tcPr>
          <w:p w14:paraId="4E8DFDF1">
            <w:pPr>
              <w:spacing w:line="360" w:lineRule="auto"/>
              <w:jc w:val="center"/>
              <w:rPr>
                <w:rFonts w:hint="eastAsia" w:ascii="宋体" w:hAnsi="宋体" w:cs="宋体"/>
                <w:color w:val="auto"/>
                <w:szCs w:val="21"/>
                <w:highlight w:val="none"/>
              </w:rPr>
            </w:pPr>
          </w:p>
        </w:tc>
        <w:tc>
          <w:tcPr>
            <w:tcW w:w="1476" w:type="dxa"/>
            <w:vMerge w:val="continue"/>
            <w:noWrap/>
            <w:vAlign w:val="center"/>
          </w:tcPr>
          <w:p w14:paraId="50B88F4E">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top w:val="single" w:color="auto" w:sz="4" w:space="0"/>
            </w:tcBorders>
            <w:noWrap/>
            <w:vAlign w:val="center"/>
          </w:tcPr>
          <w:p w14:paraId="4198A4F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0-1（客观分）</w:t>
            </w:r>
          </w:p>
        </w:tc>
        <w:tc>
          <w:tcPr>
            <w:tcW w:w="4800" w:type="dxa"/>
            <w:noWrap/>
            <w:vAlign w:val="top"/>
          </w:tcPr>
          <w:p w14:paraId="3455BCE5">
            <w:pPr>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rPr>
              <w:t>投标方中标后在质保期内安排相关驻点售后维护人员，得1分（需承诺书，且中标通知书下达一个月内人员到位）该项</w:t>
            </w:r>
            <w:r>
              <w:rPr>
                <w:rFonts w:hint="eastAsia" w:ascii="宋体" w:hAnsi="宋体" w:cs="宋体"/>
                <w:b/>
                <w:bCs/>
                <w:color w:val="auto"/>
                <w:szCs w:val="21"/>
                <w:highlight w:val="none"/>
              </w:rPr>
              <w:t>共1分</w:t>
            </w:r>
            <w:r>
              <w:rPr>
                <w:rFonts w:hint="eastAsia" w:ascii="宋体" w:hAnsi="宋体" w:cs="宋体"/>
                <w:color w:val="auto"/>
                <w:szCs w:val="21"/>
                <w:highlight w:val="none"/>
              </w:rPr>
              <w:t>。</w:t>
            </w:r>
          </w:p>
        </w:tc>
      </w:tr>
      <w:tr w14:paraId="74285C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681" w:hRule="atLeast"/>
          <w:jc w:val="center"/>
        </w:trPr>
        <w:tc>
          <w:tcPr>
            <w:tcW w:w="710" w:type="dxa"/>
            <w:vMerge w:val="continue"/>
            <w:noWrap/>
            <w:vAlign w:val="center"/>
          </w:tcPr>
          <w:p w14:paraId="025CD4C1">
            <w:pPr>
              <w:spacing w:line="360" w:lineRule="auto"/>
              <w:jc w:val="center"/>
              <w:rPr>
                <w:rFonts w:hint="eastAsia" w:ascii="宋体" w:hAnsi="宋体" w:cs="宋体"/>
                <w:color w:val="auto"/>
                <w:szCs w:val="21"/>
                <w:highlight w:val="none"/>
              </w:rPr>
            </w:pPr>
          </w:p>
        </w:tc>
        <w:tc>
          <w:tcPr>
            <w:tcW w:w="1476" w:type="dxa"/>
            <w:vMerge w:val="continue"/>
            <w:noWrap/>
            <w:vAlign w:val="center"/>
          </w:tcPr>
          <w:p w14:paraId="22A311CA">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cs="宋体"/>
                <w:b/>
                <w:color w:val="auto"/>
                <w:kern w:val="0"/>
                <w:szCs w:val="21"/>
                <w:highlight w:val="none"/>
              </w:rPr>
            </w:pPr>
          </w:p>
        </w:tc>
        <w:tc>
          <w:tcPr>
            <w:tcW w:w="1730" w:type="dxa"/>
            <w:tcBorders>
              <w:top w:val="single" w:color="auto" w:sz="4" w:space="0"/>
            </w:tcBorders>
            <w:noWrap/>
            <w:vAlign w:val="center"/>
          </w:tcPr>
          <w:p w14:paraId="24C5E929">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0-2（客观分）</w:t>
            </w:r>
          </w:p>
        </w:tc>
        <w:tc>
          <w:tcPr>
            <w:tcW w:w="4800" w:type="dxa"/>
            <w:noWrap/>
            <w:vAlign w:val="top"/>
          </w:tcPr>
          <w:p w14:paraId="30AE5FAA">
            <w:pPr>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质保期满足招标文件要求的，不得分；在此基础上，质保期超过招标文件规定的，每增加一年得</w:t>
            </w:r>
            <w:r>
              <w:rPr>
                <w:rFonts w:hint="eastAsia" w:ascii="宋体" w:hAnsi="宋体" w:cs="宋体"/>
                <w:color w:val="auto"/>
                <w:kern w:val="0"/>
                <w:szCs w:val="21"/>
                <w:highlight w:val="none"/>
              </w:rPr>
              <w:t>1</w:t>
            </w:r>
            <w:r>
              <w:rPr>
                <w:rFonts w:hint="eastAsia" w:ascii="宋体" w:hAnsi="宋体" w:cs="宋体"/>
                <w:color w:val="auto"/>
                <w:kern w:val="0"/>
                <w:szCs w:val="21"/>
                <w:highlight w:val="none"/>
              </w:rPr>
              <w:t>分，最多得2分。</w:t>
            </w:r>
          </w:p>
          <w:p w14:paraId="4B38E0B1">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val="0"/>
                <w:bCs w:val="0"/>
                <w:color w:val="auto"/>
                <w:sz w:val="21"/>
                <w:szCs w:val="21"/>
                <w:highlight w:val="none"/>
                <w:shd w:val="clear" w:color="auto" w:fill="auto"/>
              </w:rPr>
            </w:pPr>
            <w:r>
              <w:rPr>
                <w:rFonts w:hint="eastAsia" w:ascii="宋体" w:hAnsi="宋体" w:cs="宋体"/>
                <w:b/>
                <w:bCs/>
                <w:color w:val="auto"/>
                <w:kern w:val="0"/>
                <w:sz w:val="21"/>
                <w:szCs w:val="21"/>
                <w:highlight w:val="none"/>
                <w:shd w:val="clear" w:color="auto" w:fill="auto"/>
              </w:rPr>
              <w:t>须提供相关承诺函，不提供不得分，承诺函格式自拟。</w:t>
            </w:r>
          </w:p>
        </w:tc>
      </w:tr>
      <w:tr w14:paraId="7F3192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710" w:type="dxa"/>
            <w:noWrap/>
            <w:vAlign w:val="center"/>
          </w:tcPr>
          <w:p w14:paraId="03815275">
            <w:pPr>
              <w:pStyle w:val="57"/>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二</w:t>
            </w:r>
          </w:p>
        </w:tc>
        <w:tc>
          <w:tcPr>
            <w:tcW w:w="1476" w:type="dxa"/>
            <w:noWrap/>
            <w:vAlign w:val="center"/>
          </w:tcPr>
          <w:p w14:paraId="3DDB8E9C">
            <w:pPr>
              <w:keepNext w:val="0"/>
              <w:keepLines w:val="0"/>
              <w:pageBreakBefore w:val="0"/>
              <w:kinsoku/>
              <w:wordWrap/>
              <w:overflowPunct/>
              <w:topLinePunct w:val="0"/>
              <w:autoSpaceDE/>
              <w:autoSpaceDN/>
              <w:bidi w:val="0"/>
              <w:spacing w:line="360" w:lineRule="auto"/>
              <w:ind w:firstLine="0" w:firstLineChars="0"/>
              <w:jc w:val="center"/>
              <w:textAlignment w:val="auto"/>
              <w:rPr>
                <w:rFonts w:ascii="宋体" w:hAnsi="宋体"/>
                <w:color w:val="auto"/>
                <w:szCs w:val="21"/>
                <w:highlight w:val="none"/>
              </w:rPr>
            </w:pPr>
            <w:r>
              <w:rPr>
                <w:rFonts w:hint="eastAsia" w:ascii="新宋体" w:hAnsi="新宋体" w:eastAsia="新宋体"/>
                <w:color w:val="auto"/>
                <w:szCs w:val="21"/>
                <w:highlight w:val="none"/>
              </w:rPr>
              <w:t>报价分</w:t>
            </w:r>
          </w:p>
        </w:tc>
        <w:tc>
          <w:tcPr>
            <w:tcW w:w="1730" w:type="dxa"/>
            <w:noWrap/>
            <w:vAlign w:val="center"/>
          </w:tcPr>
          <w:p w14:paraId="1C40320E">
            <w:pPr>
              <w:spacing w:line="360" w:lineRule="auto"/>
              <w:jc w:val="center"/>
              <w:rPr>
                <w:rFonts w:ascii="新宋体" w:hAnsi="新宋体" w:eastAsia="新宋体"/>
                <w:color w:val="auto"/>
                <w:szCs w:val="21"/>
                <w:highlight w:val="none"/>
              </w:rPr>
            </w:pPr>
            <w:r>
              <w:rPr>
                <w:rFonts w:hint="eastAsia" w:ascii="新宋体" w:hAnsi="新宋体" w:eastAsia="新宋体"/>
                <w:color w:val="auto"/>
                <w:szCs w:val="21"/>
                <w:highlight w:val="none"/>
              </w:rPr>
              <w:t>60</w:t>
            </w:r>
          </w:p>
        </w:tc>
        <w:tc>
          <w:tcPr>
            <w:tcW w:w="4800" w:type="dxa"/>
            <w:noWrap/>
            <w:vAlign w:val="center"/>
          </w:tcPr>
          <w:p w14:paraId="74B90FFC">
            <w:pPr>
              <w:spacing w:line="360" w:lineRule="auto"/>
              <w:rPr>
                <w:rFonts w:hint="eastAsia" w:ascii="新宋体" w:hAnsi="新宋体" w:eastAsia="新宋体"/>
                <w:b/>
                <w:bCs/>
                <w:color w:val="auto"/>
                <w:szCs w:val="21"/>
                <w:highlight w:val="none"/>
                <w:lang w:eastAsia="zh-CN"/>
              </w:rPr>
            </w:pPr>
            <w:r>
              <w:rPr>
                <w:rFonts w:hint="eastAsia" w:ascii="新宋体" w:hAnsi="新宋体" w:eastAsia="新宋体"/>
                <w:b/>
                <w:bCs/>
                <w:color w:val="auto"/>
                <w:szCs w:val="21"/>
                <w:highlight w:val="none"/>
              </w:rPr>
              <w:t>评标价=</w:t>
            </w:r>
            <w:r>
              <w:rPr>
                <w:rFonts w:hint="eastAsia" w:ascii="新宋体" w:hAnsi="新宋体" w:eastAsia="新宋体"/>
                <w:b/>
                <w:bCs/>
                <w:color w:val="auto"/>
                <w:szCs w:val="21"/>
                <w:highlight w:val="none"/>
                <w:lang w:eastAsia="zh-CN"/>
              </w:rPr>
              <w:t>投标总价</w:t>
            </w:r>
          </w:p>
          <w:p w14:paraId="55FC9D34">
            <w:pPr>
              <w:spacing w:line="360" w:lineRule="auto"/>
              <w:rPr>
                <w:rFonts w:hint="eastAsia" w:ascii="新宋体" w:hAnsi="新宋体" w:eastAsia="新宋体"/>
                <w:color w:val="auto"/>
                <w:szCs w:val="21"/>
                <w:highlight w:val="none"/>
              </w:rPr>
            </w:pPr>
            <w:r>
              <w:rPr>
                <w:rFonts w:hint="eastAsia" w:ascii="新宋体" w:hAnsi="新宋体" w:eastAsia="新宋体"/>
                <w:color w:val="auto"/>
                <w:szCs w:val="21"/>
                <w:highlight w:val="none"/>
              </w:rPr>
              <w:t>1.以满足招标文件要求且评标价最低的为评标基准价，其报价得分为满分。</w:t>
            </w:r>
          </w:p>
          <w:p w14:paraId="66E7A366">
            <w:pPr>
              <w:spacing w:line="360" w:lineRule="auto"/>
              <w:rPr>
                <w:rFonts w:hint="eastAsia" w:ascii="新宋体" w:hAnsi="新宋体" w:eastAsia="新宋体"/>
                <w:color w:val="auto"/>
                <w:szCs w:val="21"/>
                <w:highlight w:val="none"/>
              </w:rPr>
            </w:pPr>
            <w:r>
              <w:rPr>
                <w:rFonts w:hint="eastAsia" w:ascii="新宋体" w:hAnsi="新宋体" w:eastAsia="新宋体"/>
                <w:color w:val="auto"/>
                <w:szCs w:val="21"/>
                <w:highlight w:val="none"/>
              </w:rPr>
              <w:t>2.其他投标人的报价分统一按照下列公式计算：</w:t>
            </w:r>
          </w:p>
          <w:p w14:paraId="68DA94D6">
            <w:pPr>
              <w:spacing w:line="360" w:lineRule="auto"/>
              <w:rPr>
                <w:rFonts w:hint="eastAsia" w:cs="仿宋"/>
                <w:color w:val="auto"/>
                <w:szCs w:val="21"/>
                <w:highlight w:val="none"/>
              </w:rPr>
            </w:pPr>
            <w:r>
              <w:rPr>
                <w:rFonts w:hint="eastAsia" w:ascii="新宋体" w:hAnsi="新宋体" w:eastAsia="新宋体"/>
                <w:color w:val="auto"/>
                <w:szCs w:val="21"/>
                <w:highlight w:val="none"/>
              </w:rPr>
              <w:t>报价分＝（评标基准价／评标价）×60，计算结果保留2位小数（第三位小数四舍五入）。</w:t>
            </w:r>
          </w:p>
        </w:tc>
      </w:tr>
      <w:tr w14:paraId="4C8DFC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710" w:type="dxa"/>
            <w:noWrap/>
            <w:vAlign w:val="center"/>
          </w:tcPr>
          <w:p w14:paraId="528BC591">
            <w:pPr>
              <w:pStyle w:val="57"/>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三</w:t>
            </w:r>
          </w:p>
        </w:tc>
        <w:tc>
          <w:tcPr>
            <w:tcW w:w="1476" w:type="dxa"/>
            <w:noWrap/>
            <w:vAlign w:val="center"/>
          </w:tcPr>
          <w:p w14:paraId="5AF11F67">
            <w:pPr>
              <w:keepNext w:val="0"/>
              <w:keepLines w:val="0"/>
              <w:pageBreakBefore w:val="0"/>
              <w:kinsoku/>
              <w:wordWrap/>
              <w:overflowPunct/>
              <w:topLinePunct w:val="0"/>
              <w:autoSpaceDE/>
              <w:autoSpaceDN/>
              <w:bidi w:val="0"/>
              <w:spacing w:line="360" w:lineRule="auto"/>
              <w:ind w:firstLine="0" w:firstLineChars="0"/>
              <w:jc w:val="center"/>
              <w:textAlignment w:val="auto"/>
              <w:rPr>
                <w:rFonts w:ascii="宋体" w:hAnsi="宋体"/>
                <w:color w:val="auto"/>
                <w:szCs w:val="21"/>
                <w:highlight w:val="none"/>
              </w:rPr>
            </w:pPr>
            <w:r>
              <w:rPr>
                <w:rFonts w:hint="eastAsia" w:ascii="新宋体" w:hAnsi="新宋体" w:eastAsia="新宋体"/>
                <w:color w:val="auto"/>
                <w:szCs w:val="21"/>
                <w:highlight w:val="none"/>
              </w:rPr>
              <w:t>综合得分</w:t>
            </w:r>
          </w:p>
        </w:tc>
        <w:tc>
          <w:tcPr>
            <w:tcW w:w="1730" w:type="dxa"/>
            <w:noWrap/>
            <w:vAlign w:val="center"/>
          </w:tcPr>
          <w:p w14:paraId="63F497A7">
            <w:pPr>
              <w:spacing w:line="360" w:lineRule="auto"/>
              <w:jc w:val="center"/>
              <w:rPr>
                <w:rFonts w:hint="eastAsia" w:ascii="新宋体" w:hAnsi="新宋体" w:eastAsia="新宋体"/>
                <w:color w:val="auto"/>
                <w:szCs w:val="21"/>
                <w:highlight w:val="none"/>
              </w:rPr>
            </w:pPr>
            <w:r>
              <w:rPr>
                <w:rFonts w:hint="eastAsia" w:ascii="新宋体" w:hAnsi="新宋体" w:eastAsia="新宋体"/>
                <w:color w:val="auto"/>
                <w:szCs w:val="21"/>
                <w:highlight w:val="none"/>
              </w:rPr>
              <w:t>100</w:t>
            </w:r>
          </w:p>
        </w:tc>
        <w:tc>
          <w:tcPr>
            <w:tcW w:w="4800" w:type="dxa"/>
            <w:noWrap/>
            <w:vAlign w:val="center"/>
          </w:tcPr>
          <w:p w14:paraId="2EBD7655">
            <w:pPr>
              <w:spacing w:line="360" w:lineRule="auto"/>
              <w:rPr>
                <w:rFonts w:hint="eastAsia" w:cs="仿宋"/>
                <w:color w:val="auto"/>
                <w:szCs w:val="21"/>
                <w:highlight w:val="none"/>
              </w:rPr>
            </w:pPr>
            <w:r>
              <w:rPr>
                <w:rFonts w:hint="eastAsia" w:ascii="新宋体" w:hAnsi="新宋体" w:eastAsia="新宋体"/>
                <w:color w:val="auto"/>
                <w:szCs w:val="21"/>
                <w:highlight w:val="none"/>
              </w:rPr>
              <w:t>投标人综合得分=商务技术分+报价分</w:t>
            </w:r>
          </w:p>
        </w:tc>
      </w:tr>
    </w:tbl>
    <w:p w14:paraId="7B0889DB">
      <w:pPr>
        <w:rPr>
          <w:rFonts w:hint="eastAsia" w:ascii="宋体" w:hAnsi="宋体" w:eastAsia="宋体" w:cs="宋体"/>
          <w:color w:val="auto"/>
          <w:sz w:val="21"/>
          <w:szCs w:val="21"/>
          <w:highlight w:val="none"/>
        </w:rPr>
      </w:pPr>
    </w:p>
    <w:p w14:paraId="1EA9AC9C">
      <w:pPr>
        <w:spacing w:line="420" w:lineRule="exact"/>
        <w:ind w:firstLine="420" w:firstLineChars="200"/>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以上评分内容仅限对未打“★”条款进行评分</w:t>
      </w:r>
      <w:r>
        <w:rPr>
          <w:rFonts w:hint="eastAsia" w:ascii="宋体" w:hAnsi="宋体" w:eastAsia="宋体" w:cs="宋体"/>
          <w:b/>
          <w:bCs/>
          <w:strike w:val="0"/>
          <w:dstrike w:val="0"/>
          <w:color w:val="auto"/>
          <w:sz w:val="21"/>
          <w:szCs w:val="21"/>
          <w:highlight w:val="none"/>
        </w:rPr>
        <w:t>。</w:t>
      </w:r>
    </w:p>
    <w:p w14:paraId="70A58E02">
      <w:pPr>
        <w:pStyle w:val="20"/>
        <w:spacing w:before="156" w:beforeLines="50" w:after="156" w:afterLines="50" w:line="360" w:lineRule="auto"/>
        <w:outlineLvl w:val="1"/>
        <w:rPr>
          <w:rFonts w:hint="eastAsia" w:ascii="宋体" w:hAnsi="宋体"/>
          <w:color w:val="auto"/>
          <w:sz w:val="21"/>
          <w:szCs w:val="21"/>
          <w:highlight w:val="none"/>
        </w:rPr>
      </w:pPr>
      <w:bookmarkStart w:id="87" w:name="_Toc14121"/>
      <w:bookmarkStart w:id="88" w:name="_Toc14965"/>
      <w:r>
        <w:rPr>
          <w:rFonts w:hint="eastAsia" w:hAnsi="宋体" w:cs="宋体"/>
          <w:b/>
          <w:color w:val="auto"/>
          <w:sz w:val="21"/>
          <w:szCs w:val="21"/>
          <w:highlight w:val="none"/>
        </w:rPr>
        <w:t>四、评标小组不向落标方解释落标原因。</w:t>
      </w:r>
      <w:bookmarkEnd w:id="87"/>
      <w:bookmarkEnd w:id="88"/>
    </w:p>
    <w:p w14:paraId="400B64CD">
      <w:pPr>
        <w:pStyle w:val="4"/>
        <w:keepNext w:val="0"/>
        <w:keepLines w:val="0"/>
        <w:pageBreakBefore/>
        <w:kinsoku/>
        <w:wordWrap/>
        <w:overflowPunct/>
        <w:topLinePunct w:val="0"/>
        <w:autoSpaceDE/>
        <w:autoSpaceDN/>
        <w:bidi w:val="0"/>
        <w:adjustRightInd/>
        <w:snapToGrid/>
        <w:spacing w:before="340" w:after="330" w:line="240" w:lineRule="exact"/>
        <w:jc w:val="center"/>
        <w:textAlignment w:val="auto"/>
        <w:rPr>
          <w:rFonts w:ascii="宋体" w:hAnsi="宋体"/>
          <w:color w:val="auto"/>
          <w:sz w:val="36"/>
          <w:szCs w:val="36"/>
          <w:highlight w:val="none"/>
        </w:rPr>
      </w:pPr>
      <w:bookmarkStart w:id="89" w:name="_Toc510"/>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七</w:t>
      </w:r>
      <w:r>
        <w:rPr>
          <w:rFonts w:hint="eastAsia" w:ascii="宋体" w:hAnsi="宋体"/>
          <w:color w:val="auto"/>
          <w:sz w:val="36"/>
          <w:szCs w:val="36"/>
          <w:highlight w:val="none"/>
        </w:rPr>
        <w:t>章  合同主要条款</w:t>
      </w:r>
      <w:bookmarkEnd w:id="89"/>
    </w:p>
    <w:p w14:paraId="118E5EE2">
      <w:pPr>
        <w:keepNext w:val="0"/>
        <w:keepLines w:val="0"/>
        <w:widowControl/>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r>
        <w:rPr>
          <w:rFonts w:ascii="Verdana" w:hAnsi="Verdana" w:cs="Arial"/>
          <w:b/>
          <w:color w:val="auto"/>
          <w:kern w:val="0"/>
          <w:sz w:val="24"/>
          <w:highlight w:val="none"/>
        </w:rPr>
        <w:t>（样本）</w:t>
      </w:r>
    </w:p>
    <w:p w14:paraId="6FFD8994">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1C8F77B6">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35859CE8">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供、需双方根据____年____月____日浙江省义乌市国企采购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14:paraId="03490322">
      <w:pPr>
        <w:widowControl/>
        <w:spacing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6866B0A7">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1E9F65E2">
      <w:pPr>
        <w:widowControl/>
        <w:spacing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7ACF9C7C">
      <w:pPr>
        <w:widowControl/>
        <w:spacing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合同总价中须包括___________________及合同中明示或暗示的所有一般风险、责任和义务等一切应由采购人支付的费用。</w:t>
      </w:r>
    </w:p>
    <w:tbl>
      <w:tblPr>
        <w:tblStyle w:val="3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835"/>
        <w:gridCol w:w="1741"/>
        <w:gridCol w:w="967"/>
        <w:gridCol w:w="1741"/>
      </w:tblGrid>
      <w:tr w14:paraId="3240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1C580256">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835" w:type="dxa"/>
            <w:noWrap w:val="0"/>
            <w:vAlign w:val="center"/>
          </w:tcPr>
          <w:p w14:paraId="5573A50A">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1741" w:type="dxa"/>
            <w:noWrap w:val="0"/>
            <w:vAlign w:val="center"/>
          </w:tcPr>
          <w:p w14:paraId="262AB4A6">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投标单价（元）</w:t>
            </w:r>
          </w:p>
        </w:tc>
        <w:tc>
          <w:tcPr>
            <w:tcW w:w="967" w:type="dxa"/>
            <w:noWrap w:val="0"/>
            <w:vAlign w:val="center"/>
          </w:tcPr>
          <w:p w14:paraId="1B4F3FD8">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1741" w:type="dxa"/>
            <w:noWrap w:val="0"/>
            <w:vAlign w:val="center"/>
          </w:tcPr>
          <w:p w14:paraId="225BB612">
            <w:pPr>
              <w:spacing w:line="340" w:lineRule="exact"/>
              <w:jc w:val="center"/>
              <w:rPr>
                <w:rFonts w:ascii="宋体" w:hAnsi="宋体" w:cs="宋体"/>
                <w:b/>
                <w:color w:val="auto"/>
                <w:szCs w:val="21"/>
                <w:highlight w:val="none"/>
              </w:rPr>
            </w:pPr>
            <w:r>
              <w:rPr>
                <w:rFonts w:hint="eastAsia" w:ascii="宋体" w:hAnsi="宋体" w:cs="宋体"/>
                <w:b/>
                <w:color w:val="auto"/>
                <w:szCs w:val="21"/>
                <w:highlight w:val="none"/>
              </w:rPr>
              <w:t>投标总价（元）</w:t>
            </w:r>
          </w:p>
        </w:tc>
      </w:tr>
      <w:tr w14:paraId="6B23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312C8E69">
            <w:pPr>
              <w:spacing w:line="340" w:lineRule="exact"/>
              <w:jc w:val="center"/>
              <w:rPr>
                <w:rFonts w:ascii="宋体" w:hAnsi="宋体" w:cs="宋体"/>
                <w:color w:val="auto"/>
                <w:szCs w:val="21"/>
                <w:highlight w:val="none"/>
              </w:rPr>
            </w:pPr>
          </w:p>
        </w:tc>
        <w:tc>
          <w:tcPr>
            <w:tcW w:w="4835" w:type="dxa"/>
            <w:noWrap w:val="0"/>
            <w:vAlign w:val="center"/>
          </w:tcPr>
          <w:p w14:paraId="446B4C5D">
            <w:pPr>
              <w:spacing w:line="340" w:lineRule="exact"/>
              <w:jc w:val="center"/>
              <w:rPr>
                <w:rFonts w:ascii="宋体" w:hAnsi="宋体" w:cs="宋体"/>
                <w:color w:val="auto"/>
                <w:szCs w:val="21"/>
                <w:highlight w:val="none"/>
              </w:rPr>
            </w:pPr>
          </w:p>
        </w:tc>
        <w:tc>
          <w:tcPr>
            <w:tcW w:w="1741" w:type="dxa"/>
            <w:noWrap w:val="0"/>
            <w:vAlign w:val="center"/>
          </w:tcPr>
          <w:p w14:paraId="19961C09">
            <w:pPr>
              <w:spacing w:line="340" w:lineRule="exact"/>
              <w:jc w:val="center"/>
              <w:rPr>
                <w:rFonts w:ascii="宋体" w:hAnsi="宋体" w:cs="宋体"/>
                <w:color w:val="auto"/>
                <w:szCs w:val="21"/>
                <w:highlight w:val="none"/>
              </w:rPr>
            </w:pPr>
          </w:p>
        </w:tc>
        <w:tc>
          <w:tcPr>
            <w:tcW w:w="967" w:type="dxa"/>
            <w:noWrap w:val="0"/>
            <w:vAlign w:val="center"/>
          </w:tcPr>
          <w:p w14:paraId="571AB02E">
            <w:pPr>
              <w:spacing w:line="340" w:lineRule="exact"/>
              <w:jc w:val="center"/>
              <w:rPr>
                <w:rFonts w:ascii="宋体" w:hAnsi="宋体" w:cs="宋体"/>
                <w:color w:val="auto"/>
                <w:szCs w:val="21"/>
                <w:highlight w:val="none"/>
              </w:rPr>
            </w:pPr>
          </w:p>
        </w:tc>
        <w:tc>
          <w:tcPr>
            <w:tcW w:w="1741" w:type="dxa"/>
            <w:noWrap w:val="0"/>
            <w:vAlign w:val="top"/>
          </w:tcPr>
          <w:p w14:paraId="69A84610">
            <w:pPr>
              <w:spacing w:line="340" w:lineRule="exact"/>
              <w:rPr>
                <w:rFonts w:ascii="宋体" w:hAnsi="宋体" w:cs="宋体"/>
                <w:color w:val="auto"/>
                <w:szCs w:val="21"/>
                <w:highlight w:val="none"/>
              </w:rPr>
            </w:pPr>
          </w:p>
        </w:tc>
      </w:tr>
      <w:tr w14:paraId="21B1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1756F859">
            <w:pPr>
              <w:spacing w:line="340" w:lineRule="exact"/>
              <w:jc w:val="center"/>
              <w:rPr>
                <w:rFonts w:ascii="宋体" w:hAnsi="宋体" w:cs="宋体"/>
                <w:color w:val="auto"/>
                <w:szCs w:val="21"/>
                <w:highlight w:val="none"/>
              </w:rPr>
            </w:pPr>
          </w:p>
        </w:tc>
        <w:tc>
          <w:tcPr>
            <w:tcW w:w="4835" w:type="dxa"/>
            <w:noWrap w:val="0"/>
            <w:vAlign w:val="center"/>
          </w:tcPr>
          <w:p w14:paraId="2A30ED2D">
            <w:pPr>
              <w:spacing w:line="340" w:lineRule="exact"/>
              <w:jc w:val="center"/>
              <w:rPr>
                <w:rFonts w:ascii="宋体" w:hAnsi="宋体" w:cs="宋体"/>
                <w:color w:val="auto"/>
                <w:szCs w:val="21"/>
                <w:highlight w:val="none"/>
              </w:rPr>
            </w:pPr>
          </w:p>
        </w:tc>
        <w:tc>
          <w:tcPr>
            <w:tcW w:w="1741" w:type="dxa"/>
            <w:noWrap w:val="0"/>
            <w:vAlign w:val="top"/>
          </w:tcPr>
          <w:p w14:paraId="2EFB2D6C">
            <w:pPr>
              <w:spacing w:line="340" w:lineRule="exact"/>
              <w:jc w:val="center"/>
              <w:rPr>
                <w:rFonts w:ascii="宋体" w:hAnsi="宋体" w:cs="宋体"/>
                <w:color w:val="auto"/>
                <w:szCs w:val="21"/>
                <w:highlight w:val="none"/>
              </w:rPr>
            </w:pPr>
          </w:p>
        </w:tc>
        <w:tc>
          <w:tcPr>
            <w:tcW w:w="967" w:type="dxa"/>
            <w:noWrap w:val="0"/>
            <w:vAlign w:val="center"/>
          </w:tcPr>
          <w:p w14:paraId="0B73107F">
            <w:pPr>
              <w:spacing w:line="340" w:lineRule="exact"/>
              <w:jc w:val="center"/>
              <w:rPr>
                <w:rFonts w:ascii="宋体" w:hAnsi="宋体" w:cs="宋体"/>
                <w:color w:val="auto"/>
                <w:szCs w:val="21"/>
                <w:highlight w:val="none"/>
              </w:rPr>
            </w:pPr>
          </w:p>
        </w:tc>
        <w:tc>
          <w:tcPr>
            <w:tcW w:w="1741" w:type="dxa"/>
            <w:noWrap w:val="0"/>
            <w:vAlign w:val="top"/>
          </w:tcPr>
          <w:p w14:paraId="125FEB94">
            <w:pPr>
              <w:spacing w:line="340" w:lineRule="exact"/>
              <w:rPr>
                <w:rFonts w:ascii="宋体" w:hAnsi="宋体" w:cs="宋体"/>
                <w:color w:val="auto"/>
                <w:szCs w:val="21"/>
                <w:highlight w:val="none"/>
              </w:rPr>
            </w:pPr>
          </w:p>
        </w:tc>
      </w:tr>
      <w:tr w14:paraId="1D99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62ACC0D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9284" w:type="dxa"/>
            <w:gridSpan w:val="4"/>
            <w:noWrap w:val="0"/>
            <w:vAlign w:val="center"/>
          </w:tcPr>
          <w:p w14:paraId="6090E6A6">
            <w:pPr>
              <w:spacing w:line="340" w:lineRule="exact"/>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D846B70">
            <w:pPr>
              <w:spacing w:line="340" w:lineRule="exact"/>
              <w:rPr>
                <w:rFonts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bl>
    <w:p w14:paraId="43FA417A">
      <w:pPr>
        <w:widowControl/>
        <w:spacing w:line="340" w:lineRule="exact"/>
        <w:ind w:right="480"/>
        <w:jc w:val="right"/>
        <w:rPr>
          <w:rFonts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7495247D">
      <w:pPr>
        <w:widowControl/>
        <w:snapToGrid w:val="0"/>
        <w:spacing w:before="120" w:after="120"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三、技术资料</w:t>
      </w:r>
    </w:p>
    <w:p w14:paraId="72098746">
      <w:pPr>
        <w:widowControl/>
        <w:snapToGrid w:val="0"/>
        <w:spacing w:before="120" w:after="120" w:line="340" w:lineRule="exact"/>
        <w:ind w:left="407" w:leftChars="194" w:firstLine="105" w:firstLineChars="5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1、供方应按招标文件规定的时间向需方提供使用货物的有关技术资料。</w:t>
      </w:r>
    </w:p>
    <w:p w14:paraId="4BE95995">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0A464FFF">
      <w:pPr>
        <w:widowControl/>
        <w:snapToGrid w:val="0"/>
        <w:spacing w:before="120" w:after="120" w:line="340" w:lineRule="exact"/>
        <w:ind w:left="409" w:leftChars="195" w:firstLine="103" w:firstLineChars="49"/>
        <w:jc w:val="left"/>
        <w:rPr>
          <w:rFonts w:ascii="宋体" w:hAnsi="宋体" w:cs="宋体"/>
          <w:b/>
          <w:color w:val="auto"/>
          <w:kern w:val="0"/>
          <w:szCs w:val="21"/>
          <w:highlight w:val="none"/>
        </w:rPr>
      </w:pPr>
      <w:r>
        <w:rPr>
          <w:rFonts w:hint="eastAsia" w:ascii="宋体" w:hAnsi="宋体" w:cs="宋体"/>
          <w:b/>
          <w:color w:val="auto"/>
          <w:kern w:val="0"/>
          <w:szCs w:val="21"/>
          <w:highlight w:val="none"/>
        </w:rPr>
        <w:t>四、知识产权</w:t>
      </w:r>
    </w:p>
    <w:p w14:paraId="1E96C294">
      <w:pPr>
        <w:widowControl/>
        <w:snapToGrid w:val="0"/>
        <w:spacing w:before="120" w:after="120" w:line="340" w:lineRule="exact"/>
        <w:ind w:left="78" w:leftChars="37"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方应保证所提供的货物或其任何一部分均不会侵犯任何第三方的知识产权。如供应方提供的货物或其任一部分产生知识产权纠纷的，有供应方承担相应法律责任，如该纠纷对需方产生不良影响或造成损失的，供应方应承担赔偿责任。</w:t>
      </w:r>
    </w:p>
    <w:p w14:paraId="1A551AC0">
      <w:pPr>
        <w:widowControl/>
        <w:snapToGrid w:val="0"/>
        <w:spacing w:before="120" w:after="120" w:line="340" w:lineRule="exact"/>
        <w:ind w:firstLine="413" w:firstLineChars="196"/>
        <w:jc w:val="left"/>
        <w:rPr>
          <w:rFonts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034545ED">
      <w:pPr>
        <w:widowControl/>
        <w:snapToGrid w:val="0"/>
        <w:spacing w:before="120" w:after="120" w:line="340" w:lineRule="exact"/>
        <w:ind w:firstLine="413"/>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供方保证所交付的货物的所有权完全属于供方且无任何抵押、查封等产权瑕疵。</w:t>
      </w:r>
    </w:p>
    <w:p w14:paraId="740DBD47">
      <w:pPr>
        <w:widowControl/>
        <w:snapToGrid w:val="0"/>
        <w:spacing w:before="120" w:after="120" w:line="340" w:lineRule="exact"/>
        <w:ind w:firstLine="413" w:firstLineChars="196"/>
        <w:jc w:val="left"/>
        <w:rPr>
          <w:rFonts w:ascii="宋体" w:hAnsi="宋体" w:cs="宋体"/>
          <w:color w:val="auto"/>
          <w:kern w:val="0"/>
          <w:szCs w:val="21"/>
          <w:highlight w:val="none"/>
        </w:rPr>
      </w:pPr>
      <w:r>
        <w:rPr>
          <w:rFonts w:hint="eastAsia" w:ascii="宋体" w:hAnsi="宋体" w:cs="宋体"/>
          <w:b/>
          <w:color w:val="auto"/>
          <w:kern w:val="0"/>
          <w:szCs w:val="21"/>
          <w:highlight w:val="none"/>
        </w:rPr>
        <w:t>六、履约保证金：无</w:t>
      </w:r>
      <w:r>
        <w:rPr>
          <w:rFonts w:hint="eastAsia" w:ascii="宋体" w:hAnsi="宋体" w:cs="宋体"/>
          <w:color w:val="auto"/>
          <w:kern w:val="0"/>
          <w:szCs w:val="21"/>
          <w:highlight w:val="none"/>
        </w:rPr>
        <w:t>。</w:t>
      </w:r>
    </w:p>
    <w:p w14:paraId="78E243D1">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七、转包或分包</w:t>
      </w:r>
    </w:p>
    <w:p w14:paraId="0AB8F05C">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1、本合同范围的货物，应由供方直接供应，不得转让他人供应；</w:t>
      </w:r>
    </w:p>
    <w:p w14:paraId="17C32746">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2、非经需方同意，供方不得将本合同范围的货物全部或部分分包给他人供应；</w:t>
      </w:r>
    </w:p>
    <w:p w14:paraId="33137C62">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3、如有转让和或对货物的非法分包行为，需方中止合同，并追究供方的违约责任。</w:t>
      </w:r>
    </w:p>
    <w:p w14:paraId="14409DE9">
      <w:pPr>
        <w:widowControl/>
        <w:spacing w:line="340" w:lineRule="exact"/>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八、售后服务</w:t>
      </w:r>
    </w:p>
    <w:p w14:paraId="12CD4C14">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(与招标文件保持一致)</w:t>
      </w:r>
    </w:p>
    <w:p w14:paraId="02479B53">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九、交货与工期要求</w:t>
      </w:r>
    </w:p>
    <w:p w14:paraId="100FC27E">
      <w:pPr>
        <w:widowControl/>
        <w:snapToGrid w:val="0"/>
        <w:spacing w:before="120" w:after="120" w:line="340" w:lineRule="exact"/>
        <w:ind w:firstLine="480"/>
        <w:jc w:val="left"/>
        <w:rPr>
          <w:rFonts w:ascii="宋体" w:hAnsi="宋体" w:cs="宋体"/>
          <w:b w:val="0"/>
          <w:bCs/>
          <w:color w:val="auto"/>
          <w:kern w:val="0"/>
          <w:szCs w:val="21"/>
          <w:highlight w:val="none"/>
        </w:rPr>
      </w:pPr>
      <w:r>
        <w:rPr>
          <w:rFonts w:hint="eastAsia" w:ascii="宋体" w:hAnsi="宋体" w:cs="宋体"/>
          <w:bCs/>
          <w:color w:val="auto"/>
          <w:kern w:val="0"/>
          <w:szCs w:val="21"/>
          <w:highlight w:val="none"/>
        </w:rPr>
        <w:t>1、交货期：</w:t>
      </w:r>
      <w:r>
        <w:rPr>
          <w:rFonts w:hint="eastAsia" w:ascii="宋体" w:hAnsi="宋体" w:cs="宋体"/>
          <w:b w:val="0"/>
          <w:bCs/>
          <w:color w:val="auto"/>
          <w:kern w:val="0"/>
          <w:szCs w:val="21"/>
          <w:highlight w:val="none"/>
        </w:rPr>
        <w:t>_______________________(与招标文件保持一致)</w:t>
      </w:r>
    </w:p>
    <w:p w14:paraId="412BB027">
      <w:pPr>
        <w:widowControl/>
        <w:snapToGrid w:val="0"/>
        <w:spacing w:before="120" w:after="120" w:line="340" w:lineRule="exact"/>
        <w:ind w:firstLine="480"/>
        <w:jc w:val="left"/>
        <w:rPr>
          <w:rFonts w:ascii="宋体" w:hAnsi="宋体" w:cs="宋体"/>
          <w:bCs/>
          <w:color w:val="auto"/>
          <w:kern w:val="0"/>
          <w:szCs w:val="21"/>
          <w:highlight w:val="none"/>
        </w:rPr>
      </w:pPr>
      <w:r>
        <w:rPr>
          <w:rFonts w:hint="eastAsia" w:ascii="宋体" w:hAnsi="宋体" w:cs="宋体"/>
          <w:bCs/>
          <w:color w:val="auto"/>
          <w:kern w:val="0"/>
          <w:szCs w:val="21"/>
          <w:highlight w:val="none"/>
        </w:rPr>
        <w:t>2、交货地方：</w:t>
      </w:r>
    </w:p>
    <w:p w14:paraId="1D912479">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Cs/>
          <w:color w:val="auto"/>
          <w:kern w:val="0"/>
          <w:szCs w:val="21"/>
          <w:highlight w:val="none"/>
        </w:rPr>
        <w:t>3、交货方式：</w:t>
      </w:r>
      <w:r>
        <w:rPr>
          <w:rFonts w:hint="eastAsia" w:ascii="宋体" w:hAnsi="宋体" w:cs="宋体"/>
          <w:b/>
          <w:color w:val="auto"/>
          <w:kern w:val="0"/>
          <w:szCs w:val="21"/>
          <w:highlight w:val="none"/>
        </w:rPr>
        <w:t xml:space="preserve"> </w:t>
      </w:r>
    </w:p>
    <w:p w14:paraId="5B9DFF4C">
      <w:pPr>
        <w:widowControl/>
        <w:snapToGrid w:val="0"/>
        <w:spacing w:before="120" w:after="120" w:line="340" w:lineRule="exact"/>
        <w:ind w:firstLine="480"/>
        <w:jc w:val="left"/>
        <w:rPr>
          <w:rFonts w:ascii="宋体" w:hAnsi="宋体" w:cs="宋体"/>
          <w:bCs/>
          <w:color w:val="auto"/>
          <w:kern w:val="0"/>
          <w:szCs w:val="21"/>
          <w:highlight w:val="none"/>
        </w:rPr>
      </w:pPr>
      <w:r>
        <w:rPr>
          <w:rFonts w:ascii="宋体" w:hAnsi="宋体" w:cs="宋体"/>
          <w:bCs/>
          <w:color w:val="auto"/>
          <w:kern w:val="0"/>
          <w:szCs w:val="21"/>
          <w:highlight w:val="none"/>
        </w:rPr>
        <w:t>4</w:t>
      </w:r>
      <w:r>
        <w:rPr>
          <w:rFonts w:hint="eastAsia" w:ascii="宋体" w:hAnsi="宋体" w:cs="宋体"/>
          <w:bCs/>
          <w:color w:val="auto"/>
          <w:kern w:val="0"/>
          <w:szCs w:val="21"/>
          <w:highlight w:val="none"/>
        </w:rPr>
        <w:t>、</w:t>
      </w:r>
      <w:r>
        <w:rPr>
          <w:rFonts w:ascii="宋体" w:hAnsi="宋体" w:cs="宋体"/>
          <w:bCs/>
          <w:color w:val="auto"/>
          <w:kern w:val="0"/>
          <w:szCs w:val="21"/>
          <w:highlight w:val="none"/>
        </w:rPr>
        <w:t>工期要求</w:t>
      </w:r>
      <w:r>
        <w:rPr>
          <w:rFonts w:hint="eastAsia" w:ascii="宋体" w:hAnsi="宋体" w:cs="宋体"/>
          <w:bCs/>
          <w:color w:val="auto"/>
          <w:kern w:val="0"/>
          <w:szCs w:val="21"/>
          <w:highlight w:val="none"/>
        </w:rPr>
        <w:t>：</w:t>
      </w:r>
    </w:p>
    <w:p w14:paraId="746E907D">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十、货款支付</w:t>
      </w:r>
    </w:p>
    <w:p w14:paraId="2554C880">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1、付款方式：_______________________(与招标文件保持一致)</w:t>
      </w:r>
    </w:p>
    <w:p w14:paraId="52DB7234">
      <w:pPr>
        <w:widowControl/>
        <w:spacing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2、当采购数量与实际使用数量不一致时，供方应根据实际使用量供货，合同的最终结算金额按实际使用量乘以中标单价进行计算。</w:t>
      </w:r>
    </w:p>
    <w:p w14:paraId="5217AB07">
      <w:pPr>
        <w:widowControl/>
        <w:snapToGrid w:val="0"/>
        <w:spacing w:before="156" w:beforeLines="50" w:after="156" w:afterLines="5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十一、税费</w:t>
      </w:r>
    </w:p>
    <w:p w14:paraId="3B863E60">
      <w:pPr>
        <w:widowControl/>
        <w:snapToGrid w:val="0"/>
        <w:spacing w:before="156" w:beforeLines="50" w:after="156" w:afterLines="50" w:line="3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1C36A244">
      <w:pPr>
        <w:widowControl/>
        <w:snapToGrid w:val="0"/>
        <w:spacing w:before="120" w:after="120" w:line="340" w:lineRule="exact"/>
        <w:ind w:left="409" w:leftChars="195" w:firstLine="103" w:firstLineChars="49"/>
        <w:jc w:val="left"/>
        <w:rPr>
          <w:rFonts w:ascii="宋体" w:hAnsi="宋体" w:cs="宋体"/>
          <w:color w:val="auto"/>
          <w:kern w:val="0"/>
          <w:szCs w:val="21"/>
          <w:highlight w:val="none"/>
        </w:rPr>
      </w:pPr>
      <w:r>
        <w:rPr>
          <w:rFonts w:hint="eastAsia" w:ascii="宋体" w:hAnsi="宋体" w:cs="宋体"/>
          <w:b/>
          <w:color w:val="auto"/>
          <w:kern w:val="0"/>
          <w:szCs w:val="21"/>
          <w:highlight w:val="none"/>
        </w:rPr>
        <w:t>十二、质量保证</w:t>
      </w:r>
    </w:p>
    <w:p w14:paraId="70B0C5FE">
      <w:pPr>
        <w:widowControl/>
        <w:snapToGrid w:val="0"/>
        <w:spacing w:line="440" w:lineRule="exact"/>
        <w:ind w:left="77"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1、供方应按招标文件规定的货物性能、技术参数要求、质量标准向需方提供未经使用的全新产品。且提供的产品也必须满足供应方在投标文件中承诺的货物性能、技术参数要求、质量标准。</w:t>
      </w:r>
    </w:p>
    <w:p w14:paraId="3A920AE8">
      <w:pPr>
        <w:widowControl/>
        <w:snapToGrid w:val="0"/>
        <w:spacing w:line="4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2、供方提供的货物在质保期内因货物本身的质量问题发生故障，供方应负责免费更换。对达不到招标文件及投标文件要求者，根据实际情况，经双方协商，可按以下办法处理：</w:t>
      </w:r>
    </w:p>
    <w:p w14:paraId="14609D22">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①更换：更换后的产品需满足招标文件及投标文件要求，由供方承担所发生的全部费用。</w:t>
      </w:r>
    </w:p>
    <w:p w14:paraId="206F8E3B">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②贬值处理：由供需双方合议定价。</w:t>
      </w:r>
    </w:p>
    <w:p w14:paraId="61A1B4AA">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③退货处理：供方应退还需方支付的合同款，同时应承担该货物的直接费用（运输、保险、检验、货款利息及银行手续费等）。</w:t>
      </w:r>
    </w:p>
    <w:p w14:paraId="13D70990">
      <w:pPr>
        <w:widowControl/>
        <w:snapToGrid w:val="0"/>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如需方与供方无法达成一致意见的，需方有权单方解除本合同，供方应退还需方支付的合同款，同时应承担该货物的直接费用（运输、保险、检验、货款利息及银行手续费等），此外由此产生的一切损失和费用也均由供方承担。</w:t>
      </w:r>
    </w:p>
    <w:p w14:paraId="59E98118">
      <w:pPr>
        <w:keepNext w:val="0"/>
        <w:keepLines w:val="0"/>
        <w:pageBreakBefore w:val="0"/>
        <w:widowControl/>
        <w:kinsoku/>
        <w:wordWrap/>
        <w:overflowPunct/>
        <w:topLinePunct w:val="0"/>
        <w:autoSpaceDE/>
        <w:autoSpaceDN/>
        <w:bidi w:val="0"/>
        <w:adjustRightInd/>
        <w:snapToGrid w:val="0"/>
        <w:spacing w:line="440" w:lineRule="exact"/>
        <w:ind w:firstLine="482"/>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3、供方需派遣1名以上维护人员常驻需方随同维护，如出现因质量导致的故障等问题，能够积极主动的配合需方管理要求，在接到需方通知后在 24小时内到达需方现场并独立完成修复的工作。</w:t>
      </w:r>
    </w:p>
    <w:p w14:paraId="3A3246E6">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ascii="Verdana" w:hAnsi="Verdana" w:cs="Arial"/>
          <w:color w:val="auto"/>
          <w:kern w:val="0"/>
          <w:szCs w:val="21"/>
          <w:highlight w:val="none"/>
        </w:rPr>
      </w:pPr>
      <w:r>
        <w:rPr>
          <w:rFonts w:hint="eastAsia" w:ascii="宋体" w:hAnsi="宋体" w:cs="宋体"/>
          <w:color w:val="auto"/>
          <w:kern w:val="0"/>
          <w:szCs w:val="21"/>
          <w:highlight w:val="none"/>
        </w:rPr>
        <w:t>4、</w:t>
      </w:r>
      <w:r>
        <w:rPr>
          <w:rFonts w:ascii="Verdana" w:hAnsi="Verdana" w:cs="Arial"/>
          <w:b/>
          <w:color w:val="auto"/>
          <w:kern w:val="0"/>
          <w:szCs w:val="21"/>
          <w:highlight w:val="none"/>
        </w:rPr>
        <w:t>供方必须对合同中规定的货物提供</w:t>
      </w:r>
      <w:r>
        <w:rPr>
          <w:rFonts w:ascii="Verdana" w:hAnsi="Verdana" w:cs="Arial"/>
          <w:b/>
          <w:color w:val="auto"/>
          <w:kern w:val="0"/>
          <w:szCs w:val="21"/>
          <w:highlight w:val="none"/>
          <w:u w:val="single"/>
        </w:rPr>
        <w:t xml:space="preserve"> </w:t>
      </w:r>
      <w:r>
        <w:rPr>
          <w:rFonts w:hint="eastAsia" w:ascii="Verdana" w:hAnsi="Verdana" w:cs="Arial"/>
          <w:b/>
          <w:bCs/>
          <w:color w:val="auto"/>
          <w:kern w:val="0"/>
          <w:szCs w:val="21"/>
          <w:highlight w:val="none"/>
          <w:u w:val="single"/>
        </w:rPr>
        <w:t xml:space="preserve">_ </w:t>
      </w:r>
      <w:r>
        <w:rPr>
          <w:rFonts w:hint="eastAsia" w:ascii="Verdana" w:hAnsi="Verdana" w:cs="Arial"/>
          <w:b/>
          <w:bCs/>
          <w:color w:val="auto"/>
          <w:kern w:val="0"/>
          <w:szCs w:val="21"/>
          <w:highlight w:val="none"/>
        </w:rPr>
        <w:t>_年</w:t>
      </w:r>
      <w:r>
        <w:rPr>
          <w:rFonts w:ascii="Verdana" w:hAnsi="Verdana" w:cs="Arial"/>
          <w:b/>
          <w:color w:val="auto"/>
          <w:kern w:val="0"/>
          <w:szCs w:val="21"/>
          <w:highlight w:val="none"/>
        </w:rPr>
        <w:t>的质保期（货物另有规定的按原规定执行），</w:t>
      </w:r>
      <w:r>
        <w:rPr>
          <w:rFonts w:hint="eastAsia" w:ascii="Verdana" w:hAnsi="Verdana" w:cs="Arial"/>
          <w:b/>
          <w:bCs/>
          <w:color w:val="auto"/>
          <w:kern w:val="0"/>
          <w:szCs w:val="21"/>
          <w:highlight w:val="none"/>
        </w:rPr>
        <w:t>时间从最后一批设备安装调试验收合格办理移交手续之日后满六个月起计</w:t>
      </w:r>
      <w:r>
        <w:rPr>
          <w:rFonts w:hint="eastAsia" w:ascii="Verdana" w:hAnsi="宋体" w:cs="Arial"/>
          <w:b/>
          <w:color w:val="auto"/>
          <w:kern w:val="0"/>
          <w:szCs w:val="21"/>
          <w:highlight w:val="none"/>
        </w:rPr>
        <w:t>。</w:t>
      </w:r>
      <w:r>
        <w:rPr>
          <w:rFonts w:ascii="Verdana" w:hAnsi="Verdana" w:cs="Arial"/>
          <w:b/>
          <w:color w:val="auto"/>
          <w:kern w:val="0"/>
          <w:szCs w:val="21"/>
          <w:highlight w:val="none"/>
        </w:rPr>
        <w:t>质保期内供方须免费负责修理和替换任何由于产品自身的质量问题造成的损坏，并负责有关费用。</w:t>
      </w:r>
      <w:r>
        <w:rPr>
          <w:rFonts w:ascii="Verdana" w:hAnsi="Verdana" w:cs="Arial"/>
          <w:color w:val="auto"/>
          <w:kern w:val="0"/>
          <w:szCs w:val="21"/>
          <w:highlight w:val="none"/>
        </w:rPr>
        <w:t>供方不能修理和不能调换，按不能交货处理。如因需方使用不当造成故障，供方负责包修、包换或者包退，费用双方另行协商。维修过程中供方提供的材料色泽等应与原来的保持一致。</w:t>
      </w:r>
    </w:p>
    <w:p w14:paraId="0658637F">
      <w:pPr>
        <w:widowControl/>
        <w:snapToGrid w:val="0"/>
        <w:spacing w:before="60" w:after="60" w:line="34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、在质保期内，供方应对货物出现的质量及安全问题负责处理解决并承担一切费用，因设备质量等问题或远传数据传输等问题造成用户投诉或纠纷，产生的一切后果及费用由供方承担。</w:t>
      </w:r>
    </w:p>
    <w:p w14:paraId="3B094396">
      <w:pPr>
        <w:widowControl/>
        <w:snapToGrid w:val="0"/>
        <w:spacing w:before="60" w:after="60"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、需方如有必要，在年度内的抽检材料送检费用由供方负责。</w:t>
      </w:r>
    </w:p>
    <w:p w14:paraId="612B742A">
      <w:pPr>
        <w:widowControl/>
        <w:snapToGrid w:val="0"/>
        <w:spacing w:before="60" w:after="6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十三、违约责任</w:t>
      </w:r>
    </w:p>
    <w:p w14:paraId="69F084BC">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1</w:t>
      </w:r>
      <w:r>
        <w:rPr>
          <w:rFonts w:ascii="Verdana" w:hAnsi="宋体" w:cs="Arial"/>
          <w:color w:val="auto"/>
          <w:kern w:val="0"/>
          <w:szCs w:val="21"/>
          <w:highlight w:val="none"/>
        </w:rPr>
        <w:t>、需方无故</w:t>
      </w:r>
      <w:r>
        <w:rPr>
          <w:rFonts w:hint="eastAsia" w:ascii="Verdana" w:hAnsi="宋体" w:cs="Arial"/>
          <w:color w:val="auto"/>
          <w:kern w:val="0"/>
          <w:szCs w:val="21"/>
          <w:highlight w:val="none"/>
        </w:rPr>
        <w:t>不</w:t>
      </w:r>
      <w:r>
        <w:rPr>
          <w:rFonts w:ascii="Verdana" w:hAnsi="宋体" w:cs="Arial"/>
          <w:color w:val="auto"/>
          <w:kern w:val="0"/>
          <w:szCs w:val="21"/>
          <w:highlight w:val="none"/>
        </w:rPr>
        <w:t>办理货款支付手续的,需方应按逾期付款总额每日万分之</w:t>
      </w:r>
      <w:r>
        <w:rPr>
          <w:rFonts w:hint="eastAsia" w:ascii="Verdana" w:hAnsi="宋体" w:cs="Arial"/>
          <w:color w:val="auto"/>
          <w:kern w:val="0"/>
          <w:szCs w:val="21"/>
          <w:highlight w:val="none"/>
          <w:u w:val="single"/>
        </w:rPr>
        <w:t>_五_</w:t>
      </w:r>
      <w:r>
        <w:rPr>
          <w:rFonts w:ascii="Verdana" w:hAnsi="宋体" w:cs="Arial"/>
          <w:color w:val="auto"/>
          <w:kern w:val="0"/>
          <w:szCs w:val="21"/>
          <w:highlight w:val="none"/>
        </w:rPr>
        <w:t>向供方支付违约金。</w:t>
      </w:r>
    </w:p>
    <w:p w14:paraId="1BC9AE76">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2</w:t>
      </w:r>
      <w:r>
        <w:rPr>
          <w:rFonts w:ascii="Verdana" w:hAnsi="宋体" w:cs="Arial"/>
          <w:color w:val="auto"/>
          <w:kern w:val="0"/>
          <w:szCs w:val="21"/>
          <w:highlight w:val="none"/>
        </w:rPr>
        <w:t>、供方逾期交付货物的，供方应按逾期交货总额每日千分之</w:t>
      </w:r>
      <w:r>
        <w:rPr>
          <w:rFonts w:hint="eastAsia" w:ascii="Verdana" w:hAnsi="宋体" w:cs="Arial"/>
          <w:color w:val="auto"/>
          <w:kern w:val="0"/>
          <w:szCs w:val="21"/>
          <w:highlight w:val="none"/>
        </w:rPr>
        <w:t>_</w:t>
      </w:r>
      <w:r>
        <w:rPr>
          <w:rFonts w:hint="eastAsia" w:ascii="Verdana" w:hAnsi="宋体" w:cs="Arial"/>
          <w:color w:val="auto"/>
          <w:kern w:val="0"/>
          <w:szCs w:val="21"/>
          <w:highlight w:val="none"/>
          <w:u w:val="single"/>
        </w:rPr>
        <w:t xml:space="preserve">五 </w:t>
      </w:r>
      <w:r>
        <w:rPr>
          <w:rFonts w:ascii="Verdana" w:hAnsi="宋体" w:cs="Arial"/>
          <w:color w:val="auto"/>
          <w:kern w:val="0"/>
          <w:szCs w:val="21"/>
          <w:highlight w:val="none"/>
        </w:rPr>
        <w:t>向需方支付违约金，由需方从待付货款中扣除。</w:t>
      </w:r>
      <w:r>
        <w:rPr>
          <w:rFonts w:ascii="Verdana" w:hAnsi="宋体" w:cs="Arial"/>
          <w:b/>
          <w:color w:val="auto"/>
          <w:kern w:val="0"/>
          <w:szCs w:val="21"/>
          <w:highlight w:val="none"/>
        </w:rPr>
        <w:t>逾期超过约定日期</w:t>
      </w:r>
      <w:r>
        <w:rPr>
          <w:rFonts w:hint="eastAsia" w:ascii="Verdana" w:hAnsi="宋体" w:cs="Arial"/>
          <w:b/>
          <w:color w:val="auto"/>
          <w:kern w:val="0"/>
          <w:szCs w:val="21"/>
          <w:highlight w:val="none"/>
          <w:u w:val="single"/>
        </w:rPr>
        <w:t>_5</w:t>
      </w:r>
      <w:r>
        <w:rPr>
          <w:rFonts w:ascii="Verdana" w:hAnsi="宋体" w:cs="Arial"/>
          <w:b/>
          <w:color w:val="auto"/>
          <w:kern w:val="0"/>
          <w:szCs w:val="21"/>
          <w:highlight w:val="none"/>
        </w:rPr>
        <w:t>个工作日不能交货的，需方可解除本合同。供方因逾期交货或因其他违约行为导致需方解除合同的，供方应向需方支付</w:t>
      </w:r>
      <w:r>
        <w:rPr>
          <w:rFonts w:hint="eastAsia"/>
          <w:b/>
          <w:color w:val="auto"/>
          <w:szCs w:val="21"/>
          <w:highlight w:val="none"/>
        </w:rPr>
        <w:t>招标文件预算金额</w:t>
      </w:r>
      <w:r>
        <w:rPr>
          <w:rFonts w:hint="eastAsia" w:ascii="Verdana" w:hAnsi="宋体" w:cs="Arial"/>
          <w:b/>
          <w:color w:val="auto"/>
          <w:kern w:val="0"/>
          <w:szCs w:val="21"/>
          <w:highlight w:val="none"/>
          <w:u w:val="single"/>
        </w:rPr>
        <w:t>_30_</w:t>
      </w:r>
      <w:r>
        <w:rPr>
          <w:rFonts w:ascii="Verdana" w:hAnsi="宋体" w:cs="Arial"/>
          <w:b/>
          <w:color w:val="auto"/>
          <w:kern w:val="0"/>
          <w:szCs w:val="21"/>
          <w:highlight w:val="none"/>
        </w:rPr>
        <w:t>%的违约金，如造成需方损失超过违约金的，超出部分由供方继续承担赔偿责任。</w:t>
      </w:r>
      <w:r>
        <w:rPr>
          <w:rFonts w:ascii="Verdana" w:hAnsi="宋体" w:cs="Arial"/>
          <w:color w:val="auto"/>
          <w:kern w:val="0"/>
          <w:szCs w:val="21"/>
          <w:highlight w:val="none"/>
        </w:rPr>
        <w:t xml:space="preserve"> </w:t>
      </w:r>
    </w:p>
    <w:p w14:paraId="600006A5">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3</w:t>
      </w:r>
      <w:r>
        <w:rPr>
          <w:rFonts w:ascii="Verdana" w:hAnsi="宋体" w:cs="Arial"/>
          <w:color w:val="auto"/>
          <w:kern w:val="0"/>
          <w:szCs w:val="21"/>
          <w:highlight w:val="none"/>
        </w:rPr>
        <w:t>、供方所交的货物品种、型号、规格、技术参数、质量不符合合同规定及</w:t>
      </w:r>
      <w:r>
        <w:rPr>
          <w:rFonts w:hint="eastAsia" w:ascii="Verdana" w:hAnsi="宋体" w:cs="Arial"/>
          <w:color w:val="auto"/>
          <w:kern w:val="0"/>
          <w:szCs w:val="21"/>
          <w:highlight w:val="none"/>
        </w:rPr>
        <w:t>招标文件</w:t>
      </w:r>
      <w:r>
        <w:rPr>
          <w:rFonts w:ascii="Verdana" w:hAnsi="宋体" w:cs="Arial"/>
          <w:color w:val="auto"/>
          <w:kern w:val="0"/>
          <w:szCs w:val="21"/>
          <w:highlight w:val="none"/>
        </w:rPr>
        <w:t>规定标准的，需方有权拒收该货物，供方愿意更换货物但逾期交货的，按供方逾期交货处理。供方拒绝更换货物的，需方可单方面解除合同。</w:t>
      </w:r>
    </w:p>
    <w:p w14:paraId="62907DF7">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4</w:t>
      </w:r>
      <w:r>
        <w:rPr>
          <w:rFonts w:ascii="Verdana" w:hAnsi="宋体" w:cs="Arial"/>
          <w:color w:val="auto"/>
          <w:kern w:val="0"/>
          <w:szCs w:val="21"/>
          <w:highlight w:val="none"/>
        </w:rPr>
        <w:t>、供方原因不能按期指导安装验收完毕的，供方向需方每日偿付货款总额</w:t>
      </w:r>
      <w:r>
        <w:rPr>
          <w:rFonts w:hint="eastAsia" w:ascii="Verdana" w:hAnsi="宋体" w:cs="Arial"/>
          <w:color w:val="auto"/>
          <w:kern w:val="0"/>
          <w:szCs w:val="21"/>
          <w:highlight w:val="none"/>
        </w:rPr>
        <w:t>_5_</w:t>
      </w:r>
      <w:r>
        <w:rPr>
          <w:rFonts w:ascii="Verdana" w:hAnsi="宋体" w:cs="Arial"/>
          <w:color w:val="auto"/>
          <w:kern w:val="0"/>
          <w:szCs w:val="21"/>
          <w:highlight w:val="none"/>
        </w:rPr>
        <w:t>‰的违约金。</w:t>
      </w:r>
    </w:p>
    <w:p w14:paraId="5D906BFB">
      <w:pPr>
        <w:widowControl/>
        <w:snapToGrid w:val="0"/>
        <w:spacing w:before="60" w:after="60" w:line="360" w:lineRule="auto"/>
        <w:ind w:firstLine="480"/>
        <w:jc w:val="left"/>
        <w:rPr>
          <w:rFonts w:ascii="Verdana" w:hAnsi="宋体" w:cs="Arial"/>
          <w:color w:val="auto"/>
          <w:kern w:val="0"/>
          <w:szCs w:val="21"/>
          <w:highlight w:val="none"/>
        </w:rPr>
      </w:pPr>
      <w:r>
        <w:rPr>
          <w:rFonts w:hint="eastAsia" w:ascii="Verdana" w:hAnsi="宋体" w:cs="Arial"/>
          <w:color w:val="auto"/>
          <w:kern w:val="0"/>
          <w:szCs w:val="21"/>
          <w:highlight w:val="none"/>
        </w:rPr>
        <w:t>5</w:t>
      </w:r>
      <w:r>
        <w:rPr>
          <w:rFonts w:ascii="Verdana" w:hAnsi="宋体" w:cs="Arial"/>
          <w:color w:val="auto"/>
          <w:kern w:val="0"/>
          <w:szCs w:val="21"/>
          <w:highlight w:val="none"/>
        </w:rPr>
        <w:t>、</w:t>
      </w:r>
      <w:r>
        <w:rPr>
          <w:rFonts w:hint="eastAsia" w:ascii="Verdana" w:hAnsi="宋体" w:cs="Arial"/>
          <w:color w:val="auto"/>
          <w:kern w:val="0"/>
          <w:szCs w:val="21"/>
          <w:highlight w:val="none"/>
        </w:rPr>
        <w:t>供方</w:t>
      </w:r>
      <w:r>
        <w:rPr>
          <w:rFonts w:ascii="Verdana" w:hAnsi="宋体" w:cs="Arial"/>
          <w:color w:val="auto"/>
          <w:kern w:val="0"/>
          <w:szCs w:val="21"/>
          <w:highlight w:val="none"/>
        </w:rPr>
        <w:t>未按规定提供完整的技术资料处以货款总额千分之</w:t>
      </w:r>
      <w:r>
        <w:rPr>
          <w:rFonts w:hint="eastAsia" w:ascii="Verdana" w:hAnsi="宋体" w:cs="Arial"/>
          <w:color w:val="auto"/>
          <w:kern w:val="0"/>
          <w:szCs w:val="21"/>
          <w:highlight w:val="none"/>
        </w:rPr>
        <w:t>_</w:t>
      </w:r>
      <w:r>
        <w:rPr>
          <w:rFonts w:hint="eastAsia" w:ascii="Verdana" w:hAnsi="宋体" w:cs="Arial"/>
          <w:color w:val="auto"/>
          <w:kern w:val="0"/>
          <w:szCs w:val="21"/>
          <w:highlight w:val="none"/>
          <w:u w:val="single"/>
        </w:rPr>
        <w:t>五</w:t>
      </w:r>
      <w:r>
        <w:rPr>
          <w:rFonts w:hint="eastAsia" w:ascii="Verdana" w:hAnsi="宋体" w:cs="Arial"/>
          <w:color w:val="auto"/>
          <w:kern w:val="0"/>
          <w:szCs w:val="21"/>
          <w:highlight w:val="none"/>
        </w:rPr>
        <w:t>_</w:t>
      </w:r>
      <w:r>
        <w:rPr>
          <w:rFonts w:ascii="Verdana" w:hAnsi="宋体" w:cs="Arial"/>
          <w:color w:val="auto"/>
          <w:kern w:val="0"/>
          <w:szCs w:val="21"/>
          <w:highlight w:val="none"/>
        </w:rPr>
        <w:t>的违约金。</w:t>
      </w:r>
    </w:p>
    <w:p w14:paraId="4AB5B4F0">
      <w:pPr>
        <w:widowControl/>
        <w:spacing w:line="360" w:lineRule="auto"/>
        <w:ind w:firstLine="480"/>
        <w:jc w:val="left"/>
        <w:rPr>
          <w:rFonts w:ascii="Verdana" w:hAnsi="Verdana" w:cs="Arial"/>
          <w:color w:val="auto"/>
          <w:kern w:val="0"/>
          <w:szCs w:val="21"/>
          <w:highlight w:val="none"/>
        </w:rPr>
      </w:pPr>
      <w:r>
        <w:rPr>
          <w:rFonts w:hint="eastAsia" w:ascii="Verdana" w:hAnsi="Verdana" w:cs="Arial"/>
          <w:color w:val="auto"/>
          <w:kern w:val="0"/>
          <w:szCs w:val="21"/>
          <w:highlight w:val="none"/>
        </w:rPr>
        <w:t>6</w:t>
      </w:r>
      <w:r>
        <w:rPr>
          <w:rFonts w:ascii="Verdana" w:hAnsi="Verdana" w:cs="Arial"/>
          <w:color w:val="auto"/>
          <w:kern w:val="0"/>
          <w:szCs w:val="21"/>
          <w:highlight w:val="none"/>
        </w:rPr>
        <w:t>、</w:t>
      </w:r>
      <w:r>
        <w:rPr>
          <w:rFonts w:hint="eastAsia" w:ascii="Verdana" w:hAnsi="Verdana" w:cs="Arial"/>
          <w:color w:val="auto"/>
          <w:kern w:val="0"/>
          <w:szCs w:val="21"/>
          <w:highlight w:val="none"/>
        </w:rPr>
        <w:t>供方</w:t>
      </w:r>
      <w:r>
        <w:rPr>
          <w:rFonts w:ascii="Verdana" w:hAnsi="Verdana" w:cs="Arial"/>
          <w:color w:val="auto"/>
          <w:kern w:val="0"/>
          <w:szCs w:val="21"/>
          <w:highlight w:val="none"/>
        </w:rPr>
        <w:t>未按</w:t>
      </w:r>
      <w:r>
        <w:rPr>
          <w:rFonts w:hint="eastAsia" w:ascii="Verdana" w:hAnsi="Verdana" w:cs="Arial"/>
          <w:color w:val="auto"/>
          <w:kern w:val="0"/>
          <w:szCs w:val="21"/>
          <w:highlight w:val="none"/>
        </w:rPr>
        <w:t>招标文件</w:t>
      </w:r>
      <w:r>
        <w:rPr>
          <w:rFonts w:ascii="Verdana" w:hAnsi="Verdana" w:cs="Arial"/>
          <w:color w:val="auto"/>
          <w:kern w:val="0"/>
          <w:szCs w:val="21"/>
          <w:highlight w:val="none"/>
        </w:rPr>
        <w:t>约定派驻相关专业的技术人员进行安装调试指导的，每发现一次处以货款总额千分之</w:t>
      </w:r>
      <w:r>
        <w:rPr>
          <w:rFonts w:hint="eastAsia" w:ascii="Verdana" w:hAnsi="Verdana" w:cs="Arial"/>
          <w:color w:val="auto"/>
          <w:kern w:val="0"/>
          <w:szCs w:val="21"/>
          <w:highlight w:val="none"/>
        </w:rPr>
        <w:t>_五_</w:t>
      </w:r>
      <w:r>
        <w:rPr>
          <w:rFonts w:ascii="Verdana" w:hAnsi="Verdana" w:cs="Arial"/>
          <w:color w:val="auto"/>
          <w:kern w:val="0"/>
          <w:szCs w:val="21"/>
          <w:highlight w:val="none"/>
        </w:rPr>
        <w:t>的违约金。</w:t>
      </w:r>
    </w:p>
    <w:p w14:paraId="78DD71EB">
      <w:pPr>
        <w:widowControl/>
        <w:spacing w:line="360" w:lineRule="auto"/>
        <w:ind w:firstLine="480"/>
        <w:jc w:val="left"/>
        <w:rPr>
          <w:rFonts w:ascii="宋体"/>
          <w:b/>
          <w:bCs/>
          <w:color w:val="auto"/>
          <w:kern w:val="0"/>
          <w:szCs w:val="21"/>
          <w:highlight w:val="none"/>
          <w:shd w:val="clear" w:color="auto" w:fill="FFFFFF"/>
        </w:rPr>
      </w:pPr>
      <w:r>
        <w:rPr>
          <w:rFonts w:hint="eastAsia" w:ascii="Verdana" w:hAnsi="Verdana" w:cs="Arial"/>
          <w:color w:val="auto"/>
          <w:kern w:val="0"/>
          <w:szCs w:val="21"/>
          <w:highlight w:val="none"/>
        </w:rPr>
        <w:t>7、</w:t>
      </w:r>
      <w:r>
        <w:rPr>
          <w:rFonts w:hint="eastAsia" w:ascii="Verdana" w:hAnsi="Verdana" w:cs="Arial"/>
          <w:b/>
          <w:bCs/>
          <w:color w:val="auto"/>
          <w:kern w:val="0"/>
          <w:szCs w:val="21"/>
          <w:highlight w:val="none"/>
        </w:rPr>
        <w:t>供方</w:t>
      </w:r>
      <w:r>
        <w:rPr>
          <w:rFonts w:hint="eastAsia" w:ascii="宋体"/>
          <w:b/>
          <w:bCs/>
          <w:color w:val="auto"/>
          <w:kern w:val="0"/>
          <w:szCs w:val="21"/>
          <w:highlight w:val="none"/>
          <w:shd w:val="clear" w:color="auto" w:fill="FFFFFF"/>
        </w:rPr>
        <w:t>在投标文件中的承诺，如未按承诺要求做到的，本项目将作废标处理并提前终止合同，并要求赔偿损失。</w:t>
      </w:r>
    </w:p>
    <w:p w14:paraId="1AA5E6EA">
      <w:pPr>
        <w:pStyle w:val="16"/>
        <w:ind w:firstLine="422"/>
        <w:rPr>
          <w:rFonts w:ascii="宋体"/>
          <w:color w:val="auto"/>
          <w:sz w:val="21"/>
          <w:szCs w:val="21"/>
          <w:highlight w:val="none"/>
          <w:shd w:val="clear" w:color="auto" w:fill="FFFFFF"/>
        </w:rPr>
      </w:pPr>
      <w:r>
        <w:rPr>
          <w:rFonts w:hint="eastAsia" w:ascii="宋体"/>
          <w:color w:val="auto"/>
          <w:sz w:val="21"/>
          <w:szCs w:val="21"/>
          <w:highlight w:val="none"/>
          <w:shd w:val="clear" w:color="auto" w:fill="FFFFFF"/>
        </w:rPr>
        <w:t>8、售后服务未按承诺时间要求及时处理的，每发现一次从应付款中扣减2000元。</w:t>
      </w:r>
    </w:p>
    <w:p w14:paraId="66743882">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十四、不可抗力事件处理</w:t>
      </w:r>
    </w:p>
    <w:p w14:paraId="0B61D6D7">
      <w:pPr>
        <w:widowControl/>
        <w:snapToGrid w:val="0"/>
        <w:spacing w:before="120" w:after="120" w:line="360" w:lineRule="auto"/>
        <w:ind w:firstLine="480"/>
        <w:jc w:val="left"/>
        <w:rPr>
          <w:rFonts w:ascii="Verdana" w:hAnsi="宋体" w:cs="Arial"/>
          <w:color w:val="auto"/>
          <w:kern w:val="0"/>
          <w:szCs w:val="21"/>
          <w:highlight w:val="none"/>
        </w:rPr>
      </w:pPr>
      <w:r>
        <w:rPr>
          <w:rFonts w:ascii="Verdana" w:hAnsi="宋体" w:cs="Arial"/>
          <w:color w:val="auto"/>
          <w:kern w:val="0"/>
          <w:szCs w:val="21"/>
          <w:highlight w:val="none"/>
        </w:rPr>
        <w:t>1、在合同有效期内，任何一方因不可抗力事件导致不能履行合同，则合同履行期可延长，其延长期与不可抗力影响期相同。</w:t>
      </w:r>
    </w:p>
    <w:p w14:paraId="3E6A0BE7">
      <w:pPr>
        <w:widowControl/>
        <w:snapToGrid w:val="0"/>
        <w:spacing w:before="120" w:after="120" w:line="360" w:lineRule="auto"/>
        <w:ind w:left="420" w:leftChars="200" w:firstLine="105" w:firstLineChars="50"/>
        <w:jc w:val="left"/>
        <w:rPr>
          <w:rFonts w:ascii="Verdana" w:hAnsi="宋体" w:cs="Arial"/>
          <w:color w:val="auto"/>
          <w:kern w:val="0"/>
          <w:szCs w:val="21"/>
          <w:highlight w:val="none"/>
        </w:rPr>
      </w:pPr>
      <w:r>
        <w:rPr>
          <w:rFonts w:ascii="Verdana" w:hAnsi="宋体" w:cs="Arial"/>
          <w:color w:val="auto"/>
          <w:kern w:val="0"/>
          <w:szCs w:val="21"/>
          <w:highlight w:val="none"/>
        </w:rPr>
        <w:t>2、不可抗力事件发生后，应立即通知对方，并寄送有关权威机构出具的证明。</w:t>
      </w:r>
    </w:p>
    <w:p w14:paraId="5A121BA4">
      <w:pPr>
        <w:widowControl/>
        <w:snapToGrid w:val="0"/>
        <w:spacing w:before="120" w:after="120" w:line="360" w:lineRule="auto"/>
        <w:ind w:left="420" w:leftChars="200" w:firstLine="105" w:firstLineChars="50"/>
        <w:jc w:val="left"/>
        <w:rPr>
          <w:rFonts w:ascii="Verdana" w:hAnsi="宋体" w:cs="Arial"/>
          <w:color w:val="auto"/>
          <w:kern w:val="0"/>
          <w:szCs w:val="21"/>
          <w:highlight w:val="none"/>
        </w:rPr>
      </w:pPr>
      <w:r>
        <w:rPr>
          <w:rFonts w:hint="eastAsia" w:ascii="Verdana" w:hAnsi="宋体" w:cs="Arial"/>
          <w:color w:val="auto"/>
          <w:kern w:val="0"/>
          <w:szCs w:val="21"/>
          <w:highlight w:val="none"/>
        </w:rPr>
        <w:t>3、不可抗</w:t>
      </w:r>
      <w:r>
        <w:rPr>
          <w:rFonts w:ascii="Verdana" w:hAnsi="宋体" w:cs="Arial"/>
          <w:color w:val="auto"/>
          <w:kern w:val="0"/>
          <w:szCs w:val="21"/>
          <w:highlight w:val="none"/>
        </w:rPr>
        <w:t>力事件发生</w:t>
      </w:r>
      <w:r>
        <w:rPr>
          <w:rFonts w:hint="eastAsia" w:ascii="Verdana" w:hAnsi="宋体" w:cs="Arial"/>
          <w:color w:val="auto"/>
          <w:kern w:val="0"/>
          <w:szCs w:val="21"/>
          <w:highlight w:val="none"/>
        </w:rPr>
        <w:t>期间，</w:t>
      </w:r>
      <w:r>
        <w:rPr>
          <w:rFonts w:hint="eastAsia"/>
          <w:color w:val="auto"/>
          <w:szCs w:val="21"/>
          <w:highlight w:val="none"/>
        </w:rPr>
        <w:t>需方可根据实际要求外调，调货所产生的一切费用（包括价格差价和重量差价）由供方负责；供方也可经需方同意（书面）外调，调货所产生的一切费用（包括价格差价和重量差价），由供方负责并保证质量。</w:t>
      </w:r>
    </w:p>
    <w:p w14:paraId="425BE6A7">
      <w:pPr>
        <w:widowControl/>
        <w:snapToGrid w:val="0"/>
        <w:spacing w:before="120" w:after="120" w:line="360" w:lineRule="auto"/>
        <w:ind w:left="420" w:leftChars="200" w:firstLine="105" w:firstLineChars="50"/>
        <w:jc w:val="left"/>
        <w:rPr>
          <w:rFonts w:ascii="Verdana" w:hAnsi="宋体" w:cs="Arial"/>
          <w:color w:val="auto"/>
          <w:kern w:val="0"/>
          <w:szCs w:val="21"/>
          <w:highlight w:val="none"/>
        </w:rPr>
      </w:pPr>
      <w:r>
        <w:rPr>
          <w:rFonts w:hint="eastAsia" w:ascii="Verdana" w:hAnsi="宋体" w:cs="Arial"/>
          <w:color w:val="auto"/>
          <w:kern w:val="0"/>
          <w:szCs w:val="21"/>
          <w:highlight w:val="none"/>
        </w:rPr>
        <w:t>4</w:t>
      </w:r>
      <w:r>
        <w:rPr>
          <w:rFonts w:ascii="Verdana" w:hAnsi="宋体" w:cs="Arial"/>
          <w:color w:val="auto"/>
          <w:kern w:val="0"/>
          <w:szCs w:val="21"/>
          <w:highlight w:val="none"/>
        </w:rPr>
        <w:t>、不可抗力事件延续</w:t>
      </w:r>
      <w:r>
        <w:rPr>
          <w:rFonts w:hint="eastAsia" w:ascii="宋体" w:hAnsi="宋体"/>
          <w:color w:val="auto"/>
          <w:szCs w:val="21"/>
          <w:highlight w:val="none"/>
        </w:rPr>
        <w:t>__</w:t>
      </w:r>
      <w:r>
        <w:rPr>
          <w:rFonts w:hint="eastAsia" w:ascii="宋体" w:hAnsi="宋体"/>
          <w:color w:val="auto"/>
          <w:szCs w:val="21"/>
          <w:highlight w:val="none"/>
          <w:u w:val="single"/>
        </w:rPr>
        <w:t>30_</w:t>
      </w:r>
      <w:r>
        <w:rPr>
          <w:rFonts w:hint="eastAsia" w:ascii="宋体" w:hAnsi="宋体"/>
          <w:color w:val="auto"/>
          <w:szCs w:val="21"/>
          <w:highlight w:val="none"/>
        </w:rPr>
        <w:t>_</w:t>
      </w:r>
      <w:r>
        <w:rPr>
          <w:rFonts w:ascii="Verdana" w:hAnsi="宋体" w:cs="Arial"/>
          <w:color w:val="auto"/>
          <w:kern w:val="0"/>
          <w:szCs w:val="21"/>
          <w:highlight w:val="none"/>
        </w:rPr>
        <w:t>天以上，双方应通过友好协商，确定是否继续履行合同。</w:t>
      </w:r>
    </w:p>
    <w:p w14:paraId="47D99A3A">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十五、诉讼</w:t>
      </w:r>
    </w:p>
    <w:p w14:paraId="6C31606C">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127FE1C7">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4EEC6A48">
      <w:pPr>
        <w:widowControl/>
        <w:snapToGrid w:val="0"/>
        <w:spacing w:before="120" w:after="120" w:line="340" w:lineRule="exact"/>
        <w:ind w:firstLine="480"/>
        <w:jc w:val="left"/>
        <w:rPr>
          <w:rFonts w:ascii="宋体" w:hAnsi="宋体" w:cs="宋体"/>
          <w:b/>
          <w:color w:val="auto"/>
          <w:kern w:val="0"/>
          <w:szCs w:val="21"/>
          <w:highlight w:val="none"/>
        </w:rPr>
      </w:pPr>
      <w:r>
        <w:rPr>
          <w:rFonts w:hint="eastAsia" w:ascii="宋体" w:hAnsi="宋体" w:cs="宋体"/>
          <w:b/>
          <w:color w:val="auto"/>
          <w:kern w:val="0"/>
          <w:szCs w:val="21"/>
          <w:highlight w:val="none"/>
        </w:rPr>
        <w:t>十七、合同生效及其它</w:t>
      </w:r>
    </w:p>
    <w:p w14:paraId="319AA25A">
      <w:pPr>
        <w:widowControl/>
        <w:snapToGrid w:val="0"/>
        <w:spacing w:before="120" w:after="120" w:line="340" w:lineRule="exac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285FBDDD">
      <w:pPr>
        <w:widowControl/>
        <w:snapToGrid w:val="0"/>
        <w:spacing w:before="120" w:after="120" w:line="340" w:lineRule="exact"/>
        <w:ind w:left="479" w:leftChars="228"/>
        <w:jc w:val="left"/>
        <w:rPr>
          <w:rFonts w:ascii="宋体" w:hAnsi="宋体" w:cs="宋体"/>
          <w:color w:val="auto"/>
          <w:kern w:val="0"/>
          <w:szCs w:val="21"/>
          <w:highlight w:val="none"/>
        </w:rPr>
      </w:pPr>
      <w:r>
        <w:rPr>
          <w:rFonts w:hint="eastAsia" w:ascii="宋体" w:hAnsi="宋体" w:cs="宋体"/>
          <w:color w:val="auto"/>
          <w:kern w:val="0"/>
          <w:szCs w:val="21"/>
          <w:highlight w:val="none"/>
        </w:rPr>
        <w:t>2、本合同未尽事宜，遵照《中华人民共和国民法典》有关条文执行。</w:t>
      </w:r>
    </w:p>
    <w:p w14:paraId="0842531C">
      <w:pPr>
        <w:widowControl/>
        <w:spacing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十八、本合同一式____份，供需双方各执____份，义乌产权交易所有限公司执一份，均具同等效力。</w:t>
      </w:r>
    </w:p>
    <w:p w14:paraId="36B83201">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37A7D60A">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48A19B40">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10F5C9C6">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授权代表：________________________  授权代表：________________________</w:t>
      </w:r>
    </w:p>
    <w:p w14:paraId="3B2DD729">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3AC8AB2E">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账户名称：________________________  账户名称：________________________</w:t>
      </w:r>
    </w:p>
    <w:p w14:paraId="170031B6">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5D623DAB">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账    号：________________________  账    号：________________________</w:t>
      </w:r>
    </w:p>
    <w:p w14:paraId="3B8BDC96">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签约时间：________________________  签约地点：________________________</w:t>
      </w:r>
    </w:p>
    <w:p w14:paraId="71E7CBDE">
      <w:pPr>
        <w:keepNext w:val="0"/>
        <w:keepLines w:val="0"/>
        <w:widowControl/>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p>
    <w:p w14:paraId="297F0535">
      <w:pPr>
        <w:pStyle w:val="4"/>
        <w:keepNext w:val="0"/>
        <w:keepLines w:val="0"/>
        <w:pageBreakBefore/>
        <w:widowControl w:val="0"/>
        <w:kinsoku/>
        <w:wordWrap/>
        <w:overflowPunct/>
        <w:topLinePunct w:val="0"/>
        <w:autoSpaceDE/>
        <w:autoSpaceDN/>
        <w:bidi w:val="0"/>
        <w:adjustRightInd/>
        <w:snapToGrid/>
        <w:spacing w:before="0" w:after="0" w:line="360" w:lineRule="auto"/>
        <w:ind w:firstLine="2891" w:firstLineChars="800"/>
        <w:jc w:val="left"/>
        <w:textAlignment w:val="auto"/>
        <w:rPr>
          <w:rFonts w:hint="eastAsia" w:ascii="宋体" w:hAnsi="宋体" w:eastAsia="宋体" w:cs="Times New Roman"/>
          <w:color w:val="auto"/>
          <w:sz w:val="36"/>
          <w:szCs w:val="36"/>
          <w:highlight w:val="none"/>
        </w:rPr>
      </w:pPr>
      <w:bookmarkStart w:id="90" w:name="_Toc32679"/>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90"/>
    </w:p>
    <w:p w14:paraId="53738C88">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1" w:name="_Toc25188"/>
      <w:r>
        <w:rPr>
          <w:rFonts w:hint="eastAsia" w:ascii="宋体" w:hAnsi="宋体" w:eastAsia="宋体" w:cs="宋体"/>
          <w:color w:val="auto"/>
          <w:sz w:val="21"/>
          <w:szCs w:val="21"/>
          <w:highlight w:val="none"/>
        </w:rPr>
        <w:t>一、资格响应文件、商务技术响应文件部分格式</w:t>
      </w:r>
      <w:bookmarkEnd w:id="91"/>
    </w:p>
    <w:p w14:paraId="542A3A6E">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法定代表人授权书和被授权人身份证复印件［适用于非法定代表人参加投标的,说明：法定代表人以营业执照载明的人员为准］</w:t>
      </w:r>
    </w:p>
    <w:p w14:paraId="6C4C0469">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义乌市国企采购项目投标承诺书</w:t>
      </w:r>
    </w:p>
    <w:p w14:paraId="255808A5">
      <w:pPr>
        <w:tabs>
          <w:tab w:val="left" w:pos="1050"/>
        </w:tabs>
        <w:spacing w:line="520" w:lineRule="exact"/>
        <w:ind w:left="528"/>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货物简要说明一览表</w:t>
      </w:r>
    </w:p>
    <w:p w14:paraId="0D172C5B">
      <w:pPr>
        <w:tabs>
          <w:tab w:val="left" w:pos="1050"/>
        </w:tabs>
        <w:spacing w:line="520" w:lineRule="exact"/>
        <w:ind w:left="528"/>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规范偏离表</w:t>
      </w:r>
    </w:p>
    <w:p w14:paraId="609296D3">
      <w:pPr>
        <w:tabs>
          <w:tab w:val="left" w:pos="1050"/>
        </w:tabs>
        <w:spacing w:line="520" w:lineRule="exact"/>
        <w:ind w:left="52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产品质量保证</w:t>
      </w:r>
      <w:r>
        <w:rPr>
          <w:rFonts w:hint="eastAsia" w:ascii="宋体" w:hAnsi="宋体" w:cs="宋体"/>
          <w:color w:val="auto"/>
          <w:sz w:val="21"/>
          <w:szCs w:val="21"/>
          <w:highlight w:val="none"/>
          <w:lang w:val="en-US" w:eastAsia="zh-CN"/>
        </w:rPr>
        <w:t>承诺书</w:t>
      </w:r>
    </w:p>
    <w:p w14:paraId="7464DFF2">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售后服务</w:t>
      </w:r>
      <w:r>
        <w:rPr>
          <w:rFonts w:hint="eastAsia" w:ascii="宋体" w:hAnsi="宋体" w:cs="宋体"/>
          <w:color w:val="auto"/>
          <w:sz w:val="21"/>
          <w:szCs w:val="21"/>
          <w:highlight w:val="none"/>
          <w:lang w:val="en-US" w:eastAsia="zh-CN"/>
        </w:rPr>
        <w:t>承诺书</w:t>
      </w:r>
    </w:p>
    <w:p w14:paraId="44F5A5FE">
      <w:pPr>
        <w:tabs>
          <w:tab w:val="left" w:pos="1050"/>
        </w:tabs>
        <w:spacing w:line="520" w:lineRule="exact"/>
        <w:ind w:left="528"/>
        <w:rPr>
          <w:rFonts w:hint="eastAsia" w:ascii="宋体" w:hAnsi="宋体" w:eastAsia="宋体" w:cs="宋体"/>
          <w:color w:val="auto"/>
          <w:sz w:val="21"/>
          <w:szCs w:val="21"/>
          <w:highlight w:val="none"/>
        </w:rPr>
      </w:pPr>
    </w:p>
    <w:p w14:paraId="0640E729">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2" w:name="_Toc1138"/>
      <w:r>
        <w:rPr>
          <w:rFonts w:hint="eastAsia" w:ascii="宋体" w:hAnsi="宋体" w:eastAsia="宋体" w:cs="宋体"/>
          <w:color w:val="auto"/>
          <w:sz w:val="21"/>
          <w:szCs w:val="21"/>
          <w:highlight w:val="none"/>
        </w:rPr>
        <w:t>二、报价响应文件部分格式</w:t>
      </w:r>
      <w:bookmarkEnd w:id="92"/>
    </w:p>
    <w:p w14:paraId="43883A1A">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6481953A">
      <w:pPr>
        <w:spacing w:line="340" w:lineRule="exact"/>
        <w:rPr>
          <w:rFonts w:hint="eastAsia" w:ascii="宋体" w:hAnsi="宋体" w:eastAsia="宋体" w:cs="宋体"/>
          <w:color w:val="auto"/>
          <w:sz w:val="21"/>
          <w:szCs w:val="21"/>
          <w:highlight w:val="none"/>
        </w:rPr>
      </w:pPr>
    </w:p>
    <w:p w14:paraId="7585AC66">
      <w:pPr>
        <w:spacing w:line="340" w:lineRule="exact"/>
        <w:rPr>
          <w:rFonts w:hint="eastAsia" w:ascii="宋体" w:hAnsi="宋体" w:eastAsia="宋体" w:cs="宋体"/>
          <w:color w:val="auto"/>
          <w:sz w:val="21"/>
          <w:szCs w:val="21"/>
          <w:highlight w:val="none"/>
        </w:rPr>
      </w:pPr>
    </w:p>
    <w:p w14:paraId="13E4E929">
      <w:pPr>
        <w:pStyle w:val="5"/>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3" w:name="_Toc26407"/>
      <w:r>
        <w:rPr>
          <w:rFonts w:hint="eastAsia" w:ascii="宋体" w:hAnsi="宋体" w:eastAsia="宋体" w:cs="宋体"/>
          <w:color w:val="auto"/>
          <w:sz w:val="21"/>
          <w:szCs w:val="21"/>
          <w:highlight w:val="none"/>
        </w:rPr>
        <w:t>三、质疑函范本</w:t>
      </w:r>
      <w:bookmarkEnd w:id="93"/>
    </w:p>
    <w:p w14:paraId="1D68B792">
      <w:pPr>
        <w:spacing w:line="340" w:lineRule="exact"/>
        <w:rPr>
          <w:rFonts w:hint="eastAsia" w:ascii="宋体" w:hAnsi="宋体" w:eastAsia="宋体" w:cs="宋体"/>
          <w:color w:val="auto"/>
          <w:sz w:val="21"/>
          <w:szCs w:val="21"/>
          <w:highlight w:val="none"/>
        </w:rPr>
      </w:pPr>
    </w:p>
    <w:p w14:paraId="16C849D7">
      <w:pPr>
        <w:spacing w:line="340" w:lineRule="exact"/>
        <w:rPr>
          <w:rFonts w:hint="eastAsia" w:ascii="宋体" w:hAnsi="宋体" w:eastAsia="宋体" w:cs="宋体"/>
          <w:color w:val="auto"/>
          <w:sz w:val="21"/>
          <w:szCs w:val="21"/>
          <w:highlight w:val="none"/>
        </w:rPr>
      </w:pPr>
    </w:p>
    <w:p w14:paraId="0BFD4C48">
      <w:pPr>
        <w:spacing w:line="340" w:lineRule="exact"/>
        <w:rPr>
          <w:rFonts w:ascii="宋体" w:cs="宋体"/>
          <w:color w:val="auto"/>
          <w:sz w:val="24"/>
          <w:highlight w:val="none"/>
        </w:rPr>
      </w:pPr>
    </w:p>
    <w:p w14:paraId="2381A60D">
      <w:pPr>
        <w:spacing w:line="340" w:lineRule="exact"/>
        <w:rPr>
          <w:rFonts w:ascii="宋体" w:cs="宋体"/>
          <w:color w:val="auto"/>
          <w:sz w:val="24"/>
          <w:highlight w:val="none"/>
        </w:rPr>
      </w:pPr>
    </w:p>
    <w:p w14:paraId="4E1DAC28">
      <w:pPr>
        <w:spacing w:line="340" w:lineRule="exact"/>
        <w:rPr>
          <w:rFonts w:ascii="宋体" w:cs="宋体"/>
          <w:color w:val="auto"/>
          <w:sz w:val="24"/>
          <w:highlight w:val="none"/>
        </w:rPr>
      </w:pPr>
    </w:p>
    <w:p w14:paraId="4759F3D6">
      <w:pPr>
        <w:spacing w:line="340" w:lineRule="exact"/>
        <w:rPr>
          <w:rFonts w:ascii="宋体" w:cs="宋体"/>
          <w:color w:val="auto"/>
          <w:sz w:val="24"/>
          <w:highlight w:val="none"/>
        </w:rPr>
      </w:pPr>
    </w:p>
    <w:p w14:paraId="389589B8">
      <w:pPr>
        <w:spacing w:line="340" w:lineRule="exact"/>
        <w:rPr>
          <w:rFonts w:ascii="宋体" w:cs="宋体"/>
          <w:color w:val="auto"/>
          <w:sz w:val="24"/>
          <w:highlight w:val="none"/>
        </w:rPr>
      </w:pPr>
    </w:p>
    <w:p w14:paraId="2D0CAB79">
      <w:pPr>
        <w:spacing w:line="340" w:lineRule="exact"/>
        <w:rPr>
          <w:rFonts w:ascii="宋体" w:cs="宋体"/>
          <w:color w:val="auto"/>
          <w:sz w:val="24"/>
          <w:highlight w:val="none"/>
        </w:rPr>
      </w:pPr>
    </w:p>
    <w:p w14:paraId="2B00267E">
      <w:pPr>
        <w:spacing w:line="340" w:lineRule="exact"/>
        <w:rPr>
          <w:rFonts w:ascii="宋体" w:cs="宋体"/>
          <w:color w:val="auto"/>
          <w:sz w:val="24"/>
          <w:highlight w:val="none"/>
        </w:rPr>
      </w:pPr>
    </w:p>
    <w:p w14:paraId="1D57A738">
      <w:pPr>
        <w:spacing w:line="340" w:lineRule="exact"/>
        <w:rPr>
          <w:rFonts w:ascii="宋体" w:cs="宋体"/>
          <w:color w:val="auto"/>
          <w:sz w:val="24"/>
          <w:highlight w:val="none"/>
        </w:rPr>
      </w:pPr>
    </w:p>
    <w:p w14:paraId="47A355EB">
      <w:pPr>
        <w:spacing w:line="340" w:lineRule="exact"/>
        <w:rPr>
          <w:rFonts w:ascii="宋体" w:cs="宋体"/>
          <w:color w:val="auto"/>
          <w:sz w:val="24"/>
          <w:highlight w:val="none"/>
        </w:rPr>
      </w:pPr>
    </w:p>
    <w:p w14:paraId="6D13644E">
      <w:pPr>
        <w:spacing w:line="340" w:lineRule="exact"/>
        <w:rPr>
          <w:rFonts w:ascii="宋体" w:cs="宋体"/>
          <w:color w:val="auto"/>
          <w:sz w:val="24"/>
          <w:highlight w:val="none"/>
        </w:rPr>
      </w:pPr>
    </w:p>
    <w:p w14:paraId="0C3577B6">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48383DFA">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62B6B04E">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7620D50C">
      <w:pPr>
        <w:jc w:val="center"/>
        <w:rPr>
          <w:rFonts w:hint="eastAsia" w:ascii="宋体" w:hAnsi="宋体"/>
          <w:color w:val="auto"/>
          <w:sz w:val="24"/>
          <w:highlight w:val="none"/>
          <w:u w:val="single"/>
        </w:rPr>
      </w:pPr>
    </w:p>
    <w:p w14:paraId="47591863">
      <w:pPr>
        <w:jc w:val="center"/>
        <w:rPr>
          <w:rFonts w:hint="eastAsia" w:ascii="宋体" w:hAnsi="宋体"/>
          <w:color w:val="auto"/>
          <w:sz w:val="24"/>
          <w:highlight w:val="none"/>
          <w:u w:val="single"/>
        </w:rPr>
      </w:pPr>
    </w:p>
    <w:p w14:paraId="058EAC2F">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7C67D73B">
      <w:pPr>
        <w:rPr>
          <w:rFonts w:hint="eastAsia" w:ascii="宋体" w:hAnsi="宋体"/>
          <w:color w:val="auto"/>
          <w:sz w:val="52"/>
          <w:highlight w:val="none"/>
        </w:rPr>
      </w:pPr>
    </w:p>
    <w:p w14:paraId="1C6C1DBC">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9BB0122">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35A87A4D">
      <w:pPr>
        <w:jc w:val="center"/>
        <w:rPr>
          <w:rFonts w:hint="eastAsia" w:ascii="宋体" w:hAnsi="宋体"/>
          <w:b/>
          <w:bCs/>
          <w:color w:val="auto"/>
          <w:sz w:val="28"/>
          <w:highlight w:val="none"/>
        </w:rPr>
      </w:pPr>
    </w:p>
    <w:p w14:paraId="456DADCD">
      <w:pPr>
        <w:jc w:val="center"/>
        <w:rPr>
          <w:rFonts w:hint="eastAsia" w:ascii="宋体" w:hAnsi="宋体"/>
          <w:b/>
          <w:bCs/>
          <w:color w:val="auto"/>
          <w:sz w:val="28"/>
          <w:highlight w:val="none"/>
        </w:rPr>
      </w:pPr>
    </w:p>
    <w:p w14:paraId="6D466DF6">
      <w:pPr>
        <w:jc w:val="center"/>
        <w:rPr>
          <w:rFonts w:hint="eastAsia" w:ascii="宋体" w:hAnsi="宋体"/>
          <w:b/>
          <w:bCs/>
          <w:color w:val="auto"/>
          <w:sz w:val="28"/>
          <w:highlight w:val="none"/>
        </w:rPr>
      </w:pPr>
    </w:p>
    <w:p w14:paraId="2D7BF533">
      <w:pPr>
        <w:jc w:val="center"/>
        <w:rPr>
          <w:rFonts w:hint="eastAsia" w:ascii="宋体" w:hAnsi="宋体"/>
          <w:b/>
          <w:bCs/>
          <w:color w:val="auto"/>
          <w:sz w:val="28"/>
          <w:highlight w:val="none"/>
        </w:rPr>
      </w:pPr>
    </w:p>
    <w:p w14:paraId="6315734E">
      <w:pPr>
        <w:rPr>
          <w:rFonts w:hint="eastAsia" w:ascii="宋体" w:hAnsi="宋体"/>
          <w:b/>
          <w:bCs/>
          <w:color w:val="auto"/>
          <w:sz w:val="28"/>
          <w:highlight w:val="none"/>
        </w:rPr>
      </w:pPr>
    </w:p>
    <w:p w14:paraId="290D1A39">
      <w:pPr>
        <w:jc w:val="center"/>
        <w:rPr>
          <w:rFonts w:hint="eastAsia" w:ascii="宋体" w:hAnsi="宋体"/>
          <w:b/>
          <w:bCs/>
          <w:color w:val="auto"/>
          <w:sz w:val="28"/>
          <w:highlight w:val="none"/>
        </w:rPr>
      </w:pPr>
    </w:p>
    <w:p w14:paraId="702343CF">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758853AC">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3689BEDA">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56859D94">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AF2440B">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26A71096">
      <w:pPr>
        <w:spacing w:line="480" w:lineRule="auto"/>
        <w:jc w:val="center"/>
        <w:rPr>
          <w:rFonts w:hint="eastAsia" w:ascii="宋体" w:hAnsi="宋体" w:cs="宋体"/>
          <w:b/>
          <w:color w:val="auto"/>
          <w:sz w:val="48"/>
          <w:highlight w:val="none"/>
        </w:rPr>
      </w:pPr>
    </w:p>
    <w:p w14:paraId="6A459B4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A41E3C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AAD379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6332561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0C4CA10F">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0964975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7C5E27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27E0A6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2A3FFB8D">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07835FAF">
      <w:pPr>
        <w:spacing w:line="360" w:lineRule="auto"/>
        <w:rPr>
          <w:rFonts w:hint="eastAsia" w:ascii="宋体" w:hAnsi="宋体" w:cs="宋体"/>
          <w:color w:val="auto"/>
          <w:sz w:val="24"/>
          <w:highlight w:val="none"/>
        </w:rPr>
      </w:pPr>
    </w:p>
    <w:p w14:paraId="26FEFE4B">
      <w:pPr>
        <w:spacing w:line="360" w:lineRule="auto"/>
        <w:rPr>
          <w:rFonts w:hint="eastAsia" w:ascii="宋体" w:hAnsi="宋体" w:cs="宋体"/>
          <w:color w:val="auto"/>
          <w:sz w:val="24"/>
          <w:highlight w:val="none"/>
        </w:rPr>
      </w:pPr>
    </w:p>
    <w:p w14:paraId="0B1CD8AD">
      <w:pPr>
        <w:spacing w:line="360" w:lineRule="auto"/>
        <w:rPr>
          <w:rFonts w:hint="eastAsia" w:ascii="宋体" w:hAnsi="宋体" w:cs="宋体"/>
          <w:color w:val="auto"/>
          <w:sz w:val="24"/>
          <w:highlight w:val="none"/>
        </w:rPr>
      </w:pPr>
    </w:p>
    <w:p w14:paraId="6DCA2B2A">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4DA00F25">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259232E6">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50571A8">
      <w:pPr>
        <w:spacing w:line="360" w:lineRule="auto"/>
        <w:rPr>
          <w:rFonts w:hint="eastAsia" w:ascii="宋体" w:hAnsi="宋体" w:cs="宋体"/>
          <w:color w:val="auto"/>
          <w:sz w:val="24"/>
          <w:highlight w:val="none"/>
        </w:rPr>
      </w:pPr>
    </w:p>
    <w:p w14:paraId="31B6B0B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728BFC16">
      <w:pPr>
        <w:jc w:val="center"/>
        <w:rPr>
          <w:rFonts w:hint="eastAsia" w:ascii="宋体" w:hAnsi="宋体" w:cs="宋体"/>
          <w:b/>
          <w:bCs/>
          <w:color w:val="auto"/>
          <w:sz w:val="36"/>
          <w:highlight w:val="none"/>
        </w:rPr>
      </w:pPr>
    </w:p>
    <w:p w14:paraId="20AFEA57">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440CEFBB">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4C37ED60">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2.自愿接受义乌市财政局（以下简称市财政局）的管理，并严格遵守市财政局制定的招投标管理制度、规范和纪律。</w:t>
      </w:r>
    </w:p>
    <w:p w14:paraId="195F55CB">
      <w:pPr>
        <w:pStyle w:val="20"/>
        <w:spacing w:line="360" w:lineRule="exact"/>
        <w:ind w:firstLine="464" w:firstLineChars="200"/>
        <w:rPr>
          <w:rFonts w:hint="eastAsia" w:ascii="宋体" w:hAnsi="宋体" w:eastAsia="宋体" w:cs="宋体"/>
          <w:color w:val="auto"/>
          <w:w w:val="97"/>
          <w:sz w:val="24"/>
          <w:szCs w:val="24"/>
          <w:highlight w:val="none"/>
        </w:rPr>
      </w:pPr>
      <w:r>
        <w:rPr>
          <w:rFonts w:hint="eastAsia" w:ascii="宋体" w:hAnsi="宋体" w:eastAsia="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2FD3DF01">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6C2C83F9">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5.不转让、出借、涂改、伪造资质（资格）证书或者以其他方式允许其他单位（个人）以我单位（本人）名义承接业务。</w:t>
      </w:r>
    </w:p>
    <w:p w14:paraId="29112F1E">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6.不与采购人或者其他投标人相互串通投标，围标，不以行贿等不正当手段谋取中标。</w:t>
      </w:r>
    </w:p>
    <w:p w14:paraId="61AA2C0D">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7.在备案、招标、投标、报名、开标、评标、询标、中标、签订合同、合同备案等招投标预备和进行的全过程中提供的资料均真实、有效，不弄虚作假。</w:t>
      </w:r>
    </w:p>
    <w:p w14:paraId="2ABBD74D">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8.我方已详细审核全部招标文件，包括修改文件(如果有的话)，及有关附件，我方同意放弃提出含糊不清或误解的权力。 </w:t>
      </w:r>
    </w:p>
    <w:p w14:paraId="21D5EFB8">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9.投标文件中未明确的内容按招标文件执行。</w:t>
      </w:r>
    </w:p>
    <w:p w14:paraId="3B7A595E">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10.我方同意所递交的投标文件在招标期内有效，在此期间内我方有可能中标，我方将受此约束。</w:t>
      </w:r>
    </w:p>
    <w:p w14:paraId="7DCC5CF1">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11.我方相信贵方的招标结果是公正、合法的，无论我方中标还是落标，我方将接受这一结果。 </w:t>
      </w:r>
    </w:p>
    <w:p w14:paraId="6063834A">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12.一旦我方中标，我方将严格依照招标文件中的相关规定与招标方签订合同。</w:t>
      </w:r>
    </w:p>
    <w:p w14:paraId="4758CE3C">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13.不低于企业成本价投标，不恶意过高报价，不扰乱招投标的正常秩序。</w:t>
      </w:r>
    </w:p>
    <w:p w14:paraId="0B8229C5">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14.严格遵守开标会议纪律，不在开标会场吵闹、滋事，服从工作人员指挥。</w:t>
      </w:r>
    </w:p>
    <w:p w14:paraId="4AA88F42">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1A88D2CF">
      <w:pPr>
        <w:pStyle w:val="2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6CA1F3BF">
      <w:pPr>
        <w:rPr>
          <w:rFonts w:hint="eastAsia"/>
          <w:color w:val="auto"/>
          <w:szCs w:val="20"/>
          <w:highlight w:val="none"/>
        </w:rPr>
      </w:pPr>
    </w:p>
    <w:p w14:paraId="08DC6586">
      <w:pPr>
        <w:pStyle w:val="20"/>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w:t>
      </w:r>
    </w:p>
    <w:p w14:paraId="188431FA">
      <w:pPr>
        <w:pStyle w:val="20"/>
        <w:spacing w:line="380" w:lineRule="exact"/>
        <w:rPr>
          <w:rFonts w:hint="eastAsia" w:hAnsi="宋体" w:cs="宋体"/>
          <w:color w:val="auto"/>
          <w:sz w:val="24"/>
          <w:szCs w:val="24"/>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hAnsi="宋体" w:cs="宋体"/>
          <w:color w:val="auto"/>
          <w:sz w:val="24"/>
          <w:szCs w:val="24"/>
          <w:highlight w:val="none"/>
        </w:rPr>
        <w:t>法定代表人或其授权的委托代理人（签字或盖章）：   年   月   日</w:t>
      </w:r>
    </w:p>
    <w:p w14:paraId="04A587B1">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货物简要说明一览表</w:t>
      </w:r>
    </w:p>
    <w:p w14:paraId="3036A641">
      <w:pP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rPr>
        <w:t xml:space="preserve">投标方名称（盖电子签章）：___________________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0330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753FF1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260" w:type="dxa"/>
            <w:noWrap w:val="0"/>
            <w:vAlign w:val="top"/>
          </w:tcPr>
          <w:p w14:paraId="310AA24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产品名称</w:t>
            </w:r>
          </w:p>
        </w:tc>
        <w:tc>
          <w:tcPr>
            <w:tcW w:w="855" w:type="dxa"/>
            <w:noWrap w:val="0"/>
            <w:vAlign w:val="center"/>
          </w:tcPr>
          <w:p w14:paraId="46CF0B84">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产地</w:t>
            </w:r>
          </w:p>
        </w:tc>
        <w:tc>
          <w:tcPr>
            <w:tcW w:w="2745" w:type="dxa"/>
            <w:noWrap w:val="0"/>
            <w:vAlign w:val="center"/>
          </w:tcPr>
          <w:p w14:paraId="7FD6EF0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型号规格及技术参数</w:t>
            </w:r>
          </w:p>
        </w:tc>
        <w:tc>
          <w:tcPr>
            <w:tcW w:w="825" w:type="dxa"/>
            <w:noWrap w:val="0"/>
            <w:vAlign w:val="center"/>
          </w:tcPr>
          <w:p w14:paraId="64C30FE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2955" w:type="dxa"/>
            <w:noWrap w:val="0"/>
            <w:vAlign w:val="center"/>
          </w:tcPr>
          <w:p w14:paraId="74424305">
            <w:pPr>
              <w:jc w:val="center"/>
              <w:rPr>
                <w:rFonts w:ascii="宋体" w:hAnsi="宋体" w:cs="宋体"/>
                <w:b/>
                <w:bCs/>
                <w:color w:val="auto"/>
                <w:sz w:val="24"/>
                <w:highlight w:val="none"/>
              </w:rPr>
            </w:pPr>
            <w:r>
              <w:rPr>
                <w:rFonts w:hint="eastAsia" w:ascii="宋体" w:hAnsi="宋体" w:cs="宋体"/>
                <w:b/>
                <w:bCs/>
                <w:color w:val="auto"/>
                <w:sz w:val="24"/>
                <w:highlight w:val="none"/>
              </w:rPr>
              <w:t>性能说明及其他</w:t>
            </w:r>
          </w:p>
        </w:tc>
      </w:tr>
      <w:tr w14:paraId="5006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ED07CFD">
            <w:pPr>
              <w:spacing w:line="360" w:lineRule="auto"/>
              <w:jc w:val="center"/>
              <w:rPr>
                <w:rFonts w:ascii="宋体" w:hAnsi="宋体" w:cs="宋体"/>
                <w:b/>
                <w:bCs/>
                <w:color w:val="auto"/>
                <w:sz w:val="24"/>
                <w:highlight w:val="none"/>
              </w:rPr>
            </w:pPr>
          </w:p>
        </w:tc>
        <w:tc>
          <w:tcPr>
            <w:tcW w:w="1260" w:type="dxa"/>
            <w:noWrap w:val="0"/>
            <w:vAlign w:val="top"/>
          </w:tcPr>
          <w:p w14:paraId="2F85A0E1">
            <w:pPr>
              <w:spacing w:line="360" w:lineRule="auto"/>
              <w:jc w:val="center"/>
              <w:rPr>
                <w:rFonts w:ascii="宋体" w:hAnsi="宋体" w:cs="宋体"/>
                <w:b/>
                <w:bCs/>
                <w:color w:val="auto"/>
                <w:sz w:val="24"/>
                <w:highlight w:val="none"/>
              </w:rPr>
            </w:pPr>
          </w:p>
        </w:tc>
        <w:tc>
          <w:tcPr>
            <w:tcW w:w="855" w:type="dxa"/>
            <w:noWrap w:val="0"/>
            <w:vAlign w:val="center"/>
          </w:tcPr>
          <w:p w14:paraId="2BF9DE95">
            <w:pPr>
              <w:spacing w:line="360" w:lineRule="auto"/>
              <w:jc w:val="center"/>
              <w:rPr>
                <w:rFonts w:ascii="宋体" w:hAnsi="宋体" w:cs="宋体"/>
                <w:b/>
                <w:bCs/>
                <w:color w:val="auto"/>
                <w:sz w:val="24"/>
                <w:highlight w:val="none"/>
              </w:rPr>
            </w:pPr>
          </w:p>
        </w:tc>
        <w:tc>
          <w:tcPr>
            <w:tcW w:w="2745" w:type="dxa"/>
            <w:noWrap w:val="0"/>
            <w:vAlign w:val="center"/>
          </w:tcPr>
          <w:p w14:paraId="53B47CAA">
            <w:pPr>
              <w:spacing w:line="360" w:lineRule="auto"/>
              <w:jc w:val="center"/>
              <w:rPr>
                <w:rFonts w:ascii="宋体" w:hAnsi="宋体" w:cs="宋体"/>
                <w:b/>
                <w:bCs/>
                <w:color w:val="auto"/>
                <w:sz w:val="24"/>
                <w:highlight w:val="none"/>
              </w:rPr>
            </w:pPr>
          </w:p>
        </w:tc>
        <w:tc>
          <w:tcPr>
            <w:tcW w:w="825" w:type="dxa"/>
            <w:noWrap w:val="0"/>
            <w:vAlign w:val="center"/>
          </w:tcPr>
          <w:p w14:paraId="6EECEA1D">
            <w:pPr>
              <w:spacing w:line="360" w:lineRule="auto"/>
              <w:jc w:val="center"/>
              <w:rPr>
                <w:rFonts w:ascii="宋体" w:hAnsi="宋体" w:cs="宋体"/>
                <w:b/>
                <w:bCs/>
                <w:color w:val="auto"/>
                <w:sz w:val="24"/>
                <w:highlight w:val="none"/>
              </w:rPr>
            </w:pPr>
          </w:p>
        </w:tc>
        <w:tc>
          <w:tcPr>
            <w:tcW w:w="2955" w:type="dxa"/>
            <w:noWrap w:val="0"/>
            <w:vAlign w:val="top"/>
          </w:tcPr>
          <w:p w14:paraId="35D59915">
            <w:pPr>
              <w:rPr>
                <w:rFonts w:ascii="宋体" w:hAnsi="宋体" w:cs="宋体"/>
                <w:color w:val="auto"/>
                <w:sz w:val="24"/>
                <w:highlight w:val="none"/>
              </w:rPr>
            </w:pPr>
          </w:p>
        </w:tc>
      </w:tr>
      <w:tr w14:paraId="11D5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AB9962B">
            <w:pPr>
              <w:spacing w:line="360" w:lineRule="auto"/>
              <w:jc w:val="center"/>
              <w:rPr>
                <w:rFonts w:ascii="宋体" w:hAnsi="宋体" w:cs="宋体"/>
                <w:b/>
                <w:bCs/>
                <w:color w:val="auto"/>
                <w:sz w:val="24"/>
                <w:highlight w:val="none"/>
              </w:rPr>
            </w:pPr>
          </w:p>
        </w:tc>
        <w:tc>
          <w:tcPr>
            <w:tcW w:w="1260" w:type="dxa"/>
            <w:noWrap w:val="0"/>
            <w:vAlign w:val="top"/>
          </w:tcPr>
          <w:p w14:paraId="4146438F">
            <w:pPr>
              <w:spacing w:line="360" w:lineRule="auto"/>
              <w:jc w:val="center"/>
              <w:rPr>
                <w:rFonts w:ascii="宋体" w:hAnsi="宋体" w:cs="宋体"/>
                <w:b/>
                <w:bCs/>
                <w:color w:val="auto"/>
                <w:sz w:val="24"/>
                <w:highlight w:val="none"/>
              </w:rPr>
            </w:pPr>
          </w:p>
        </w:tc>
        <w:tc>
          <w:tcPr>
            <w:tcW w:w="855" w:type="dxa"/>
            <w:noWrap w:val="0"/>
            <w:vAlign w:val="center"/>
          </w:tcPr>
          <w:p w14:paraId="32292DFA">
            <w:pPr>
              <w:spacing w:line="360" w:lineRule="auto"/>
              <w:jc w:val="center"/>
              <w:rPr>
                <w:rFonts w:ascii="宋体" w:hAnsi="宋体" w:cs="宋体"/>
                <w:b/>
                <w:bCs/>
                <w:color w:val="auto"/>
                <w:sz w:val="24"/>
                <w:highlight w:val="none"/>
              </w:rPr>
            </w:pPr>
          </w:p>
        </w:tc>
        <w:tc>
          <w:tcPr>
            <w:tcW w:w="2745" w:type="dxa"/>
            <w:noWrap w:val="0"/>
            <w:vAlign w:val="center"/>
          </w:tcPr>
          <w:p w14:paraId="7BBC4199">
            <w:pPr>
              <w:spacing w:line="360" w:lineRule="auto"/>
              <w:jc w:val="center"/>
              <w:rPr>
                <w:rFonts w:ascii="宋体" w:hAnsi="宋体" w:cs="宋体"/>
                <w:b/>
                <w:bCs/>
                <w:color w:val="auto"/>
                <w:sz w:val="24"/>
                <w:highlight w:val="none"/>
              </w:rPr>
            </w:pPr>
          </w:p>
        </w:tc>
        <w:tc>
          <w:tcPr>
            <w:tcW w:w="825" w:type="dxa"/>
            <w:noWrap w:val="0"/>
            <w:vAlign w:val="center"/>
          </w:tcPr>
          <w:p w14:paraId="4A8F3A1B">
            <w:pPr>
              <w:spacing w:line="360" w:lineRule="auto"/>
              <w:jc w:val="center"/>
              <w:rPr>
                <w:rFonts w:ascii="宋体" w:hAnsi="宋体" w:cs="宋体"/>
                <w:b/>
                <w:bCs/>
                <w:color w:val="auto"/>
                <w:sz w:val="24"/>
                <w:highlight w:val="none"/>
              </w:rPr>
            </w:pPr>
          </w:p>
        </w:tc>
        <w:tc>
          <w:tcPr>
            <w:tcW w:w="2955" w:type="dxa"/>
            <w:noWrap w:val="0"/>
            <w:vAlign w:val="top"/>
          </w:tcPr>
          <w:p w14:paraId="030A6C80">
            <w:pPr>
              <w:rPr>
                <w:rFonts w:ascii="宋体" w:hAnsi="宋体" w:cs="宋体"/>
                <w:color w:val="auto"/>
                <w:sz w:val="24"/>
                <w:highlight w:val="none"/>
              </w:rPr>
            </w:pPr>
          </w:p>
        </w:tc>
      </w:tr>
      <w:tr w14:paraId="7431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BFE6E0">
            <w:pPr>
              <w:spacing w:line="360" w:lineRule="auto"/>
              <w:jc w:val="center"/>
              <w:rPr>
                <w:rFonts w:ascii="宋体" w:hAnsi="宋体" w:cs="宋体"/>
                <w:b/>
                <w:bCs/>
                <w:color w:val="auto"/>
                <w:sz w:val="24"/>
                <w:highlight w:val="none"/>
              </w:rPr>
            </w:pPr>
          </w:p>
        </w:tc>
        <w:tc>
          <w:tcPr>
            <w:tcW w:w="1260" w:type="dxa"/>
            <w:noWrap w:val="0"/>
            <w:vAlign w:val="top"/>
          </w:tcPr>
          <w:p w14:paraId="18B6ABE5">
            <w:pPr>
              <w:spacing w:line="360" w:lineRule="auto"/>
              <w:jc w:val="center"/>
              <w:rPr>
                <w:rFonts w:ascii="宋体" w:hAnsi="宋体" w:cs="宋体"/>
                <w:b/>
                <w:bCs/>
                <w:color w:val="auto"/>
                <w:sz w:val="24"/>
                <w:highlight w:val="none"/>
              </w:rPr>
            </w:pPr>
          </w:p>
        </w:tc>
        <w:tc>
          <w:tcPr>
            <w:tcW w:w="855" w:type="dxa"/>
            <w:noWrap w:val="0"/>
            <w:vAlign w:val="center"/>
          </w:tcPr>
          <w:p w14:paraId="1238E56C">
            <w:pPr>
              <w:spacing w:line="360" w:lineRule="auto"/>
              <w:jc w:val="center"/>
              <w:rPr>
                <w:rFonts w:ascii="宋体" w:hAnsi="宋体" w:cs="宋体"/>
                <w:b/>
                <w:bCs/>
                <w:color w:val="auto"/>
                <w:sz w:val="24"/>
                <w:highlight w:val="none"/>
              </w:rPr>
            </w:pPr>
          </w:p>
        </w:tc>
        <w:tc>
          <w:tcPr>
            <w:tcW w:w="2745" w:type="dxa"/>
            <w:noWrap w:val="0"/>
            <w:vAlign w:val="center"/>
          </w:tcPr>
          <w:p w14:paraId="13D7BD28">
            <w:pPr>
              <w:spacing w:line="360" w:lineRule="auto"/>
              <w:jc w:val="center"/>
              <w:rPr>
                <w:rFonts w:ascii="宋体" w:hAnsi="宋体" w:cs="宋体"/>
                <w:b/>
                <w:bCs/>
                <w:color w:val="auto"/>
                <w:sz w:val="24"/>
                <w:highlight w:val="none"/>
              </w:rPr>
            </w:pPr>
          </w:p>
        </w:tc>
        <w:tc>
          <w:tcPr>
            <w:tcW w:w="825" w:type="dxa"/>
            <w:noWrap w:val="0"/>
            <w:vAlign w:val="center"/>
          </w:tcPr>
          <w:p w14:paraId="1F79DAFF">
            <w:pPr>
              <w:spacing w:line="360" w:lineRule="auto"/>
              <w:jc w:val="center"/>
              <w:rPr>
                <w:rFonts w:ascii="宋体" w:hAnsi="宋体" w:cs="宋体"/>
                <w:b/>
                <w:bCs/>
                <w:color w:val="auto"/>
                <w:sz w:val="24"/>
                <w:highlight w:val="none"/>
              </w:rPr>
            </w:pPr>
          </w:p>
        </w:tc>
        <w:tc>
          <w:tcPr>
            <w:tcW w:w="2955" w:type="dxa"/>
            <w:noWrap w:val="0"/>
            <w:vAlign w:val="top"/>
          </w:tcPr>
          <w:p w14:paraId="3E2CECE0">
            <w:pPr>
              <w:rPr>
                <w:rFonts w:ascii="宋体" w:hAnsi="宋体" w:cs="宋体"/>
                <w:color w:val="auto"/>
                <w:sz w:val="24"/>
                <w:highlight w:val="none"/>
              </w:rPr>
            </w:pPr>
          </w:p>
        </w:tc>
      </w:tr>
      <w:tr w14:paraId="6C74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55F076E">
            <w:pPr>
              <w:spacing w:line="360" w:lineRule="auto"/>
              <w:jc w:val="center"/>
              <w:rPr>
                <w:rFonts w:ascii="宋体" w:hAnsi="宋体" w:cs="宋体"/>
                <w:b/>
                <w:bCs/>
                <w:color w:val="auto"/>
                <w:sz w:val="24"/>
                <w:highlight w:val="none"/>
              </w:rPr>
            </w:pPr>
          </w:p>
        </w:tc>
        <w:tc>
          <w:tcPr>
            <w:tcW w:w="1260" w:type="dxa"/>
            <w:noWrap w:val="0"/>
            <w:vAlign w:val="top"/>
          </w:tcPr>
          <w:p w14:paraId="08103932">
            <w:pPr>
              <w:spacing w:line="360" w:lineRule="auto"/>
              <w:jc w:val="center"/>
              <w:rPr>
                <w:rFonts w:ascii="宋体" w:hAnsi="宋体" w:cs="宋体"/>
                <w:b/>
                <w:bCs/>
                <w:color w:val="auto"/>
                <w:sz w:val="24"/>
                <w:highlight w:val="none"/>
              </w:rPr>
            </w:pPr>
          </w:p>
        </w:tc>
        <w:tc>
          <w:tcPr>
            <w:tcW w:w="855" w:type="dxa"/>
            <w:noWrap w:val="0"/>
            <w:vAlign w:val="center"/>
          </w:tcPr>
          <w:p w14:paraId="06365BBE">
            <w:pPr>
              <w:spacing w:line="360" w:lineRule="auto"/>
              <w:jc w:val="center"/>
              <w:rPr>
                <w:rFonts w:ascii="宋体" w:hAnsi="宋体" w:cs="宋体"/>
                <w:b/>
                <w:bCs/>
                <w:color w:val="auto"/>
                <w:sz w:val="24"/>
                <w:highlight w:val="none"/>
              </w:rPr>
            </w:pPr>
          </w:p>
        </w:tc>
        <w:tc>
          <w:tcPr>
            <w:tcW w:w="2745" w:type="dxa"/>
            <w:noWrap w:val="0"/>
            <w:vAlign w:val="center"/>
          </w:tcPr>
          <w:p w14:paraId="6F653521">
            <w:pPr>
              <w:spacing w:line="360" w:lineRule="auto"/>
              <w:jc w:val="center"/>
              <w:rPr>
                <w:rFonts w:ascii="宋体" w:hAnsi="宋体" w:cs="宋体"/>
                <w:b/>
                <w:bCs/>
                <w:color w:val="auto"/>
                <w:sz w:val="24"/>
                <w:highlight w:val="none"/>
              </w:rPr>
            </w:pPr>
          </w:p>
        </w:tc>
        <w:tc>
          <w:tcPr>
            <w:tcW w:w="825" w:type="dxa"/>
            <w:noWrap w:val="0"/>
            <w:vAlign w:val="center"/>
          </w:tcPr>
          <w:p w14:paraId="31FA966D">
            <w:pPr>
              <w:spacing w:line="360" w:lineRule="auto"/>
              <w:jc w:val="center"/>
              <w:rPr>
                <w:rFonts w:ascii="宋体" w:hAnsi="宋体" w:cs="宋体"/>
                <w:b/>
                <w:bCs/>
                <w:color w:val="auto"/>
                <w:sz w:val="24"/>
                <w:highlight w:val="none"/>
              </w:rPr>
            </w:pPr>
          </w:p>
        </w:tc>
        <w:tc>
          <w:tcPr>
            <w:tcW w:w="2955" w:type="dxa"/>
            <w:noWrap w:val="0"/>
            <w:vAlign w:val="top"/>
          </w:tcPr>
          <w:p w14:paraId="3E3913F6">
            <w:pPr>
              <w:rPr>
                <w:rFonts w:ascii="宋体" w:hAnsi="宋体" w:cs="宋体"/>
                <w:color w:val="auto"/>
                <w:sz w:val="24"/>
                <w:highlight w:val="none"/>
              </w:rPr>
            </w:pPr>
          </w:p>
        </w:tc>
      </w:tr>
      <w:tr w14:paraId="7C1E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93367F">
            <w:pPr>
              <w:spacing w:line="360" w:lineRule="auto"/>
              <w:jc w:val="center"/>
              <w:rPr>
                <w:rFonts w:ascii="宋体" w:hAnsi="宋体" w:cs="宋体"/>
                <w:b/>
                <w:bCs/>
                <w:color w:val="auto"/>
                <w:sz w:val="24"/>
                <w:highlight w:val="none"/>
              </w:rPr>
            </w:pPr>
          </w:p>
        </w:tc>
        <w:tc>
          <w:tcPr>
            <w:tcW w:w="1260" w:type="dxa"/>
            <w:noWrap w:val="0"/>
            <w:vAlign w:val="top"/>
          </w:tcPr>
          <w:p w14:paraId="69D3612D">
            <w:pPr>
              <w:spacing w:line="360" w:lineRule="auto"/>
              <w:jc w:val="center"/>
              <w:rPr>
                <w:rFonts w:ascii="宋体" w:hAnsi="宋体" w:cs="宋体"/>
                <w:b/>
                <w:bCs/>
                <w:color w:val="auto"/>
                <w:sz w:val="24"/>
                <w:highlight w:val="none"/>
              </w:rPr>
            </w:pPr>
          </w:p>
        </w:tc>
        <w:tc>
          <w:tcPr>
            <w:tcW w:w="855" w:type="dxa"/>
            <w:noWrap w:val="0"/>
            <w:vAlign w:val="center"/>
          </w:tcPr>
          <w:p w14:paraId="6F4B8999">
            <w:pPr>
              <w:spacing w:line="360" w:lineRule="auto"/>
              <w:jc w:val="center"/>
              <w:rPr>
                <w:rFonts w:ascii="宋体" w:hAnsi="宋体" w:cs="宋体"/>
                <w:b/>
                <w:bCs/>
                <w:color w:val="auto"/>
                <w:sz w:val="24"/>
                <w:highlight w:val="none"/>
              </w:rPr>
            </w:pPr>
          </w:p>
        </w:tc>
        <w:tc>
          <w:tcPr>
            <w:tcW w:w="2745" w:type="dxa"/>
            <w:noWrap w:val="0"/>
            <w:vAlign w:val="center"/>
          </w:tcPr>
          <w:p w14:paraId="2802BBBF">
            <w:pPr>
              <w:spacing w:line="360" w:lineRule="auto"/>
              <w:jc w:val="center"/>
              <w:rPr>
                <w:rFonts w:ascii="宋体" w:hAnsi="宋体" w:cs="宋体"/>
                <w:b/>
                <w:bCs/>
                <w:color w:val="auto"/>
                <w:sz w:val="24"/>
                <w:highlight w:val="none"/>
              </w:rPr>
            </w:pPr>
          </w:p>
        </w:tc>
        <w:tc>
          <w:tcPr>
            <w:tcW w:w="825" w:type="dxa"/>
            <w:noWrap w:val="0"/>
            <w:vAlign w:val="center"/>
          </w:tcPr>
          <w:p w14:paraId="39F2126E">
            <w:pPr>
              <w:spacing w:line="360" w:lineRule="auto"/>
              <w:jc w:val="center"/>
              <w:rPr>
                <w:rFonts w:ascii="宋体" w:hAnsi="宋体" w:cs="宋体"/>
                <w:b/>
                <w:bCs/>
                <w:color w:val="auto"/>
                <w:sz w:val="24"/>
                <w:highlight w:val="none"/>
              </w:rPr>
            </w:pPr>
          </w:p>
        </w:tc>
        <w:tc>
          <w:tcPr>
            <w:tcW w:w="2955" w:type="dxa"/>
            <w:noWrap w:val="0"/>
            <w:vAlign w:val="top"/>
          </w:tcPr>
          <w:p w14:paraId="1B5EF10D">
            <w:pPr>
              <w:rPr>
                <w:rFonts w:ascii="宋体" w:hAnsi="宋体" w:cs="宋体"/>
                <w:color w:val="auto"/>
                <w:sz w:val="24"/>
                <w:highlight w:val="none"/>
              </w:rPr>
            </w:pPr>
          </w:p>
        </w:tc>
      </w:tr>
      <w:tr w14:paraId="332E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E48BC2B">
            <w:pPr>
              <w:spacing w:line="360" w:lineRule="auto"/>
              <w:jc w:val="center"/>
              <w:rPr>
                <w:rFonts w:ascii="宋体" w:hAnsi="宋体" w:cs="宋体"/>
                <w:b/>
                <w:bCs/>
                <w:color w:val="auto"/>
                <w:sz w:val="24"/>
                <w:highlight w:val="none"/>
              </w:rPr>
            </w:pPr>
          </w:p>
        </w:tc>
        <w:tc>
          <w:tcPr>
            <w:tcW w:w="1260" w:type="dxa"/>
            <w:noWrap w:val="0"/>
            <w:vAlign w:val="top"/>
          </w:tcPr>
          <w:p w14:paraId="71A6AFF5">
            <w:pPr>
              <w:spacing w:line="360" w:lineRule="auto"/>
              <w:jc w:val="center"/>
              <w:rPr>
                <w:rFonts w:ascii="宋体" w:hAnsi="宋体" w:cs="宋体"/>
                <w:b/>
                <w:bCs/>
                <w:color w:val="auto"/>
                <w:sz w:val="24"/>
                <w:highlight w:val="none"/>
              </w:rPr>
            </w:pPr>
          </w:p>
        </w:tc>
        <w:tc>
          <w:tcPr>
            <w:tcW w:w="855" w:type="dxa"/>
            <w:noWrap w:val="0"/>
            <w:vAlign w:val="center"/>
          </w:tcPr>
          <w:p w14:paraId="1C59C773">
            <w:pPr>
              <w:spacing w:line="360" w:lineRule="auto"/>
              <w:jc w:val="center"/>
              <w:rPr>
                <w:rFonts w:ascii="宋体" w:hAnsi="宋体" w:cs="宋体"/>
                <w:b/>
                <w:bCs/>
                <w:color w:val="auto"/>
                <w:sz w:val="24"/>
                <w:highlight w:val="none"/>
              </w:rPr>
            </w:pPr>
          </w:p>
        </w:tc>
        <w:tc>
          <w:tcPr>
            <w:tcW w:w="2745" w:type="dxa"/>
            <w:noWrap w:val="0"/>
            <w:vAlign w:val="center"/>
          </w:tcPr>
          <w:p w14:paraId="55A1F08F">
            <w:pPr>
              <w:spacing w:line="360" w:lineRule="auto"/>
              <w:jc w:val="center"/>
              <w:rPr>
                <w:rFonts w:ascii="宋体" w:hAnsi="宋体" w:cs="宋体"/>
                <w:b/>
                <w:bCs/>
                <w:color w:val="auto"/>
                <w:sz w:val="24"/>
                <w:highlight w:val="none"/>
              </w:rPr>
            </w:pPr>
          </w:p>
        </w:tc>
        <w:tc>
          <w:tcPr>
            <w:tcW w:w="825" w:type="dxa"/>
            <w:noWrap w:val="0"/>
            <w:vAlign w:val="center"/>
          </w:tcPr>
          <w:p w14:paraId="60596554">
            <w:pPr>
              <w:spacing w:line="360" w:lineRule="auto"/>
              <w:jc w:val="center"/>
              <w:rPr>
                <w:rFonts w:ascii="宋体" w:hAnsi="宋体" w:cs="宋体"/>
                <w:b/>
                <w:bCs/>
                <w:color w:val="auto"/>
                <w:sz w:val="24"/>
                <w:highlight w:val="none"/>
              </w:rPr>
            </w:pPr>
          </w:p>
        </w:tc>
        <w:tc>
          <w:tcPr>
            <w:tcW w:w="2955" w:type="dxa"/>
            <w:noWrap w:val="0"/>
            <w:vAlign w:val="top"/>
          </w:tcPr>
          <w:p w14:paraId="6DC5CA4D">
            <w:pPr>
              <w:rPr>
                <w:rFonts w:ascii="宋体" w:hAnsi="宋体" w:cs="宋体"/>
                <w:color w:val="auto"/>
                <w:sz w:val="24"/>
                <w:highlight w:val="none"/>
              </w:rPr>
            </w:pPr>
          </w:p>
        </w:tc>
      </w:tr>
      <w:tr w14:paraId="12CD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5EB65A6">
            <w:pPr>
              <w:spacing w:line="360" w:lineRule="auto"/>
              <w:jc w:val="center"/>
              <w:rPr>
                <w:rFonts w:ascii="宋体" w:hAnsi="宋体" w:cs="宋体"/>
                <w:b/>
                <w:bCs/>
                <w:color w:val="auto"/>
                <w:sz w:val="24"/>
                <w:highlight w:val="none"/>
              </w:rPr>
            </w:pPr>
          </w:p>
        </w:tc>
        <w:tc>
          <w:tcPr>
            <w:tcW w:w="1260" w:type="dxa"/>
            <w:noWrap w:val="0"/>
            <w:vAlign w:val="top"/>
          </w:tcPr>
          <w:p w14:paraId="09CDA78D">
            <w:pPr>
              <w:spacing w:line="360" w:lineRule="auto"/>
              <w:jc w:val="center"/>
              <w:rPr>
                <w:rFonts w:ascii="宋体" w:hAnsi="宋体" w:cs="宋体"/>
                <w:b/>
                <w:bCs/>
                <w:color w:val="auto"/>
                <w:sz w:val="24"/>
                <w:highlight w:val="none"/>
              </w:rPr>
            </w:pPr>
          </w:p>
        </w:tc>
        <w:tc>
          <w:tcPr>
            <w:tcW w:w="855" w:type="dxa"/>
            <w:noWrap w:val="0"/>
            <w:vAlign w:val="center"/>
          </w:tcPr>
          <w:p w14:paraId="62A396CC">
            <w:pPr>
              <w:spacing w:line="360" w:lineRule="auto"/>
              <w:jc w:val="center"/>
              <w:rPr>
                <w:rFonts w:ascii="宋体" w:hAnsi="宋体" w:cs="宋体"/>
                <w:b/>
                <w:bCs/>
                <w:color w:val="auto"/>
                <w:sz w:val="24"/>
                <w:highlight w:val="none"/>
              </w:rPr>
            </w:pPr>
          </w:p>
        </w:tc>
        <w:tc>
          <w:tcPr>
            <w:tcW w:w="2745" w:type="dxa"/>
            <w:noWrap w:val="0"/>
            <w:vAlign w:val="center"/>
          </w:tcPr>
          <w:p w14:paraId="51221C88">
            <w:pPr>
              <w:spacing w:line="360" w:lineRule="auto"/>
              <w:jc w:val="center"/>
              <w:rPr>
                <w:rFonts w:ascii="宋体" w:hAnsi="宋体" w:cs="宋体"/>
                <w:b/>
                <w:bCs/>
                <w:color w:val="auto"/>
                <w:sz w:val="24"/>
                <w:highlight w:val="none"/>
              </w:rPr>
            </w:pPr>
          </w:p>
        </w:tc>
        <w:tc>
          <w:tcPr>
            <w:tcW w:w="825" w:type="dxa"/>
            <w:noWrap w:val="0"/>
            <w:vAlign w:val="center"/>
          </w:tcPr>
          <w:p w14:paraId="1F1832DA">
            <w:pPr>
              <w:spacing w:line="360" w:lineRule="auto"/>
              <w:jc w:val="center"/>
              <w:rPr>
                <w:rFonts w:ascii="宋体" w:hAnsi="宋体" w:cs="宋体"/>
                <w:b/>
                <w:bCs/>
                <w:color w:val="auto"/>
                <w:sz w:val="24"/>
                <w:highlight w:val="none"/>
              </w:rPr>
            </w:pPr>
          </w:p>
        </w:tc>
        <w:tc>
          <w:tcPr>
            <w:tcW w:w="2955" w:type="dxa"/>
            <w:noWrap w:val="0"/>
            <w:vAlign w:val="top"/>
          </w:tcPr>
          <w:p w14:paraId="10262DDC">
            <w:pPr>
              <w:rPr>
                <w:rFonts w:ascii="宋体" w:hAnsi="宋体" w:cs="宋体"/>
                <w:color w:val="auto"/>
                <w:sz w:val="24"/>
                <w:highlight w:val="none"/>
              </w:rPr>
            </w:pPr>
          </w:p>
        </w:tc>
      </w:tr>
      <w:tr w14:paraId="73AA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2FDACAB">
            <w:pPr>
              <w:spacing w:line="360" w:lineRule="auto"/>
              <w:jc w:val="center"/>
              <w:rPr>
                <w:rFonts w:ascii="宋体" w:hAnsi="宋体" w:cs="宋体"/>
                <w:b/>
                <w:bCs/>
                <w:color w:val="auto"/>
                <w:sz w:val="24"/>
                <w:highlight w:val="none"/>
              </w:rPr>
            </w:pPr>
          </w:p>
        </w:tc>
        <w:tc>
          <w:tcPr>
            <w:tcW w:w="1260" w:type="dxa"/>
            <w:noWrap w:val="0"/>
            <w:vAlign w:val="top"/>
          </w:tcPr>
          <w:p w14:paraId="6E60CB32">
            <w:pPr>
              <w:spacing w:line="360" w:lineRule="auto"/>
              <w:jc w:val="center"/>
              <w:rPr>
                <w:rFonts w:ascii="宋体" w:hAnsi="宋体" w:cs="宋体"/>
                <w:b/>
                <w:bCs/>
                <w:color w:val="auto"/>
                <w:sz w:val="24"/>
                <w:highlight w:val="none"/>
              </w:rPr>
            </w:pPr>
          </w:p>
        </w:tc>
        <w:tc>
          <w:tcPr>
            <w:tcW w:w="855" w:type="dxa"/>
            <w:noWrap w:val="0"/>
            <w:vAlign w:val="center"/>
          </w:tcPr>
          <w:p w14:paraId="6AD69C93">
            <w:pPr>
              <w:spacing w:line="360" w:lineRule="auto"/>
              <w:jc w:val="center"/>
              <w:rPr>
                <w:rFonts w:ascii="宋体" w:hAnsi="宋体" w:cs="宋体"/>
                <w:b/>
                <w:bCs/>
                <w:color w:val="auto"/>
                <w:sz w:val="24"/>
                <w:highlight w:val="none"/>
              </w:rPr>
            </w:pPr>
          </w:p>
        </w:tc>
        <w:tc>
          <w:tcPr>
            <w:tcW w:w="2745" w:type="dxa"/>
            <w:noWrap w:val="0"/>
            <w:vAlign w:val="center"/>
          </w:tcPr>
          <w:p w14:paraId="00E6EB27">
            <w:pPr>
              <w:spacing w:line="360" w:lineRule="auto"/>
              <w:jc w:val="center"/>
              <w:rPr>
                <w:rFonts w:ascii="宋体" w:hAnsi="宋体" w:cs="宋体"/>
                <w:b/>
                <w:bCs/>
                <w:color w:val="auto"/>
                <w:sz w:val="24"/>
                <w:highlight w:val="none"/>
              </w:rPr>
            </w:pPr>
          </w:p>
        </w:tc>
        <w:tc>
          <w:tcPr>
            <w:tcW w:w="825" w:type="dxa"/>
            <w:noWrap w:val="0"/>
            <w:vAlign w:val="center"/>
          </w:tcPr>
          <w:p w14:paraId="56D75AE0">
            <w:pPr>
              <w:spacing w:line="360" w:lineRule="auto"/>
              <w:jc w:val="center"/>
              <w:rPr>
                <w:rFonts w:ascii="宋体" w:hAnsi="宋体" w:cs="宋体"/>
                <w:b/>
                <w:bCs/>
                <w:color w:val="auto"/>
                <w:sz w:val="24"/>
                <w:highlight w:val="none"/>
              </w:rPr>
            </w:pPr>
          </w:p>
        </w:tc>
        <w:tc>
          <w:tcPr>
            <w:tcW w:w="2955" w:type="dxa"/>
            <w:noWrap w:val="0"/>
            <w:vAlign w:val="top"/>
          </w:tcPr>
          <w:p w14:paraId="55E6FF6C">
            <w:pPr>
              <w:rPr>
                <w:rFonts w:ascii="宋体" w:hAnsi="宋体" w:cs="宋体"/>
                <w:color w:val="auto"/>
                <w:sz w:val="24"/>
                <w:highlight w:val="none"/>
              </w:rPr>
            </w:pPr>
          </w:p>
        </w:tc>
      </w:tr>
      <w:tr w14:paraId="4F2C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84B2CA6">
            <w:pPr>
              <w:spacing w:line="360" w:lineRule="auto"/>
              <w:jc w:val="center"/>
              <w:rPr>
                <w:rFonts w:ascii="宋体" w:hAnsi="宋体" w:cs="宋体"/>
                <w:b/>
                <w:bCs/>
                <w:color w:val="auto"/>
                <w:sz w:val="24"/>
                <w:highlight w:val="none"/>
              </w:rPr>
            </w:pPr>
          </w:p>
        </w:tc>
        <w:tc>
          <w:tcPr>
            <w:tcW w:w="1260" w:type="dxa"/>
            <w:noWrap w:val="0"/>
            <w:vAlign w:val="top"/>
          </w:tcPr>
          <w:p w14:paraId="6765F27A">
            <w:pPr>
              <w:spacing w:line="360" w:lineRule="auto"/>
              <w:jc w:val="center"/>
              <w:rPr>
                <w:rFonts w:ascii="宋体" w:hAnsi="宋体" w:cs="宋体"/>
                <w:b/>
                <w:bCs/>
                <w:color w:val="auto"/>
                <w:sz w:val="24"/>
                <w:highlight w:val="none"/>
              </w:rPr>
            </w:pPr>
          </w:p>
        </w:tc>
        <w:tc>
          <w:tcPr>
            <w:tcW w:w="855" w:type="dxa"/>
            <w:noWrap w:val="0"/>
            <w:vAlign w:val="center"/>
          </w:tcPr>
          <w:p w14:paraId="00976B04">
            <w:pPr>
              <w:spacing w:line="360" w:lineRule="auto"/>
              <w:jc w:val="center"/>
              <w:rPr>
                <w:rFonts w:ascii="宋体" w:hAnsi="宋体" w:cs="宋体"/>
                <w:b/>
                <w:bCs/>
                <w:color w:val="auto"/>
                <w:sz w:val="24"/>
                <w:highlight w:val="none"/>
              </w:rPr>
            </w:pPr>
          </w:p>
        </w:tc>
        <w:tc>
          <w:tcPr>
            <w:tcW w:w="2745" w:type="dxa"/>
            <w:noWrap w:val="0"/>
            <w:vAlign w:val="center"/>
          </w:tcPr>
          <w:p w14:paraId="6FF83866">
            <w:pPr>
              <w:spacing w:line="360" w:lineRule="auto"/>
              <w:jc w:val="center"/>
              <w:rPr>
                <w:rFonts w:ascii="宋体" w:hAnsi="宋体" w:cs="宋体"/>
                <w:b/>
                <w:bCs/>
                <w:color w:val="auto"/>
                <w:sz w:val="24"/>
                <w:highlight w:val="none"/>
              </w:rPr>
            </w:pPr>
          </w:p>
        </w:tc>
        <w:tc>
          <w:tcPr>
            <w:tcW w:w="825" w:type="dxa"/>
            <w:noWrap w:val="0"/>
            <w:vAlign w:val="center"/>
          </w:tcPr>
          <w:p w14:paraId="2049089E">
            <w:pPr>
              <w:spacing w:line="360" w:lineRule="auto"/>
              <w:jc w:val="center"/>
              <w:rPr>
                <w:rFonts w:ascii="宋体" w:hAnsi="宋体" w:cs="宋体"/>
                <w:b/>
                <w:bCs/>
                <w:color w:val="auto"/>
                <w:sz w:val="24"/>
                <w:highlight w:val="none"/>
              </w:rPr>
            </w:pPr>
          </w:p>
        </w:tc>
        <w:tc>
          <w:tcPr>
            <w:tcW w:w="2955" w:type="dxa"/>
            <w:noWrap w:val="0"/>
            <w:vAlign w:val="top"/>
          </w:tcPr>
          <w:p w14:paraId="1B25554E">
            <w:pPr>
              <w:rPr>
                <w:rFonts w:ascii="宋体" w:hAnsi="宋体" w:cs="宋体"/>
                <w:color w:val="auto"/>
                <w:sz w:val="24"/>
                <w:highlight w:val="none"/>
              </w:rPr>
            </w:pPr>
          </w:p>
        </w:tc>
      </w:tr>
      <w:tr w14:paraId="534D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F256BC6">
            <w:pPr>
              <w:spacing w:line="360" w:lineRule="auto"/>
              <w:jc w:val="center"/>
              <w:rPr>
                <w:rFonts w:ascii="宋体" w:hAnsi="宋体" w:cs="宋体"/>
                <w:b/>
                <w:bCs/>
                <w:color w:val="auto"/>
                <w:sz w:val="24"/>
                <w:highlight w:val="none"/>
              </w:rPr>
            </w:pPr>
          </w:p>
        </w:tc>
        <w:tc>
          <w:tcPr>
            <w:tcW w:w="1260" w:type="dxa"/>
            <w:noWrap w:val="0"/>
            <w:vAlign w:val="top"/>
          </w:tcPr>
          <w:p w14:paraId="7E6F5F33">
            <w:pPr>
              <w:spacing w:line="360" w:lineRule="auto"/>
              <w:jc w:val="center"/>
              <w:rPr>
                <w:rFonts w:ascii="宋体" w:hAnsi="宋体" w:cs="宋体"/>
                <w:b/>
                <w:bCs/>
                <w:color w:val="auto"/>
                <w:sz w:val="24"/>
                <w:highlight w:val="none"/>
              </w:rPr>
            </w:pPr>
          </w:p>
        </w:tc>
        <w:tc>
          <w:tcPr>
            <w:tcW w:w="855" w:type="dxa"/>
            <w:noWrap w:val="0"/>
            <w:vAlign w:val="center"/>
          </w:tcPr>
          <w:p w14:paraId="5120392D">
            <w:pPr>
              <w:spacing w:line="360" w:lineRule="auto"/>
              <w:jc w:val="center"/>
              <w:rPr>
                <w:rFonts w:ascii="宋体" w:hAnsi="宋体" w:cs="宋体"/>
                <w:b/>
                <w:bCs/>
                <w:color w:val="auto"/>
                <w:sz w:val="24"/>
                <w:highlight w:val="none"/>
              </w:rPr>
            </w:pPr>
          </w:p>
        </w:tc>
        <w:tc>
          <w:tcPr>
            <w:tcW w:w="2745" w:type="dxa"/>
            <w:noWrap w:val="0"/>
            <w:vAlign w:val="center"/>
          </w:tcPr>
          <w:p w14:paraId="1B0A1576">
            <w:pPr>
              <w:spacing w:line="360" w:lineRule="auto"/>
              <w:jc w:val="center"/>
              <w:rPr>
                <w:rFonts w:ascii="宋体" w:hAnsi="宋体" w:cs="宋体"/>
                <w:b/>
                <w:bCs/>
                <w:color w:val="auto"/>
                <w:sz w:val="24"/>
                <w:highlight w:val="none"/>
              </w:rPr>
            </w:pPr>
          </w:p>
        </w:tc>
        <w:tc>
          <w:tcPr>
            <w:tcW w:w="825" w:type="dxa"/>
            <w:noWrap w:val="0"/>
            <w:vAlign w:val="center"/>
          </w:tcPr>
          <w:p w14:paraId="30A4BEDA">
            <w:pPr>
              <w:spacing w:line="360" w:lineRule="auto"/>
              <w:jc w:val="center"/>
              <w:rPr>
                <w:rFonts w:ascii="宋体" w:hAnsi="宋体" w:cs="宋体"/>
                <w:b/>
                <w:bCs/>
                <w:color w:val="auto"/>
                <w:sz w:val="24"/>
                <w:highlight w:val="none"/>
              </w:rPr>
            </w:pPr>
          </w:p>
        </w:tc>
        <w:tc>
          <w:tcPr>
            <w:tcW w:w="2955" w:type="dxa"/>
            <w:noWrap w:val="0"/>
            <w:vAlign w:val="top"/>
          </w:tcPr>
          <w:p w14:paraId="6EC905DE">
            <w:pPr>
              <w:rPr>
                <w:rFonts w:ascii="宋体" w:hAnsi="宋体" w:cs="宋体"/>
                <w:color w:val="auto"/>
                <w:sz w:val="24"/>
                <w:highlight w:val="none"/>
              </w:rPr>
            </w:pPr>
          </w:p>
        </w:tc>
      </w:tr>
      <w:tr w14:paraId="1F7A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E32D72A">
            <w:pPr>
              <w:spacing w:line="360" w:lineRule="auto"/>
              <w:jc w:val="center"/>
              <w:rPr>
                <w:rFonts w:ascii="宋体" w:hAnsi="宋体" w:cs="宋体"/>
                <w:b/>
                <w:bCs/>
                <w:color w:val="auto"/>
                <w:sz w:val="24"/>
                <w:highlight w:val="none"/>
              </w:rPr>
            </w:pPr>
          </w:p>
        </w:tc>
        <w:tc>
          <w:tcPr>
            <w:tcW w:w="1260" w:type="dxa"/>
            <w:noWrap w:val="0"/>
            <w:vAlign w:val="top"/>
          </w:tcPr>
          <w:p w14:paraId="14D67908">
            <w:pPr>
              <w:spacing w:line="360" w:lineRule="auto"/>
              <w:jc w:val="center"/>
              <w:rPr>
                <w:rFonts w:ascii="宋体" w:hAnsi="宋体" w:cs="宋体"/>
                <w:b/>
                <w:bCs/>
                <w:color w:val="auto"/>
                <w:sz w:val="24"/>
                <w:highlight w:val="none"/>
              </w:rPr>
            </w:pPr>
          </w:p>
        </w:tc>
        <w:tc>
          <w:tcPr>
            <w:tcW w:w="855" w:type="dxa"/>
            <w:noWrap w:val="0"/>
            <w:vAlign w:val="center"/>
          </w:tcPr>
          <w:p w14:paraId="40599A30">
            <w:pPr>
              <w:spacing w:line="360" w:lineRule="auto"/>
              <w:jc w:val="center"/>
              <w:rPr>
                <w:rFonts w:ascii="宋体" w:hAnsi="宋体" w:cs="宋体"/>
                <w:b/>
                <w:bCs/>
                <w:color w:val="auto"/>
                <w:sz w:val="24"/>
                <w:highlight w:val="none"/>
              </w:rPr>
            </w:pPr>
          </w:p>
        </w:tc>
        <w:tc>
          <w:tcPr>
            <w:tcW w:w="2745" w:type="dxa"/>
            <w:noWrap w:val="0"/>
            <w:vAlign w:val="center"/>
          </w:tcPr>
          <w:p w14:paraId="5484137C">
            <w:pPr>
              <w:spacing w:line="360" w:lineRule="auto"/>
              <w:jc w:val="center"/>
              <w:rPr>
                <w:rFonts w:ascii="宋体" w:hAnsi="宋体" w:cs="宋体"/>
                <w:b/>
                <w:bCs/>
                <w:color w:val="auto"/>
                <w:sz w:val="24"/>
                <w:highlight w:val="none"/>
              </w:rPr>
            </w:pPr>
          </w:p>
        </w:tc>
        <w:tc>
          <w:tcPr>
            <w:tcW w:w="825" w:type="dxa"/>
            <w:noWrap w:val="0"/>
            <w:vAlign w:val="center"/>
          </w:tcPr>
          <w:p w14:paraId="07F03920">
            <w:pPr>
              <w:spacing w:line="360" w:lineRule="auto"/>
              <w:jc w:val="center"/>
              <w:rPr>
                <w:rFonts w:ascii="宋体" w:hAnsi="宋体" w:cs="宋体"/>
                <w:b/>
                <w:bCs/>
                <w:color w:val="auto"/>
                <w:sz w:val="24"/>
                <w:highlight w:val="none"/>
              </w:rPr>
            </w:pPr>
          </w:p>
        </w:tc>
        <w:tc>
          <w:tcPr>
            <w:tcW w:w="2955" w:type="dxa"/>
            <w:noWrap w:val="0"/>
            <w:vAlign w:val="top"/>
          </w:tcPr>
          <w:p w14:paraId="4C7C6A87">
            <w:pPr>
              <w:rPr>
                <w:rFonts w:ascii="宋体" w:hAnsi="宋体" w:cs="宋体"/>
                <w:color w:val="auto"/>
                <w:sz w:val="24"/>
                <w:highlight w:val="none"/>
              </w:rPr>
            </w:pPr>
          </w:p>
        </w:tc>
      </w:tr>
      <w:tr w14:paraId="7A34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F35AD02">
            <w:pPr>
              <w:spacing w:line="360" w:lineRule="auto"/>
              <w:jc w:val="center"/>
              <w:rPr>
                <w:rFonts w:ascii="宋体" w:hAnsi="宋体" w:cs="宋体"/>
                <w:b/>
                <w:bCs/>
                <w:color w:val="auto"/>
                <w:sz w:val="24"/>
                <w:highlight w:val="none"/>
              </w:rPr>
            </w:pPr>
          </w:p>
        </w:tc>
        <w:tc>
          <w:tcPr>
            <w:tcW w:w="1260" w:type="dxa"/>
            <w:noWrap w:val="0"/>
            <w:vAlign w:val="top"/>
          </w:tcPr>
          <w:p w14:paraId="6DD30656">
            <w:pPr>
              <w:spacing w:line="360" w:lineRule="auto"/>
              <w:jc w:val="center"/>
              <w:rPr>
                <w:rFonts w:ascii="宋体" w:hAnsi="宋体" w:cs="宋体"/>
                <w:b/>
                <w:bCs/>
                <w:color w:val="auto"/>
                <w:sz w:val="24"/>
                <w:highlight w:val="none"/>
              </w:rPr>
            </w:pPr>
          </w:p>
        </w:tc>
        <w:tc>
          <w:tcPr>
            <w:tcW w:w="855" w:type="dxa"/>
            <w:noWrap w:val="0"/>
            <w:vAlign w:val="center"/>
          </w:tcPr>
          <w:p w14:paraId="3F2F6AC3">
            <w:pPr>
              <w:spacing w:line="360" w:lineRule="auto"/>
              <w:jc w:val="center"/>
              <w:rPr>
                <w:rFonts w:ascii="宋体" w:hAnsi="宋体" w:cs="宋体"/>
                <w:b/>
                <w:bCs/>
                <w:color w:val="auto"/>
                <w:sz w:val="24"/>
                <w:highlight w:val="none"/>
              </w:rPr>
            </w:pPr>
          </w:p>
        </w:tc>
        <w:tc>
          <w:tcPr>
            <w:tcW w:w="2745" w:type="dxa"/>
            <w:noWrap w:val="0"/>
            <w:vAlign w:val="center"/>
          </w:tcPr>
          <w:p w14:paraId="07EDA875">
            <w:pPr>
              <w:spacing w:line="360" w:lineRule="auto"/>
              <w:jc w:val="center"/>
              <w:rPr>
                <w:rFonts w:ascii="宋体" w:hAnsi="宋体" w:cs="宋体"/>
                <w:b/>
                <w:bCs/>
                <w:color w:val="auto"/>
                <w:sz w:val="24"/>
                <w:highlight w:val="none"/>
              </w:rPr>
            </w:pPr>
          </w:p>
        </w:tc>
        <w:tc>
          <w:tcPr>
            <w:tcW w:w="825" w:type="dxa"/>
            <w:noWrap w:val="0"/>
            <w:vAlign w:val="center"/>
          </w:tcPr>
          <w:p w14:paraId="60B3CE41">
            <w:pPr>
              <w:spacing w:line="360" w:lineRule="auto"/>
              <w:jc w:val="center"/>
              <w:rPr>
                <w:rFonts w:ascii="宋体" w:hAnsi="宋体" w:cs="宋体"/>
                <w:b/>
                <w:bCs/>
                <w:color w:val="auto"/>
                <w:sz w:val="24"/>
                <w:highlight w:val="none"/>
              </w:rPr>
            </w:pPr>
          </w:p>
        </w:tc>
        <w:tc>
          <w:tcPr>
            <w:tcW w:w="2955" w:type="dxa"/>
            <w:noWrap w:val="0"/>
            <w:vAlign w:val="top"/>
          </w:tcPr>
          <w:p w14:paraId="5600C39E">
            <w:pPr>
              <w:rPr>
                <w:rFonts w:ascii="宋体" w:hAnsi="宋体" w:cs="宋体"/>
                <w:color w:val="auto"/>
                <w:sz w:val="24"/>
                <w:highlight w:val="none"/>
              </w:rPr>
            </w:pPr>
          </w:p>
        </w:tc>
      </w:tr>
      <w:tr w14:paraId="11AD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57AEC4F">
            <w:pPr>
              <w:spacing w:line="360" w:lineRule="auto"/>
              <w:jc w:val="center"/>
              <w:rPr>
                <w:rFonts w:ascii="宋体" w:hAnsi="宋体" w:cs="宋体"/>
                <w:b/>
                <w:bCs/>
                <w:color w:val="auto"/>
                <w:sz w:val="24"/>
                <w:highlight w:val="none"/>
              </w:rPr>
            </w:pPr>
          </w:p>
        </w:tc>
        <w:tc>
          <w:tcPr>
            <w:tcW w:w="1260" w:type="dxa"/>
            <w:noWrap w:val="0"/>
            <w:vAlign w:val="top"/>
          </w:tcPr>
          <w:p w14:paraId="0BD39781">
            <w:pPr>
              <w:spacing w:line="360" w:lineRule="auto"/>
              <w:jc w:val="center"/>
              <w:rPr>
                <w:rFonts w:ascii="宋体" w:hAnsi="宋体" w:cs="宋体"/>
                <w:b/>
                <w:bCs/>
                <w:color w:val="auto"/>
                <w:sz w:val="24"/>
                <w:highlight w:val="none"/>
              </w:rPr>
            </w:pPr>
          </w:p>
        </w:tc>
        <w:tc>
          <w:tcPr>
            <w:tcW w:w="855" w:type="dxa"/>
            <w:noWrap w:val="0"/>
            <w:vAlign w:val="center"/>
          </w:tcPr>
          <w:p w14:paraId="29CE2B94">
            <w:pPr>
              <w:spacing w:line="360" w:lineRule="auto"/>
              <w:jc w:val="center"/>
              <w:rPr>
                <w:rFonts w:ascii="宋体" w:hAnsi="宋体" w:cs="宋体"/>
                <w:b/>
                <w:bCs/>
                <w:color w:val="auto"/>
                <w:sz w:val="24"/>
                <w:highlight w:val="none"/>
              </w:rPr>
            </w:pPr>
          </w:p>
        </w:tc>
        <w:tc>
          <w:tcPr>
            <w:tcW w:w="2745" w:type="dxa"/>
            <w:noWrap w:val="0"/>
            <w:vAlign w:val="center"/>
          </w:tcPr>
          <w:p w14:paraId="44B4ADB8">
            <w:pPr>
              <w:spacing w:line="360" w:lineRule="auto"/>
              <w:jc w:val="center"/>
              <w:rPr>
                <w:rFonts w:ascii="宋体" w:hAnsi="宋体" w:cs="宋体"/>
                <w:b/>
                <w:bCs/>
                <w:color w:val="auto"/>
                <w:sz w:val="24"/>
                <w:highlight w:val="none"/>
              </w:rPr>
            </w:pPr>
          </w:p>
        </w:tc>
        <w:tc>
          <w:tcPr>
            <w:tcW w:w="825" w:type="dxa"/>
            <w:noWrap w:val="0"/>
            <w:vAlign w:val="center"/>
          </w:tcPr>
          <w:p w14:paraId="06144E45">
            <w:pPr>
              <w:spacing w:line="360" w:lineRule="auto"/>
              <w:jc w:val="center"/>
              <w:rPr>
                <w:rFonts w:ascii="宋体" w:hAnsi="宋体" w:cs="宋体"/>
                <w:b/>
                <w:bCs/>
                <w:color w:val="auto"/>
                <w:sz w:val="24"/>
                <w:highlight w:val="none"/>
              </w:rPr>
            </w:pPr>
          </w:p>
        </w:tc>
        <w:tc>
          <w:tcPr>
            <w:tcW w:w="2955" w:type="dxa"/>
            <w:noWrap w:val="0"/>
            <w:vAlign w:val="top"/>
          </w:tcPr>
          <w:p w14:paraId="6FBD5020">
            <w:pPr>
              <w:rPr>
                <w:rFonts w:ascii="宋体" w:hAnsi="宋体" w:cs="宋体"/>
                <w:color w:val="auto"/>
                <w:sz w:val="24"/>
                <w:highlight w:val="none"/>
              </w:rPr>
            </w:pPr>
          </w:p>
        </w:tc>
      </w:tr>
      <w:tr w14:paraId="0963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AF6B2AA">
            <w:pPr>
              <w:spacing w:line="360" w:lineRule="auto"/>
              <w:jc w:val="center"/>
              <w:rPr>
                <w:rFonts w:ascii="宋体" w:hAnsi="宋体" w:cs="宋体"/>
                <w:b/>
                <w:bCs/>
                <w:color w:val="auto"/>
                <w:sz w:val="24"/>
                <w:highlight w:val="none"/>
              </w:rPr>
            </w:pPr>
          </w:p>
        </w:tc>
        <w:tc>
          <w:tcPr>
            <w:tcW w:w="1260" w:type="dxa"/>
            <w:noWrap w:val="0"/>
            <w:vAlign w:val="top"/>
          </w:tcPr>
          <w:p w14:paraId="1E117B57">
            <w:pPr>
              <w:spacing w:line="360" w:lineRule="auto"/>
              <w:jc w:val="center"/>
              <w:rPr>
                <w:rFonts w:ascii="宋体" w:hAnsi="宋体" w:cs="宋体"/>
                <w:b/>
                <w:bCs/>
                <w:color w:val="auto"/>
                <w:sz w:val="24"/>
                <w:highlight w:val="none"/>
              </w:rPr>
            </w:pPr>
          </w:p>
        </w:tc>
        <w:tc>
          <w:tcPr>
            <w:tcW w:w="855" w:type="dxa"/>
            <w:noWrap w:val="0"/>
            <w:vAlign w:val="center"/>
          </w:tcPr>
          <w:p w14:paraId="5B2740E3">
            <w:pPr>
              <w:spacing w:line="360" w:lineRule="auto"/>
              <w:jc w:val="center"/>
              <w:rPr>
                <w:rFonts w:ascii="宋体" w:hAnsi="宋体" w:cs="宋体"/>
                <w:b/>
                <w:bCs/>
                <w:color w:val="auto"/>
                <w:sz w:val="24"/>
                <w:highlight w:val="none"/>
              </w:rPr>
            </w:pPr>
          </w:p>
        </w:tc>
        <w:tc>
          <w:tcPr>
            <w:tcW w:w="2745" w:type="dxa"/>
            <w:noWrap w:val="0"/>
            <w:vAlign w:val="center"/>
          </w:tcPr>
          <w:p w14:paraId="33FC0729">
            <w:pPr>
              <w:spacing w:line="360" w:lineRule="auto"/>
              <w:jc w:val="center"/>
              <w:rPr>
                <w:rFonts w:ascii="宋体" w:hAnsi="宋体" w:cs="宋体"/>
                <w:b/>
                <w:bCs/>
                <w:color w:val="auto"/>
                <w:sz w:val="24"/>
                <w:highlight w:val="none"/>
              </w:rPr>
            </w:pPr>
          </w:p>
        </w:tc>
        <w:tc>
          <w:tcPr>
            <w:tcW w:w="825" w:type="dxa"/>
            <w:noWrap w:val="0"/>
            <w:vAlign w:val="center"/>
          </w:tcPr>
          <w:p w14:paraId="4C9801A9">
            <w:pPr>
              <w:spacing w:line="360" w:lineRule="auto"/>
              <w:jc w:val="center"/>
              <w:rPr>
                <w:rFonts w:ascii="宋体" w:hAnsi="宋体" w:cs="宋体"/>
                <w:b/>
                <w:bCs/>
                <w:color w:val="auto"/>
                <w:sz w:val="24"/>
                <w:highlight w:val="none"/>
              </w:rPr>
            </w:pPr>
          </w:p>
        </w:tc>
        <w:tc>
          <w:tcPr>
            <w:tcW w:w="2955" w:type="dxa"/>
            <w:noWrap w:val="0"/>
            <w:vAlign w:val="top"/>
          </w:tcPr>
          <w:p w14:paraId="79300832">
            <w:pPr>
              <w:rPr>
                <w:rFonts w:ascii="宋体" w:hAnsi="宋体" w:cs="宋体"/>
                <w:color w:val="auto"/>
                <w:sz w:val="24"/>
                <w:highlight w:val="none"/>
              </w:rPr>
            </w:pPr>
          </w:p>
        </w:tc>
      </w:tr>
      <w:tr w14:paraId="3126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0A9A18A">
            <w:pPr>
              <w:spacing w:line="360" w:lineRule="auto"/>
              <w:jc w:val="center"/>
              <w:rPr>
                <w:rFonts w:ascii="宋体" w:hAnsi="宋体" w:cs="宋体"/>
                <w:b/>
                <w:bCs/>
                <w:color w:val="auto"/>
                <w:sz w:val="24"/>
                <w:highlight w:val="none"/>
              </w:rPr>
            </w:pPr>
          </w:p>
        </w:tc>
        <w:tc>
          <w:tcPr>
            <w:tcW w:w="1260" w:type="dxa"/>
            <w:noWrap w:val="0"/>
            <w:vAlign w:val="top"/>
          </w:tcPr>
          <w:p w14:paraId="71E1922B">
            <w:pPr>
              <w:spacing w:line="360" w:lineRule="auto"/>
              <w:jc w:val="center"/>
              <w:rPr>
                <w:rFonts w:ascii="宋体" w:hAnsi="宋体" w:cs="宋体"/>
                <w:b/>
                <w:bCs/>
                <w:color w:val="auto"/>
                <w:sz w:val="24"/>
                <w:highlight w:val="none"/>
              </w:rPr>
            </w:pPr>
          </w:p>
        </w:tc>
        <w:tc>
          <w:tcPr>
            <w:tcW w:w="855" w:type="dxa"/>
            <w:noWrap w:val="0"/>
            <w:vAlign w:val="center"/>
          </w:tcPr>
          <w:p w14:paraId="284EF584">
            <w:pPr>
              <w:spacing w:line="360" w:lineRule="auto"/>
              <w:jc w:val="center"/>
              <w:rPr>
                <w:rFonts w:ascii="宋体" w:hAnsi="宋体" w:cs="宋体"/>
                <w:b/>
                <w:bCs/>
                <w:color w:val="auto"/>
                <w:sz w:val="24"/>
                <w:highlight w:val="none"/>
              </w:rPr>
            </w:pPr>
          </w:p>
        </w:tc>
        <w:tc>
          <w:tcPr>
            <w:tcW w:w="2745" w:type="dxa"/>
            <w:noWrap w:val="0"/>
            <w:vAlign w:val="center"/>
          </w:tcPr>
          <w:p w14:paraId="51A20218">
            <w:pPr>
              <w:spacing w:line="360" w:lineRule="auto"/>
              <w:jc w:val="center"/>
              <w:rPr>
                <w:rFonts w:ascii="宋体" w:hAnsi="宋体" w:cs="宋体"/>
                <w:b/>
                <w:bCs/>
                <w:color w:val="auto"/>
                <w:sz w:val="24"/>
                <w:highlight w:val="none"/>
              </w:rPr>
            </w:pPr>
          </w:p>
        </w:tc>
        <w:tc>
          <w:tcPr>
            <w:tcW w:w="825" w:type="dxa"/>
            <w:noWrap w:val="0"/>
            <w:vAlign w:val="center"/>
          </w:tcPr>
          <w:p w14:paraId="58F56C4D">
            <w:pPr>
              <w:spacing w:line="360" w:lineRule="auto"/>
              <w:jc w:val="center"/>
              <w:rPr>
                <w:rFonts w:ascii="宋体" w:hAnsi="宋体" w:cs="宋体"/>
                <w:b/>
                <w:bCs/>
                <w:color w:val="auto"/>
                <w:sz w:val="24"/>
                <w:highlight w:val="none"/>
              </w:rPr>
            </w:pPr>
          </w:p>
        </w:tc>
        <w:tc>
          <w:tcPr>
            <w:tcW w:w="2955" w:type="dxa"/>
            <w:noWrap w:val="0"/>
            <w:vAlign w:val="top"/>
          </w:tcPr>
          <w:p w14:paraId="364ADDA0">
            <w:pPr>
              <w:rPr>
                <w:rFonts w:ascii="宋体" w:hAnsi="宋体" w:cs="宋体"/>
                <w:color w:val="auto"/>
                <w:sz w:val="24"/>
                <w:highlight w:val="none"/>
              </w:rPr>
            </w:pPr>
          </w:p>
        </w:tc>
      </w:tr>
      <w:tr w14:paraId="4B77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B709528">
            <w:pPr>
              <w:spacing w:line="360" w:lineRule="auto"/>
              <w:jc w:val="center"/>
              <w:rPr>
                <w:rFonts w:ascii="宋体" w:hAnsi="宋体" w:cs="宋体"/>
                <w:b/>
                <w:bCs/>
                <w:color w:val="auto"/>
                <w:sz w:val="24"/>
                <w:highlight w:val="none"/>
              </w:rPr>
            </w:pPr>
          </w:p>
        </w:tc>
        <w:tc>
          <w:tcPr>
            <w:tcW w:w="1260" w:type="dxa"/>
            <w:noWrap w:val="0"/>
            <w:vAlign w:val="top"/>
          </w:tcPr>
          <w:p w14:paraId="70A0D983">
            <w:pPr>
              <w:spacing w:line="360" w:lineRule="auto"/>
              <w:jc w:val="center"/>
              <w:rPr>
                <w:rFonts w:ascii="宋体" w:hAnsi="宋体" w:cs="宋体"/>
                <w:b/>
                <w:bCs/>
                <w:color w:val="auto"/>
                <w:sz w:val="24"/>
                <w:highlight w:val="none"/>
              </w:rPr>
            </w:pPr>
          </w:p>
        </w:tc>
        <w:tc>
          <w:tcPr>
            <w:tcW w:w="855" w:type="dxa"/>
            <w:noWrap w:val="0"/>
            <w:vAlign w:val="center"/>
          </w:tcPr>
          <w:p w14:paraId="68B85F22">
            <w:pPr>
              <w:spacing w:line="360" w:lineRule="auto"/>
              <w:jc w:val="center"/>
              <w:rPr>
                <w:rFonts w:ascii="宋体" w:hAnsi="宋体" w:cs="宋体"/>
                <w:b/>
                <w:bCs/>
                <w:color w:val="auto"/>
                <w:sz w:val="24"/>
                <w:highlight w:val="none"/>
              </w:rPr>
            </w:pPr>
          </w:p>
        </w:tc>
        <w:tc>
          <w:tcPr>
            <w:tcW w:w="2745" w:type="dxa"/>
            <w:noWrap w:val="0"/>
            <w:vAlign w:val="center"/>
          </w:tcPr>
          <w:p w14:paraId="118DFF3C">
            <w:pPr>
              <w:spacing w:line="360" w:lineRule="auto"/>
              <w:jc w:val="center"/>
              <w:rPr>
                <w:rFonts w:ascii="宋体" w:hAnsi="宋体" w:cs="宋体"/>
                <w:b/>
                <w:bCs/>
                <w:color w:val="auto"/>
                <w:sz w:val="24"/>
                <w:highlight w:val="none"/>
              </w:rPr>
            </w:pPr>
          </w:p>
        </w:tc>
        <w:tc>
          <w:tcPr>
            <w:tcW w:w="825" w:type="dxa"/>
            <w:noWrap w:val="0"/>
            <w:vAlign w:val="center"/>
          </w:tcPr>
          <w:p w14:paraId="0D2CB188">
            <w:pPr>
              <w:spacing w:line="360" w:lineRule="auto"/>
              <w:jc w:val="center"/>
              <w:rPr>
                <w:rFonts w:ascii="宋体" w:hAnsi="宋体" w:cs="宋体"/>
                <w:b/>
                <w:bCs/>
                <w:color w:val="auto"/>
                <w:sz w:val="24"/>
                <w:highlight w:val="none"/>
              </w:rPr>
            </w:pPr>
          </w:p>
        </w:tc>
        <w:tc>
          <w:tcPr>
            <w:tcW w:w="2955" w:type="dxa"/>
            <w:noWrap w:val="0"/>
            <w:vAlign w:val="top"/>
          </w:tcPr>
          <w:p w14:paraId="1FF3C3D7">
            <w:pPr>
              <w:rPr>
                <w:rFonts w:ascii="宋体" w:hAnsi="宋体" w:cs="宋体"/>
                <w:color w:val="auto"/>
                <w:sz w:val="24"/>
                <w:highlight w:val="none"/>
              </w:rPr>
            </w:pPr>
          </w:p>
        </w:tc>
      </w:tr>
      <w:tr w14:paraId="1D8D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0EA5C9D">
            <w:pPr>
              <w:spacing w:line="360" w:lineRule="auto"/>
              <w:jc w:val="center"/>
              <w:rPr>
                <w:rFonts w:ascii="宋体" w:hAnsi="宋体" w:cs="宋体"/>
                <w:b/>
                <w:bCs/>
                <w:color w:val="auto"/>
                <w:sz w:val="24"/>
                <w:highlight w:val="none"/>
              </w:rPr>
            </w:pPr>
          </w:p>
        </w:tc>
        <w:tc>
          <w:tcPr>
            <w:tcW w:w="1260" w:type="dxa"/>
            <w:noWrap w:val="0"/>
            <w:vAlign w:val="top"/>
          </w:tcPr>
          <w:p w14:paraId="4D235F39">
            <w:pPr>
              <w:spacing w:line="360" w:lineRule="auto"/>
              <w:jc w:val="center"/>
              <w:rPr>
                <w:rFonts w:ascii="宋体" w:hAnsi="宋体" w:cs="宋体"/>
                <w:b/>
                <w:bCs/>
                <w:color w:val="auto"/>
                <w:sz w:val="24"/>
                <w:highlight w:val="none"/>
              </w:rPr>
            </w:pPr>
          </w:p>
        </w:tc>
        <w:tc>
          <w:tcPr>
            <w:tcW w:w="855" w:type="dxa"/>
            <w:noWrap w:val="0"/>
            <w:vAlign w:val="center"/>
          </w:tcPr>
          <w:p w14:paraId="4A0087F9">
            <w:pPr>
              <w:spacing w:line="360" w:lineRule="auto"/>
              <w:jc w:val="center"/>
              <w:rPr>
                <w:rFonts w:ascii="宋体" w:hAnsi="宋体" w:cs="宋体"/>
                <w:b/>
                <w:bCs/>
                <w:color w:val="auto"/>
                <w:sz w:val="24"/>
                <w:highlight w:val="none"/>
              </w:rPr>
            </w:pPr>
          </w:p>
        </w:tc>
        <w:tc>
          <w:tcPr>
            <w:tcW w:w="2745" w:type="dxa"/>
            <w:noWrap w:val="0"/>
            <w:vAlign w:val="center"/>
          </w:tcPr>
          <w:p w14:paraId="3C4243C9">
            <w:pPr>
              <w:spacing w:line="360" w:lineRule="auto"/>
              <w:jc w:val="center"/>
              <w:rPr>
                <w:rFonts w:ascii="宋体" w:hAnsi="宋体" w:cs="宋体"/>
                <w:b/>
                <w:bCs/>
                <w:color w:val="auto"/>
                <w:sz w:val="24"/>
                <w:highlight w:val="none"/>
              </w:rPr>
            </w:pPr>
          </w:p>
        </w:tc>
        <w:tc>
          <w:tcPr>
            <w:tcW w:w="825" w:type="dxa"/>
            <w:noWrap w:val="0"/>
            <w:vAlign w:val="center"/>
          </w:tcPr>
          <w:p w14:paraId="127E1CB5">
            <w:pPr>
              <w:spacing w:line="360" w:lineRule="auto"/>
              <w:jc w:val="center"/>
              <w:rPr>
                <w:rFonts w:ascii="宋体" w:hAnsi="宋体" w:cs="宋体"/>
                <w:b/>
                <w:bCs/>
                <w:color w:val="auto"/>
                <w:sz w:val="24"/>
                <w:highlight w:val="none"/>
              </w:rPr>
            </w:pPr>
          </w:p>
        </w:tc>
        <w:tc>
          <w:tcPr>
            <w:tcW w:w="2955" w:type="dxa"/>
            <w:noWrap w:val="0"/>
            <w:vAlign w:val="top"/>
          </w:tcPr>
          <w:p w14:paraId="0C9764FD">
            <w:pPr>
              <w:rPr>
                <w:rFonts w:ascii="宋体" w:hAnsi="宋体" w:cs="宋体"/>
                <w:color w:val="auto"/>
                <w:sz w:val="24"/>
                <w:highlight w:val="none"/>
              </w:rPr>
            </w:pPr>
          </w:p>
        </w:tc>
      </w:tr>
      <w:tr w14:paraId="02C6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FA043F0">
            <w:pPr>
              <w:spacing w:line="360" w:lineRule="auto"/>
              <w:jc w:val="center"/>
              <w:rPr>
                <w:rFonts w:ascii="宋体" w:hAnsi="宋体" w:cs="宋体"/>
                <w:b/>
                <w:bCs/>
                <w:color w:val="auto"/>
                <w:sz w:val="24"/>
                <w:highlight w:val="none"/>
              </w:rPr>
            </w:pPr>
          </w:p>
        </w:tc>
        <w:tc>
          <w:tcPr>
            <w:tcW w:w="1260" w:type="dxa"/>
            <w:noWrap w:val="0"/>
            <w:vAlign w:val="top"/>
          </w:tcPr>
          <w:p w14:paraId="786047E4">
            <w:pPr>
              <w:spacing w:line="360" w:lineRule="auto"/>
              <w:jc w:val="center"/>
              <w:rPr>
                <w:rFonts w:ascii="宋体" w:hAnsi="宋体" w:cs="宋体"/>
                <w:b/>
                <w:bCs/>
                <w:color w:val="auto"/>
                <w:sz w:val="24"/>
                <w:highlight w:val="none"/>
              </w:rPr>
            </w:pPr>
          </w:p>
        </w:tc>
        <w:tc>
          <w:tcPr>
            <w:tcW w:w="855" w:type="dxa"/>
            <w:noWrap w:val="0"/>
            <w:vAlign w:val="center"/>
          </w:tcPr>
          <w:p w14:paraId="6180CFD4">
            <w:pPr>
              <w:spacing w:line="360" w:lineRule="auto"/>
              <w:jc w:val="center"/>
              <w:rPr>
                <w:rFonts w:ascii="宋体" w:hAnsi="宋体" w:cs="宋体"/>
                <w:b/>
                <w:bCs/>
                <w:color w:val="auto"/>
                <w:sz w:val="24"/>
                <w:highlight w:val="none"/>
              </w:rPr>
            </w:pPr>
          </w:p>
        </w:tc>
        <w:tc>
          <w:tcPr>
            <w:tcW w:w="2745" w:type="dxa"/>
            <w:noWrap w:val="0"/>
            <w:vAlign w:val="center"/>
          </w:tcPr>
          <w:p w14:paraId="3CC506F5">
            <w:pPr>
              <w:spacing w:line="360" w:lineRule="auto"/>
              <w:jc w:val="center"/>
              <w:rPr>
                <w:rFonts w:ascii="宋体" w:hAnsi="宋体" w:cs="宋体"/>
                <w:b/>
                <w:bCs/>
                <w:color w:val="auto"/>
                <w:sz w:val="24"/>
                <w:highlight w:val="none"/>
              </w:rPr>
            </w:pPr>
          </w:p>
        </w:tc>
        <w:tc>
          <w:tcPr>
            <w:tcW w:w="825" w:type="dxa"/>
            <w:noWrap w:val="0"/>
            <w:vAlign w:val="center"/>
          </w:tcPr>
          <w:p w14:paraId="5ECA52F5">
            <w:pPr>
              <w:spacing w:line="360" w:lineRule="auto"/>
              <w:jc w:val="center"/>
              <w:rPr>
                <w:rFonts w:ascii="宋体" w:hAnsi="宋体" w:cs="宋体"/>
                <w:b/>
                <w:bCs/>
                <w:color w:val="auto"/>
                <w:sz w:val="24"/>
                <w:highlight w:val="none"/>
              </w:rPr>
            </w:pPr>
          </w:p>
        </w:tc>
        <w:tc>
          <w:tcPr>
            <w:tcW w:w="2955" w:type="dxa"/>
            <w:noWrap w:val="0"/>
            <w:vAlign w:val="top"/>
          </w:tcPr>
          <w:p w14:paraId="77418864">
            <w:pPr>
              <w:rPr>
                <w:rFonts w:ascii="宋体" w:hAnsi="宋体" w:cs="宋体"/>
                <w:color w:val="auto"/>
                <w:sz w:val="24"/>
                <w:highlight w:val="none"/>
              </w:rPr>
            </w:pPr>
          </w:p>
        </w:tc>
      </w:tr>
    </w:tbl>
    <w:p w14:paraId="5FEEAD9C">
      <w:pPr>
        <w:pStyle w:val="20"/>
        <w:spacing w:line="400" w:lineRule="atLeast"/>
        <w:rPr>
          <w:rFonts w:hAnsi="宋体" w:cs="宋体"/>
          <w:color w:val="auto"/>
          <w:sz w:val="24"/>
          <w:highlight w:val="none"/>
        </w:rPr>
      </w:pPr>
      <w:r>
        <w:rPr>
          <w:rFonts w:hint="eastAsia" w:hAnsi="宋体" w:cs="宋体"/>
          <w:color w:val="auto"/>
          <w:sz w:val="24"/>
          <w:highlight w:val="none"/>
        </w:rPr>
        <w:t>投标方代表签字：____________________        职  务：____________</w:t>
      </w:r>
    </w:p>
    <w:p w14:paraId="1AD6FF74">
      <w:pP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541A1931">
      <w:pPr>
        <w:spacing w:line="360" w:lineRule="auto"/>
        <w:rPr>
          <w:rFonts w:hint="eastAsia" w:ascii="宋体" w:hAnsi="宋体" w:cs="宋体"/>
          <w:color w:val="auto"/>
          <w:sz w:val="24"/>
          <w:highlight w:val="none"/>
        </w:rPr>
      </w:pPr>
    </w:p>
    <w:p w14:paraId="12DFF26A">
      <w:pPr>
        <w:spacing w:line="360" w:lineRule="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0112DF83">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2.“规格及技术参数”栏中填写所投货物化学成分、物理性能参数等技术参数。</w:t>
      </w:r>
    </w:p>
    <w:p w14:paraId="1C825413">
      <w:pPr>
        <w:spacing w:line="360" w:lineRule="auto"/>
        <w:ind w:firstLine="840" w:firstLineChars="400"/>
        <w:rPr>
          <w:rFonts w:hint="eastAsia" w:ascii="宋体"/>
          <w:b/>
          <w:bCs/>
          <w:color w:val="auto"/>
          <w:sz w:val="44"/>
          <w:szCs w:val="44"/>
          <w:highlight w:val="none"/>
        </w:rPr>
      </w:pPr>
      <w:r>
        <w:rPr>
          <w:rFonts w:hint="eastAsia" w:ascii="宋体" w:hAnsi="宋体" w:cs="宋体"/>
          <w:color w:val="auto"/>
          <w:highlight w:val="none"/>
        </w:rPr>
        <w:t>3.此表可在不改变格式的情况下自行制作。</w:t>
      </w:r>
    </w:p>
    <w:p w14:paraId="6275124B">
      <w:pPr>
        <w:rPr>
          <w:rFonts w:hint="eastAsia"/>
          <w:color w:val="auto"/>
          <w:highlight w:val="none"/>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1A727096">
      <w:pPr>
        <w:rPr>
          <w:rFonts w:hint="eastAsia"/>
          <w:color w:val="auto"/>
          <w:highlight w:val="none"/>
        </w:rPr>
      </w:pPr>
    </w:p>
    <w:p w14:paraId="54BCD6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规范偏离表</w:t>
      </w:r>
    </w:p>
    <w:p w14:paraId="237EBC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5AC4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AEDEC2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0BB09D0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F1A5D4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09B0C19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E265A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54363FD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C2FEA8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286DA1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79F8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4327FC0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97C4B5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2BDA10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AC574D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D438E17">
            <w:pPr>
              <w:spacing w:line="360" w:lineRule="auto"/>
              <w:rPr>
                <w:rFonts w:hint="eastAsia" w:ascii="宋体" w:hAnsi="宋体" w:eastAsia="宋体" w:cs="宋体"/>
                <w:color w:val="auto"/>
                <w:sz w:val="24"/>
                <w:highlight w:val="none"/>
              </w:rPr>
            </w:pPr>
          </w:p>
        </w:tc>
      </w:tr>
      <w:tr w14:paraId="3843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4F76DB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6C69E3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20E86D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88D6EE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02E06E2">
            <w:pPr>
              <w:spacing w:line="360" w:lineRule="auto"/>
              <w:rPr>
                <w:rFonts w:hint="eastAsia" w:ascii="宋体" w:hAnsi="宋体" w:eastAsia="宋体" w:cs="宋体"/>
                <w:color w:val="auto"/>
                <w:sz w:val="24"/>
                <w:highlight w:val="none"/>
              </w:rPr>
            </w:pPr>
          </w:p>
        </w:tc>
      </w:tr>
      <w:tr w14:paraId="70C8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04FEF5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35DEE9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D98935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5CC87F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D26732A">
            <w:pPr>
              <w:spacing w:line="360" w:lineRule="auto"/>
              <w:rPr>
                <w:rFonts w:hint="eastAsia" w:ascii="宋体" w:hAnsi="宋体" w:eastAsia="宋体" w:cs="宋体"/>
                <w:color w:val="auto"/>
                <w:sz w:val="24"/>
                <w:highlight w:val="none"/>
              </w:rPr>
            </w:pPr>
          </w:p>
        </w:tc>
      </w:tr>
      <w:tr w14:paraId="4D0A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850BDE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EAA2A48">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71108F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467310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1F14D30">
            <w:pPr>
              <w:spacing w:line="360" w:lineRule="auto"/>
              <w:rPr>
                <w:rFonts w:hint="eastAsia" w:ascii="宋体" w:hAnsi="宋体" w:eastAsia="宋体" w:cs="宋体"/>
                <w:color w:val="auto"/>
                <w:sz w:val="24"/>
                <w:highlight w:val="none"/>
              </w:rPr>
            </w:pPr>
          </w:p>
        </w:tc>
      </w:tr>
      <w:tr w14:paraId="1A89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9AFBBF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09DF15C">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AFF3B2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929093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E364A97">
            <w:pPr>
              <w:spacing w:line="360" w:lineRule="auto"/>
              <w:rPr>
                <w:rFonts w:hint="eastAsia" w:ascii="宋体" w:hAnsi="宋体" w:eastAsia="宋体" w:cs="宋体"/>
                <w:color w:val="auto"/>
                <w:sz w:val="24"/>
                <w:highlight w:val="none"/>
              </w:rPr>
            </w:pPr>
          </w:p>
        </w:tc>
      </w:tr>
      <w:tr w14:paraId="1901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2FFC005">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8FF090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B09A2A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2B88F6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C723F77">
            <w:pPr>
              <w:spacing w:line="360" w:lineRule="auto"/>
              <w:rPr>
                <w:rFonts w:hint="eastAsia" w:ascii="宋体" w:hAnsi="宋体" w:eastAsia="宋体" w:cs="宋体"/>
                <w:color w:val="auto"/>
                <w:sz w:val="24"/>
                <w:highlight w:val="none"/>
              </w:rPr>
            </w:pPr>
          </w:p>
        </w:tc>
      </w:tr>
      <w:tr w14:paraId="7CD0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1ADE86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3FE9EA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5B5730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D2BDA3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69D383A">
            <w:pPr>
              <w:spacing w:line="360" w:lineRule="auto"/>
              <w:rPr>
                <w:rFonts w:hint="eastAsia" w:ascii="宋体" w:hAnsi="宋体" w:eastAsia="宋体" w:cs="宋体"/>
                <w:color w:val="auto"/>
                <w:sz w:val="24"/>
                <w:highlight w:val="none"/>
              </w:rPr>
            </w:pPr>
          </w:p>
        </w:tc>
      </w:tr>
      <w:tr w14:paraId="19A0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0CD929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7E295C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4A7506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202904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EE29476">
            <w:pPr>
              <w:spacing w:line="360" w:lineRule="auto"/>
              <w:rPr>
                <w:rFonts w:hint="eastAsia" w:ascii="宋体" w:hAnsi="宋体" w:eastAsia="宋体" w:cs="宋体"/>
                <w:color w:val="auto"/>
                <w:sz w:val="24"/>
                <w:highlight w:val="none"/>
              </w:rPr>
            </w:pPr>
          </w:p>
        </w:tc>
      </w:tr>
      <w:tr w14:paraId="14D1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3EDBC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ABD356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47D7442">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32A8209">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C2D32C8">
            <w:pPr>
              <w:spacing w:line="360" w:lineRule="auto"/>
              <w:rPr>
                <w:rFonts w:hint="eastAsia" w:ascii="宋体" w:hAnsi="宋体" w:eastAsia="宋体" w:cs="宋体"/>
                <w:color w:val="auto"/>
                <w:sz w:val="24"/>
                <w:highlight w:val="none"/>
              </w:rPr>
            </w:pPr>
          </w:p>
        </w:tc>
      </w:tr>
      <w:tr w14:paraId="5BEE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6192A78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27F4FD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31CCEC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4F3849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04D13EC">
            <w:pPr>
              <w:spacing w:line="360" w:lineRule="auto"/>
              <w:rPr>
                <w:rFonts w:hint="eastAsia" w:ascii="宋体" w:hAnsi="宋体" w:eastAsia="宋体" w:cs="宋体"/>
                <w:color w:val="auto"/>
                <w:sz w:val="24"/>
                <w:highlight w:val="none"/>
              </w:rPr>
            </w:pPr>
          </w:p>
        </w:tc>
      </w:tr>
      <w:tr w14:paraId="31FA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C2353E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E5E449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30AF8F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D868D0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642163C">
            <w:pPr>
              <w:spacing w:line="360" w:lineRule="auto"/>
              <w:rPr>
                <w:rFonts w:hint="eastAsia" w:ascii="宋体" w:hAnsi="宋体" w:eastAsia="宋体" w:cs="宋体"/>
                <w:color w:val="auto"/>
                <w:sz w:val="24"/>
                <w:highlight w:val="none"/>
              </w:rPr>
            </w:pPr>
          </w:p>
        </w:tc>
      </w:tr>
      <w:tr w14:paraId="719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199B8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D78540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EFB8AC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0A02EC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1253BBF">
            <w:pPr>
              <w:spacing w:line="360" w:lineRule="auto"/>
              <w:rPr>
                <w:rFonts w:hint="eastAsia" w:ascii="宋体" w:hAnsi="宋体" w:eastAsia="宋体" w:cs="宋体"/>
                <w:color w:val="auto"/>
                <w:sz w:val="24"/>
                <w:highlight w:val="none"/>
              </w:rPr>
            </w:pPr>
          </w:p>
        </w:tc>
      </w:tr>
      <w:tr w14:paraId="4ADE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3837F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BC4B3A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105D1F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75AF64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015B81D">
            <w:pPr>
              <w:spacing w:line="360" w:lineRule="auto"/>
              <w:rPr>
                <w:rFonts w:hint="eastAsia" w:ascii="宋体" w:hAnsi="宋体" w:eastAsia="宋体" w:cs="宋体"/>
                <w:color w:val="auto"/>
                <w:sz w:val="24"/>
                <w:highlight w:val="none"/>
              </w:rPr>
            </w:pPr>
          </w:p>
        </w:tc>
      </w:tr>
      <w:tr w14:paraId="0A16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E6B889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29343B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C362D3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1BB112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03080D0">
            <w:pPr>
              <w:spacing w:line="360" w:lineRule="auto"/>
              <w:rPr>
                <w:rFonts w:hint="eastAsia" w:ascii="宋体" w:hAnsi="宋体" w:eastAsia="宋体" w:cs="宋体"/>
                <w:color w:val="auto"/>
                <w:sz w:val="24"/>
                <w:highlight w:val="none"/>
              </w:rPr>
            </w:pPr>
          </w:p>
        </w:tc>
      </w:tr>
    </w:tbl>
    <w:p w14:paraId="6D3DDCD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2E2E1A6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1F2E19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794BAFC0">
      <w:pPr>
        <w:spacing w:line="360" w:lineRule="auto"/>
        <w:rPr>
          <w:rFonts w:hint="eastAsia" w:ascii="宋体" w:hAnsi="宋体" w:cs="宋体"/>
          <w:color w:val="auto"/>
          <w:sz w:val="24"/>
          <w:highlight w:val="none"/>
        </w:rPr>
      </w:pPr>
    </w:p>
    <w:p w14:paraId="441AEE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投标方应仔细对第三章招标货物清单及项目要求进行逐条分析，对于投标内容与招标文件内容有不一致的条款，则须在上表中列明并详细填写。</w:t>
      </w:r>
    </w:p>
    <w:p w14:paraId="4BAE05B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如招标文件内容与投标文件内容都一致的，则本表可以在相关的签字、盖章后，不需要填写其他内容或在“偏离情况详细说明”栏内只填写一个无字。</w:t>
      </w:r>
    </w:p>
    <w:p w14:paraId="4F5FE12E">
      <w:pPr>
        <w:spacing w:line="360" w:lineRule="auto"/>
        <w:rPr>
          <w:rFonts w:hint="eastAsia" w:ascii="宋体" w:hAnsi="宋体" w:cs="宋体"/>
          <w:color w:val="auto"/>
          <w:sz w:val="24"/>
          <w:highlight w:val="none"/>
          <w:lang w:eastAsia="zh-CN"/>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此表在不改变表式内容的情况下可自行制作</w:t>
      </w:r>
      <w:r>
        <w:rPr>
          <w:rFonts w:hint="eastAsia" w:ascii="宋体" w:hAnsi="宋体" w:cs="宋体"/>
          <w:color w:val="auto"/>
          <w:sz w:val="24"/>
          <w:highlight w:val="none"/>
          <w:lang w:eastAsia="zh-CN"/>
        </w:rPr>
        <w:t>。</w:t>
      </w:r>
    </w:p>
    <w:p w14:paraId="32F41326">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产品质量保证承诺书</w:t>
      </w:r>
    </w:p>
    <w:p w14:paraId="02BCF3FF">
      <w:pP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0EBCE3BD">
      <w:pPr>
        <w:pStyle w:val="34"/>
        <w:snapToGrid w:val="0"/>
        <w:spacing w:line="360" w:lineRule="auto"/>
        <w:rPr>
          <w:color w:val="auto"/>
          <w:szCs w:val="18"/>
          <w:highlight w:val="none"/>
        </w:rPr>
      </w:pPr>
      <w:r>
        <w:rPr>
          <w:rFonts w:hint="eastAsia"/>
          <w:b/>
          <w:color w:val="auto"/>
          <w:highlight w:val="none"/>
        </w:rPr>
        <w:t xml:space="preserve">    </w:t>
      </w: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rPr>
        <w:t>采购</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56945338">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技术规范及相关产品标准：</w:t>
      </w:r>
    </w:p>
    <w:p w14:paraId="30FEE9C5">
      <w:pPr>
        <w:spacing w:line="360" w:lineRule="auto"/>
        <w:rPr>
          <w:rFonts w:ascii="宋体" w:hAnsi="宋体"/>
          <w:bCs/>
          <w:color w:val="auto"/>
          <w:sz w:val="24"/>
          <w:highlight w:val="none"/>
        </w:rPr>
      </w:pPr>
    </w:p>
    <w:p w14:paraId="7BFF4C41">
      <w:pPr>
        <w:spacing w:line="360" w:lineRule="auto"/>
        <w:rPr>
          <w:rFonts w:ascii="宋体" w:hAnsi="宋体"/>
          <w:bCs/>
          <w:color w:val="auto"/>
          <w:sz w:val="24"/>
          <w:highlight w:val="none"/>
        </w:rPr>
      </w:pPr>
    </w:p>
    <w:p w14:paraId="135EA35F">
      <w:pPr>
        <w:numPr>
          <w:ilvl w:val="0"/>
          <w:numId w:val="7"/>
        </w:numPr>
        <w:tabs>
          <w:tab w:val="left" w:pos="840"/>
          <w:tab w:val="clear" w:pos="786"/>
        </w:tabs>
        <w:spacing w:line="360" w:lineRule="auto"/>
        <w:ind w:left="840"/>
        <w:rPr>
          <w:color w:val="auto"/>
          <w:sz w:val="24"/>
          <w:szCs w:val="18"/>
          <w:highlight w:val="none"/>
        </w:rPr>
      </w:pPr>
      <w:r>
        <w:rPr>
          <w:color w:val="auto"/>
          <w:sz w:val="24"/>
          <w:szCs w:val="18"/>
          <w:highlight w:val="none"/>
        </w:rPr>
        <w:t>产品都属于厂家原装正品产品</w:t>
      </w:r>
      <w:r>
        <w:rPr>
          <w:rFonts w:hint="eastAsia"/>
          <w:color w:val="auto"/>
          <w:sz w:val="24"/>
          <w:szCs w:val="18"/>
          <w:highlight w:val="none"/>
        </w:rPr>
        <w:t>：</w:t>
      </w:r>
    </w:p>
    <w:p w14:paraId="38D63171">
      <w:pPr>
        <w:spacing w:line="360" w:lineRule="auto"/>
        <w:rPr>
          <w:rFonts w:ascii="宋体" w:hAnsi="宋体"/>
          <w:bCs/>
          <w:color w:val="auto"/>
          <w:sz w:val="24"/>
          <w:highlight w:val="none"/>
        </w:rPr>
      </w:pPr>
    </w:p>
    <w:p w14:paraId="11DF4943">
      <w:pPr>
        <w:spacing w:line="360" w:lineRule="auto"/>
        <w:rPr>
          <w:rFonts w:ascii="宋体" w:hAnsi="宋体"/>
          <w:bCs/>
          <w:color w:val="auto"/>
          <w:sz w:val="24"/>
          <w:highlight w:val="none"/>
        </w:rPr>
      </w:pPr>
    </w:p>
    <w:p w14:paraId="4BBACD28">
      <w:pPr>
        <w:spacing w:line="360" w:lineRule="auto"/>
        <w:rPr>
          <w:rFonts w:ascii="宋体" w:hAnsi="宋体"/>
          <w:bCs/>
          <w:color w:val="auto"/>
          <w:sz w:val="24"/>
          <w:highlight w:val="none"/>
        </w:rPr>
      </w:pPr>
    </w:p>
    <w:p w14:paraId="63C45869">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产品“三包”内容：</w:t>
      </w:r>
    </w:p>
    <w:p w14:paraId="5122E9B3">
      <w:pPr>
        <w:spacing w:line="360" w:lineRule="auto"/>
        <w:rPr>
          <w:rFonts w:ascii="宋体" w:hAnsi="宋体"/>
          <w:bCs/>
          <w:color w:val="auto"/>
          <w:sz w:val="24"/>
          <w:highlight w:val="none"/>
        </w:rPr>
      </w:pPr>
    </w:p>
    <w:p w14:paraId="2D934C60">
      <w:pPr>
        <w:spacing w:line="360" w:lineRule="auto"/>
        <w:rPr>
          <w:rFonts w:ascii="宋体" w:hAnsi="宋体"/>
          <w:bCs/>
          <w:color w:val="auto"/>
          <w:sz w:val="24"/>
          <w:highlight w:val="none"/>
        </w:rPr>
      </w:pPr>
    </w:p>
    <w:p w14:paraId="78514AC7">
      <w:pPr>
        <w:spacing w:line="360" w:lineRule="auto"/>
        <w:rPr>
          <w:rFonts w:ascii="宋体" w:hAnsi="宋体"/>
          <w:bCs/>
          <w:color w:val="auto"/>
          <w:sz w:val="24"/>
          <w:highlight w:val="none"/>
        </w:rPr>
      </w:pPr>
    </w:p>
    <w:p w14:paraId="641EC333">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质量问题的处理：</w:t>
      </w:r>
    </w:p>
    <w:p w14:paraId="4EA49FE0">
      <w:pPr>
        <w:spacing w:line="360" w:lineRule="auto"/>
        <w:rPr>
          <w:rFonts w:ascii="宋体" w:hAnsi="宋体"/>
          <w:bCs/>
          <w:color w:val="auto"/>
          <w:sz w:val="24"/>
          <w:highlight w:val="none"/>
        </w:rPr>
      </w:pPr>
    </w:p>
    <w:p w14:paraId="13E5EFC0">
      <w:pPr>
        <w:spacing w:line="360" w:lineRule="auto"/>
        <w:rPr>
          <w:rFonts w:ascii="宋体" w:hAnsi="宋体"/>
          <w:bCs/>
          <w:color w:val="auto"/>
          <w:sz w:val="24"/>
          <w:highlight w:val="none"/>
        </w:rPr>
      </w:pPr>
    </w:p>
    <w:p w14:paraId="375FC7B1">
      <w:pPr>
        <w:spacing w:line="360" w:lineRule="auto"/>
        <w:rPr>
          <w:rFonts w:ascii="宋体" w:hAnsi="宋体"/>
          <w:bCs/>
          <w:color w:val="auto"/>
          <w:sz w:val="24"/>
          <w:highlight w:val="none"/>
        </w:rPr>
      </w:pPr>
    </w:p>
    <w:p w14:paraId="712D70DB">
      <w:pPr>
        <w:numPr>
          <w:ilvl w:val="0"/>
          <w:numId w:val="7"/>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质量投诉的处理：</w:t>
      </w:r>
    </w:p>
    <w:p w14:paraId="31B6729D">
      <w:pPr>
        <w:spacing w:line="360" w:lineRule="auto"/>
        <w:jc w:val="center"/>
        <w:rPr>
          <w:rFonts w:ascii="宋体" w:hAnsi="宋体"/>
          <w:b/>
          <w:color w:val="auto"/>
          <w:sz w:val="24"/>
          <w:highlight w:val="none"/>
        </w:rPr>
      </w:pPr>
    </w:p>
    <w:p w14:paraId="70108963">
      <w:pPr>
        <w:spacing w:line="360" w:lineRule="auto"/>
        <w:jc w:val="center"/>
        <w:rPr>
          <w:rFonts w:ascii="宋体" w:hAnsi="宋体"/>
          <w:b/>
          <w:color w:val="auto"/>
          <w:sz w:val="24"/>
          <w:highlight w:val="none"/>
        </w:rPr>
      </w:pPr>
    </w:p>
    <w:p w14:paraId="2574B9A0">
      <w:pPr>
        <w:spacing w:line="360" w:lineRule="auto"/>
        <w:rPr>
          <w:rFonts w:ascii="宋体" w:hAnsi="宋体"/>
          <w:bCs/>
          <w:color w:val="auto"/>
          <w:sz w:val="24"/>
          <w:highlight w:val="none"/>
        </w:rPr>
      </w:pPr>
      <w:r>
        <w:rPr>
          <w:rFonts w:hint="eastAsia" w:ascii="宋体" w:hAnsi="宋体"/>
          <w:bCs/>
          <w:color w:val="auto"/>
          <w:sz w:val="24"/>
          <w:highlight w:val="none"/>
        </w:rPr>
        <w:t xml:space="preserve">    6、其它：</w:t>
      </w:r>
    </w:p>
    <w:p w14:paraId="0856F1CC">
      <w:pPr>
        <w:spacing w:line="360" w:lineRule="auto"/>
        <w:jc w:val="center"/>
        <w:rPr>
          <w:rFonts w:ascii="宋体" w:hAnsi="宋体"/>
          <w:b/>
          <w:color w:val="auto"/>
          <w:sz w:val="24"/>
          <w:highlight w:val="none"/>
        </w:rPr>
      </w:pPr>
    </w:p>
    <w:p w14:paraId="23F42B6B">
      <w:pPr>
        <w:spacing w:line="360" w:lineRule="auto"/>
        <w:jc w:val="center"/>
        <w:rPr>
          <w:rFonts w:ascii="宋体" w:hAnsi="宋体"/>
          <w:b/>
          <w:color w:val="auto"/>
          <w:sz w:val="24"/>
          <w:highlight w:val="none"/>
        </w:rPr>
      </w:pPr>
    </w:p>
    <w:p w14:paraId="351F679C">
      <w:pPr>
        <w:spacing w:line="360" w:lineRule="auto"/>
        <w:jc w:val="center"/>
        <w:rPr>
          <w:rFonts w:ascii="宋体" w:hAnsi="宋体"/>
          <w:b/>
          <w:color w:val="auto"/>
          <w:sz w:val="24"/>
          <w:highlight w:val="none"/>
        </w:rPr>
      </w:pPr>
    </w:p>
    <w:p w14:paraId="0C2A7DB7">
      <w:pPr>
        <w:spacing w:line="360" w:lineRule="auto"/>
        <w:jc w:val="right"/>
        <w:rPr>
          <w:rFonts w:ascii="宋体" w:hAnsi="宋体"/>
          <w:b/>
          <w:color w:val="auto"/>
          <w:sz w:val="24"/>
          <w:highlight w:val="none"/>
        </w:rPr>
      </w:pPr>
      <w:r>
        <w:rPr>
          <w:rFonts w:hint="eastAsia" w:ascii="宋体" w:hAnsi="宋体"/>
          <w:b/>
          <w:color w:val="auto"/>
          <w:sz w:val="24"/>
          <w:highlight w:val="none"/>
        </w:rPr>
        <w:t>企业名称（盖电子签章）：________________________</w:t>
      </w:r>
    </w:p>
    <w:p w14:paraId="225E2F61">
      <w:pPr>
        <w:spacing w:line="360" w:lineRule="auto"/>
        <w:jc w:val="right"/>
        <w:rPr>
          <w:rFonts w:hint="eastAsia" w:ascii="宋体" w:hAnsi="宋体"/>
          <w:b/>
          <w:color w:val="auto"/>
          <w:sz w:val="24"/>
          <w:highlight w:val="none"/>
        </w:rPr>
      </w:pPr>
      <w:r>
        <w:rPr>
          <w:rFonts w:hint="eastAsia" w:ascii="宋体" w:hAnsi="宋体"/>
          <w:b/>
          <w:color w:val="auto"/>
          <w:sz w:val="24"/>
          <w:highlight w:val="none"/>
        </w:rPr>
        <w:t>签字代表：________________________</w:t>
      </w:r>
    </w:p>
    <w:p w14:paraId="2E0A38CB">
      <w:pPr>
        <w:spacing w:line="360" w:lineRule="auto"/>
        <w:jc w:val="right"/>
        <w:rPr>
          <w:b/>
          <w:bCs/>
          <w:color w:val="auto"/>
          <w:sz w:val="36"/>
          <w:highlight w:val="none"/>
        </w:rPr>
      </w:pPr>
      <w:r>
        <w:rPr>
          <w:rFonts w:hint="eastAsia" w:hAnsi="宋体"/>
          <w:b/>
          <w:color w:val="auto"/>
          <w:sz w:val="24"/>
          <w:highlight w:val="none"/>
        </w:rPr>
        <w:t>年        月        日</w:t>
      </w:r>
    </w:p>
    <w:p w14:paraId="0F92E9CE">
      <w:pPr>
        <w:pStyle w:val="46"/>
        <w:rPr>
          <w:rFonts w:hint="eastAsia"/>
          <w:color w:val="auto"/>
          <w:highlight w:val="none"/>
          <w:lang w:eastAsia="zh-CN"/>
        </w:rPr>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p>
    <w:p w14:paraId="63F689E5">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售后服务承诺书</w:t>
      </w:r>
    </w:p>
    <w:p w14:paraId="38703529">
      <w:pPr>
        <w:spacing w:line="360" w:lineRule="auto"/>
        <w:rPr>
          <w:rFonts w:ascii="宋体"/>
          <w:color w:val="auto"/>
          <w:sz w:val="24"/>
          <w:highlight w:val="none"/>
        </w:rPr>
      </w:pPr>
    </w:p>
    <w:p w14:paraId="148BC112">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6187D022">
      <w:pPr>
        <w:spacing w:line="360" w:lineRule="auto"/>
        <w:rPr>
          <w:rFonts w:ascii="宋体"/>
          <w:color w:val="auto"/>
          <w:sz w:val="24"/>
          <w:highlight w:val="none"/>
        </w:rPr>
      </w:pPr>
    </w:p>
    <w:p w14:paraId="5CB1A9CB">
      <w:pPr>
        <w:spacing w:line="360" w:lineRule="auto"/>
        <w:rPr>
          <w:rFonts w:ascii="宋体"/>
          <w:color w:val="auto"/>
          <w:sz w:val="24"/>
          <w:highlight w:val="none"/>
        </w:rPr>
      </w:pPr>
    </w:p>
    <w:p w14:paraId="1278FA4A">
      <w:pPr>
        <w:spacing w:line="360" w:lineRule="auto"/>
        <w:rPr>
          <w:rFonts w:ascii="宋体"/>
          <w:color w:val="auto"/>
          <w:sz w:val="24"/>
          <w:highlight w:val="none"/>
        </w:rPr>
      </w:pPr>
    </w:p>
    <w:p w14:paraId="1E88C799">
      <w:pPr>
        <w:spacing w:line="360" w:lineRule="auto"/>
        <w:rPr>
          <w:rFonts w:ascii="宋体"/>
          <w:color w:val="auto"/>
          <w:sz w:val="24"/>
          <w:highlight w:val="none"/>
        </w:rPr>
      </w:pPr>
      <w:r>
        <w:rPr>
          <w:rFonts w:hint="eastAsia" w:ascii="宋体"/>
          <w:color w:val="auto"/>
          <w:sz w:val="24"/>
          <w:highlight w:val="none"/>
        </w:rPr>
        <w:t>2.解决问题、排除故障的速度</w:t>
      </w:r>
    </w:p>
    <w:p w14:paraId="62F50AF3">
      <w:pPr>
        <w:spacing w:line="360" w:lineRule="auto"/>
        <w:rPr>
          <w:rFonts w:ascii="宋体"/>
          <w:color w:val="auto"/>
          <w:sz w:val="24"/>
          <w:highlight w:val="none"/>
        </w:rPr>
      </w:pPr>
    </w:p>
    <w:p w14:paraId="4CBC5B96">
      <w:pPr>
        <w:spacing w:line="360" w:lineRule="auto"/>
        <w:rPr>
          <w:rFonts w:ascii="宋体"/>
          <w:color w:val="auto"/>
          <w:sz w:val="24"/>
          <w:highlight w:val="none"/>
        </w:rPr>
      </w:pPr>
    </w:p>
    <w:p w14:paraId="1F894F3E">
      <w:pPr>
        <w:spacing w:line="360" w:lineRule="auto"/>
        <w:rPr>
          <w:rFonts w:ascii="宋体"/>
          <w:color w:val="auto"/>
          <w:sz w:val="24"/>
          <w:highlight w:val="none"/>
        </w:rPr>
      </w:pPr>
    </w:p>
    <w:p w14:paraId="0C693EF3">
      <w:pPr>
        <w:spacing w:line="360" w:lineRule="auto"/>
        <w:rPr>
          <w:rFonts w:ascii="宋体"/>
          <w:color w:val="auto"/>
          <w:sz w:val="24"/>
          <w:highlight w:val="none"/>
        </w:rPr>
      </w:pPr>
      <w:r>
        <w:rPr>
          <w:rFonts w:hint="eastAsia" w:ascii="宋体"/>
          <w:color w:val="auto"/>
          <w:sz w:val="24"/>
          <w:highlight w:val="none"/>
        </w:rPr>
        <w:t>3.设备使用的培训、指导</w:t>
      </w:r>
    </w:p>
    <w:p w14:paraId="499F2C71">
      <w:pPr>
        <w:spacing w:line="360" w:lineRule="auto"/>
        <w:rPr>
          <w:rFonts w:ascii="宋体"/>
          <w:color w:val="auto"/>
          <w:sz w:val="24"/>
          <w:highlight w:val="none"/>
        </w:rPr>
      </w:pPr>
    </w:p>
    <w:p w14:paraId="7C54D206">
      <w:pPr>
        <w:spacing w:line="360" w:lineRule="auto"/>
        <w:rPr>
          <w:rFonts w:ascii="宋体"/>
          <w:color w:val="auto"/>
          <w:sz w:val="24"/>
          <w:highlight w:val="none"/>
        </w:rPr>
      </w:pPr>
    </w:p>
    <w:p w14:paraId="370B0BAA">
      <w:pPr>
        <w:spacing w:line="360" w:lineRule="auto"/>
        <w:rPr>
          <w:rFonts w:ascii="宋体"/>
          <w:color w:val="auto"/>
          <w:sz w:val="24"/>
          <w:highlight w:val="none"/>
        </w:rPr>
      </w:pPr>
    </w:p>
    <w:p w14:paraId="4C4E8C9A">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5CF02067">
      <w:pPr>
        <w:spacing w:line="360" w:lineRule="auto"/>
        <w:rPr>
          <w:rFonts w:ascii="宋体"/>
          <w:color w:val="auto"/>
          <w:sz w:val="24"/>
          <w:highlight w:val="none"/>
        </w:rPr>
      </w:pPr>
    </w:p>
    <w:p w14:paraId="0F0892E1">
      <w:pPr>
        <w:spacing w:line="360" w:lineRule="auto"/>
        <w:rPr>
          <w:rFonts w:ascii="宋体"/>
          <w:color w:val="auto"/>
          <w:sz w:val="24"/>
          <w:highlight w:val="none"/>
        </w:rPr>
      </w:pPr>
    </w:p>
    <w:p w14:paraId="422E7D8A">
      <w:pPr>
        <w:spacing w:line="360" w:lineRule="auto"/>
        <w:rPr>
          <w:rFonts w:ascii="宋体"/>
          <w:color w:val="auto"/>
          <w:sz w:val="24"/>
          <w:highlight w:val="none"/>
        </w:rPr>
      </w:pPr>
    </w:p>
    <w:p w14:paraId="0144DE43">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63A96DF6">
      <w:pPr>
        <w:spacing w:line="360" w:lineRule="auto"/>
        <w:rPr>
          <w:rFonts w:ascii="宋体"/>
          <w:color w:val="auto"/>
          <w:sz w:val="24"/>
          <w:highlight w:val="none"/>
        </w:rPr>
      </w:pPr>
    </w:p>
    <w:p w14:paraId="2BCF3C02">
      <w:pPr>
        <w:spacing w:line="360" w:lineRule="auto"/>
        <w:rPr>
          <w:rFonts w:ascii="宋体"/>
          <w:color w:val="auto"/>
          <w:sz w:val="24"/>
          <w:highlight w:val="none"/>
        </w:rPr>
      </w:pPr>
    </w:p>
    <w:p w14:paraId="1EA44968">
      <w:pPr>
        <w:spacing w:line="360" w:lineRule="auto"/>
        <w:rPr>
          <w:rFonts w:ascii="宋体"/>
          <w:color w:val="auto"/>
          <w:sz w:val="24"/>
          <w:highlight w:val="none"/>
        </w:rPr>
      </w:pPr>
    </w:p>
    <w:p w14:paraId="2D756C58">
      <w:pPr>
        <w:spacing w:line="360" w:lineRule="auto"/>
        <w:rPr>
          <w:rFonts w:ascii="宋体"/>
          <w:color w:val="auto"/>
          <w:sz w:val="24"/>
          <w:highlight w:val="none"/>
        </w:rPr>
      </w:pPr>
      <w:r>
        <w:rPr>
          <w:rFonts w:hint="eastAsia" w:ascii="宋体"/>
          <w:color w:val="auto"/>
          <w:sz w:val="24"/>
          <w:highlight w:val="none"/>
        </w:rPr>
        <w:t>6.其他优惠条件</w:t>
      </w:r>
    </w:p>
    <w:p w14:paraId="52C3A812">
      <w:pPr>
        <w:spacing w:line="360" w:lineRule="auto"/>
        <w:rPr>
          <w:rFonts w:ascii="宋体"/>
          <w:color w:val="auto"/>
          <w:sz w:val="24"/>
          <w:highlight w:val="none"/>
        </w:rPr>
      </w:pPr>
    </w:p>
    <w:p w14:paraId="28B1C156">
      <w:pPr>
        <w:spacing w:line="360" w:lineRule="auto"/>
        <w:rPr>
          <w:rFonts w:ascii="宋体"/>
          <w:color w:val="auto"/>
          <w:sz w:val="24"/>
          <w:highlight w:val="none"/>
        </w:rPr>
      </w:pPr>
    </w:p>
    <w:p w14:paraId="151318E2">
      <w:pPr>
        <w:spacing w:line="360" w:lineRule="auto"/>
        <w:rPr>
          <w:rFonts w:ascii="宋体"/>
          <w:color w:val="auto"/>
          <w:sz w:val="24"/>
          <w:highlight w:val="none"/>
        </w:rPr>
      </w:pPr>
      <w:r>
        <w:rPr>
          <w:rFonts w:ascii="宋体"/>
          <w:color w:val="auto"/>
          <w:sz w:val="24"/>
          <w:highlight w:val="none"/>
        </w:rPr>
        <w:t xml:space="preserve">                       </w:t>
      </w:r>
    </w:p>
    <w:p w14:paraId="448842E5">
      <w:pPr>
        <w:spacing w:line="360" w:lineRule="auto"/>
        <w:rPr>
          <w:rFonts w:ascii="宋体"/>
          <w:color w:val="auto"/>
          <w:sz w:val="24"/>
          <w:highlight w:val="none"/>
        </w:rPr>
      </w:pPr>
    </w:p>
    <w:p w14:paraId="35729DE0">
      <w:pP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78543110">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0095F084">
      <w:pPr>
        <w:spacing w:line="360" w:lineRule="auto"/>
        <w:jc w:val="right"/>
        <w:rPr>
          <w:rFonts w:hint="eastAsia" w:hAnsi="宋体"/>
          <w:b/>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r>
        <w:rPr>
          <w:rFonts w:hint="eastAsia" w:ascii="宋体" w:hAnsi="宋体" w:cs="宋体"/>
          <w:color w:val="auto"/>
          <w:sz w:val="24"/>
          <w:highlight w:val="none"/>
          <w:lang w:eastAsia="zh-CN"/>
        </w:rPr>
        <w:br w:type="page"/>
      </w:r>
    </w:p>
    <w:p w14:paraId="5333BB6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开标一览表</w:t>
      </w:r>
    </w:p>
    <w:p w14:paraId="19077DE6">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117A0BF9">
      <w:pPr>
        <w:spacing w:line="480" w:lineRule="exact"/>
        <w:rPr>
          <w:rFonts w:ascii="宋体" w:hAnsi="宋体"/>
          <w:color w:val="auto"/>
          <w:highlight w:val="none"/>
        </w:rPr>
      </w:pPr>
      <w:r>
        <w:rPr>
          <w:rFonts w:hint="eastAsia" w:ascii="宋体" w:hAnsi="宋体"/>
          <w:color w:val="auto"/>
          <w:highlight w:val="none"/>
        </w:rPr>
        <w:t>投标人名称（电子盖章）：</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4160A5B">
      <w:pPr>
        <w:spacing w:line="480" w:lineRule="exact"/>
        <w:rPr>
          <w:rFonts w:ascii="宋体" w:hAnsi="宋体"/>
          <w:color w:val="auto"/>
          <w:highlight w:val="none"/>
          <w:u w:val="single"/>
        </w:rPr>
      </w:pPr>
      <w:r>
        <w:rPr>
          <w:rFonts w:hint="eastAsia" w:ascii="宋体" w:hAnsi="宋体"/>
          <w:color w:val="auto"/>
          <w:highlight w:val="none"/>
        </w:rPr>
        <w:t>招标编号：</w:t>
      </w:r>
      <w:r>
        <w:rPr>
          <w:rFonts w:hint="eastAsia" w:ascii="宋体" w:hAnsi="宋体"/>
          <w:color w:val="auto"/>
          <w:highlight w:val="none"/>
          <w:u w:val="single"/>
        </w:rPr>
        <w:t xml:space="preserve">                             </w:t>
      </w:r>
      <w:r>
        <w:rPr>
          <w:rFonts w:hint="eastAsia" w:ascii="宋体" w:hAnsi="宋体"/>
          <w:color w:val="auto"/>
          <w:highlight w:val="none"/>
        </w:rPr>
        <w:t xml:space="preserve">      </w:t>
      </w:r>
    </w:p>
    <w:tbl>
      <w:tblPr>
        <w:tblStyle w:val="3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29"/>
        <w:gridCol w:w="1024"/>
        <w:gridCol w:w="1418"/>
        <w:gridCol w:w="2126"/>
        <w:gridCol w:w="2268"/>
      </w:tblGrid>
      <w:tr w14:paraId="0968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6C8B6463">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53" w:type="dxa"/>
            <w:gridSpan w:val="2"/>
            <w:noWrap w:val="0"/>
            <w:vAlign w:val="center"/>
          </w:tcPr>
          <w:p w14:paraId="64EABBF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1418" w:type="dxa"/>
            <w:noWrap w:val="0"/>
            <w:vAlign w:val="center"/>
          </w:tcPr>
          <w:p w14:paraId="0B775B8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2126" w:type="dxa"/>
            <w:noWrap w:val="0"/>
            <w:vAlign w:val="center"/>
          </w:tcPr>
          <w:p w14:paraId="7BB5031D">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2268" w:type="dxa"/>
            <w:noWrap w:val="0"/>
            <w:vAlign w:val="center"/>
          </w:tcPr>
          <w:p w14:paraId="7CCA7794">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总价（元）</w:t>
            </w:r>
          </w:p>
        </w:tc>
      </w:tr>
      <w:tr w14:paraId="01F2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FAE81EE">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853" w:type="dxa"/>
            <w:gridSpan w:val="2"/>
            <w:noWrap w:val="0"/>
            <w:vAlign w:val="center"/>
          </w:tcPr>
          <w:p w14:paraId="57D184CA">
            <w:pPr>
              <w:jc w:val="left"/>
              <w:rPr>
                <w:rFonts w:hint="eastAsia" w:ascii="宋体" w:hAnsi="宋体" w:cs="宋体"/>
                <w:color w:val="auto"/>
                <w:szCs w:val="21"/>
                <w:highlight w:val="none"/>
              </w:rPr>
            </w:pPr>
          </w:p>
        </w:tc>
        <w:tc>
          <w:tcPr>
            <w:tcW w:w="1418" w:type="dxa"/>
            <w:noWrap w:val="0"/>
            <w:vAlign w:val="center"/>
          </w:tcPr>
          <w:p w14:paraId="010776F5">
            <w:pPr>
              <w:spacing w:line="480" w:lineRule="exact"/>
              <w:jc w:val="center"/>
              <w:rPr>
                <w:rFonts w:hint="eastAsia" w:ascii="宋体" w:hAnsi="宋体" w:cs="宋体"/>
                <w:color w:val="auto"/>
                <w:szCs w:val="21"/>
                <w:highlight w:val="none"/>
              </w:rPr>
            </w:pPr>
          </w:p>
        </w:tc>
        <w:tc>
          <w:tcPr>
            <w:tcW w:w="2126" w:type="dxa"/>
            <w:noWrap w:val="0"/>
            <w:vAlign w:val="center"/>
          </w:tcPr>
          <w:p w14:paraId="3AD8F27E">
            <w:pPr>
              <w:spacing w:line="480" w:lineRule="exact"/>
              <w:jc w:val="center"/>
              <w:rPr>
                <w:rFonts w:hint="eastAsia" w:ascii="宋体" w:hAnsi="宋体" w:cs="宋体"/>
                <w:color w:val="auto"/>
                <w:szCs w:val="21"/>
                <w:highlight w:val="none"/>
              </w:rPr>
            </w:pPr>
          </w:p>
        </w:tc>
        <w:tc>
          <w:tcPr>
            <w:tcW w:w="2268" w:type="dxa"/>
            <w:noWrap w:val="0"/>
            <w:vAlign w:val="center"/>
          </w:tcPr>
          <w:p w14:paraId="7ED28C38">
            <w:pPr>
              <w:spacing w:line="480" w:lineRule="exact"/>
              <w:jc w:val="center"/>
              <w:rPr>
                <w:rFonts w:hint="eastAsia" w:ascii="宋体" w:hAnsi="宋体" w:cs="宋体"/>
                <w:color w:val="auto"/>
                <w:szCs w:val="21"/>
                <w:highlight w:val="none"/>
              </w:rPr>
            </w:pPr>
          </w:p>
        </w:tc>
      </w:tr>
      <w:tr w14:paraId="4305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4C285C11">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853" w:type="dxa"/>
            <w:gridSpan w:val="2"/>
            <w:noWrap w:val="0"/>
            <w:vAlign w:val="center"/>
          </w:tcPr>
          <w:p w14:paraId="532FB0B2">
            <w:pPr>
              <w:jc w:val="left"/>
              <w:rPr>
                <w:rFonts w:hint="eastAsia" w:ascii="宋体" w:hAnsi="宋体" w:cs="宋体"/>
                <w:color w:val="auto"/>
                <w:szCs w:val="21"/>
                <w:highlight w:val="none"/>
              </w:rPr>
            </w:pPr>
          </w:p>
        </w:tc>
        <w:tc>
          <w:tcPr>
            <w:tcW w:w="1418" w:type="dxa"/>
            <w:noWrap w:val="0"/>
            <w:vAlign w:val="center"/>
          </w:tcPr>
          <w:p w14:paraId="3522E8D8">
            <w:pPr>
              <w:spacing w:line="480" w:lineRule="exact"/>
              <w:jc w:val="center"/>
              <w:rPr>
                <w:rFonts w:hint="eastAsia" w:ascii="宋体" w:hAnsi="宋体" w:cs="宋体"/>
                <w:color w:val="auto"/>
                <w:szCs w:val="21"/>
                <w:highlight w:val="none"/>
              </w:rPr>
            </w:pPr>
          </w:p>
        </w:tc>
        <w:tc>
          <w:tcPr>
            <w:tcW w:w="2126" w:type="dxa"/>
            <w:noWrap w:val="0"/>
            <w:vAlign w:val="center"/>
          </w:tcPr>
          <w:p w14:paraId="202F7DF2">
            <w:pPr>
              <w:spacing w:line="480" w:lineRule="exact"/>
              <w:jc w:val="center"/>
              <w:rPr>
                <w:rFonts w:hint="eastAsia" w:ascii="宋体" w:hAnsi="宋体" w:cs="宋体"/>
                <w:color w:val="auto"/>
                <w:szCs w:val="21"/>
                <w:highlight w:val="none"/>
              </w:rPr>
            </w:pPr>
          </w:p>
        </w:tc>
        <w:tc>
          <w:tcPr>
            <w:tcW w:w="2268" w:type="dxa"/>
            <w:noWrap w:val="0"/>
            <w:vAlign w:val="center"/>
          </w:tcPr>
          <w:p w14:paraId="25CDD617">
            <w:pPr>
              <w:spacing w:line="480" w:lineRule="exact"/>
              <w:jc w:val="center"/>
              <w:rPr>
                <w:rFonts w:hint="eastAsia" w:ascii="宋体" w:hAnsi="宋体" w:cs="宋体"/>
                <w:color w:val="auto"/>
                <w:szCs w:val="21"/>
                <w:highlight w:val="none"/>
              </w:rPr>
            </w:pPr>
          </w:p>
        </w:tc>
      </w:tr>
      <w:tr w14:paraId="71F7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5900234">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853" w:type="dxa"/>
            <w:gridSpan w:val="2"/>
            <w:noWrap w:val="0"/>
            <w:vAlign w:val="center"/>
          </w:tcPr>
          <w:p w14:paraId="45E9AC60">
            <w:pPr>
              <w:jc w:val="left"/>
              <w:rPr>
                <w:rFonts w:hint="eastAsia" w:ascii="宋体" w:hAnsi="宋体" w:cs="宋体"/>
                <w:color w:val="auto"/>
                <w:szCs w:val="21"/>
                <w:highlight w:val="none"/>
              </w:rPr>
            </w:pPr>
          </w:p>
        </w:tc>
        <w:tc>
          <w:tcPr>
            <w:tcW w:w="1418" w:type="dxa"/>
            <w:noWrap w:val="0"/>
            <w:vAlign w:val="center"/>
          </w:tcPr>
          <w:p w14:paraId="58F8CBB4">
            <w:pPr>
              <w:spacing w:line="480" w:lineRule="exact"/>
              <w:jc w:val="center"/>
              <w:rPr>
                <w:rFonts w:hint="eastAsia" w:ascii="宋体" w:hAnsi="宋体" w:cs="宋体"/>
                <w:color w:val="auto"/>
                <w:szCs w:val="21"/>
                <w:highlight w:val="none"/>
              </w:rPr>
            </w:pPr>
          </w:p>
        </w:tc>
        <w:tc>
          <w:tcPr>
            <w:tcW w:w="2126" w:type="dxa"/>
            <w:noWrap w:val="0"/>
            <w:vAlign w:val="center"/>
          </w:tcPr>
          <w:p w14:paraId="6DC015EF">
            <w:pPr>
              <w:spacing w:line="480" w:lineRule="exact"/>
              <w:jc w:val="center"/>
              <w:rPr>
                <w:rFonts w:hint="eastAsia" w:ascii="宋体" w:hAnsi="宋体" w:cs="宋体"/>
                <w:color w:val="auto"/>
                <w:szCs w:val="21"/>
                <w:highlight w:val="none"/>
              </w:rPr>
            </w:pPr>
          </w:p>
        </w:tc>
        <w:tc>
          <w:tcPr>
            <w:tcW w:w="2268" w:type="dxa"/>
            <w:noWrap w:val="0"/>
            <w:vAlign w:val="center"/>
          </w:tcPr>
          <w:p w14:paraId="2F9A41E0">
            <w:pPr>
              <w:spacing w:line="480" w:lineRule="exact"/>
              <w:jc w:val="center"/>
              <w:rPr>
                <w:rFonts w:hint="eastAsia" w:ascii="宋体" w:hAnsi="宋体" w:cs="宋体"/>
                <w:color w:val="auto"/>
                <w:szCs w:val="21"/>
                <w:highlight w:val="none"/>
              </w:rPr>
            </w:pPr>
          </w:p>
        </w:tc>
      </w:tr>
      <w:tr w14:paraId="32F6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54522FC6">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853" w:type="dxa"/>
            <w:gridSpan w:val="2"/>
            <w:noWrap w:val="0"/>
            <w:vAlign w:val="center"/>
          </w:tcPr>
          <w:p w14:paraId="31FCFC39">
            <w:pPr>
              <w:jc w:val="left"/>
              <w:rPr>
                <w:rFonts w:hint="eastAsia" w:ascii="宋体" w:hAnsi="宋体" w:cs="宋体"/>
                <w:color w:val="auto"/>
                <w:szCs w:val="21"/>
                <w:highlight w:val="none"/>
              </w:rPr>
            </w:pPr>
          </w:p>
        </w:tc>
        <w:tc>
          <w:tcPr>
            <w:tcW w:w="1418" w:type="dxa"/>
            <w:noWrap w:val="0"/>
            <w:vAlign w:val="center"/>
          </w:tcPr>
          <w:p w14:paraId="69BB46AC">
            <w:pPr>
              <w:spacing w:line="480" w:lineRule="exact"/>
              <w:jc w:val="center"/>
              <w:rPr>
                <w:rFonts w:hint="eastAsia" w:ascii="宋体" w:hAnsi="宋体" w:cs="宋体"/>
                <w:color w:val="auto"/>
                <w:szCs w:val="21"/>
                <w:highlight w:val="none"/>
              </w:rPr>
            </w:pPr>
          </w:p>
        </w:tc>
        <w:tc>
          <w:tcPr>
            <w:tcW w:w="2126" w:type="dxa"/>
            <w:noWrap w:val="0"/>
            <w:vAlign w:val="center"/>
          </w:tcPr>
          <w:p w14:paraId="2680D79E">
            <w:pPr>
              <w:spacing w:line="480" w:lineRule="exact"/>
              <w:jc w:val="center"/>
              <w:rPr>
                <w:rFonts w:hint="eastAsia" w:ascii="宋体" w:hAnsi="宋体" w:cs="宋体"/>
                <w:color w:val="auto"/>
                <w:szCs w:val="21"/>
                <w:highlight w:val="none"/>
              </w:rPr>
            </w:pPr>
          </w:p>
        </w:tc>
        <w:tc>
          <w:tcPr>
            <w:tcW w:w="2268" w:type="dxa"/>
            <w:noWrap w:val="0"/>
            <w:vAlign w:val="center"/>
          </w:tcPr>
          <w:p w14:paraId="43E10F62">
            <w:pPr>
              <w:spacing w:line="480" w:lineRule="exact"/>
              <w:jc w:val="center"/>
              <w:rPr>
                <w:rFonts w:hint="eastAsia" w:ascii="宋体" w:hAnsi="宋体" w:cs="宋体"/>
                <w:color w:val="auto"/>
                <w:szCs w:val="21"/>
                <w:highlight w:val="none"/>
              </w:rPr>
            </w:pPr>
          </w:p>
        </w:tc>
      </w:tr>
      <w:tr w14:paraId="3D3C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41F01B7">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853" w:type="dxa"/>
            <w:gridSpan w:val="2"/>
            <w:noWrap w:val="0"/>
            <w:vAlign w:val="center"/>
          </w:tcPr>
          <w:p w14:paraId="13CA7638">
            <w:pPr>
              <w:jc w:val="left"/>
              <w:rPr>
                <w:rFonts w:hint="eastAsia" w:ascii="宋体" w:hAnsi="宋体" w:cs="宋体"/>
                <w:color w:val="auto"/>
                <w:szCs w:val="21"/>
                <w:highlight w:val="none"/>
              </w:rPr>
            </w:pPr>
          </w:p>
        </w:tc>
        <w:tc>
          <w:tcPr>
            <w:tcW w:w="1418" w:type="dxa"/>
            <w:noWrap w:val="0"/>
            <w:vAlign w:val="center"/>
          </w:tcPr>
          <w:p w14:paraId="3FDE27A8">
            <w:pPr>
              <w:spacing w:line="480" w:lineRule="exact"/>
              <w:jc w:val="center"/>
              <w:rPr>
                <w:rFonts w:hint="eastAsia" w:ascii="宋体" w:hAnsi="宋体" w:cs="宋体"/>
                <w:color w:val="auto"/>
                <w:szCs w:val="21"/>
                <w:highlight w:val="none"/>
              </w:rPr>
            </w:pPr>
          </w:p>
        </w:tc>
        <w:tc>
          <w:tcPr>
            <w:tcW w:w="2126" w:type="dxa"/>
            <w:noWrap w:val="0"/>
            <w:vAlign w:val="center"/>
          </w:tcPr>
          <w:p w14:paraId="127512AA">
            <w:pPr>
              <w:spacing w:line="480" w:lineRule="exact"/>
              <w:jc w:val="center"/>
              <w:rPr>
                <w:rFonts w:hint="eastAsia" w:ascii="宋体" w:hAnsi="宋体" w:cs="宋体"/>
                <w:color w:val="auto"/>
                <w:szCs w:val="21"/>
                <w:highlight w:val="none"/>
              </w:rPr>
            </w:pPr>
          </w:p>
        </w:tc>
        <w:tc>
          <w:tcPr>
            <w:tcW w:w="2268" w:type="dxa"/>
            <w:noWrap w:val="0"/>
            <w:vAlign w:val="center"/>
          </w:tcPr>
          <w:p w14:paraId="697FB828">
            <w:pPr>
              <w:spacing w:line="480" w:lineRule="exact"/>
              <w:jc w:val="center"/>
              <w:rPr>
                <w:rFonts w:hint="eastAsia" w:ascii="宋体" w:hAnsi="宋体" w:cs="宋体"/>
                <w:color w:val="auto"/>
                <w:szCs w:val="21"/>
                <w:highlight w:val="none"/>
              </w:rPr>
            </w:pPr>
          </w:p>
        </w:tc>
      </w:tr>
      <w:tr w14:paraId="0D80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BAB4C0C">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853" w:type="dxa"/>
            <w:gridSpan w:val="2"/>
            <w:noWrap w:val="0"/>
            <w:vAlign w:val="center"/>
          </w:tcPr>
          <w:p w14:paraId="226C06E2">
            <w:pPr>
              <w:jc w:val="left"/>
              <w:rPr>
                <w:rFonts w:hint="eastAsia" w:ascii="宋体" w:hAnsi="宋体" w:cs="宋体"/>
                <w:color w:val="auto"/>
                <w:szCs w:val="21"/>
                <w:highlight w:val="none"/>
              </w:rPr>
            </w:pPr>
          </w:p>
        </w:tc>
        <w:tc>
          <w:tcPr>
            <w:tcW w:w="1418" w:type="dxa"/>
            <w:noWrap w:val="0"/>
            <w:vAlign w:val="center"/>
          </w:tcPr>
          <w:p w14:paraId="1F7C5C99">
            <w:pPr>
              <w:spacing w:line="480" w:lineRule="exact"/>
              <w:jc w:val="center"/>
              <w:rPr>
                <w:rFonts w:hint="eastAsia" w:ascii="宋体" w:hAnsi="宋体" w:cs="宋体"/>
                <w:color w:val="auto"/>
                <w:szCs w:val="21"/>
                <w:highlight w:val="none"/>
              </w:rPr>
            </w:pPr>
          </w:p>
        </w:tc>
        <w:tc>
          <w:tcPr>
            <w:tcW w:w="2126" w:type="dxa"/>
            <w:noWrap w:val="0"/>
            <w:vAlign w:val="center"/>
          </w:tcPr>
          <w:p w14:paraId="5CC6A04B">
            <w:pPr>
              <w:spacing w:line="480" w:lineRule="exact"/>
              <w:jc w:val="center"/>
              <w:rPr>
                <w:rFonts w:hint="eastAsia" w:ascii="宋体" w:hAnsi="宋体" w:cs="宋体"/>
                <w:color w:val="auto"/>
                <w:szCs w:val="21"/>
                <w:highlight w:val="none"/>
              </w:rPr>
            </w:pPr>
          </w:p>
        </w:tc>
        <w:tc>
          <w:tcPr>
            <w:tcW w:w="2268" w:type="dxa"/>
            <w:noWrap w:val="0"/>
            <w:vAlign w:val="center"/>
          </w:tcPr>
          <w:p w14:paraId="09AED822">
            <w:pPr>
              <w:spacing w:line="480" w:lineRule="exact"/>
              <w:jc w:val="center"/>
              <w:rPr>
                <w:rFonts w:hint="eastAsia" w:ascii="宋体" w:hAnsi="宋体" w:cs="宋体"/>
                <w:color w:val="auto"/>
                <w:szCs w:val="21"/>
                <w:highlight w:val="none"/>
              </w:rPr>
            </w:pPr>
          </w:p>
        </w:tc>
      </w:tr>
      <w:tr w14:paraId="1948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60E1CD14">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853" w:type="dxa"/>
            <w:gridSpan w:val="2"/>
            <w:noWrap w:val="0"/>
            <w:vAlign w:val="top"/>
          </w:tcPr>
          <w:p w14:paraId="35D58D4F">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1418" w:type="dxa"/>
            <w:noWrap w:val="0"/>
            <w:vAlign w:val="center"/>
          </w:tcPr>
          <w:p w14:paraId="48753BBA">
            <w:pPr>
              <w:spacing w:line="480" w:lineRule="exact"/>
              <w:jc w:val="center"/>
              <w:rPr>
                <w:rFonts w:hint="eastAsia" w:ascii="宋体" w:hAnsi="宋体" w:cs="宋体"/>
                <w:color w:val="auto"/>
                <w:szCs w:val="21"/>
                <w:highlight w:val="none"/>
              </w:rPr>
            </w:pPr>
          </w:p>
        </w:tc>
        <w:tc>
          <w:tcPr>
            <w:tcW w:w="2126" w:type="dxa"/>
            <w:noWrap w:val="0"/>
            <w:vAlign w:val="center"/>
          </w:tcPr>
          <w:p w14:paraId="0A205786">
            <w:pPr>
              <w:spacing w:line="480" w:lineRule="exact"/>
              <w:jc w:val="center"/>
              <w:rPr>
                <w:rFonts w:hint="eastAsia" w:ascii="宋体" w:hAnsi="宋体" w:cs="宋体"/>
                <w:color w:val="auto"/>
                <w:szCs w:val="21"/>
                <w:highlight w:val="none"/>
              </w:rPr>
            </w:pPr>
          </w:p>
        </w:tc>
        <w:tc>
          <w:tcPr>
            <w:tcW w:w="2268" w:type="dxa"/>
            <w:noWrap w:val="0"/>
            <w:vAlign w:val="center"/>
          </w:tcPr>
          <w:p w14:paraId="0026ED3A">
            <w:pPr>
              <w:spacing w:line="480" w:lineRule="exact"/>
              <w:jc w:val="center"/>
              <w:rPr>
                <w:rFonts w:hint="eastAsia" w:ascii="宋体" w:hAnsi="宋体" w:cs="宋体"/>
                <w:color w:val="auto"/>
                <w:szCs w:val="21"/>
                <w:highlight w:val="none"/>
              </w:rPr>
            </w:pPr>
          </w:p>
        </w:tc>
      </w:tr>
      <w:tr w14:paraId="6E53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799" w:type="dxa"/>
            <w:noWrap w:val="0"/>
            <w:vAlign w:val="top"/>
          </w:tcPr>
          <w:p w14:paraId="116C5D4C">
            <w:pPr>
              <w:spacing w:line="480" w:lineRule="exact"/>
              <w:jc w:val="center"/>
              <w:rPr>
                <w:rFonts w:hint="eastAsia" w:ascii="宋体" w:hAnsi="宋体" w:cs="宋体"/>
                <w:color w:val="auto"/>
                <w:szCs w:val="21"/>
                <w:highlight w:val="none"/>
              </w:rPr>
            </w:pPr>
          </w:p>
          <w:p w14:paraId="284DB067">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29" w:type="dxa"/>
            <w:noWrap w:val="0"/>
            <w:vAlign w:val="top"/>
          </w:tcPr>
          <w:p w14:paraId="588B2CEE">
            <w:pPr>
              <w:spacing w:line="480" w:lineRule="exact"/>
              <w:jc w:val="center"/>
              <w:rPr>
                <w:rFonts w:hint="eastAsia" w:ascii="宋体" w:hAnsi="宋体" w:cs="宋体"/>
                <w:color w:val="auto"/>
                <w:szCs w:val="21"/>
                <w:highlight w:val="none"/>
              </w:rPr>
            </w:pPr>
          </w:p>
          <w:p w14:paraId="2162901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6836" w:type="dxa"/>
            <w:gridSpan w:val="4"/>
            <w:noWrap w:val="0"/>
            <w:vAlign w:val="top"/>
          </w:tcPr>
          <w:p w14:paraId="0FC5C2A8">
            <w:pPr>
              <w:spacing w:line="480" w:lineRule="exact"/>
              <w:rPr>
                <w:rFonts w:hint="eastAsia" w:ascii="宋体" w:hAnsi="宋体" w:cs="宋体"/>
                <w:color w:val="auto"/>
                <w:szCs w:val="21"/>
                <w:highlight w:val="none"/>
              </w:rPr>
            </w:pPr>
          </w:p>
          <w:p w14:paraId="4716FF64">
            <w:pPr>
              <w:spacing w:line="480" w:lineRule="exact"/>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720E2949">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2AF63DD3">
      <w:pPr>
        <w:spacing w:line="480" w:lineRule="exact"/>
        <w:rPr>
          <w:rFonts w:ascii="宋体" w:hAnsi="宋体"/>
          <w:color w:val="auto"/>
          <w:highlight w:val="none"/>
        </w:rPr>
      </w:pPr>
    </w:p>
    <w:p w14:paraId="66236CE4">
      <w:pPr>
        <w:spacing w:line="480" w:lineRule="exact"/>
        <w:rPr>
          <w:rFonts w:ascii="宋体" w:hAnsi="宋体"/>
          <w:color w:val="auto"/>
          <w:highlight w:val="none"/>
        </w:rPr>
      </w:pPr>
      <w:r>
        <w:rPr>
          <w:rFonts w:hint="eastAsia" w:ascii="宋体" w:hAnsi="宋体"/>
          <w:color w:val="auto"/>
          <w:highlight w:val="none"/>
        </w:rPr>
        <w:t xml:space="preserve">全权代表签字：                   </w:t>
      </w:r>
    </w:p>
    <w:p w14:paraId="1451A631">
      <w:pPr>
        <w:spacing w:line="480" w:lineRule="exact"/>
        <w:rPr>
          <w:rFonts w:ascii="宋体" w:hAnsi="宋体"/>
          <w:color w:val="auto"/>
          <w:highlight w:val="none"/>
        </w:rPr>
      </w:pPr>
      <w:r>
        <w:rPr>
          <w:rFonts w:hint="eastAsia" w:ascii="宋体" w:hAnsi="宋体"/>
          <w:color w:val="auto"/>
          <w:highlight w:val="none"/>
        </w:rPr>
        <w:t xml:space="preserve">日 期：           </w:t>
      </w:r>
    </w:p>
    <w:p w14:paraId="08E65CCF">
      <w:pPr>
        <w:spacing w:line="480" w:lineRule="exact"/>
        <w:ind w:left="420" w:hanging="420" w:hangingChars="200"/>
        <w:rPr>
          <w:rFonts w:ascii="宋体" w:hAnsi="宋体"/>
          <w:color w:val="auto"/>
          <w:highlight w:val="none"/>
        </w:rPr>
      </w:pPr>
      <w:r>
        <w:rPr>
          <w:rFonts w:hint="eastAsia" w:ascii="宋体" w:hAnsi="宋体"/>
          <w:color w:val="auto"/>
          <w:highlight w:val="none"/>
        </w:rPr>
        <w:t>注：</w:t>
      </w:r>
    </w:p>
    <w:p w14:paraId="0BA839FD">
      <w:pPr>
        <w:pStyle w:val="20"/>
        <w:spacing w:line="480" w:lineRule="exact"/>
        <w:rPr>
          <w:rFonts w:hAnsi="宋体"/>
          <w:b/>
          <w:color w:val="auto"/>
          <w:highlight w:val="none"/>
        </w:rPr>
      </w:pPr>
      <w:r>
        <w:rPr>
          <w:rFonts w:hAnsi="宋体"/>
          <w:color w:val="auto"/>
          <w:highlight w:val="none"/>
        </w:rPr>
        <w:t>1</w:t>
      </w:r>
      <w:r>
        <w:rPr>
          <w:rFonts w:hint="eastAsia" w:hAnsi="宋体"/>
          <w:color w:val="auto"/>
          <w:highlight w:val="none"/>
        </w:rPr>
        <w:t>.投标人应根据国家的有关规定和</w:t>
      </w:r>
      <w:r>
        <w:rPr>
          <w:rFonts w:hint="eastAsia" w:hAnsi="宋体"/>
          <w:b/>
          <w:color w:val="auto"/>
          <w:highlight w:val="none"/>
          <w:shd w:val="pct10" w:color="auto" w:fill="FFFFFF"/>
        </w:rPr>
        <w:t>实际情况</w:t>
      </w:r>
      <w:r>
        <w:rPr>
          <w:rFonts w:hint="eastAsia" w:hAnsi="宋体"/>
          <w:color w:val="auto"/>
          <w:highlight w:val="none"/>
        </w:rPr>
        <w:t>并结合企业的实际情况进行投标报价。</w:t>
      </w:r>
      <w:r>
        <w:rPr>
          <w:rFonts w:hint="eastAsia" w:hAnsi="宋体"/>
          <w:b/>
          <w:color w:val="auto"/>
          <w:highlight w:val="none"/>
        </w:rPr>
        <w:t>投标报价为投标人所能承受的最低、最终一次性报价。</w:t>
      </w:r>
    </w:p>
    <w:p w14:paraId="5F8222A8">
      <w:pPr>
        <w:spacing w:line="480" w:lineRule="exact"/>
        <w:rPr>
          <w:rFonts w:hint="eastAsia" w:ascii="仿宋" w:hAnsi="仿宋" w:eastAsia="仿宋"/>
          <w:b/>
          <w:color w:val="auto"/>
          <w:highlight w:val="none"/>
        </w:rPr>
      </w:pPr>
      <w:r>
        <w:rPr>
          <w:rFonts w:hint="eastAsia" w:hAnsi="宋体"/>
          <w:b/>
          <w:color w:val="auto"/>
          <w:highlight w:val="none"/>
        </w:rPr>
        <w:t>2.</w:t>
      </w:r>
      <w:r>
        <w:rPr>
          <w:rFonts w:hint="eastAsia" w:ascii="宋体" w:hAnsi="宋体"/>
          <w:color w:val="auto"/>
          <w:highlight w:val="none"/>
        </w:rPr>
        <w:t>此表在不改变表式内容的情况下，可自行制作</w:t>
      </w:r>
      <w:r>
        <w:rPr>
          <w:rFonts w:hint="eastAsia" w:ascii="宋体" w:hAnsi="宋体"/>
          <w:color w:val="auto"/>
          <w:highlight w:val="none"/>
          <w:lang w:eastAsia="zh-CN"/>
        </w:rPr>
        <w:t>。</w:t>
      </w:r>
      <w:r>
        <w:rPr>
          <w:rFonts w:hint="eastAsia" w:ascii="仿宋" w:hAnsi="仿宋" w:eastAsia="仿宋"/>
          <w:b/>
          <w:color w:val="auto"/>
          <w:highlight w:val="none"/>
        </w:rPr>
        <w:t xml:space="preserve"> </w:t>
      </w:r>
    </w:p>
    <w:p w14:paraId="19A155C3">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质 疑 函 范 本（供参考）</w:t>
      </w:r>
    </w:p>
    <w:p w14:paraId="4FC4052F">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53591F5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4D8FB1C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032D75F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1541A5E6">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7CDE4E0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3F68229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2EE9E808">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3456EFC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2C3CA440">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5A42DFEE">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288C932C">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0F8B9F80">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22C9334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1AB2CC8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0FD73835">
      <w:pPr>
        <w:adjustRightInd w:val="0"/>
        <w:snapToGrid w:val="0"/>
        <w:spacing w:line="360" w:lineRule="auto"/>
        <w:rPr>
          <w:rFonts w:ascii="宋体" w:hAnsi="宋体" w:cs="宋体"/>
          <w:color w:val="auto"/>
          <w:highlight w:val="none"/>
        </w:rPr>
      </w:pPr>
    </w:p>
    <w:p w14:paraId="10B73D5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5DC3FFB9">
      <w:pPr>
        <w:adjustRightInd w:val="0"/>
        <w:snapToGrid w:val="0"/>
        <w:spacing w:line="360" w:lineRule="auto"/>
        <w:rPr>
          <w:rFonts w:ascii="宋体" w:hAnsi="宋体" w:cs="宋体"/>
          <w:color w:val="auto"/>
          <w:highlight w:val="none"/>
          <w:u w:val="dotted"/>
        </w:rPr>
      </w:pPr>
    </w:p>
    <w:p w14:paraId="6BAEBF7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068559E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478E2358">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3DF8F61">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5CE6E7F9">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0822CFCC">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5580118F">
      <w:pPr>
        <w:spacing w:line="360" w:lineRule="auto"/>
        <w:rPr>
          <w:rFonts w:ascii="宋体" w:hAnsi="宋体" w:cs="宋体"/>
          <w:color w:val="auto"/>
          <w:highlight w:val="none"/>
        </w:rPr>
      </w:pPr>
    </w:p>
    <w:p w14:paraId="61A2CD3F">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7BECDA82">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63ADC31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70863E32">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1C7472B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6F3139E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1C8AA18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3406586E">
      <w:pPr>
        <w:pStyle w:val="56"/>
        <w:rPr>
          <w:color w:val="auto"/>
          <w:highlight w:val="none"/>
        </w:rPr>
      </w:pPr>
    </w:p>
    <w:p w14:paraId="5B79E927">
      <w:pPr>
        <w:pStyle w:val="20"/>
        <w:spacing w:line="460" w:lineRule="exact"/>
        <w:rPr>
          <w:rFonts w:cs="Times New Roman"/>
          <w:color w:val="auto"/>
          <w:highlight w:val="none"/>
        </w:rPr>
      </w:pPr>
    </w:p>
    <w:p w14:paraId="581624EF">
      <w:pPr>
        <w:rPr>
          <w:color w:val="auto"/>
          <w:highlight w:val="none"/>
        </w:rPr>
      </w:pPr>
    </w:p>
    <w:p w14:paraId="78610C9C">
      <w:pPr>
        <w:rPr>
          <w:color w:val="auto"/>
          <w:highlight w:val="none"/>
        </w:rPr>
      </w:pPr>
    </w:p>
    <w:p w14:paraId="7335584D">
      <w:pPr>
        <w:pStyle w:val="4"/>
        <w:rPr>
          <w:color w:val="auto"/>
          <w:highlight w:val="none"/>
        </w:rPr>
      </w:pPr>
    </w:p>
    <w:p w14:paraId="4312B582">
      <w:pPr>
        <w:rPr>
          <w:color w:val="auto"/>
          <w:highlight w:val="none"/>
        </w:rPr>
      </w:pPr>
    </w:p>
    <w:p w14:paraId="7224824B">
      <w:pPr>
        <w:jc w:val="center"/>
        <w:rPr>
          <w:rFonts w:hint="eastAsia" w:ascii="宋体" w:hAnsi="宋体"/>
          <w:b/>
          <w:color w:val="auto"/>
          <w:sz w:val="36"/>
          <w:szCs w:val="36"/>
          <w:highlight w:val="none"/>
        </w:rPr>
      </w:pPr>
    </w:p>
    <w:p w14:paraId="64E09E09">
      <w:pPr>
        <w:jc w:val="center"/>
        <w:rPr>
          <w:rFonts w:hint="eastAsia" w:ascii="宋体" w:hAnsi="宋体"/>
          <w:b/>
          <w:color w:val="auto"/>
          <w:sz w:val="36"/>
          <w:szCs w:val="36"/>
          <w:highlight w:val="none"/>
        </w:rPr>
      </w:pPr>
    </w:p>
    <w:p w14:paraId="56DECB31">
      <w:pPr>
        <w:jc w:val="center"/>
        <w:rPr>
          <w:rFonts w:hint="eastAsia" w:ascii="宋体" w:hAnsi="宋体"/>
          <w:b/>
          <w:color w:val="auto"/>
          <w:sz w:val="36"/>
          <w:szCs w:val="36"/>
          <w:highlight w:val="none"/>
        </w:rPr>
      </w:pPr>
    </w:p>
    <w:p w14:paraId="6EA813E5">
      <w:pPr>
        <w:jc w:val="center"/>
        <w:rPr>
          <w:rFonts w:hint="eastAsia" w:ascii="宋体" w:hAnsi="宋体"/>
          <w:b/>
          <w:color w:val="auto"/>
          <w:sz w:val="36"/>
          <w:szCs w:val="36"/>
          <w:highlight w:val="none"/>
        </w:rPr>
      </w:pPr>
    </w:p>
    <w:p w14:paraId="0FA6CE01">
      <w:pPr>
        <w:jc w:val="center"/>
        <w:rPr>
          <w:rFonts w:hint="eastAsia" w:ascii="宋体" w:hAnsi="宋体"/>
          <w:b/>
          <w:color w:val="auto"/>
          <w:sz w:val="36"/>
          <w:szCs w:val="36"/>
          <w:highlight w:val="none"/>
        </w:rPr>
      </w:pPr>
    </w:p>
    <w:p w14:paraId="2BB56AA0">
      <w:pPr>
        <w:jc w:val="center"/>
        <w:rPr>
          <w:rFonts w:hint="eastAsia" w:ascii="宋体" w:hAnsi="宋体"/>
          <w:b/>
          <w:color w:val="auto"/>
          <w:sz w:val="36"/>
          <w:szCs w:val="36"/>
          <w:highlight w:val="none"/>
        </w:rPr>
      </w:pPr>
    </w:p>
    <w:p w14:paraId="794A4C44">
      <w:pPr>
        <w:jc w:val="center"/>
        <w:rPr>
          <w:rFonts w:hint="eastAsia" w:ascii="宋体" w:hAnsi="宋体"/>
          <w:b/>
          <w:color w:val="auto"/>
          <w:sz w:val="36"/>
          <w:szCs w:val="36"/>
          <w:highlight w:val="none"/>
        </w:rPr>
      </w:pPr>
    </w:p>
    <w:p w14:paraId="169E8B12">
      <w:pPr>
        <w:jc w:val="center"/>
        <w:rPr>
          <w:rFonts w:hint="eastAsia" w:ascii="宋体" w:hAnsi="宋体"/>
          <w:b/>
          <w:color w:val="auto"/>
          <w:sz w:val="36"/>
          <w:szCs w:val="36"/>
          <w:highlight w:val="none"/>
        </w:rPr>
      </w:pPr>
    </w:p>
    <w:p w14:paraId="2FD583AF">
      <w:pPr>
        <w:jc w:val="center"/>
        <w:rPr>
          <w:rFonts w:hint="eastAsia" w:ascii="宋体" w:hAnsi="宋体"/>
          <w:b/>
          <w:color w:val="auto"/>
          <w:sz w:val="36"/>
          <w:szCs w:val="36"/>
          <w:highlight w:val="none"/>
        </w:rPr>
      </w:pPr>
    </w:p>
    <w:p w14:paraId="7871E88F">
      <w:pPr>
        <w:jc w:val="center"/>
        <w:rPr>
          <w:rFonts w:hint="eastAsia" w:ascii="宋体" w:hAnsi="宋体"/>
          <w:b/>
          <w:color w:val="auto"/>
          <w:sz w:val="36"/>
          <w:szCs w:val="36"/>
          <w:highlight w:val="none"/>
        </w:rPr>
      </w:pPr>
    </w:p>
    <w:bookmarkEnd w:id="78"/>
    <w:bookmarkEnd w:id="79"/>
    <w:bookmarkEnd w:id="80"/>
    <w:bookmarkEnd w:id="81"/>
    <w:bookmarkEnd w:id="82"/>
    <w:bookmarkEnd w:id="83"/>
    <w:p w14:paraId="0FBB2E02">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19A5">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A8AE2E">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8A8AE2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1FC3">
    <w:pPr>
      <w:pStyle w:val="24"/>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31BA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31BA7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7359">
    <w:pPr>
      <w:pStyle w:val="24"/>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9B8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D59B8A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2BD2">
    <w:pPr>
      <w:pStyle w:val="25"/>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91F7A"/>
    <w:multiLevelType w:val="singleLevel"/>
    <w:tmpl w:val="C4491F7A"/>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4">
    <w:nsid w:val="270D4A16"/>
    <w:multiLevelType w:val="singleLevel"/>
    <w:tmpl w:val="270D4A16"/>
    <w:lvl w:ilvl="0" w:tentative="0">
      <w:start w:val="1"/>
      <w:numFmt w:val="decimal"/>
      <w:suff w:val="nothing"/>
      <w:lvlText w:val="%1."/>
      <w:lvlJc w:val="left"/>
      <w:rPr>
        <w:rFonts w:hint="default"/>
        <w:b/>
        <w:bCs/>
        <w:sz w:val="21"/>
        <w:szCs w:val="21"/>
      </w:rPr>
    </w:lvl>
  </w:abstractNum>
  <w:abstractNum w:abstractNumId="5">
    <w:nsid w:val="476F915D"/>
    <w:multiLevelType w:val="singleLevel"/>
    <w:tmpl w:val="476F915D"/>
    <w:lvl w:ilvl="0" w:tentative="0">
      <w:start w:val="2"/>
      <w:numFmt w:val="decimal"/>
      <w:lvlText w:val="%1."/>
      <w:lvlJc w:val="left"/>
      <w:pPr>
        <w:tabs>
          <w:tab w:val="left" w:pos="312"/>
        </w:tabs>
      </w:pPr>
    </w:lvl>
  </w:abstractNum>
  <w:abstractNum w:abstractNumId="6">
    <w:nsid w:val="6CF7750E"/>
    <w:multiLevelType w:val="singleLevel"/>
    <w:tmpl w:val="6CF7750E"/>
    <w:lvl w:ilvl="0" w:tentative="0">
      <w:start w:val="5"/>
      <w:numFmt w:val="decimal"/>
      <w:lvlText w:val="%1."/>
      <w:lvlJc w:val="left"/>
      <w:pPr>
        <w:tabs>
          <w:tab w:val="left" w:pos="312"/>
        </w:tabs>
      </w:pPr>
    </w:lvl>
  </w:abstractNum>
  <w:num w:numId="1">
    <w:abstractNumId w:val="3"/>
  </w:num>
  <w:num w:numId="2">
    <w:abstractNumId w:val="2"/>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1CD7566"/>
    <w:rsid w:val="0224362A"/>
    <w:rsid w:val="02465A96"/>
    <w:rsid w:val="02565064"/>
    <w:rsid w:val="02CB7559"/>
    <w:rsid w:val="036068E4"/>
    <w:rsid w:val="049F51EA"/>
    <w:rsid w:val="04F05330"/>
    <w:rsid w:val="05031AF8"/>
    <w:rsid w:val="0543026B"/>
    <w:rsid w:val="055A7363"/>
    <w:rsid w:val="05755D10"/>
    <w:rsid w:val="05A35726"/>
    <w:rsid w:val="05FE4192"/>
    <w:rsid w:val="05FE5C3A"/>
    <w:rsid w:val="060F6696"/>
    <w:rsid w:val="06622973"/>
    <w:rsid w:val="0664493D"/>
    <w:rsid w:val="06C4362D"/>
    <w:rsid w:val="073D7647"/>
    <w:rsid w:val="0777244E"/>
    <w:rsid w:val="07862691"/>
    <w:rsid w:val="07B92E8A"/>
    <w:rsid w:val="07FE7AC6"/>
    <w:rsid w:val="08002443"/>
    <w:rsid w:val="08063664"/>
    <w:rsid w:val="08135DD7"/>
    <w:rsid w:val="085C6899"/>
    <w:rsid w:val="08BD0334"/>
    <w:rsid w:val="08E104C7"/>
    <w:rsid w:val="0932268F"/>
    <w:rsid w:val="093C359F"/>
    <w:rsid w:val="09474B65"/>
    <w:rsid w:val="096207EF"/>
    <w:rsid w:val="0A287A2F"/>
    <w:rsid w:val="0A6B1C9E"/>
    <w:rsid w:val="0B6C0A55"/>
    <w:rsid w:val="0BB93035"/>
    <w:rsid w:val="0C19141A"/>
    <w:rsid w:val="0C867851"/>
    <w:rsid w:val="0C937D2A"/>
    <w:rsid w:val="0C945850"/>
    <w:rsid w:val="0D35493D"/>
    <w:rsid w:val="0D4E1D51"/>
    <w:rsid w:val="0D847E39"/>
    <w:rsid w:val="0DDE75AF"/>
    <w:rsid w:val="0DEB4982"/>
    <w:rsid w:val="0E177DB4"/>
    <w:rsid w:val="0E3A7EF6"/>
    <w:rsid w:val="0E7771D7"/>
    <w:rsid w:val="0ECE329B"/>
    <w:rsid w:val="0F0E19B1"/>
    <w:rsid w:val="0F625791"/>
    <w:rsid w:val="0F756041"/>
    <w:rsid w:val="0F984E8D"/>
    <w:rsid w:val="0FAE6C29"/>
    <w:rsid w:val="0FE268D2"/>
    <w:rsid w:val="0FF02D9D"/>
    <w:rsid w:val="0FF76461"/>
    <w:rsid w:val="10C0356C"/>
    <w:rsid w:val="10C466DE"/>
    <w:rsid w:val="10E5667A"/>
    <w:rsid w:val="112278CE"/>
    <w:rsid w:val="114C52E5"/>
    <w:rsid w:val="117C68F9"/>
    <w:rsid w:val="11DE03FE"/>
    <w:rsid w:val="11DE5F31"/>
    <w:rsid w:val="12375B71"/>
    <w:rsid w:val="12855BBF"/>
    <w:rsid w:val="12B47007"/>
    <w:rsid w:val="130D1EB8"/>
    <w:rsid w:val="13301948"/>
    <w:rsid w:val="134E57BA"/>
    <w:rsid w:val="135E44C2"/>
    <w:rsid w:val="13A50B07"/>
    <w:rsid w:val="13CD0840"/>
    <w:rsid w:val="13CE1647"/>
    <w:rsid w:val="13F90EA8"/>
    <w:rsid w:val="14B22D17"/>
    <w:rsid w:val="15215E1A"/>
    <w:rsid w:val="153E3A1B"/>
    <w:rsid w:val="15590B5F"/>
    <w:rsid w:val="157955E3"/>
    <w:rsid w:val="158666B5"/>
    <w:rsid w:val="158721E5"/>
    <w:rsid w:val="16CA3CE6"/>
    <w:rsid w:val="17116227"/>
    <w:rsid w:val="1772485E"/>
    <w:rsid w:val="177D4EC7"/>
    <w:rsid w:val="17986848"/>
    <w:rsid w:val="17B03764"/>
    <w:rsid w:val="17D11C8B"/>
    <w:rsid w:val="17F536DC"/>
    <w:rsid w:val="18185587"/>
    <w:rsid w:val="187B0A12"/>
    <w:rsid w:val="18B359C5"/>
    <w:rsid w:val="18CE52D6"/>
    <w:rsid w:val="19551E2D"/>
    <w:rsid w:val="19D5497B"/>
    <w:rsid w:val="1A22449B"/>
    <w:rsid w:val="1A75606A"/>
    <w:rsid w:val="1A856BB0"/>
    <w:rsid w:val="1B06199E"/>
    <w:rsid w:val="1B860A99"/>
    <w:rsid w:val="1BEB27A3"/>
    <w:rsid w:val="1C1F4874"/>
    <w:rsid w:val="1C3E3F31"/>
    <w:rsid w:val="1C532879"/>
    <w:rsid w:val="1C676ADD"/>
    <w:rsid w:val="1CB30F21"/>
    <w:rsid w:val="1CBD2FEC"/>
    <w:rsid w:val="1D1D0F4A"/>
    <w:rsid w:val="1D230C56"/>
    <w:rsid w:val="1D554B87"/>
    <w:rsid w:val="1DF95513"/>
    <w:rsid w:val="1E872A57"/>
    <w:rsid w:val="1E960FB4"/>
    <w:rsid w:val="1EC6380E"/>
    <w:rsid w:val="1ED76968"/>
    <w:rsid w:val="1F0F41F0"/>
    <w:rsid w:val="1F5F3A9B"/>
    <w:rsid w:val="1F7233D5"/>
    <w:rsid w:val="201E74B3"/>
    <w:rsid w:val="20F06820"/>
    <w:rsid w:val="2131530E"/>
    <w:rsid w:val="21505633"/>
    <w:rsid w:val="2216237D"/>
    <w:rsid w:val="22ED4B08"/>
    <w:rsid w:val="233C481F"/>
    <w:rsid w:val="23B31D5F"/>
    <w:rsid w:val="23F1AFB4"/>
    <w:rsid w:val="23F9544D"/>
    <w:rsid w:val="248046D8"/>
    <w:rsid w:val="24BD16AB"/>
    <w:rsid w:val="24D32F62"/>
    <w:rsid w:val="24E11174"/>
    <w:rsid w:val="255816B9"/>
    <w:rsid w:val="25954889"/>
    <w:rsid w:val="25BD7BDD"/>
    <w:rsid w:val="26240F85"/>
    <w:rsid w:val="26325A66"/>
    <w:rsid w:val="26380843"/>
    <w:rsid w:val="265C2AE3"/>
    <w:rsid w:val="27785933"/>
    <w:rsid w:val="277924A6"/>
    <w:rsid w:val="27BD3F01"/>
    <w:rsid w:val="27EFE123"/>
    <w:rsid w:val="28235FAE"/>
    <w:rsid w:val="283E5914"/>
    <w:rsid w:val="28672083"/>
    <w:rsid w:val="28B906C0"/>
    <w:rsid w:val="28C9682E"/>
    <w:rsid w:val="28D42E04"/>
    <w:rsid w:val="28D870B1"/>
    <w:rsid w:val="28E36B60"/>
    <w:rsid w:val="28ED3EC6"/>
    <w:rsid w:val="29A45E3F"/>
    <w:rsid w:val="29CA4E9C"/>
    <w:rsid w:val="29D46E34"/>
    <w:rsid w:val="29F54CD2"/>
    <w:rsid w:val="2A04596B"/>
    <w:rsid w:val="2A0D15E4"/>
    <w:rsid w:val="2A67ACEB"/>
    <w:rsid w:val="2AEF03C9"/>
    <w:rsid w:val="2B1C4262"/>
    <w:rsid w:val="2B746468"/>
    <w:rsid w:val="2BA32F62"/>
    <w:rsid w:val="2BD4136D"/>
    <w:rsid w:val="2BD63337"/>
    <w:rsid w:val="2C424529"/>
    <w:rsid w:val="2C6D0CF3"/>
    <w:rsid w:val="2C923702"/>
    <w:rsid w:val="2CB35427"/>
    <w:rsid w:val="2CE3426C"/>
    <w:rsid w:val="2CF63CCC"/>
    <w:rsid w:val="2D0422A3"/>
    <w:rsid w:val="2D3A013A"/>
    <w:rsid w:val="2DB120AF"/>
    <w:rsid w:val="2DB31B82"/>
    <w:rsid w:val="2DFF6B75"/>
    <w:rsid w:val="2E0B376C"/>
    <w:rsid w:val="2E2D0A6B"/>
    <w:rsid w:val="2E5D564A"/>
    <w:rsid w:val="2E78505A"/>
    <w:rsid w:val="2ECD68F7"/>
    <w:rsid w:val="2ED32D39"/>
    <w:rsid w:val="2EFC3AB9"/>
    <w:rsid w:val="2F5268C1"/>
    <w:rsid w:val="2FBF533C"/>
    <w:rsid w:val="2FD951A4"/>
    <w:rsid w:val="30774435"/>
    <w:rsid w:val="30F73331"/>
    <w:rsid w:val="31655E3B"/>
    <w:rsid w:val="31853836"/>
    <w:rsid w:val="318A49A8"/>
    <w:rsid w:val="3192385D"/>
    <w:rsid w:val="31D64091"/>
    <w:rsid w:val="32096215"/>
    <w:rsid w:val="32292413"/>
    <w:rsid w:val="325E7BE3"/>
    <w:rsid w:val="32881945"/>
    <w:rsid w:val="328D6603"/>
    <w:rsid w:val="32BB5AB3"/>
    <w:rsid w:val="32BE3907"/>
    <w:rsid w:val="32EC0397"/>
    <w:rsid w:val="33030382"/>
    <w:rsid w:val="33353039"/>
    <w:rsid w:val="334E7C57"/>
    <w:rsid w:val="335164FE"/>
    <w:rsid w:val="34474EA2"/>
    <w:rsid w:val="345762FD"/>
    <w:rsid w:val="34F265FD"/>
    <w:rsid w:val="352073D1"/>
    <w:rsid w:val="357E2A76"/>
    <w:rsid w:val="35B05222"/>
    <w:rsid w:val="35B75BBE"/>
    <w:rsid w:val="3647730B"/>
    <w:rsid w:val="36D263C4"/>
    <w:rsid w:val="36D609F1"/>
    <w:rsid w:val="36FD5560"/>
    <w:rsid w:val="3702284F"/>
    <w:rsid w:val="374F1469"/>
    <w:rsid w:val="37517D16"/>
    <w:rsid w:val="37933A27"/>
    <w:rsid w:val="37B79502"/>
    <w:rsid w:val="37D72DA0"/>
    <w:rsid w:val="37EE37B7"/>
    <w:rsid w:val="37F60FE9"/>
    <w:rsid w:val="382D0232"/>
    <w:rsid w:val="38355AD3"/>
    <w:rsid w:val="384743E1"/>
    <w:rsid w:val="38784230"/>
    <w:rsid w:val="387B504A"/>
    <w:rsid w:val="388859B9"/>
    <w:rsid w:val="38BC1624"/>
    <w:rsid w:val="39643D30"/>
    <w:rsid w:val="3A274C17"/>
    <w:rsid w:val="3A401DF6"/>
    <w:rsid w:val="3A5356E1"/>
    <w:rsid w:val="3A617662"/>
    <w:rsid w:val="3AA40859"/>
    <w:rsid w:val="3AB43149"/>
    <w:rsid w:val="3BC1546A"/>
    <w:rsid w:val="3BC52C95"/>
    <w:rsid w:val="3CDD4B4D"/>
    <w:rsid w:val="3D073351"/>
    <w:rsid w:val="3DB83658"/>
    <w:rsid w:val="3DE641E3"/>
    <w:rsid w:val="3E674220"/>
    <w:rsid w:val="3E8502AB"/>
    <w:rsid w:val="3EE66096"/>
    <w:rsid w:val="3EF75D33"/>
    <w:rsid w:val="3F555260"/>
    <w:rsid w:val="3F5C5A01"/>
    <w:rsid w:val="3F6F34C7"/>
    <w:rsid w:val="3FBB0422"/>
    <w:rsid w:val="3FC7643C"/>
    <w:rsid w:val="3FE518BE"/>
    <w:rsid w:val="3FEFD773"/>
    <w:rsid w:val="402D7572"/>
    <w:rsid w:val="40C91191"/>
    <w:rsid w:val="40C95C12"/>
    <w:rsid w:val="41AA4BF2"/>
    <w:rsid w:val="41F93484"/>
    <w:rsid w:val="42E934F8"/>
    <w:rsid w:val="43160791"/>
    <w:rsid w:val="44BA339E"/>
    <w:rsid w:val="44CC6C2E"/>
    <w:rsid w:val="44DB12E8"/>
    <w:rsid w:val="452D591E"/>
    <w:rsid w:val="45EF49AA"/>
    <w:rsid w:val="464F1744"/>
    <w:rsid w:val="47024B89"/>
    <w:rsid w:val="4714323A"/>
    <w:rsid w:val="47741FF2"/>
    <w:rsid w:val="48502504"/>
    <w:rsid w:val="4851401A"/>
    <w:rsid w:val="48A85B47"/>
    <w:rsid w:val="48AE1CFE"/>
    <w:rsid w:val="48B9571B"/>
    <w:rsid w:val="48E649B1"/>
    <w:rsid w:val="491F06FD"/>
    <w:rsid w:val="495F7E6E"/>
    <w:rsid w:val="496935E7"/>
    <w:rsid w:val="49D4280C"/>
    <w:rsid w:val="4A68063C"/>
    <w:rsid w:val="4A74435E"/>
    <w:rsid w:val="4A771DEB"/>
    <w:rsid w:val="4B133808"/>
    <w:rsid w:val="4BA426B2"/>
    <w:rsid w:val="4C6F4AF2"/>
    <w:rsid w:val="4CEB0640"/>
    <w:rsid w:val="4CFA7D7E"/>
    <w:rsid w:val="4D114108"/>
    <w:rsid w:val="4D203020"/>
    <w:rsid w:val="4D260EFB"/>
    <w:rsid w:val="4D5B25F7"/>
    <w:rsid w:val="4D775534"/>
    <w:rsid w:val="4D875DE8"/>
    <w:rsid w:val="4D9264EE"/>
    <w:rsid w:val="4DA900E3"/>
    <w:rsid w:val="4EBA13D7"/>
    <w:rsid w:val="4EFC1636"/>
    <w:rsid w:val="4F0C47F7"/>
    <w:rsid w:val="4F126690"/>
    <w:rsid w:val="4F231986"/>
    <w:rsid w:val="4F6C0DB8"/>
    <w:rsid w:val="4F6C798B"/>
    <w:rsid w:val="4FA709C3"/>
    <w:rsid w:val="4FB87CE8"/>
    <w:rsid w:val="4FDF7658"/>
    <w:rsid w:val="4FE37716"/>
    <w:rsid w:val="4FFFB71E"/>
    <w:rsid w:val="502C3AFD"/>
    <w:rsid w:val="506B7C43"/>
    <w:rsid w:val="50974594"/>
    <w:rsid w:val="50B9275C"/>
    <w:rsid w:val="5119769F"/>
    <w:rsid w:val="514364CA"/>
    <w:rsid w:val="517D7C2E"/>
    <w:rsid w:val="518666E1"/>
    <w:rsid w:val="52952D55"/>
    <w:rsid w:val="53306393"/>
    <w:rsid w:val="533662E6"/>
    <w:rsid w:val="53381D95"/>
    <w:rsid w:val="53A25729"/>
    <w:rsid w:val="53A616BE"/>
    <w:rsid w:val="5407449D"/>
    <w:rsid w:val="5411465D"/>
    <w:rsid w:val="549758D6"/>
    <w:rsid w:val="5498646D"/>
    <w:rsid w:val="54AD4386"/>
    <w:rsid w:val="554950DA"/>
    <w:rsid w:val="55610682"/>
    <w:rsid w:val="5563713A"/>
    <w:rsid w:val="556829A3"/>
    <w:rsid w:val="557430F6"/>
    <w:rsid w:val="558725E0"/>
    <w:rsid w:val="55EC5382"/>
    <w:rsid w:val="562C39D0"/>
    <w:rsid w:val="56D976B4"/>
    <w:rsid w:val="56E9340F"/>
    <w:rsid w:val="574D281E"/>
    <w:rsid w:val="5792138F"/>
    <w:rsid w:val="57FB4086"/>
    <w:rsid w:val="581942AD"/>
    <w:rsid w:val="58894E62"/>
    <w:rsid w:val="58B70EBC"/>
    <w:rsid w:val="58BA3146"/>
    <w:rsid w:val="58CE0D6F"/>
    <w:rsid w:val="58CF4005"/>
    <w:rsid w:val="58DC4843"/>
    <w:rsid w:val="58FC3B2E"/>
    <w:rsid w:val="591013C5"/>
    <w:rsid w:val="594415A8"/>
    <w:rsid w:val="59961EAF"/>
    <w:rsid w:val="5A250E62"/>
    <w:rsid w:val="5A26728B"/>
    <w:rsid w:val="5A3A3C09"/>
    <w:rsid w:val="5AC3040C"/>
    <w:rsid w:val="5ADA1C4D"/>
    <w:rsid w:val="5B06072A"/>
    <w:rsid w:val="5B3550D5"/>
    <w:rsid w:val="5B745BFD"/>
    <w:rsid w:val="5BE9DEFC"/>
    <w:rsid w:val="5C0F7357"/>
    <w:rsid w:val="5C246A34"/>
    <w:rsid w:val="5C2E0916"/>
    <w:rsid w:val="5C715907"/>
    <w:rsid w:val="5CDF3C0D"/>
    <w:rsid w:val="5CFF9DD8"/>
    <w:rsid w:val="5D0631CD"/>
    <w:rsid w:val="5DBFA070"/>
    <w:rsid w:val="5DF2592E"/>
    <w:rsid w:val="5E173D9B"/>
    <w:rsid w:val="5E60690D"/>
    <w:rsid w:val="5E6601E2"/>
    <w:rsid w:val="5EC7073A"/>
    <w:rsid w:val="5F814DDD"/>
    <w:rsid w:val="5FF217E7"/>
    <w:rsid w:val="5FFE018B"/>
    <w:rsid w:val="6099330B"/>
    <w:rsid w:val="60E07891"/>
    <w:rsid w:val="60E94998"/>
    <w:rsid w:val="610A47B8"/>
    <w:rsid w:val="61314591"/>
    <w:rsid w:val="614F54D2"/>
    <w:rsid w:val="61750921"/>
    <w:rsid w:val="618B5A4F"/>
    <w:rsid w:val="622F5DD8"/>
    <w:rsid w:val="624C1682"/>
    <w:rsid w:val="626E28A7"/>
    <w:rsid w:val="628543B1"/>
    <w:rsid w:val="629118D9"/>
    <w:rsid w:val="62FF1D7E"/>
    <w:rsid w:val="635822A8"/>
    <w:rsid w:val="63A92B04"/>
    <w:rsid w:val="63B379DE"/>
    <w:rsid w:val="63C90776"/>
    <w:rsid w:val="63CF5B8B"/>
    <w:rsid w:val="64041AE8"/>
    <w:rsid w:val="64136A11"/>
    <w:rsid w:val="647D49FA"/>
    <w:rsid w:val="648B0FAA"/>
    <w:rsid w:val="64B96D77"/>
    <w:rsid w:val="65120EC6"/>
    <w:rsid w:val="653603C7"/>
    <w:rsid w:val="658C1FA6"/>
    <w:rsid w:val="65D44CCA"/>
    <w:rsid w:val="667B2D0F"/>
    <w:rsid w:val="66D24F47"/>
    <w:rsid w:val="671D5367"/>
    <w:rsid w:val="677925CA"/>
    <w:rsid w:val="67917B37"/>
    <w:rsid w:val="67CA7195"/>
    <w:rsid w:val="684B23DC"/>
    <w:rsid w:val="689D1A3B"/>
    <w:rsid w:val="68B25FB7"/>
    <w:rsid w:val="68C9702B"/>
    <w:rsid w:val="698E1A1B"/>
    <w:rsid w:val="698E2580"/>
    <w:rsid w:val="69901D8C"/>
    <w:rsid w:val="69982374"/>
    <w:rsid w:val="69E7596B"/>
    <w:rsid w:val="69FF27F4"/>
    <w:rsid w:val="6A1A3E14"/>
    <w:rsid w:val="6A96200E"/>
    <w:rsid w:val="6B11688B"/>
    <w:rsid w:val="6B1F4881"/>
    <w:rsid w:val="6B4718D4"/>
    <w:rsid w:val="6B6932A5"/>
    <w:rsid w:val="6BAE515B"/>
    <w:rsid w:val="6BC04E8F"/>
    <w:rsid w:val="6C360CAD"/>
    <w:rsid w:val="6C9B541E"/>
    <w:rsid w:val="6CBD37F6"/>
    <w:rsid w:val="6D0A5334"/>
    <w:rsid w:val="6DAD4F9F"/>
    <w:rsid w:val="6DD62748"/>
    <w:rsid w:val="6DD7112A"/>
    <w:rsid w:val="6E216668"/>
    <w:rsid w:val="6E2F6C77"/>
    <w:rsid w:val="6E6B7334"/>
    <w:rsid w:val="6E781A51"/>
    <w:rsid w:val="6EBA6930"/>
    <w:rsid w:val="6F103A37"/>
    <w:rsid w:val="6F4417EA"/>
    <w:rsid w:val="6F460345"/>
    <w:rsid w:val="6F6D22A6"/>
    <w:rsid w:val="6FB26B0B"/>
    <w:rsid w:val="6FB865A9"/>
    <w:rsid w:val="6FD9207B"/>
    <w:rsid w:val="70231548"/>
    <w:rsid w:val="704735F8"/>
    <w:rsid w:val="70490BA1"/>
    <w:rsid w:val="704C669B"/>
    <w:rsid w:val="7063448F"/>
    <w:rsid w:val="707F2C23"/>
    <w:rsid w:val="70F25AEA"/>
    <w:rsid w:val="70FD1A16"/>
    <w:rsid w:val="710F307D"/>
    <w:rsid w:val="71997ED8"/>
    <w:rsid w:val="71AB4182"/>
    <w:rsid w:val="71B76065"/>
    <w:rsid w:val="71C06754"/>
    <w:rsid w:val="71CC119F"/>
    <w:rsid w:val="72646574"/>
    <w:rsid w:val="7271076B"/>
    <w:rsid w:val="72A44BC2"/>
    <w:rsid w:val="72B461BC"/>
    <w:rsid w:val="72CC236B"/>
    <w:rsid w:val="72DA6836"/>
    <w:rsid w:val="73533EAF"/>
    <w:rsid w:val="735C1CB3"/>
    <w:rsid w:val="7376394C"/>
    <w:rsid w:val="73993FFB"/>
    <w:rsid w:val="73E14FC8"/>
    <w:rsid w:val="73FF3D5A"/>
    <w:rsid w:val="743F7644"/>
    <w:rsid w:val="74A76BEC"/>
    <w:rsid w:val="75474E11"/>
    <w:rsid w:val="75556648"/>
    <w:rsid w:val="7577EE3A"/>
    <w:rsid w:val="75865DEE"/>
    <w:rsid w:val="75A8474E"/>
    <w:rsid w:val="75B3511C"/>
    <w:rsid w:val="76272697"/>
    <w:rsid w:val="76E556A0"/>
    <w:rsid w:val="76EE2C2B"/>
    <w:rsid w:val="775766A7"/>
    <w:rsid w:val="77B05DB7"/>
    <w:rsid w:val="77F84F7A"/>
    <w:rsid w:val="77FC64F8"/>
    <w:rsid w:val="7811525D"/>
    <w:rsid w:val="781A76D5"/>
    <w:rsid w:val="785D43B4"/>
    <w:rsid w:val="78761AAB"/>
    <w:rsid w:val="7883527A"/>
    <w:rsid w:val="789E4501"/>
    <w:rsid w:val="790243F1"/>
    <w:rsid w:val="793C2330"/>
    <w:rsid w:val="798C63B0"/>
    <w:rsid w:val="79921C19"/>
    <w:rsid w:val="7A1C0378"/>
    <w:rsid w:val="7A326409"/>
    <w:rsid w:val="7A684727"/>
    <w:rsid w:val="7A693667"/>
    <w:rsid w:val="7A6D1FE3"/>
    <w:rsid w:val="7A792DD8"/>
    <w:rsid w:val="7A9C5E45"/>
    <w:rsid w:val="7AAA4AFD"/>
    <w:rsid w:val="7ADE01B6"/>
    <w:rsid w:val="7B692BF0"/>
    <w:rsid w:val="7B75AFA1"/>
    <w:rsid w:val="7B821819"/>
    <w:rsid w:val="7BB01DDF"/>
    <w:rsid w:val="7BDB0D82"/>
    <w:rsid w:val="7C1F350C"/>
    <w:rsid w:val="7C310E84"/>
    <w:rsid w:val="7C5E6574"/>
    <w:rsid w:val="7C776EA4"/>
    <w:rsid w:val="7C7E49E6"/>
    <w:rsid w:val="7CB263ED"/>
    <w:rsid w:val="7CB2717C"/>
    <w:rsid w:val="7CB35F23"/>
    <w:rsid w:val="7CB37BC7"/>
    <w:rsid w:val="7CCC3693"/>
    <w:rsid w:val="7D1058BF"/>
    <w:rsid w:val="7D360B0D"/>
    <w:rsid w:val="7D5316A8"/>
    <w:rsid w:val="7DA147E1"/>
    <w:rsid w:val="7DCF629C"/>
    <w:rsid w:val="7E7FEBA3"/>
    <w:rsid w:val="7EABC132"/>
    <w:rsid w:val="7ED625A7"/>
    <w:rsid w:val="7F3B018A"/>
    <w:rsid w:val="7F4E9C34"/>
    <w:rsid w:val="7FA82B99"/>
    <w:rsid w:val="7FBBA8C9"/>
    <w:rsid w:val="7FBE52A6"/>
    <w:rsid w:val="9ADDDAB9"/>
    <w:rsid w:val="AB7F242D"/>
    <w:rsid w:val="AF5D55AA"/>
    <w:rsid w:val="BADFBAB7"/>
    <w:rsid w:val="BDF0F7EC"/>
    <w:rsid w:val="C7BF722B"/>
    <w:rsid w:val="D5EFA6DE"/>
    <w:rsid w:val="DEBEE989"/>
    <w:rsid w:val="DF5FCEEC"/>
    <w:rsid w:val="E6FEC9BD"/>
    <w:rsid w:val="E7F784B6"/>
    <w:rsid w:val="ED7D00B7"/>
    <w:rsid w:val="F3FD8D61"/>
    <w:rsid w:val="F77E3679"/>
    <w:rsid w:val="F79B0276"/>
    <w:rsid w:val="F7FFB7E7"/>
    <w:rsid w:val="F97770F3"/>
    <w:rsid w:val="FBBDE8CD"/>
    <w:rsid w:val="FDB7694F"/>
    <w:rsid w:val="FE6E4AA5"/>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5">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6">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7">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next w:val="2"/>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3">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4">
    <w:name w:val="Normal Indent"/>
    <w:basedOn w:val="1"/>
    <w:next w:val="15"/>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5">
    <w:name w:val="Body Text Indent"/>
    <w:basedOn w:val="1"/>
    <w:next w:val="16"/>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6">
    <w:name w:val="Body Text First Indent 2"/>
    <w:basedOn w:val="15"/>
    <w:next w:val="1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1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styleId="18">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9">
    <w:name w:val="annotation text"/>
    <w:basedOn w:val="1"/>
    <w:qFormat/>
    <w:uiPriority w:val="0"/>
    <w:pPr>
      <w:jc w:val="left"/>
    </w:pPr>
    <w:rPr>
      <w:rFonts w:ascii="Times New Roman" w:hAnsi="Times New Roman" w:eastAsia="宋体" w:cs="Times New Roman"/>
    </w:rPr>
  </w:style>
  <w:style w:type="paragraph" w:styleId="20">
    <w:name w:val="Plain Text"/>
    <w:basedOn w:val="1"/>
    <w:next w:val="1"/>
    <w:link w:val="48"/>
    <w:qFormat/>
    <w:uiPriority w:val="0"/>
    <w:rPr>
      <w:rFonts w:ascii="宋体" w:hAnsi="Courier New" w:eastAsia="宋体" w:cs="Courier New"/>
      <w:szCs w:val="21"/>
    </w:rPr>
  </w:style>
  <w:style w:type="paragraph" w:styleId="21">
    <w:name w:val="Date"/>
    <w:basedOn w:val="1"/>
    <w:next w:val="1"/>
    <w:qFormat/>
    <w:uiPriority w:val="0"/>
    <w:rPr>
      <w:rFonts w:ascii="Times New Roman" w:hAnsi="Times New Roman" w:eastAsia="宋体" w:cs="Times New Roman"/>
      <w:sz w:val="28"/>
      <w:szCs w:val="20"/>
    </w:rPr>
  </w:style>
  <w:style w:type="paragraph" w:styleId="22">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3">
    <w:name w:val="Balloon Text"/>
    <w:basedOn w:val="1"/>
    <w:qFormat/>
    <w:uiPriority w:val="0"/>
    <w:rPr>
      <w:rFonts w:ascii="Times New Roman" w:hAnsi="Times New Roman" w:eastAsia="宋体" w:cs="Times New Roman"/>
      <w:sz w:val="18"/>
      <w:szCs w:val="18"/>
    </w:rPr>
  </w:style>
  <w:style w:type="paragraph" w:styleId="24">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5">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6">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7">
    <w:name w:val="toc 4"/>
    <w:basedOn w:val="1"/>
    <w:next w:val="1"/>
    <w:qFormat/>
    <w:uiPriority w:val="0"/>
    <w:pPr>
      <w:ind w:left="1260"/>
    </w:pPr>
    <w:rPr>
      <w:rFonts w:ascii="Times New Roman" w:hAnsi="Times New Roman" w:eastAsia="宋体" w:cs="Times New Roman"/>
      <w:kern w:val="1"/>
    </w:rPr>
  </w:style>
  <w:style w:type="paragraph" w:styleId="28">
    <w:name w:val="footnote text"/>
    <w:basedOn w:val="1"/>
    <w:link w:val="49"/>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30">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31">
    <w:name w:val="toc 2"/>
    <w:basedOn w:val="1"/>
    <w:next w:val="1"/>
    <w:qFormat/>
    <w:uiPriority w:val="0"/>
    <w:pPr>
      <w:ind w:left="420" w:leftChars="200"/>
    </w:pPr>
    <w:rPr>
      <w:rFonts w:ascii="Times New Roman" w:hAnsi="Times New Roman" w:eastAsia="宋体" w:cs="Times New Roman"/>
    </w:rPr>
  </w:style>
  <w:style w:type="paragraph" w:styleId="32">
    <w:name w:val="toc 9"/>
    <w:basedOn w:val="1"/>
    <w:next w:val="1"/>
    <w:qFormat/>
    <w:uiPriority w:val="0"/>
    <w:pPr>
      <w:ind w:left="3360" w:leftChars="1600"/>
    </w:pPr>
    <w:rPr>
      <w:rFonts w:ascii="Calibri" w:hAnsi="Calibri" w:eastAsia="宋体" w:cs="Times New Roman"/>
    </w:rPr>
  </w:style>
  <w:style w:type="paragraph" w:styleId="33">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4">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5">
    <w:name w:val="index 1"/>
    <w:basedOn w:val="1"/>
    <w:next w:val="1"/>
    <w:qFormat/>
    <w:uiPriority w:val="0"/>
    <w:rPr>
      <w:rFonts w:ascii="Times New Roman" w:hAnsi="Times New Roman" w:eastAsia="宋体" w:cs="Times New Roman"/>
    </w:rPr>
  </w:style>
  <w:style w:type="paragraph" w:styleId="36">
    <w:name w:val="Title"/>
    <w:basedOn w:val="1"/>
    <w:next w:val="1"/>
    <w:link w:val="50"/>
    <w:qFormat/>
    <w:uiPriority w:val="0"/>
    <w:pPr>
      <w:spacing w:before="240" w:after="60"/>
      <w:jc w:val="center"/>
      <w:outlineLvl w:val="0"/>
    </w:pPr>
    <w:rPr>
      <w:rFonts w:ascii="等线 Light" w:hAnsi="等线 Light" w:cs="Times New Roman"/>
      <w:b/>
      <w:bCs/>
      <w:sz w:val="32"/>
      <w:szCs w:val="32"/>
    </w:rPr>
  </w:style>
  <w:style w:type="paragraph" w:styleId="37">
    <w:name w:val="annotation subject"/>
    <w:basedOn w:val="19"/>
    <w:next w:val="19"/>
    <w:qFormat/>
    <w:uiPriority w:val="0"/>
    <w:rPr>
      <w:rFonts w:ascii="Times New Roman" w:hAnsi="Times New Roman" w:eastAsia="宋体" w:cs="Times New Roman"/>
      <w:b/>
      <w:bCs/>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Hyperlink"/>
    <w:qFormat/>
    <w:uiPriority w:val="0"/>
    <w:rPr>
      <w:rFonts w:ascii="Times New Roman" w:hAnsi="Times New Roman" w:eastAsia="宋体" w:cs="Times New Roman"/>
      <w:color w:val="0000FF"/>
      <w:sz w:val="21"/>
      <w:szCs w:val="20"/>
      <w:u w:val="single"/>
    </w:rPr>
  </w:style>
  <w:style w:type="character" w:styleId="44">
    <w:name w:val="annotation reference"/>
    <w:qFormat/>
    <w:uiPriority w:val="0"/>
    <w:rPr>
      <w:rFonts w:ascii="Times New Roman" w:hAnsi="Times New Roman" w:eastAsia="宋体" w:cs="Times New Roman"/>
      <w:sz w:val="21"/>
      <w:szCs w:val="21"/>
    </w:rPr>
  </w:style>
  <w:style w:type="character" w:styleId="45">
    <w:name w:val="footnote reference"/>
    <w:qFormat/>
    <w:uiPriority w:val="0"/>
    <w:rPr>
      <w:rFonts w:ascii="Times New Roman" w:hAnsi="Times New Roman" w:eastAsia="宋体" w:cs="Times New Roman"/>
      <w:vertAlign w:val="superscript"/>
    </w:rPr>
  </w:style>
  <w:style w:type="paragraph" w:customStyle="1" w:styleId="46">
    <w:name w:val="章正文"/>
    <w:basedOn w:val="1"/>
    <w:qFormat/>
    <w:uiPriority w:val="0"/>
    <w:pPr>
      <w:spacing w:beforeLines="50" w:after="120" w:line="300" w:lineRule="auto"/>
      <w:ind w:firstLine="480"/>
    </w:pPr>
    <w:rPr>
      <w:rFonts w:ascii="Helvetica" w:hAnsi="Helvetica" w:cs="Helvetica"/>
      <w:kern w:val="0"/>
    </w:rPr>
  </w:style>
  <w:style w:type="paragraph" w:customStyle="1" w:styleId="47">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48">
    <w:name w:val="纯文本 字符"/>
    <w:link w:val="20"/>
    <w:qFormat/>
    <w:uiPriority w:val="0"/>
    <w:rPr>
      <w:rFonts w:ascii="宋体" w:hAnsi="Courier New" w:eastAsia="宋体" w:cs="Courier New"/>
      <w:kern w:val="2"/>
      <w:sz w:val="21"/>
      <w:szCs w:val="21"/>
      <w:lang w:val="en-US" w:eastAsia="zh-CN" w:bidi="ar-SA"/>
    </w:rPr>
  </w:style>
  <w:style w:type="character" w:customStyle="1" w:styleId="49">
    <w:name w:val="脚注文本 字符"/>
    <w:link w:val="28"/>
    <w:qFormat/>
    <w:uiPriority w:val="0"/>
    <w:rPr>
      <w:rFonts w:ascii="Times New Roman" w:hAnsi="Times New Roman" w:eastAsia="宋体" w:cs="Times New Roman"/>
      <w:kern w:val="2"/>
      <w:sz w:val="18"/>
      <w:szCs w:val="18"/>
    </w:rPr>
  </w:style>
  <w:style w:type="character" w:customStyle="1" w:styleId="50">
    <w:name w:val="标题 字符"/>
    <w:link w:val="36"/>
    <w:qFormat/>
    <w:uiPriority w:val="0"/>
    <w:rPr>
      <w:rFonts w:ascii="等线 Light" w:hAnsi="等线 Light" w:eastAsia="宋体" w:cs="Times New Roman"/>
      <w:b/>
      <w:bCs/>
      <w:kern w:val="2"/>
      <w:sz w:val="32"/>
      <w:szCs w:val="32"/>
    </w:rPr>
  </w:style>
  <w:style w:type="paragraph" w:customStyle="1" w:styleId="51">
    <w:name w:val="_Style 2"/>
    <w:basedOn w:val="1"/>
    <w:qFormat/>
    <w:uiPriority w:val="0"/>
    <w:pPr>
      <w:ind w:firstLine="200" w:firstLineChars="200"/>
    </w:pPr>
    <w:rPr>
      <w:rFonts w:ascii="Calibri" w:hAnsi="Calibri"/>
      <w:sz w:val="28"/>
      <w:szCs w:val="22"/>
    </w:rPr>
  </w:style>
  <w:style w:type="character" w:customStyle="1" w:styleId="52">
    <w:name w:val="font11"/>
    <w:qFormat/>
    <w:uiPriority w:val="0"/>
    <w:rPr>
      <w:rFonts w:hint="eastAsia" w:ascii="宋体" w:hAnsi="宋体" w:eastAsia="宋体" w:cs="Times New Roman"/>
      <w:color w:val="FF0000"/>
      <w:sz w:val="28"/>
      <w:szCs w:val="28"/>
      <w:u w:val="none"/>
    </w:rPr>
  </w:style>
  <w:style w:type="character" w:customStyle="1" w:styleId="53">
    <w:name w:val="font3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eastAsia" w:ascii="宋体" w:hAnsi="宋体" w:eastAsia="宋体" w:cs="宋体"/>
      <w:color w:val="000000"/>
      <w:sz w:val="21"/>
      <w:szCs w:val="21"/>
      <w:u w:val="none"/>
    </w:rPr>
  </w:style>
  <w:style w:type="character" w:customStyle="1" w:styleId="55">
    <w:name w:val="font01"/>
    <w:qFormat/>
    <w:uiPriority w:val="0"/>
    <w:rPr>
      <w:rFonts w:ascii="Verdana" w:hAnsi="Verdana" w:eastAsia="宋体" w:cs="Verdana"/>
      <w:color w:val="000000"/>
      <w:sz w:val="20"/>
      <w:szCs w:val="20"/>
      <w:u w:val="none"/>
    </w:rPr>
  </w:style>
  <w:style w:type="paragraph" w:customStyle="1" w:styleId="56">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7">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8">
    <w:name w:val="纯文本 Char1"/>
    <w:qFormat/>
    <w:uiPriority w:val="0"/>
    <w:rPr>
      <w:rFonts w:ascii="宋体" w:hAnsi="Courier New" w:eastAsia="宋体" w:cs="Courier New"/>
      <w:kern w:val="2"/>
      <w:sz w:val="21"/>
      <w:szCs w:val="21"/>
    </w:rPr>
  </w:style>
  <w:style w:type="character" w:customStyle="1" w:styleId="59">
    <w:name w:val="普通文字 Char Char2"/>
    <w:qFormat/>
    <w:uiPriority w:val="0"/>
    <w:rPr>
      <w:rFonts w:ascii="宋体" w:hAnsi="Courier New" w:eastAsia="宋体" w:cs="Courier New"/>
      <w:kern w:val="2"/>
      <w:sz w:val="21"/>
      <w:szCs w:val="21"/>
      <w:lang w:val="en-US" w:eastAsia="zh-CN" w:bidi="ar-SA"/>
    </w:rPr>
  </w:style>
  <w:style w:type="character" w:customStyle="1" w:styleId="60">
    <w:name w:val=" Char Char1"/>
    <w:qFormat/>
    <w:uiPriority w:val="0"/>
    <w:rPr>
      <w:rFonts w:ascii="宋体" w:hAnsi="Courier New" w:eastAsia="宋体" w:cs="Courier New"/>
      <w:kern w:val="2"/>
      <w:sz w:val="21"/>
      <w:szCs w:val="21"/>
      <w:lang w:val="en-US" w:eastAsia="zh-CN" w:bidi="ar-SA"/>
    </w:rPr>
  </w:style>
  <w:style w:type="paragraph" w:customStyle="1" w:styleId="61">
    <w:name w:val="Char"/>
    <w:basedOn w:val="1"/>
    <w:qFormat/>
    <w:uiPriority w:val="0"/>
    <w:rPr>
      <w:rFonts w:ascii="仿宋_GB2312" w:hAnsi="Times New Roman" w:eastAsia="仿宋_GB2312" w:cs="仿宋_GB2312"/>
      <w:b/>
      <w:bCs/>
      <w:sz w:val="32"/>
      <w:szCs w:val="32"/>
    </w:rPr>
  </w:style>
  <w:style w:type="paragraph" w:customStyle="1" w:styleId="62">
    <w:name w:val="标题1"/>
    <w:basedOn w:val="26"/>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3">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4">
    <w:name w:val=" Char Char Char2 Char Char Char"/>
    <w:basedOn w:val="1"/>
    <w:qFormat/>
    <w:uiPriority w:val="0"/>
    <w:rPr>
      <w:rFonts w:ascii="Times New Roman" w:hAnsi="Times New Roman" w:eastAsia="宋体" w:cs="Times New Roman"/>
    </w:rPr>
  </w:style>
  <w:style w:type="paragraph" w:customStyle="1" w:styleId="65">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6">
    <w:name w:val="正"/>
    <w:basedOn w:val="1"/>
    <w:qFormat/>
    <w:uiPriority w:val="0"/>
    <w:pPr>
      <w:ind w:firstLine="525"/>
    </w:pPr>
    <w:rPr>
      <w:rFonts w:ascii="Times New Roman" w:hAnsi="Times New Roman" w:eastAsia="宋体" w:cs="Times New Roman"/>
      <w:spacing w:val="20"/>
    </w:rPr>
  </w:style>
  <w:style w:type="paragraph" w:customStyle="1" w:styleId="6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8">
    <w:name w:val="ÕÂ¡À¨ºÌâ"/>
    <w:basedOn w:val="67"/>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69">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0">
    <w:name w:val="表格"/>
    <w:basedOn w:val="1"/>
    <w:next w:val="14"/>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71">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72">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3">
    <w:name w:val=" Char3"/>
    <w:basedOn w:val="1"/>
    <w:qFormat/>
    <w:uiPriority w:val="0"/>
    <w:pPr>
      <w:tabs>
        <w:tab w:val="left" w:pos="360"/>
      </w:tabs>
    </w:pPr>
    <w:rPr>
      <w:rFonts w:ascii="Times New Roman" w:hAnsi="Times New Roman" w:eastAsia="宋体" w:cs="Times New Roman"/>
      <w:sz w:val="24"/>
    </w:rPr>
  </w:style>
  <w:style w:type="paragraph" w:styleId="74">
    <w:name w:val="List Paragraph"/>
    <w:basedOn w:val="1"/>
    <w:qFormat/>
    <w:uiPriority w:val="0"/>
    <w:pPr>
      <w:ind w:firstLine="420" w:firstLineChars="200"/>
    </w:pPr>
    <w:rPr>
      <w:rFonts w:ascii="Times New Roman" w:hAnsi="Times New Roman" w:eastAsia="宋体" w:cs="Times New Roman"/>
    </w:rPr>
  </w:style>
  <w:style w:type="paragraph" w:customStyle="1" w:styleId="75">
    <w:name w:val=" Char"/>
    <w:basedOn w:val="1"/>
    <w:qFormat/>
    <w:uiPriority w:val="0"/>
    <w:rPr>
      <w:rFonts w:ascii="Times New Roman" w:hAnsi="Times New Roman" w:eastAsia="宋体" w:cs="Times New Roman"/>
      <w:szCs w:val="20"/>
    </w:rPr>
  </w:style>
  <w:style w:type="paragraph" w:customStyle="1" w:styleId="76">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7">
    <w:name w:val=" Char Char Char"/>
    <w:basedOn w:val="1"/>
    <w:qFormat/>
    <w:uiPriority w:val="0"/>
    <w:rPr>
      <w:rFonts w:ascii="Tahoma" w:hAnsi="Tahoma" w:eastAsia="宋体" w:cs="Times New Roman"/>
      <w:sz w:val="24"/>
      <w:szCs w:val="20"/>
    </w:rPr>
  </w:style>
  <w:style w:type="paragraph" w:customStyle="1" w:styleId="78">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79">
    <w:name w:val="列出段落1"/>
    <w:basedOn w:val="1"/>
    <w:qFormat/>
    <w:uiPriority w:val="0"/>
    <w:pPr>
      <w:ind w:firstLine="420" w:firstLineChars="200"/>
    </w:pPr>
    <w:rPr>
      <w:rFonts w:ascii="Times New Roman" w:hAnsi="Times New Roman" w:eastAsia="宋体" w:cs="Times New Roman"/>
      <w:szCs w:val="22"/>
    </w:rPr>
  </w:style>
  <w:style w:type="paragraph" w:customStyle="1" w:styleId="80">
    <w:name w:val="null3"/>
    <w:qFormat/>
    <w:uiPriority w:val="0"/>
    <w:rPr>
      <w:rFonts w:hint="eastAsia" w:ascii="Calibri" w:hAnsi="Calibri" w:eastAsia="宋体" w:cs="Times New Roman"/>
      <w:lang w:val="en-US" w:eastAsia="zh-Hans" w:bidi="ar-SA"/>
    </w:rPr>
  </w:style>
  <w:style w:type="paragraph" w:customStyle="1" w:styleId="8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82">
    <w:name w:val="Table Paragraph"/>
    <w:basedOn w:val="1"/>
    <w:qFormat/>
    <w:uiPriority w:val="1"/>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12466</Words>
  <Characters>14291</Characters>
  <Lines>224</Lines>
  <Paragraphs>63</Paragraphs>
  <TotalTime>35</TotalTime>
  <ScaleCrop>false</ScaleCrop>
  <LinksUpToDate>false</LinksUpToDate>
  <CharactersWithSpaces>14606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2024-03-15T08:41:00Z</dcterms:created>
  <dc:creator>Administrator</dc:creator>
  <cp:lastModifiedBy>Administrator</cp:lastModifiedBy>
  <cp:lastPrinted>2023-11-24T00:45:00Z</cp:lastPrinted>
  <dcterms:modified xsi:type="dcterms:W3CDTF">2025-10-31T08:01:01Z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1719ECC3FE23477E8D0EB36D20211498_13</vt:lpwstr>
  </property>
  <property fmtid="{D5CDD505-2E9C-101B-9397-08002B2CF9AE}" pid="4" name="KSOTemplateDocerSaveRecord">
    <vt:lpwstr>eyJoZGlkIjoiOTcwZmZkNDM4NWFkZWZlYWYxNGMxZjhjYjZhODliOTMiLCJ1c2VySWQiOiIxNTYwMDA0MzMyIn0=</vt:lpwstr>
  </property>
</Properties>
</file>