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C30DB4">
      <w:pPr>
        <w:keepNext w:val="0"/>
        <w:keepLines w:val="0"/>
        <w:pageBreakBefore w:val="0"/>
        <w:widowControl w:val="0"/>
        <w:shd w:val="clear"/>
        <w:kinsoku/>
        <w:wordWrap/>
        <w:overflowPunct/>
        <w:topLinePunct w:val="0"/>
        <w:autoSpaceDE/>
        <w:autoSpaceDN/>
        <w:bidi w:val="0"/>
        <w:adjustRightInd/>
        <w:snapToGrid/>
        <w:spacing w:line="600" w:lineRule="auto"/>
        <w:jc w:val="center"/>
        <w:textAlignment w:val="auto"/>
        <w:rPr>
          <w:rFonts w:ascii="宋体" w:hAnsi="宋体"/>
          <w:b/>
          <w:color w:val="auto"/>
          <w:sz w:val="48"/>
          <w:szCs w:val="48"/>
          <w:highlight w:val="none"/>
        </w:rPr>
      </w:pPr>
      <w:r>
        <w:rPr>
          <w:rFonts w:hint="eastAsia" w:ascii="宋体" w:hAnsi="宋体"/>
          <w:b/>
          <w:color w:val="auto"/>
          <w:sz w:val="48"/>
          <w:szCs w:val="48"/>
          <w:highlight w:val="none"/>
        </w:rPr>
        <w:t>浙江义乌市自来水有限公司2026年度污泥清运处置采购项目</w:t>
      </w:r>
    </w:p>
    <w:p w14:paraId="11863D0B">
      <w:pPr>
        <w:shd w:val="clear"/>
        <w:spacing w:line="360" w:lineRule="auto"/>
        <w:ind w:left="1040" w:hanging="1040" w:hangingChars="200"/>
        <w:jc w:val="center"/>
        <w:rPr>
          <w:rFonts w:ascii="隶书" w:hAnsi="Arial Narrow" w:eastAsia="隶书"/>
          <w:color w:val="auto"/>
          <w:sz w:val="52"/>
          <w:szCs w:val="52"/>
          <w:highlight w:val="none"/>
        </w:rPr>
      </w:pPr>
    </w:p>
    <w:p w14:paraId="73E79C64">
      <w:pPr>
        <w:pStyle w:val="18"/>
        <w:shd w:val="clear"/>
        <w:snapToGrid w:val="0"/>
        <w:spacing w:before="120" w:after="120" w:line="360" w:lineRule="auto"/>
        <w:rPr>
          <w:rFonts w:hint="eastAsia"/>
          <w:b/>
          <w:color w:val="auto"/>
          <w:sz w:val="32"/>
          <w:szCs w:val="32"/>
          <w:highlight w:val="none"/>
        </w:rPr>
      </w:pPr>
      <w:r>
        <w:rPr>
          <w:rFonts w:hint="eastAsia"/>
          <w:b/>
          <w:color w:val="auto"/>
          <w:sz w:val="32"/>
          <w:szCs w:val="32"/>
          <w:highlight w:val="none"/>
        </w:rPr>
        <w:t xml:space="preserve">              </w:t>
      </w:r>
    </w:p>
    <w:p w14:paraId="660BF007">
      <w:pPr>
        <w:pStyle w:val="18"/>
        <w:keepNext w:val="0"/>
        <w:keepLines w:val="0"/>
        <w:pageBreakBefore w:val="0"/>
        <w:widowControl w:val="0"/>
        <w:shd w:val="clear"/>
        <w:kinsoku/>
        <w:wordWrap/>
        <w:overflowPunct/>
        <w:topLinePunct w:val="0"/>
        <w:autoSpaceDE/>
        <w:autoSpaceDN/>
        <w:bidi w:val="0"/>
        <w:adjustRightInd/>
        <w:snapToGrid w:val="0"/>
        <w:spacing w:before="120" w:after="120" w:line="1300" w:lineRule="exact"/>
        <w:jc w:val="center"/>
        <w:textAlignment w:val="auto"/>
        <w:rPr>
          <w:rFonts w:hint="eastAsia" w:hAnsi="宋体"/>
          <w:color w:val="auto"/>
          <w:sz w:val="84"/>
          <w:szCs w:val="84"/>
          <w:highlight w:val="none"/>
        </w:rPr>
      </w:pPr>
      <w:r>
        <w:rPr>
          <w:rFonts w:hint="eastAsia" w:hAnsi="宋体"/>
          <w:color w:val="auto"/>
          <w:sz w:val="84"/>
          <w:szCs w:val="84"/>
          <w:highlight w:val="none"/>
        </w:rPr>
        <w:t>招</w:t>
      </w:r>
      <w:bookmarkStart w:id="84" w:name="_GoBack"/>
      <w:bookmarkEnd w:id="84"/>
    </w:p>
    <w:p w14:paraId="5DF499A7">
      <w:pPr>
        <w:pStyle w:val="18"/>
        <w:keepNext w:val="0"/>
        <w:keepLines w:val="0"/>
        <w:pageBreakBefore w:val="0"/>
        <w:widowControl w:val="0"/>
        <w:shd w:val="clear"/>
        <w:kinsoku/>
        <w:wordWrap/>
        <w:overflowPunct/>
        <w:topLinePunct w:val="0"/>
        <w:autoSpaceDE/>
        <w:autoSpaceDN/>
        <w:bidi w:val="0"/>
        <w:adjustRightInd/>
        <w:snapToGrid w:val="0"/>
        <w:spacing w:before="120" w:after="120" w:line="1300" w:lineRule="exact"/>
        <w:jc w:val="center"/>
        <w:textAlignment w:val="auto"/>
        <w:rPr>
          <w:rFonts w:hint="eastAsia" w:hAnsi="宋体"/>
          <w:color w:val="auto"/>
          <w:sz w:val="84"/>
          <w:szCs w:val="84"/>
          <w:highlight w:val="none"/>
        </w:rPr>
      </w:pPr>
      <w:r>
        <w:rPr>
          <w:rFonts w:hint="eastAsia" w:hAnsi="宋体"/>
          <w:color w:val="auto"/>
          <w:sz w:val="84"/>
          <w:szCs w:val="84"/>
          <w:highlight w:val="none"/>
        </w:rPr>
        <w:t>标</w:t>
      </w:r>
    </w:p>
    <w:p w14:paraId="0C1398BF">
      <w:pPr>
        <w:pStyle w:val="18"/>
        <w:keepNext w:val="0"/>
        <w:keepLines w:val="0"/>
        <w:pageBreakBefore w:val="0"/>
        <w:widowControl w:val="0"/>
        <w:shd w:val="clear"/>
        <w:kinsoku/>
        <w:wordWrap/>
        <w:overflowPunct/>
        <w:topLinePunct w:val="0"/>
        <w:autoSpaceDE/>
        <w:autoSpaceDN/>
        <w:bidi w:val="0"/>
        <w:adjustRightInd/>
        <w:snapToGrid w:val="0"/>
        <w:spacing w:before="120" w:after="120" w:line="1300" w:lineRule="exact"/>
        <w:jc w:val="center"/>
        <w:textAlignment w:val="auto"/>
        <w:rPr>
          <w:rFonts w:hint="eastAsia" w:hAnsi="宋体"/>
          <w:color w:val="auto"/>
          <w:sz w:val="84"/>
          <w:szCs w:val="84"/>
          <w:highlight w:val="none"/>
        </w:rPr>
      </w:pPr>
      <w:r>
        <w:rPr>
          <w:rFonts w:hint="eastAsia" w:hAnsi="宋体"/>
          <w:color w:val="auto"/>
          <w:sz w:val="84"/>
          <w:szCs w:val="84"/>
          <w:highlight w:val="none"/>
        </w:rPr>
        <w:t>文</w:t>
      </w:r>
    </w:p>
    <w:p w14:paraId="72FC3368">
      <w:pPr>
        <w:pStyle w:val="18"/>
        <w:keepNext w:val="0"/>
        <w:keepLines w:val="0"/>
        <w:pageBreakBefore w:val="0"/>
        <w:widowControl w:val="0"/>
        <w:shd w:val="clear"/>
        <w:kinsoku/>
        <w:wordWrap/>
        <w:overflowPunct/>
        <w:topLinePunct w:val="0"/>
        <w:autoSpaceDE/>
        <w:autoSpaceDN/>
        <w:bidi w:val="0"/>
        <w:adjustRightInd/>
        <w:snapToGrid w:val="0"/>
        <w:spacing w:before="120" w:after="120" w:line="1300" w:lineRule="exact"/>
        <w:jc w:val="center"/>
        <w:textAlignment w:val="auto"/>
        <w:rPr>
          <w:rFonts w:hint="eastAsia"/>
          <w:b/>
          <w:color w:val="auto"/>
          <w:sz w:val="32"/>
          <w:szCs w:val="32"/>
          <w:highlight w:val="none"/>
        </w:rPr>
      </w:pPr>
      <w:r>
        <w:rPr>
          <w:rFonts w:hint="eastAsia" w:hAnsi="宋体"/>
          <w:color w:val="auto"/>
          <w:sz w:val="84"/>
          <w:szCs w:val="84"/>
          <w:highlight w:val="none"/>
        </w:rPr>
        <w:t>件</w:t>
      </w:r>
    </w:p>
    <w:p w14:paraId="69BE2D96">
      <w:pPr>
        <w:pStyle w:val="18"/>
        <w:shd w:val="clear"/>
        <w:snapToGrid w:val="0"/>
        <w:spacing w:before="120" w:after="120" w:line="360" w:lineRule="auto"/>
        <w:jc w:val="center"/>
        <w:rPr>
          <w:rFonts w:hint="eastAsia"/>
          <w:b/>
          <w:color w:val="auto"/>
          <w:sz w:val="32"/>
          <w:szCs w:val="32"/>
          <w:highlight w:val="none"/>
        </w:rPr>
      </w:pPr>
    </w:p>
    <w:p w14:paraId="399B9F65">
      <w:pPr>
        <w:pStyle w:val="18"/>
        <w:shd w:val="clear"/>
        <w:snapToGrid w:val="0"/>
        <w:spacing w:before="120" w:after="120" w:line="360" w:lineRule="auto"/>
        <w:jc w:val="center"/>
        <w:rPr>
          <w:rFonts w:hint="default" w:eastAsia="宋体"/>
          <w:b/>
          <w:color w:val="auto"/>
          <w:sz w:val="32"/>
          <w:szCs w:val="32"/>
          <w:highlight w:val="none"/>
          <w:lang w:val="en-US" w:eastAsia="zh-CN"/>
        </w:rPr>
      </w:pPr>
      <w:r>
        <w:rPr>
          <w:rFonts w:hint="eastAsia"/>
          <w:b/>
          <w:color w:val="auto"/>
          <w:sz w:val="32"/>
          <w:szCs w:val="32"/>
          <w:highlight w:val="none"/>
        </w:rPr>
        <w:t>采购编号：YCQ-202</w:t>
      </w:r>
      <w:r>
        <w:rPr>
          <w:rFonts w:hint="eastAsia"/>
          <w:b/>
          <w:color w:val="auto"/>
          <w:sz w:val="32"/>
          <w:szCs w:val="32"/>
          <w:highlight w:val="none"/>
          <w:lang w:val="en-US" w:eastAsia="zh-CN"/>
        </w:rPr>
        <w:t>5</w:t>
      </w:r>
      <w:r>
        <w:rPr>
          <w:rFonts w:hint="eastAsia"/>
          <w:b/>
          <w:color w:val="auto"/>
          <w:sz w:val="32"/>
          <w:szCs w:val="32"/>
          <w:highlight w:val="none"/>
        </w:rPr>
        <w:t>-CG</w:t>
      </w:r>
      <w:r>
        <w:rPr>
          <w:rFonts w:hint="eastAsia"/>
          <w:b/>
          <w:color w:val="auto"/>
          <w:sz w:val="32"/>
          <w:szCs w:val="32"/>
          <w:highlight w:val="none"/>
          <w:lang w:val="en-US" w:eastAsia="zh-CN"/>
        </w:rPr>
        <w:t xml:space="preserve">259 </w:t>
      </w:r>
    </w:p>
    <w:p w14:paraId="50D4851F">
      <w:pPr>
        <w:pStyle w:val="18"/>
        <w:shd w:val="clear"/>
        <w:snapToGrid w:val="0"/>
        <w:spacing w:before="120" w:after="120" w:line="360" w:lineRule="auto"/>
        <w:rPr>
          <w:rFonts w:hint="eastAsia" w:hAnsi="宋体"/>
          <w:b/>
          <w:color w:val="auto"/>
          <w:sz w:val="32"/>
          <w:szCs w:val="32"/>
          <w:highlight w:val="none"/>
        </w:rPr>
      </w:pPr>
      <w:r>
        <w:rPr>
          <w:rFonts w:hint="eastAsia" w:hAnsi="宋体"/>
          <w:b/>
          <w:bCs/>
          <w:color w:val="auto"/>
          <w:w w:val="95"/>
          <w:sz w:val="32"/>
          <w:szCs w:val="32"/>
          <w:highlight w:val="none"/>
        </w:rPr>
        <w:t>采</w:t>
      </w:r>
      <w:r>
        <w:rPr>
          <w:rFonts w:hAnsi="宋体"/>
          <w:b/>
          <w:bCs/>
          <w:color w:val="auto"/>
          <w:w w:val="95"/>
          <w:sz w:val="32"/>
          <w:szCs w:val="32"/>
          <w:highlight w:val="none"/>
        </w:rPr>
        <w:t xml:space="preserve">   购　 </w:t>
      </w:r>
      <w:r>
        <w:rPr>
          <w:rFonts w:hint="eastAsia" w:hAnsi="宋体"/>
          <w:b/>
          <w:bCs/>
          <w:color w:val="auto"/>
          <w:w w:val="95"/>
          <w:sz w:val="32"/>
          <w:szCs w:val="32"/>
          <w:highlight w:val="none"/>
        </w:rPr>
        <w:t>人：</w:t>
      </w:r>
      <w:r>
        <w:rPr>
          <w:rFonts w:hint="eastAsia" w:hAnsi="宋体"/>
          <w:b/>
          <w:bCs/>
          <w:color w:val="auto"/>
          <w:w w:val="95"/>
          <w:sz w:val="32"/>
          <w:szCs w:val="32"/>
          <w:highlight w:val="none"/>
          <w:u w:val="single"/>
        </w:rPr>
        <w:t>浙江义乌市自来水有限公司</w:t>
      </w:r>
      <w:r>
        <w:rPr>
          <w:rFonts w:hint="eastAsia" w:hAnsi="宋体"/>
          <w:b/>
          <w:color w:val="auto"/>
          <w:sz w:val="32"/>
          <w:szCs w:val="32"/>
          <w:highlight w:val="none"/>
          <w:u w:val="single"/>
        </w:rPr>
        <w:t>（</w:t>
      </w:r>
      <w:r>
        <w:rPr>
          <w:rFonts w:hAnsi="宋体"/>
          <w:b/>
          <w:color w:val="auto"/>
          <w:sz w:val="32"/>
          <w:szCs w:val="32"/>
          <w:highlight w:val="none"/>
          <w:u w:val="single"/>
        </w:rPr>
        <w:t>盖章）</w:t>
      </w:r>
    </w:p>
    <w:p w14:paraId="2D40D585">
      <w:pPr>
        <w:pStyle w:val="18"/>
        <w:shd w:val="clear"/>
        <w:snapToGrid w:val="0"/>
        <w:spacing w:before="120" w:after="120" w:line="360" w:lineRule="auto"/>
        <w:jc w:val="left"/>
        <w:rPr>
          <w:rFonts w:hint="eastAsia" w:hAnsi="宋体"/>
          <w:b/>
          <w:color w:val="auto"/>
          <w:sz w:val="32"/>
          <w:szCs w:val="32"/>
          <w:highlight w:val="none"/>
          <w:u w:val="single"/>
        </w:rPr>
      </w:pPr>
      <w:r>
        <w:rPr>
          <w:rFonts w:hint="eastAsia" w:hAnsi="宋体"/>
          <w:b/>
          <w:bCs/>
          <w:color w:val="auto"/>
          <w:w w:val="95"/>
          <w:sz w:val="32"/>
          <w:szCs w:val="32"/>
          <w:highlight w:val="none"/>
        </w:rPr>
        <w:t>采购代理机构：</w:t>
      </w:r>
      <w:r>
        <w:rPr>
          <w:rFonts w:hint="eastAsia" w:hAnsi="宋体"/>
          <w:b/>
          <w:color w:val="auto"/>
          <w:sz w:val="32"/>
          <w:szCs w:val="32"/>
          <w:highlight w:val="none"/>
          <w:u w:val="single"/>
          <w:lang w:eastAsia="zh-CN"/>
        </w:rPr>
        <w:t>义乌产权交易所有限公司</w:t>
      </w:r>
      <w:r>
        <w:rPr>
          <w:rFonts w:hint="eastAsia" w:hAnsi="宋体"/>
          <w:b/>
          <w:color w:val="auto"/>
          <w:sz w:val="32"/>
          <w:szCs w:val="32"/>
          <w:highlight w:val="none"/>
          <w:u w:val="single"/>
        </w:rPr>
        <w:t>（盖章）</w:t>
      </w:r>
    </w:p>
    <w:p w14:paraId="71073B53">
      <w:pPr>
        <w:pStyle w:val="18"/>
        <w:shd w:val="clear"/>
        <w:snapToGrid w:val="0"/>
        <w:spacing w:before="120" w:after="120" w:line="360" w:lineRule="auto"/>
        <w:rPr>
          <w:rFonts w:hint="eastAsia" w:hAnsi="宋体"/>
          <w:b/>
          <w:color w:val="auto"/>
          <w:sz w:val="32"/>
          <w:szCs w:val="32"/>
          <w:highlight w:val="none"/>
        </w:rPr>
      </w:pPr>
      <w:r>
        <w:rPr>
          <w:rFonts w:hint="eastAsia" w:hAnsi="宋体"/>
          <w:b/>
          <w:color w:val="auto"/>
          <w:sz w:val="32"/>
          <w:szCs w:val="32"/>
          <w:highlight w:val="none"/>
        </w:rPr>
        <w:t>日　　　</w:t>
      </w:r>
      <w:r>
        <w:rPr>
          <w:rFonts w:hAnsi="宋体"/>
          <w:b/>
          <w:color w:val="auto"/>
          <w:sz w:val="32"/>
          <w:szCs w:val="32"/>
          <w:highlight w:val="none"/>
        </w:rPr>
        <w:t xml:space="preserve"> </w:t>
      </w:r>
      <w:r>
        <w:rPr>
          <w:rFonts w:hint="eastAsia" w:hAnsi="宋体"/>
          <w:b/>
          <w:color w:val="auto"/>
          <w:sz w:val="32"/>
          <w:szCs w:val="32"/>
          <w:highlight w:val="none"/>
        </w:rPr>
        <w:t>期：</w:t>
      </w:r>
      <w:r>
        <w:rPr>
          <w:rFonts w:hint="eastAsia" w:hAnsi="宋体"/>
          <w:b/>
          <w:color w:val="auto"/>
          <w:sz w:val="32"/>
          <w:szCs w:val="32"/>
          <w:highlight w:val="none"/>
          <w:u w:val="single"/>
        </w:rPr>
        <w:t>二〇二</w:t>
      </w:r>
      <w:r>
        <w:rPr>
          <w:rFonts w:hint="eastAsia" w:hAnsi="宋体"/>
          <w:b/>
          <w:color w:val="auto"/>
          <w:sz w:val="32"/>
          <w:szCs w:val="32"/>
          <w:highlight w:val="none"/>
          <w:u w:val="single"/>
          <w:lang w:val="en-US" w:eastAsia="zh-CN"/>
        </w:rPr>
        <w:t>五</w:t>
      </w:r>
      <w:r>
        <w:rPr>
          <w:rFonts w:hint="eastAsia" w:hAnsi="宋体"/>
          <w:b/>
          <w:color w:val="auto"/>
          <w:sz w:val="32"/>
          <w:szCs w:val="32"/>
          <w:highlight w:val="none"/>
          <w:u w:val="single"/>
        </w:rPr>
        <w:t>年</w:t>
      </w:r>
      <w:r>
        <w:rPr>
          <w:rFonts w:hint="eastAsia" w:hAnsi="宋体"/>
          <w:b/>
          <w:color w:val="auto"/>
          <w:sz w:val="32"/>
          <w:szCs w:val="32"/>
          <w:highlight w:val="none"/>
          <w:u w:val="single"/>
          <w:lang w:val="en-US" w:eastAsia="zh-CN"/>
        </w:rPr>
        <w:t>十</w:t>
      </w:r>
      <w:r>
        <w:rPr>
          <w:rFonts w:hint="eastAsia" w:hAnsi="宋体"/>
          <w:b/>
          <w:color w:val="auto"/>
          <w:sz w:val="32"/>
          <w:szCs w:val="32"/>
          <w:highlight w:val="none"/>
          <w:u w:val="single"/>
        </w:rPr>
        <w:t>月</w:t>
      </w:r>
    </w:p>
    <w:p w14:paraId="1DFB340D">
      <w:pPr>
        <w:pStyle w:val="18"/>
        <w:shd w:val="clear"/>
        <w:spacing w:before="120" w:after="120" w:line="360" w:lineRule="auto"/>
        <w:ind w:firstLine="420" w:firstLineChars="200"/>
        <w:jc w:val="center"/>
        <w:rPr>
          <w:b/>
          <w:color w:val="auto"/>
          <w:sz w:val="44"/>
          <w:szCs w:val="44"/>
          <w:highlight w:val="none"/>
        </w:rPr>
      </w:pPr>
      <w:r>
        <w:rPr>
          <w:color w:val="auto"/>
          <w:highlight w:val="none"/>
        </w:rPr>
        <w:br w:type="page"/>
      </w:r>
      <w:r>
        <w:rPr>
          <w:rFonts w:hint="eastAsia"/>
          <w:b/>
          <w:color w:val="auto"/>
          <w:sz w:val="44"/>
          <w:szCs w:val="44"/>
          <w:highlight w:val="none"/>
        </w:rPr>
        <w:t>招标文件目录</w:t>
      </w:r>
    </w:p>
    <w:p w14:paraId="68E0D31E">
      <w:pPr>
        <w:pStyle w:val="24"/>
        <w:shd w:val="clear"/>
        <w:tabs>
          <w:tab w:val="right" w:leader="dot" w:pos="8306"/>
        </w:tabs>
        <w:rPr>
          <w:color w:val="auto"/>
          <w:highlight w:val="none"/>
        </w:rPr>
      </w:pPr>
      <w:r>
        <w:rPr>
          <w:color w:val="auto"/>
          <w:sz w:val="30"/>
          <w:highlight w:val="none"/>
        </w:rPr>
        <w:fldChar w:fldCharType="begin"/>
      </w:r>
      <w:r>
        <w:rPr>
          <w:color w:val="auto"/>
          <w:sz w:val="30"/>
          <w:highlight w:val="none"/>
        </w:rPr>
        <w:instrText xml:space="preserve">TOC \o "1-2" \h \u </w:instrText>
      </w:r>
      <w:r>
        <w:rPr>
          <w:color w:val="auto"/>
          <w:sz w:val="30"/>
          <w:highlight w:val="none"/>
        </w:rPr>
        <w:fldChar w:fldCharType="separate"/>
      </w:r>
      <w:r>
        <w:rPr>
          <w:color w:val="auto"/>
          <w:highlight w:val="none"/>
        </w:rPr>
        <w:fldChar w:fldCharType="begin"/>
      </w:r>
      <w:r>
        <w:rPr>
          <w:color w:val="auto"/>
          <w:highlight w:val="none"/>
        </w:rPr>
        <w:instrText xml:space="preserve"> HYPERLINK \l _Toc8913 </w:instrText>
      </w:r>
      <w:r>
        <w:rPr>
          <w:color w:val="auto"/>
          <w:highlight w:val="none"/>
        </w:rPr>
        <w:fldChar w:fldCharType="separate"/>
      </w:r>
      <w:r>
        <w:rPr>
          <w:rFonts w:ascii="Times New Roman" w:hAnsi="Times New Roman" w:eastAsia="宋体" w:cs="Times New Roman"/>
          <w:bCs/>
          <w:color w:val="auto"/>
          <w:kern w:val="44"/>
          <w:szCs w:val="44"/>
          <w:highlight w:val="none"/>
          <w:lang w:val="en-US" w:eastAsia="zh-CN" w:bidi="ar-SA"/>
        </w:rPr>
        <w:t>第一章</w:t>
      </w:r>
      <w:r>
        <w:rPr>
          <w:rFonts w:hint="eastAsia" w:ascii="Times New Roman" w:hAnsi="Times New Roman" w:eastAsia="宋体" w:cs="Times New Roman"/>
          <w:bCs/>
          <w:color w:val="auto"/>
          <w:kern w:val="44"/>
          <w:szCs w:val="44"/>
          <w:highlight w:val="none"/>
          <w:lang w:val="en-US" w:eastAsia="zh-CN" w:bidi="ar-SA"/>
        </w:rPr>
        <w:t>　招标公告</w:t>
      </w:r>
      <w:r>
        <w:rPr>
          <w:color w:val="auto"/>
          <w:highlight w:val="none"/>
        </w:rPr>
        <w:tab/>
      </w:r>
      <w:r>
        <w:rPr>
          <w:color w:val="auto"/>
          <w:highlight w:val="none"/>
        </w:rPr>
        <w:fldChar w:fldCharType="begin"/>
      </w:r>
      <w:r>
        <w:rPr>
          <w:color w:val="auto"/>
          <w:highlight w:val="none"/>
        </w:rPr>
        <w:instrText xml:space="preserve"> PAGEREF _Toc8913 \h </w:instrText>
      </w:r>
      <w:r>
        <w:rPr>
          <w:color w:val="auto"/>
          <w:highlight w:val="none"/>
        </w:rPr>
        <w:fldChar w:fldCharType="separate"/>
      </w:r>
      <w:r>
        <w:rPr>
          <w:color w:val="auto"/>
          <w:highlight w:val="none"/>
        </w:rPr>
        <w:t>3</w:t>
      </w:r>
      <w:r>
        <w:rPr>
          <w:color w:val="auto"/>
          <w:highlight w:val="none"/>
        </w:rPr>
        <w:fldChar w:fldCharType="end"/>
      </w:r>
      <w:r>
        <w:rPr>
          <w:color w:val="auto"/>
          <w:highlight w:val="none"/>
        </w:rPr>
        <w:fldChar w:fldCharType="end"/>
      </w:r>
    </w:p>
    <w:p w14:paraId="3314FFE4">
      <w:pPr>
        <w:pStyle w:val="24"/>
        <w:shd w:val="clear"/>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_Toc32320 </w:instrText>
      </w:r>
      <w:r>
        <w:rPr>
          <w:color w:val="auto"/>
          <w:szCs w:val="30"/>
          <w:highlight w:val="none"/>
        </w:rPr>
        <w:fldChar w:fldCharType="separate"/>
      </w:r>
      <w:r>
        <w:rPr>
          <w:rFonts w:hint="eastAsia" w:ascii="Times New Roman" w:hAnsi="Times New Roman" w:eastAsia="宋体" w:cs="Times New Roman"/>
          <w:bCs/>
          <w:color w:val="auto"/>
          <w:kern w:val="44"/>
          <w:szCs w:val="44"/>
          <w:highlight w:val="none"/>
          <w:lang w:val="en-US" w:eastAsia="zh-CN" w:bidi="ar-SA"/>
        </w:rPr>
        <w:t>第二章　投标须知和投标须知前附表</w:t>
      </w:r>
      <w:r>
        <w:rPr>
          <w:color w:val="auto"/>
          <w:highlight w:val="none"/>
        </w:rPr>
        <w:tab/>
      </w:r>
      <w:r>
        <w:rPr>
          <w:color w:val="auto"/>
          <w:highlight w:val="none"/>
        </w:rPr>
        <w:fldChar w:fldCharType="begin"/>
      </w:r>
      <w:r>
        <w:rPr>
          <w:color w:val="auto"/>
          <w:highlight w:val="none"/>
        </w:rPr>
        <w:instrText xml:space="preserve"> PAGEREF _Toc32320 \h </w:instrText>
      </w:r>
      <w:r>
        <w:rPr>
          <w:color w:val="auto"/>
          <w:highlight w:val="none"/>
        </w:rPr>
        <w:fldChar w:fldCharType="separate"/>
      </w:r>
      <w:r>
        <w:rPr>
          <w:color w:val="auto"/>
          <w:highlight w:val="none"/>
        </w:rPr>
        <w:t>6</w:t>
      </w:r>
      <w:r>
        <w:rPr>
          <w:color w:val="auto"/>
          <w:highlight w:val="none"/>
        </w:rPr>
        <w:fldChar w:fldCharType="end"/>
      </w:r>
      <w:r>
        <w:rPr>
          <w:color w:val="auto"/>
          <w:szCs w:val="30"/>
          <w:highlight w:val="none"/>
        </w:rPr>
        <w:fldChar w:fldCharType="end"/>
      </w:r>
    </w:p>
    <w:p w14:paraId="72B672E1">
      <w:pPr>
        <w:pStyle w:val="24"/>
        <w:shd w:val="clear"/>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_Toc1585 </w:instrText>
      </w:r>
      <w:r>
        <w:rPr>
          <w:color w:val="auto"/>
          <w:szCs w:val="30"/>
          <w:highlight w:val="none"/>
        </w:rPr>
        <w:fldChar w:fldCharType="separate"/>
      </w:r>
      <w:r>
        <w:rPr>
          <w:rFonts w:hint="eastAsia"/>
          <w:color w:val="auto"/>
          <w:szCs w:val="32"/>
          <w:highlight w:val="none"/>
        </w:rPr>
        <w:t>投标须知</w:t>
      </w:r>
      <w:r>
        <w:rPr>
          <w:color w:val="auto"/>
          <w:highlight w:val="none"/>
        </w:rPr>
        <w:tab/>
      </w:r>
      <w:r>
        <w:rPr>
          <w:color w:val="auto"/>
          <w:highlight w:val="none"/>
        </w:rPr>
        <w:fldChar w:fldCharType="begin"/>
      </w:r>
      <w:r>
        <w:rPr>
          <w:color w:val="auto"/>
          <w:highlight w:val="none"/>
        </w:rPr>
        <w:instrText xml:space="preserve"> PAGEREF _Toc1585 \h </w:instrText>
      </w:r>
      <w:r>
        <w:rPr>
          <w:color w:val="auto"/>
          <w:highlight w:val="none"/>
        </w:rPr>
        <w:fldChar w:fldCharType="separate"/>
      </w:r>
      <w:r>
        <w:rPr>
          <w:color w:val="auto"/>
          <w:highlight w:val="none"/>
        </w:rPr>
        <w:t>8</w:t>
      </w:r>
      <w:r>
        <w:rPr>
          <w:color w:val="auto"/>
          <w:highlight w:val="none"/>
        </w:rPr>
        <w:fldChar w:fldCharType="end"/>
      </w:r>
      <w:r>
        <w:rPr>
          <w:color w:val="auto"/>
          <w:szCs w:val="30"/>
          <w:highlight w:val="none"/>
        </w:rPr>
        <w:fldChar w:fldCharType="end"/>
      </w:r>
    </w:p>
    <w:p w14:paraId="18158004">
      <w:pPr>
        <w:pStyle w:val="29"/>
        <w:shd w:val="clear"/>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_Toc12752 </w:instrText>
      </w:r>
      <w:r>
        <w:rPr>
          <w:color w:val="auto"/>
          <w:szCs w:val="30"/>
          <w:highlight w:val="none"/>
        </w:rPr>
        <w:fldChar w:fldCharType="separate"/>
      </w:r>
      <w:r>
        <w:rPr>
          <w:rFonts w:hint="eastAsia" w:ascii="宋体" w:hAnsi="宋体" w:eastAsia="宋体" w:cs="宋体"/>
          <w:color w:val="auto"/>
          <w:szCs w:val="21"/>
          <w:highlight w:val="none"/>
        </w:rPr>
        <w:t>一、说明</w:t>
      </w:r>
      <w:r>
        <w:rPr>
          <w:color w:val="auto"/>
          <w:highlight w:val="none"/>
        </w:rPr>
        <w:tab/>
      </w:r>
      <w:r>
        <w:rPr>
          <w:color w:val="auto"/>
          <w:highlight w:val="none"/>
        </w:rPr>
        <w:fldChar w:fldCharType="begin"/>
      </w:r>
      <w:r>
        <w:rPr>
          <w:color w:val="auto"/>
          <w:highlight w:val="none"/>
        </w:rPr>
        <w:instrText xml:space="preserve"> PAGEREF _Toc12752 \h </w:instrText>
      </w:r>
      <w:r>
        <w:rPr>
          <w:color w:val="auto"/>
          <w:highlight w:val="none"/>
        </w:rPr>
        <w:fldChar w:fldCharType="separate"/>
      </w:r>
      <w:r>
        <w:rPr>
          <w:color w:val="auto"/>
          <w:highlight w:val="none"/>
        </w:rPr>
        <w:t>8</w:t>
      </w:r>
      <w:r>
        <w:rPr>
          <w:color w:val="auto"/>
          <w:highlight w:val="none"/>
        </w:rPr>
        <w:fldChar w:fldCharType="end"/>
      </w:r>
      <w:r>
        <w:rPr>
          <w:color w:val="auto"/>
          <w:szCs w:val="30"/>
          <w:highlight w:val="none"/>
        </w:rPr>
        <w:fldChar w:fldCharType="end"/>
      </w:r>
    </w:p>
    <w:p w14:paraId="423D0346">
      <w:pPr>
        <w:pStyle w:val="29"/>
        <w:shd w:val="clear"/>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_Toc28170 </w:instrText>
      </w:r>
      <w:r>
        <w:rPr>
          <w:color w:val="auto"/>
          <w:szCs w:val="30"/>
          <w:highlight w:val="none"/>
        </w:rPr>
        <w:fldChar w:fldCharType="separate"/>
      </w:r>
      <w:r>
        <w:rPr>
          <w:rFonts w:hint="eastAsia" w:ascii="宋体" w:hAnsi="宋体" w:eastAsia="宋体" w:cs="宋体"/>
          <w:color w:val="auto"/>
          <w:szCs w:val="21"/>
          <w:highlight w:val="none"/>
        </w:rPr>
        <w:t>二、招标文件</w:t>
      </w:r>
      <w:r>
        <w:rPr>
          <w:color w:val="auto"/>
          <w:highlight w:val="none"/>
        </w:rPr>
        <w:tab/>
      </w:r>
      <w:r>
        <w:rPr>
          <w:color w:val="auto"/>
          <w:highlight w:val="none"/>
        </w:rPr>
        <w:fldChar w:fldCharType="begin"/>
      </w:r>
      <w:r>
        <w:rPr>
          <w:color w:val="auto"/>
          <w:highlight w:val="none"/>
        </w:rPr>
        <w:instrText xml:space="preserve"> PAGEREF _Toc28170 \h </w:instrText>
      </w:r>
      <w:r>
        <w:rPr>
          <w:color w:val="auto"/>
          <w:highlight w:val="none"/>
        </w:rPr>
        <w:fldChar w:fldCharType="separate"/>
      </w:r>
      <w:r>
        <w:rPr>
          <w:color w:val="auto"/>
          <w:highlight w:val="none"/>
        </w:rPr>
        <w:t>9</w:t>
      </w:r>
      <w:r>
        <w:rPr>
          <w:color w:val="auto"/>
          <w:highlight w:val="none"/>
        </w:rPr>
        <w:fldChar w:fldCharType="end"/>
      </w:r>
      <w:r>
        <w:rPr>
          <w:color w:val="auto"/>
          <w:szCs w:val="30"/>
          <w:highlight w:val="none"/>
        </w:rPr>
        <w:fldChar w:fldCharType="end"/>
      </w:r>
    </w:p>
    <w:p w14:paraId="6CCAD073">
      <w:pPr>
        <w:pStyle w:val="29"/>
        <w:shd w:val="clear"/>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_Toc8141 </w:instrText>
      </w:r>
      <w:r>
        <w:rPr>
          <w:color w:val="auto"/>
          <w:szCs w:val="30"/>
          <w:highlight w:val="none"/>
        </w:rPr>
        <w:fldChar w:fldCharType="separate"/>
      </w:r>
      <w:r>
        <w:rPr>
          <w:rFonts w:hint="eastAsia" w:ascii="宋体" w:hAnsi="宋体" w:eastAsia="宋体" w:cs="宋体"/>
          <w:color w:val="auto"/>
          <w:szCs w:val="21"/>
          <w:highlight w:val="none"/>
        </w:rPr>
        <w:t>三、投标文件</w:t>
      </w:r>
      <w:r>
        <w:rPr>
          <w:color w:val="auto"/>
          <w:highlight w:val="none"/>
        </w:rPr>
        <w:tab/>
      </w:r>
      <w:r>
        <w:rPr>
          <w:color w:val="auto"/>
          <w:highlight w:val="none"/>
        </w:rPr>
        <w:fldChar w:fldCharType="begin"/>
      </w:r>
      <w:r>
        <w:rPr>
          <w:color w:val="auto"/>
          <w:highlight w:val="none"/>
        </w:rPr>
        <w:instrText xml:space="preserve"> PAGEREF _Toc8141 \h </w:instrText>
      </w:r>
      <w:r>
        <w:rPr>
          <w:color w:val="auto"/>
          <w:highlight w:val="none"/>
        </w:rPr>
        <w:fldChar w:fldCharType="separate"/>
      </w:r>
      <w:r>
        <w:rPr>
          <w:color w:val="auto"/>
          <w:highlight w:val="none"/>
        </w:rPr>
        <w:t>10</w:t>
      </w:r>
      <w:r>
        <w:rPr>
          <w:color w:val="auto"/>
          <w:highlight w:val="none"/>
        </w:rPr>
        <w:fldChar w:fldCharType="end"/>
      </w:r>
      <w:r>
        <w:rPr>
          <w:color w:val="auto"/>
          <w:szCs w:val="30"/>
          <w:highlight w:val="none"/>
        </w:rPr>
        <w:fldChar w:fldCharType="end"/>
      </w:r>
    </w:p>
    <w:p w14:paraId="4EFD94C1">
      <w:pPr>
        <w:pStyle w:val="29"/>
        <w:shd w:val="clear"/>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_Toc11296 </w:instrText>
      </w:r>
      <w:r>
        <w:rPr>
          <w:color w:val="auto"/>
          <w:szCs w:val="30"/>
          <w:highlight w:val="none"/>
        </w:rPr>
        <w:fldChar w:fldCharType="separate"/>
      </w:r>
      <w:r>
        <w:rPr>
          <w:rFonts w:hint="eastAsia" w:ascii="宋体" w:hAnsi="宋体" w:eastAsia="宋体" w:cs="宋体"/>
          <w:color w:val="auto"/>
          <w:szCs w:val="21"/>
          <w:highlight w:val="none"/>
        </w:rPr>
        <w:t>四、投标文件的递交</w:t>
      </w:r>
      <w:r>
        <w:rPr>
          <w:color w:val="auto"/>
          <w:highlight w:val="none"/>
        </w:rPr>
        <w:tab/>
      </w:r>
      <w:r>
        <w:rPr>
          <w:color w:val="auto"/>
          <w:highlight w:val="none"/>
        </w:rPr>
        <w:fldChar w:fldCharType="begin"/>
      </w:r>
      <w:r>
        <w:rPr>
          <w:color w:val="auto"/>
          <w:highlight w:val="none"/>
        </w:rPr>
        <w:instrText xml:space="preserve"> PAGEREF _Toc11296 \h </w:instrText>
      </w:r>
      <w:r>
        <w:rPr>
          <w:color w:val="auto"/>
          <w:highlight w:val="none"/>
        </w:rPr>
        <w:fldChar w:fldCharType="separate"/>
      </w:r>
      <w:r>
        <w:rPr>
          <w:color w:val="auto"/>
          <w:highlight w:val="none"/>
        </w:rPr>
        <w:t>12</w:t>
      </w:r>
      <w:r>
        <w:rPr>
          <w:color w:val="auto"/>
          <w:highlight w:val="none"/>
        </w:rPr>
        <w:fldChar w:fldCharType="end"/>
      </w:r>
      <w:r>
        <w:rPr>
          <w:color w:val="auto"/>
          <w:szCs w:val="30"/>
          <w:highlight w:val="none"/>
        </w:rPr>
        <w:fldChar w:fldCharType="end"/>
      </w:r>
    </w:p>
    <w:p w14:paraId="562FCA8E">
      <w:pPr>
        <w:pStyle w:val="29"/>
        <w:shd w:val="clear"/>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_Toc25468 </w:instrText>
      </w:r>
      <w:r>
        <w:rPr>
          <w:color w:val="auto"/>
          <w:szCs w:val="30"/>
          <w:highlight w:val="none"/>
        </w:rPr>
        <w:fldChar w:fldCharType="separate"/>
      </w:r>
      <w:r>
        <w:rPr>
          <w:rFonts w:hint="eastAsia" w:ascii="宋体" w:hAnsi="宋体" w:eastAsia="宋体" w:cs="宋体"/>
          <w:color w:val="auto"/>
          <w:szCs w:val="21"/>
          <w:highlight w:val="none"/>
        </w:rPr>
        <w:t>五、</w:t>
      </w:r>
      <w:r>
        <w:rPr>
          <w:rFonts w:hint="eastAsia" w:ascii="宋体" w:hAnsi="宋体" w:eastAsia="宋体" w:cs="宋体"/>
          <w:color w:val="auto"/>
          <w:szCs w:val="21"/>
          <w:highlight w:val="none"/>
          <w:lang w:val="en-US" w:eastAsia="zh-CN"/>
        </w:rPr>
        <w:t>费用缴纳</w:t>
      </w:r>
      <w:r>
        <w:rPr>
          <w:color w:val="auto"/>
          <w:highlight w:val="none"/>
        </w:rPr>
        <w:tab/>
      </w:r>
      <w:r>
        <w:rPr>
          <w:color w:val="auto"/>
          <w:highlight w:val="none"/>
        </w:rPr>
        <w:fldChar w:fldCharType="begin"/>
      </w:r>
      <w:r>
        <w:rPr>
          <w:color w:val="auto"/>
          <w:highlight w:val="none"/>
        </w:rPr>
        <w:instrText xml:space="preserve"> PAGEREF _Toc25468 \h </w:instrText>
      </w:r>
      <w:r>
        <w:rPr>
          <w:color w:val="auto"/>
          <w:highlight w:val="none"/>
        </w:rPr>
        <w:fldChar w:fldCharType="separate"/>
      </w:r>
      <w:r>
        <w:rPr>
          <w:color w:val="auto"/>
          <w:highlight w:val="none"/>
        </w:rPr>
        <w:t>13</w:t>
      </w:r>
      <w:r>
        <w:rPr>
          <w:color w:val="auto"/>
          <w:highlight w:val="none"/>
        </w:rPr>
        <w:fldChar w:fldCharType="end"/>
      </w:r>
      <w:r>
        <w:rPr>
          <w:color w:val="auto"/>
          <w:szCs w:val="30"/>
          <w:highlight w:val="none"/>
        </w:rPr>
        <w:fldChar w:fldCharType="end"/>
      </w:r>
    </w:p>
    <w:p w14:paraId="2FB708FA">
      <w:pPr>
        <w:pStyle w:val="29"/>
        <w:shd w:val="clear"/>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_Toc9436 </w:instrText>
      </w:r>
      <w:r>
        <w:rPr>
          <w:color w:val="auto"/>
          <w:szCs w:val="30"/>
          <w:highlight w:val="none"/>
        </w:rPr>
        <w:fldChar w:fldCharType="separate"/>
      </w:r>
      <w:r>
        <w:rPr>
          <w:rFonts w:hint="eastAsia" w:ascii="宋体" w:hAnsi="宋体" w:eastAsia="宋体" w:cs="宋体"/>
          <w:color w:val="auto"/>
          <w:szCs w:val="21"/>
          <w:highlight w:val="none"/>
        </w:rPr>
        <w:t>六、其</w:t>
      </w:r>
      <w:r>
        <w:rPr>
          <w:rFonts w:hint="eastAsia" w:ascii="宋体" w:hAnsi="宋体" w:eastAsia="宋体" w:cs="宋体"/>
          <w:color w:val="auto"/>
          <w:szCs w:val="21"/>
          <w:highlight w:val="none"/>
          <w:lang w:eastAsia="zh-CN"/>
        </w:rPr>
        <w:t>他</w:t>
      </w:r>
      <w:r>
        <w:rPr>
          <w:color w:val="auto"/>
          <w:highlight w:val="none"/>
        </w:rPr>
        <w:tab/>
      </w:r>
      <w:r>
        <w:rPr>
          <w:color w:val="auto"/>
          <w:highlight w:val="none"/>
        </w:rPr>
        <w:fldChar w:fldCharType="begin"/>
      </w:r>
      <w:r>
        <w:rPr>
          <w:color w:val="auto"/>
          <w:highlight w:val="none"/>
        </w:rPr>
        <w:instrText xml:space="preserve"> PAGEREF _Toc9436 \h </w:instrText>
      </w:r>
      <w:r>
        <w:rPr>
          <w:color w:val="auto"/>
          <w:highlight w:val="none"/>
        </w:rPr>
        <w:fldChar w:fldCharType="separate"/>
      </w:r>
      <w:r>
        <w:rPr>
          <w:color w:val="auto"/>
          <w:highlight w:val="none"/>
        </w:rPr>
        <w:t>14</w:t>
      </w:r>
      <w:r>
        <w:rPr>
          <w:color w:val="auto"/>
          <w:highlight w:val="none"/>
        </w:rPr>
        <w:fldChar w:fldCharType="end"/>
      </w:r>
      <w:r>
        <w:rPr>
          <w:color w:val="auto"/>
          <w:szCs w:val="30"/>
          <w:highlight w:val="none"/>
        </w:rPr>
        <w:fldChar w:fldCharType="end"/>
      </w:r>
    </w:p>
    <w:p w14:paraId="6F8EE620">
      <w:pPr>
        <w:pStyle w:val="24"/>
        <w:shd w:val="clear"/>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_Toc29970 </w:instrText>
      </w:r>
      <w:r>
        <w:rPr>
          <w:color w:val="auto"/>
          <w:szCs w:val="30"/>
          <w:highlight w:val="none"/>
        </w:rPr>
        <w:fldChar w:fldCharType="separate"/>
      </w:r>
      <w:r>
        <w:rPr>
          <w:rFonts w:hint="eastAsia" w:ascii="Times New Roman" w:hAnsi="Times New Roman" w:eastAsia="宋体" w:cs="Times New Roman"/>
          <w:bCs/>
          <w:color w:val="auto"/>
          <w:kern w:val="44"/>
          <w:szCs w:val="44"/>
          <w:highlight w:val="none"/>
          <w:lang w:val="en-US" w:eastAsia="zh-CN" w:bidi="ar-SA"/>
        </w:rPr>
        <w:t>第三章  招标项目要求</w:t>
      </w:r>
      <w:r>
        <w:rPr>
          <w:color w:val="auto"/>
          <w:highlight w:val="none"/>
        </w:rPr>
        <w:tab/>
      </w:r>
      <w:r>
        <w:rPr>
          <w:color w:val="auto"/>
          <w:highlight w:val="none"/>
        </w:rPr>
        <w:fldChar w:fldCharType="begin"/>
      </w:r>
      <w:r>
        <w:rPr>
          <w:color w:val="auto"/>
          <w:highlight w:val="none"/>
        </w:rPr>
        <w:instrText xml:space="preserve"> PAGEREF _Toc29970 \h </w:instrText>
      </w:r>
      <w:r>
        <w:rPr>
          <w:color w:val="auto"/>
          <w:highlight w:val="none"/>
        </w:rPr>
        <w:fldChar w:fldCharType="separate"/>
      </w:r>
      <w:r>
        <w:rPr>
          <w:color w:val="auto"/>
          <w:highlight w:val="none"/>
        </w:rPr>
        <w:t>15</w:t>
      </w:r>
      <w:r>
        <w:rPr>
          <w:color w:val="auto"/>
          <w:highlight w:val="none"/>
        </w:rPr>
        <w:fldChar w:fldCharType="end"/>
      </w:r>
      <w:r>
        <w:rPr>
          <w:color w:val="auto"/>
          <w:szCs w:val="30"/>
          <w:highlight w:val="none"/>
        </w:rPr>
        <w:fldChar w:fldCharType="end"/>
      </w:r>
    </w:p>
    <w:p w14:paraId="2F3D1D22">
      <w:pPr>
        <w:pStyle w:val="29"/>
        <w:shd w:val="clear"/>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_Toc10074 </w:instrText>
      </w:r>
      <w:r>
        <w:rPr>
          <w:color w:val="auto"/>
          <w:szCs w:val="30"/>
          <w:highlight w:val="none"/>
        </w:rPr>
        <w:fldChar w:fldCharType="separate"/>
      </w:r>
      <w:r>
        <w:rPr>
          <w:rFonts w:hint="eastAsia" w:ascii="宋体" w:hAnsi="宋体" w:eastAsia="宋体" w:cs="宋体"/>
          <w:color w:val="auto"/>
          <w:szCs w:val="21"/>
          <w:highlight w:val="none"/>
        </w:rPr>
        <w:t>一、</w:t>
      </w:r>
      <w:r>
        <w:rPr>
          <w:rFonts w:hint="eastAsia" w:ascii="宋体" w:hAnsi="宋体" w:eastAsia="宋体" w:cs="宋体"/>
          <w:color w:val="auto"/>
          <w:szCs w:val="21"/>
          <w:highlight w:val="none"/>
          <w:lang w:val="en-US" w:eastAsia="zh-CN"/>
        </w:rPr>
        <w:t>项目概况</w:t>
      </w:r>
      <w:r>
        <w:rPr>
          <w:color w:val="auto"/>
          <w:highlight w:val="none"/>
        </w:rPr>
        <w:tab/>
      </w:r>
      <w:r>
        <w:rPr>
          <w:color w:val="auto"/>
          <w:highlight w:val="none"/>
        </w:rPr>
        <w:fldChar w:fldCharType="begin"/>
      </w:r>
      <w:r>
        <w:rPr>
          <w:color w:val="auto"/>
          <w:highlight w:val="none"/>
        </w:rPr>
        <w:instrText xml:space="preserve"> PAGEREF _Toc10074 \h </w:instrText>
      </w:r>
      <w:r>
        <w:rPr>
          <w:color w:val="auto"/>
          <w:highlight w:val="none"/>
        </w:rPr>
        <w:fldChar w:fldCharType="separate"/>
      </w:r>
      <w:r>
        <w:rPr>
          <w:color w:val="auto"/>
          <w:highlight w:val="none"/>
        </w:rPr>
        <w:t>15</w:t>
      </w:r>
      <w:r>
        <w:rPr>
          <w:color w:val="auto"/>
          <w:highlight w:val="none"/>
        </w:rPr>
        <w:fldChar w:fldCharType="end"/>
      </w:r>
      <w:r>
        <w:rPr>
          <w:color w:val="auto"/>
          <w:szCs w:val="30"/>
          <w:highlight w:val="none"/>
        </w:rPr>
        <w:fldChar w:fldCharType="end"/>
      </w:r>
    </w:p>
    <w:p w14:paraId="4EC472CE">
      <w:pPr>
        <w:pStyle w:val="29"/>
        <w:shd w:val="clear"/>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_Toc18420 </w:instrText>
      </w:r>
      <w:r>
        <w:rPr>
          <w:color w:val="auto"/>
          <w:szCs w:val="30"/>
          <w:highlight w:val="none"/>
        </w:rPr>
        <w:fldChar w:fldCharType="separate"/>
      </w:r>
      <w:r>
        <w:rPr>
          <w:rFonts w:hint="eastAsia" w:ascii="宋体" w:hAnsi="宋体" w:eastAsia="宋体" w:cs="Times New Roman"/>
          <w:bCs w:val="0"/>
          <w:color w:val="auto"/>
          <w:szCs w:val="21"/>
          <w:highlight w:val="none"/>
          <w:lang w:val="en-US" w:eastAsia="zh-CN"/>
        </w:rPr>
        <w:t>二、采购要求</w:t>
      </w:r>
      <w:r>
        <w:rPr>
          <w:color w:val="auto"/>
          <w:highlight w:val="none"/>
        </w:rPr>
        <w:tab/>
      </w:r>
      <w:r>
        <w:rPr>
          <w:color w:val="auto"/>
          <w:highlight w:val="none"/>
        </w:rPr>
        <w:fldChar w:fldCharType="begin"/>
      </w:r>
      <w:r>
        <w:rPr>
          <w:color w:val="auto"/>
          <w:highlight w:val="none"/>
        </w:rPr>
        <w:instrText xml:space="preserve"> PAGEREF _Toc18420 \h </w:instrText>
      </w:r>
      <w:r>
        <w:rPr>
          <w:color w:val="auto"/>
          <w:highlight w:val="none"/>
        </w:rPr>
        <w:fldChar w:fldCharType="separate"/>
      </w:r>
      <w:r>
        <w:rPr>
          <w:color w:val="auto"/>
          <w:highlight w:val="none"/>
        </w:rPr>
        <w:t>15</w:t>
      </w:r>
      <w:r>
        <w:rPr>
          <w:color w:val="auto"/>
          <w:highlight w:val="none"/>
        </w:rPr>
        <w:fldChar w:fldCharType="end"/>
      </w:r>
      <w:r>
        <w:rPr>
          <w:color w:val="auto"/>
          <w:szCs w:val="30"/>
          <w:highlight w:val="none"/>
        </w:rPr>
        <w:fldChar w:fldCharType="end"/>
      </w:r>
    </w:p>
    <w:p w14:paraId="0129ED59">
      <w:pPr>
        <w:pStyle w:val="29"/>
        <w:shd w:val="clear"/>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_Toc8002 </w:instrText>
      </w:r>
      <w:r>
        <w:rPr>
          <w:color w:val="auto"/>
          <w:szCs w:val="30"/>
          <w:highlight w:val="none"/>
        </w:rPr>
        <w:fldChar w:fldCharType="separate"/>
      </w:r>
      <w:r>
        <w:rPr>
          <w:rFonts w:hint="eastAsia" w:ascii="宋体" w:hAnsi="宋体" w:eastAsia="宋体" w:cs="宋体"/>
          <w:color w:val="auto"/>
          <w:szCs w:val="21"/>
          <w:highlight w:val="none"/>
          <w:lang w:val="en-US" w:eastAsia="zh-CN"/>
        </w:rPr>
        <w:t>三</w:t>
      </w:r>
      <w:r>
        <w:rPr>
          <w:rFonts w:hint="eastAsia" w:ascii="宋体" w:hAnsi="宋体" w:eastAsia="宋体" w:cs="宋体"/>
          <w:color w:val="auto"/>
          <w:szCs w:val="21"/>
          <w:highlight w:val="none"/>
        </w:rPr>
        <w:t>、商务要求</w:t>
      </w:r>
      <w:r>
        <w:rPr>
          <w:color w:val="auto"/>
          <w:highlight w:val="none"/>
        </w:rPr>
        <w:tab/>
      </w:r>
      <w:r>
        <w:rPr>
          <w:color w:val="auto"/>
          <w:highlight w:val="none"/>
        </w:rPr>
        <w:fldChar w:fldCharType="begin"/>
      </w:r>
      <w:r>
        <w:rPr>
          <w:color w:val="auto"/>
          <w:highlight w:val="none"/>
        </w:rPr>
        <w:instrText xml:space="preserve"> PAGEREF _Toc8002 \h </w:instrText>
      </w:r>
      <w:r>
        <w:rPr>
          <w:color w:val="auto"/>
          <w:highlight w:val="none"/>
        </w:rPr>
        <w:fldChar w:fldCharType="separate"/>
      </w:r>
      <w:r>
        <w:rPr>
          <w:color w:val="auto"/>
          <w:highlight w:val="none"/>
        </w:rPr>
        <w:t>16</w:t>
      </w:r>
      <w:r>
        <w:rPr>
          <w:color w:val="auto"/>
          <w:highlight w:val="none"/>
        </w:rPr>
        <w:fldChar w:fldCharType="end"/>
      </w:r>
      <w:r>
        <w:rPr>
          <w:color w:val="auto"/>
          <w:szCs w:val="30"/>
          <w:highlight w:val="none"/>
        </w:rPr>
        <w:fldChar w:fldCharType="end"/>
      </w:r>
    </w:p>
    <w:p w14:paraId="418A012B">
      <w:pPr>
        <w:pStyle w:val="29"/>
        <w:shd w:val="clear"/>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_Toc4020 </w:instrText>
      </w:r>
      <w:r>
        <w:rPr>
          <w:color w:val="auto"/>
          <w:szCs w:val="30"/>
          <w:highlight w:val="none"/>
        </w:rPr>
        <w:fldChar w:fldCharType="separate"/>
      </w:r>
      <w:r>
        <w:rPr>
          <w:rFonts w:hint="eastAsia" w:ascii="宋体" w:hAnsi="宋体" w:eastAsia="宋体" w:cs="宋体"/>
          <w:color w:val="auto"/>
          <w:szCs w:val="21"/>
          <w:highlight w:val="none"/>
          <w:lang w:val="en-US" w:eastAsia="zh-CN"/>
        </w:rPr>
        <w:t>四</w:t>
      </w:r>
      <w:r>
        <w:rPr>
          <w:rFonts w:hint="eastAsia" w:ascii="宋体" w:hAnsi="宋体" w:eastAsia="宋体" w:cs="宋体"/>
          <w:color w:val="auto"/>
          <w:szCs w:val="21"/>
          <w:highlight w:val="none"/>
        </w:rPr>
        <w:t>、其他说明</w:t>
      </w:r>
      <w:r>
        <w:rPr>
          <w:color w:val="auto"/>
          <w:highlight w:val="none"/>
        </w:rPr>
        <w:tab/>
      </w:r>
      <w:r>
        <w:rPr>
          <w:color w:val="auto"/>
          <w:highlight w:val="none"/>
        </w:rPr>
        <w:fldChar w:fldCharType="begin"/>
      </w:r>
      <w:r>
        <w:rPr>
          <w:color w:val="auto"/>
          <w:highlight w:val="none"/>
        </w:rPr>
        <w:instrText xml:space="preserve"> PAGEREF _Toc4020 \h </w:instrText>
      </w:r>
      <w:r>
        <w:rPr>
          <w:color w:val="auto"/>
          <w:highlight w:val="none"/>
        </w:rPr>
        <w:fldChar w:fldCharType="separate"/>
      </w:r>
      <w:r>
        <w:rPr>
          <w:color w:val="auto"/>
          <w:highlight w:val="none"/>
        </w:rPr>
        <w:t>17</w:t>
      </w:r>
      <w:r>
        <w:rPr>
          <w:color w:val="auto"/>
          <w:highlight w:val="none"/>
        </w:rPr>
        <w:fldChar w:fldCharType="end"/>
      </w:r>
      <w:r>
        <w:rPr>
          <w:color w:val="auto"/>
          <w:szCs w:val="30"/>
          <w:highlight w:val="none"/>
        </w:rPr>
        <w:fldChar w:fldCharType="end"/>
      </w:r>
    </w:p>
    <w:p w14:paraId="373898C8">
      <w:pPr>
        <w:pStyle w:val="24"/>
        <w:shd w:val="clear"/>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_Toc13889 </w:instrText>
      </w:r>
      <w:r>
        <w:rPr>
          <w:color w:val="auto"/>
          <w:szCs w:val="30"/>
          <w:highlight w:val="none"/>
        </w:rPr>
        <w:fldChar w:fldCharType="separate"/>
      </w:r>
      <w:r>
        <w:rPr>
          <w:rFonts w:hint="eastAsia" w:ascii="Times New Roman" w:hAnsi="Times New Roman" w:eastAsia="宋体" w:cs="Times New Roman"/>
          <w:bCs/>
          <w:color w:val="auto"/>
          <w:kern w:val="44"/>
          <w:szCs w:val="44"/>
          <w:highlight w:val="none"/>
          <w:lang w:val="en-US" w:eastAsia="zh-CN" w:bidi="ar-SA"/>
        </w:rPr>
        <w:t>第四章</w:t>
      </w:r>
      <w:r>
        <w:rPr>
          <w:rFonts w:ascii="Times New Roman" w:hAnsi="Times New Roman" w:eastAsia="宋体" w:cs="Times New Roman"/>
          <w:bCs/>
          <w:color w:val="auto"/>
          <w:kern w:val="44"/>
          <w:szCs w:val="44"/>
          <w:highlight w:val="none"/>
          <w:lang w:val="en-US" w:eastAsia="zh-CN" w:bidi="ar-SA"/>
        </w:rPr>
        <w:t xml:space="preserve">  </w:t>
      </w:r>
      <w:r>
        <w:rPr>
          <w:rFonts w:hint="eastAsia" w:ascii="Times New Roman" w:hAnsi="Times New Roman" w:eastAsia="宋体" w:cs="Times New Roman"/>
          <w:bCs/>
          <w:color w:val="auto"/>
          <w:kern w:val="44"/>
          <w:szCs w:val="44"/>
          <w:highlight w:val="none"/>
          <w:lang w:val="en-US" w:eastAsia="zh-CN" w:bidi="ar-SA"/>
        </w:rPr>
        <w:t>开标、评标和定标须知</w:t>
      </w:r>
      <w:r>
        <w:rPr>
          <w:color w:val="auto"/>
          <w:highlight w:val="none"/>
        </w:rPr>
        <w:tab/>
      </w:r>
      <w:r>
        <w:rPr>
          <w:color w:val="auto"/>
          <w:highlight w:val="none"/>
        </w:rPr>
        <w:fldChar w:fldCharType="begin"/>
      </w:r>
      <w:r>
        <w:rPr>
          <w:color w:val="auto"/>
          <w:highlight w:val="none"/>
        </w:rPr>
        <w:instrText xml:space="preserve"> PAGEREF _Toc13889 \h </w:instrText>
      </w:r>
      <w:r>
        <w:rPr>
          <w:color w:val="auto"/>
          <w:highlight w:val="none"/>
        </w:rPr>
        <w:fldChar w:fldCharType="separate"/>
      </w:r>
      <w:r>
        <w:rPr>
          <w:color w:val="auto"/>
          <w:highlight w:val="none"/>
        </w:rPr>
        <w:t>18</w:t>
      </w:r>
      <w:r>
        <w:rPr>
          <w:color w:val="auto"/>
          <w:highlight w:val="none"/>
        </w:rPr>
        <w:fldChar w:fldCharType="end"/>
      </w:r>
      <w:r>
        <w:rPr>
          <w:color w:val="auto"/>
          <w:szCs w:val="30"/>
          <w:highlight w:val="none"/>
        </w:rPr>
        <w:fldChar w:fldCharType="end"/>
      </w:r>
    </w:p>
    <w:p w14:paraId="6329A8B7">
      <w:pPr>
        <w:pStyle w:val="29"/>
        <w:shd w:val="clear"/>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_Toc2595 </w:instrText>
      </w:r>
      <w:r>
        <w:rPr>
          <w:color w:val="auto"/>
          <w:szCs w:val="30"/>
          <w:highlight w:val="none"/>
        </w:rPr>
        <w:fldChar w:fldCharType="separate"/>
      </w:r>
      <w:r>
        <w:rPr>
          <w:rFonts w:hint="eastAsia" w:ascii="宋体" w:hAnsi="宋体" w:eastAsia="宋体"/>
          <w:color w:val="auto"/>
          <w:szCs w:val="21"/>
          <w:highlight w:val="none"/>
        </w:rPr>
        <w:t>一、开标</w:t>
      </w:r>
      <w:r>
        <w:rPr>
          <w:color w:val="auto"/>
          <w:highlight w:val="none"/>
        </w:rPr>
        <w:tab/>
      </w:r>
      <w:r>
        <w:rPr>
          <w:color w:val="auto"/>
          <w:highlight w:val="none"/>
        </w:rPr>
        <w:fldChar w:fldCharType="begin"/>
      </w:r>
      <w:r>
        <w:rPr>
          <w:color w:val="auto"/>
          <w:highlight w:val="none"/>
        </w:rPr>
        <w:instrText xml:space="preserve"> PAGEREF _Toc2595 \h </w:instrText>
      </w:r>
      <w:r>
        <w:rPr>
          <w:color w:val="auto"/>
          <w:highlight w:val="none"/>
        </w:rPr>
        <w:fldChar w:fldCharType="separate"/>
      </w:r>
      <w:r>
        <w:rPr>
          <w:color w:val="auto"/>
          <w:highlight w:val="none"/>
        </w:rPr>
        <w:t>18</w:t>
      </w:r>
      <w:r>
        <w:rPr>
          <w:color w:val="auto"/>
          <w:highlight w:val="none"/>
        </w:rPr>
        <w:fldChar w:fldCharType="end"/>
      </w:r>
      <w:r>
        <w:rPr>
          <w:color w:val="auto"/>
          <w:szCs w:val="30"/>
          <w:highlight w:val="none"/>
        </w:rPr>
        <w:fldChar w:fldCharType="end"/>
      </w:r>
    </w:p>
    <w:p w14:paraId="74FB03A3">
      <w:pPr>
        <w:pStyle w:val="29"/>
        <w:shd w:val="clear"/>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_Toc27215 </w:instrText>
      </w:r>
      <w:r>
        <w:rPr>
          <w:color w:val="auto"/>
          <w:szCs w:val="30"/>
          <w:highlight w:val="none"/>
        </w:rPr>
        <w:fldChar w:fldCharType="separate"/>
      </w:r>
      <w:r>
        <w:rPr>
          <w:rFonts w:hint="eastAsia" w:ascii="宋体" w:hAnsi="宋体" w:eastAsia="宋体" w:cs="宋体"/>
          <w:color w:val="auto"/>
          <w:szCs w:val="21"/>
          <w:highlight w:val="none"/>
        </w:rPr>
        <w:t>二、评标</w:t>
      </w:r>
      <w:r>
        <w:rPr>
          <w:color w:val="auto"/>
          <w:highlight w:val="none"/>
        </w:rPr>
        <w:tab/>
      </w:r>
      <w:r>
        <w:rPr>
          <w:color w:val="auto"/>
          <w:highlight w:val="none"/>
        </w:rPr>
        <w:fldChar w:fldCharType="begin"/>
      </w:r>
      <w:r>
        <w:rPr>
          <w:color w:val="auto"/>
          <w:highlight w:val="none"/>
        </w:rPr>
        <w:instrText xml:space="preserve"> PAGEREF _Toc27215 \h </w:instrText>
      </w:r>
      <w:r>
        <w:rPr>
          <w:color w:val="auto"/>
          <w:highlight w:val="none"/>
        </w:rPr>
        <w:fldChar w:fldCharType="separate"/>
      </w:r>
      <w:r>
        <w:rPr>
          <w:color w:val="auto"/>
          <w:highlight w:val="none"/>
        </w:rPr>
        <w:t>18</w:t>
      </w:r>
      <w:r>
        <w:rPr>
          <w:color w:val="auto"/>
          <w:highlight w:val="none"/>
        </w:rPr>
        <w:fldChar w:fldCharType="end"/>
      </w:r>
      <w:r>
        <w:rPr>
          <w:color w:val="auto"/>
          <w:szCs w:val="30"/>
          <w:highlight w:val="none"/>
        </w:rPr>
        <w:fldChar w:fldCharType="end"/>
      </w:r>
    </w:p>
    <w:p w14:paraId="2C119847">
      <w:pPr>
        <w:pStyle w:val="29"/>
        <w:shd w:val="clear"/>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_Toc24323 </w:instrText>
      </w:r>
      <w:r>
        <w:rPr>
          <w:color w:val="auto"/>
          <w:szCs w:val="30"/>
          <w:highlight w:val="none"/>
        </w:rPr>
        <w:fldChar w:fldCharType="separate"/>
      </w:r>
      <w:r>
        <w:rPr>
          <w:rFonts w:hint="eastAsia" w:ascii="宋体" w:hAnsi="宋体" w:eastAsia="宋体" w:cs="宋体"/>
          <w:color w:val="auto"/>
          <w:szCs w:val="21"/>
          <w:highlight w:val="none"/>
        </w:rPr>
        <w:t>三、定标</w:t>
      </w:r>
      <w:r>
        <w:rPr>
          <w:color w:val="auto"/>
          <w:highlight w:val="none"/>
        </w:rPr>
        <w:tab/>
      </w:r>
      <w:r>
        <w:rPr>
          <w:color w:val="auto"/>
          <w:highlight w:val="none"/>
        </w:rPr>
        <w:fldChar w:fldCharType="begin"/>
      </w:r>
      <w:r>
        <w:rPr>
          <w:color w:val="auto"/>
          <w:highlight w:val="none"/>
        </w:rPr>
        <w:instrText xml:space="preserve"> PAGEREF _Toc24323 \h </w:instrText>
      </w:r>
      <w:r>
        <w:rPr>
          <w:color w:val="auto"/>
          <w:highlight w:val="none"/>
        </w:rPr>
        <w:fldChar w:fldCharType="separate"/>
      </w:r>
      <w:r>
        <w:rPr>
          <w:color w:val="auto"/>
          <w:highlight w:val="none"/>
        </w:rPr>
        <w:t>21</w:t>
      </w:r>
      <w:r>
        <w:rPr>
          <w:color w:val="auto"/>
          <w:highlight w:val="none"/>
        </w:rPr>
        <w:fldChar w:fldCharType="end"/>
      </w:r>
      <w:r>
        <w:rPr>
          <w:color w:val="auto"/>
          <w:szCs w:val="30"/>
          <w:highlight w:val="none"/>
        </w:rPr>
        <w:fldChar w:fldCharType="end"/>
      </w:r>
    </w:p>
    <w:p w14:paraId="4B5A3F6A">
      <w:pPr>
        <w:pStyle w:val="24"/>
        <w:shd w:val="clear"/>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_Toc1836 </w:instrText>
      </w:r>
      <w:r>
        <w:rPr>
          <w:color w:val="auto"/>
          <w:szCs w:val="30"/>
          <w:highlight w:val="none"/>
        </w:rPr>
        <w:fldChar w:fldCharType="separate"/>
      </w:r>
      <w:r>
        <w:rPr>
          <w:rFonts w:hint="eastAsia" w:ascii="Times New Roman" w:hAnsi="Times New Roman" w:eastAsia="宋体" w:cs="Times New Roman"/>
          <w:bCs/>
          <w:color w:val="auto"/>
          <w:kern w:val="44"/>
          <w:szCs w:val="44"/>
          <w:highlight w:val="none"/>
          <w:lang w:val="en-US" w:eastAsia="zh-CN" w:bidi="ar-SA"/>
        </w:rPr>
        <w:t>第五章</w:t>
      </w:r>
      <w:r>
        <w:rPr>
          <w:rFonts w:ascii="Times New Roman" w:hAnsi="Times New Roman" w:eastAsia="宋体" w:cs="Times New Roman"/>
          <w:bCs/>
          <w:color w:val="auto"/>
          <w:kern w:val="44"/>
          <w:szCs w:val="44"/>
          <w:highlight w:val="none"/>
          <w:lang w:val="en-US" w:eastAsia="zh-CN" w:bidi="ar-SA"/>
        </w:rPr>
        <w:t xml:space="preserve">  </w:t>
      </w:r>
      <w:r>
        <w:rPr>
          <w:rFonts w:hint="eastAsia" w:ascii="Times New Roman" w:hAnsi="Times New Roman" w:eastAsia="宋体" w:cs="Times New Roman"/>
          <w:bCs/>
          <w:color w:val="auto"/>
          <w:kern w:val="44"/>
          <w:szCs w:val="44"/>
          <w:highlight w:val="none"/>
          <w:lang w:val="en-US" w:eastAsia="zh-CN" w:bidi="ar-SA"/>
        </w:rPr>
        <w:t>投标文件的有效性</w:t>
      </w:r>
      <w:r>
        <w:rPr>
          <w:color w:val="auto"/>
          <w:highlight w:val="none"/>
        </w:rPr>
        <w:tab/>
      </w:r>
      <w:r>
        <w:rPr>
          <w:color w:val="auto"/>
          <w:highlight w:val="none"/>
        </w:rPr>
        <w:fldChar w:fldCharType="begin"/>
      </w:r>
      <w:r>
        <w:rPr>
          <w:color w:val="auto"/>
          <w:highlight w:val="none"/>
        </w:rPr>
        <w:instrText xml:space="preserve"> PAGEREF _Toc1836 \h </w:instrText>
      </w:r>
      <w:r>
        <w:rPr>
          <w:color w:val="auto"/>
          <w:highlight w:val="none"/>
        </w:rPr>
        <w:fldChar w:fldCharType="separate"/>
      </w:r>
      <w:r>
        <w:rPr>
          <w:color w:val="auto"/>
          <w:highlight w:val="none"/>
        </w:rPr>
        <w:t>23</w:t>
      </w:r>
      <w:r>
        <w:rPr>
          <w:color w:val="auto"/>
          <w:highlight w:val="none"/>
        </w:rPr>
        <w:fldChar w:fldCharType="end"/>
      </w:r>
      <w:r>
        <w:rPr>
          <w:color w:val="auto"/>
          <w:szCs w:val="30"/>
          <w:highlight w:val="none"/>
        </w:rPr>
        <w:fldChar w:fldCharType="end"/>
      </w:r>
    </w:p>
    <w:p w14:paraId="261AC3EB">
      <w:pPr>
        <w:pStyle w:val="24"/>
        <w:shd w:val="clear"/>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_Toc27153 </w:instrText>
      </w:r>
      <w:r>
        <w:rPr>
          <w:color w:val="auto"/>
          <w:szCs w:val="30"/>
          <w:highlight w:val="none"/>
        </w:rPr>
        <w:fldChar w:fldCharType="separate"/>
      </w:r>
      <w:r>
        <w:rPr>
          <w:rFonts w:hint="eastAsia" w:ascii="Times New Roman" w:hAnsi="Times New Roman" w:eastAsia="宋体" w:cs="Times New Roman"/>
          <w:bCs/>
          <w:color w:val="auto"/>
          <w:kern w:val="44"/>
          <w:szCs w:val="44"/>
          <w:highlight w:val="none"/>
          <w:lang w:val="en-US" w:eastAsia="zh-CN" w:bidi="ar-SA"/>
        </w:rPr>
        <w:t>第六章</w:t>
      </w:r>
      <w:r>
        <w:rPr>
          <w:rFonts w:ascii="Times New Roman" w:hAnsi="Times New Roman" w:eastAsia="宋体" w:cs="Times New Roman"/>
          <w:bCs/>
          <w:color w:val="auto"/>
          <w:kern w:val="44"/>
          <w:szCs w:val="44"/>
          <w:highlight w:val="none"/>
          <w:lang w:val="en-US" w:eastAsia="zh-CN" w:bidi="ar-SA"/>
        </w:rPr>
        <w:t xml:space="preserve">  </w:t>
      </w:r>
      <w:r>
        <w:rPr>
          <w:rFonts w:hint="eastAsia" w:ascii="Times New Roman" w:hAnsi="Times New Roman" w:eastAsia="宋体" w:cs="Times New Roman"/>
          <w:bCs/>
          <w:color w:val="auto"/>
          <w:kern w:val="44"/>
          <w:szCs w:val="44"/>
          <w:highlight w:val="none"/>
          <w:lang w:val="en-US" w:eastAsia="zh-CN" w:bidi="ar-SA"/>
        </w:rPr>
        <w:t>评标办法</w:t>
      </w:r>
      <w:r>
        <w:rPr>
          <w:color w:val="auto"/>
          <w:highlight w:val="none"/>
        </w:rPr>
        <w:tab/>
      </w:r>
      <w:r>
        <w:rPr>
          <w:color w:val="auto"/>
          <w:highlight w:val="none"/>
        </w:rPr>
        <w:fldChar w:fldCharType="begin"/>
      </w:r>
      <w:r>
        <w:rPr>
          <w:color w:val="auto"/>
          <w:highlight w:val="none"/>
        </w:rPr>
        <w:instrText xml:space="preserve"> PAGEREF _Toc27153 \h </w:instrText>
      </w:r>
      <w:r>
        <w:rPr>
          <w:color w:val="auto"/>
          <w:highlight w:val="none"/>
        </w:rPr>
        <w:fldChar w:fldCharType="separate"/>
      </w:r>
      <w:r>
        <w:rPr>
          <w:color w:val="auto"/>
          <w:highlight w:val="none"/>
        </w:rPr>
        <w:t>25</w:t>
      </w:r>
      <w:r>
        <w:rPr>
          <w:color w:val="auto"/>
          <w:highlight w:val="none"/>
        </w:rPr>
        <w:fldChar w:fldCharType="end"/>
      </w:r>
      <w:r>
        <w:rPr>
          <w:color w:val="auto"/>
          <w:szCs w:val="30"/>
          <w:highlight w:val="none"/>
        </w:rPr>
        <w:fldChar w:fldCharType="end"/>
      </w:r>
    </w:p>
    <w:p w14:paraId="496DF6D4">
      <w:pPr>
        <w:pStyle w:val="29"/>
        <w:shd w:val="clear"/>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_Toc9399 </w:instrText>
      </w:r>
      <w:r>
        <w:rPr>
          <w:color w:val="auto"/>
          <w:szCs w:val="30"/>
          <w:highlight w:val="none"/>
        </w:rPr>
        <w:fldChar w:fldCharType="separate"/>
      </w:r>
      <w:r>
        <w:rPr>
          <w:rFonts w:hint="eastAsia" w:ascii="宋体" w:hAnsi="宋体" w:eastAsia="宋体" w:cs="宋体"/>
          <w:color w:val="auto"/>
          <w:szCs w:val="21"/>
          <w:highlight w:val="none"/>
        </w:rPr>
        <w:t>一、评审程序</w:t>
      </w:r>
      <w:r>
        <w:rPr>
          <w:color w:val="auto"/>
          <w:highlight w:val="none"/>
        </w:rPr>
        <w:tab/>
      </w:r>
      <w:r>
        <w:rPr>
          <w:color w:val="auto"/>
          <w:highlight w:val="none"/>
        </w:rPr>
        <w:fldChar w:fldCharType="begin"/>
      </w:r>
      <w:r>
        <w:rPr>
          <w:color w:val="auto"/>
          <w:highlight w:val="none"/>
        </w:rPr>
        <w:instrText xml:space="preserve"> PAGEREF _Toc9399 \h </w:instrText>
      </w:r>
      <w:r>
        <w:rPr>
          <w:color w:val="auto"/>
          <w:highlight w:val="none"/>
        </w:rPr>
        <w:fldChar w:fldCharType="separate"/>
      </w:r>
      <w:r>
        <w:rPr>
          <w:color w:val="auto"/>
          <w:highlight w:val="none"/>
        </w:rPr>
        <w:t>25</w:t>
      </w:r>
      <w:r>
        <w:rPr>
          <w:color w:val="auto"/>
          <w:highlight w:val="none"/>
        </w:rPr>
        <w:fldChar w:fldCharType="end"/>
      </w:r>
      <w:r>
        <w:rPr>
          <w:color w:val="auto"/>
          <w:szCs w:val="30"/>
          <w:highlight w:val="none"/>
        </w:rPr>
        <w:fldChar w:fldCharType="end"/>
      </w:r>
    </w:p>
    <w:p w14:paraId="1C8160E4">
      <w:pPr>
        <w:pStyle w:val="29"/>
        <w:shd w:val="clear"/>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_Toc10871 </w:instrText>
      </w:r>
      <w:r>
        <w:rPr>
          <w:color w:val="auto"/>
          <w:szCs w:val="30"/>
          <w:highlight w:val="none"/>
        </w:rPr>
        <w:fldChar w:fldCharType="separate"/>
      </w:r>
      <w:r>
        <w:rPr>
          <w:rFonts w:hint="eastAsia" w:ascii="宋体" w:hAnsi="宋体" w:eastAsia="宋体" w:cs="宋体"/>
          <w:color w:val="auto"/>
          <w:szCs w:val="21"/>
          <w:highlight w:val="none"/>
        </w:rPr>
        <w:t>二、确定的中标人放弃中标等情况的处理</w:t>
      </w:r>
      <w:r>
        <w:rPr>
          <w:color w:val="auto"/>
          <w:highlight w:val="none"/>
        </w:rPr>
        <w:tab/>
      </w:r>
      <w:r>
        <w:rPr>
          <w:color w:val="auto"/>
          <w:highlight w:val="none"/>
        </w:rPr>
        <w:fldChar w:fldCharType="begin"/>
      </w:r>
      <w:r>
        <w:rPr>
          <w:color w:val="auto"/>
          <w:highlight w:val="none"/>
        </w:rPr>
        <w:instrText xml:space="preserve"> PAGEREF _Toc10871 \h </w:instrText>
      </w:r>
      <w:r>
        <w:rPr>
          <w:color w:val="auto"/>
          <w:highlight w:val="none"/>
        </w:rPr>
        <w:fldChar w:fldCharType="separate"/>
      </w:r>
      <w:r>
        <w:rPr>
          <w:color w:val="auto"/>
          <w:highlight w:val="none"/>
        </w:rPr>
        <w:t>25</w:t>
      </w:r>
      <w:r>
        <w:rPr>
          <w:color w:val="auto"/>
          <w:highlight w:val="none"/>
        </w:rPr>
        <w:fldChar w:fldCharType="end"/>
      </w:r>
      <w:r>
        <w:rPr>
          <w:color w:val="auto"/>
          <w:szCs w:val="30"/>
          <w:highlight w:val="none"/>
        </w:rPr>
        <w:fldChar w:fldCharType="end"/>
      </w:r>
    </w:p>
    <w:p w14:paraId="086B495B">
      <w:pPr>
        <w:pStyle w:val="29"/>
        <w:shd w:val="clear"/>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_Toc6413 </w:instrText>
      </w:r>
      <w:r>
        <w:rPr>
          <w:color w:val="auto"/>
          <w:szCs w:val="30"/>
          <w:highlight w:val="none"/>
        </w:rPr>
        <w:fldChar w:fldCharType="separate"/>
      </w:r>
      <w:r>
        <w:rPr>
          <w:rFonts w:hint="eastAsia" w:ascii="宋体" w:hAnsi="宋体" w:eastAsia="宋体" w:cs="宋体"/>
          <w:color w:val="auto"/>
          <w:szCs w:val="21"/>
          <w:highlight w:val="none"/>
        </w:rPr>
        <w:t>三、评审办法</w:t>
      </w:r>
      <w:r>
        <w:rPr>
          <w:color w:val="auto"/>
          <w:highlight w:val="none"/>
        </w:rPr>
        <w:tab/>
      </w:r>
      <w:r>
        <w:rPr>
          <w:color w:val="auto"/>
          <w:highlight w:val="none"/>
        </w:rPr>
        <w:fldChar w:fldCharType="begin"/>
      </w:r>
      <w:r>
        <w:rPr>
          <w:color w:val="auto"/>
          <w:highlight w:val="none"/>
        </w:rPr>
        <w:instrText xml:space="preserve"> PAGEREF _Toc6413 \h </w:instrText>
      </w:r>
      <w:r>
        <w:rPr>
          <w:color w:val="auto"/>
          <w:highlight w:val="none"/>
        </w:rPr>
        <w:fldChar w:fldCharType="separate"/>
      </w:r>
      <w:r>
        <w:rPr>
          <w:color w:val="auto"/>
          <w:highlight w:val="none"/>
        </w:rPr>
        <w:t>25</w:t>
      </w:r>
      <w:r>
        <w:rPr>
          <w:color w:val="auto"/>
          <w:highlight w:val="none"/>
        </w:rPr>
        <w:fldChar w:fldCharType="end"/>
      </w:r>
      <w:r>
        <w:rPr>
          <w:color w:val="auto"/>
          <w:szCs w:val="30"/>
          <w:highlight w:val="none"/>
        </w:rPr>
        <w:fldChar w:fldCharType="end"/>
      </w:r>
    </w:p>
    <w:p w14:paraId="37248DA2">
      <w:pPr>
        <w:pStyle w:val="29"/>
        <w:shd w:val="clear"/>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_Toc11003 </w:instrText>
      </w:r>
      <w:r>
        <w:rPr>
          <w:color w:val="auto"/>
          <w:szCs w:val="30"/>
          <w:highlight w:val="none"/>
        </w:rPr>
        <w:fldChar w:fldCharType="separate"/>
      </w:r>
      <w:r>
        <w:rPr>
          <w:rFonts w:hint="eastAsia" w:ascii="宋体" w:hAnsi="宋体" w:eastAsia="宋体" w:cs="宋体"/>
          <w:bCs/>
          <w:color w:val="auto"/>
          <w:szCs w:val="21"/>
          <w:highlight w:val="none"/>
        </w:rPr>
        <w:t>四、评标小组不向落标方解释落标原因</w:t>
      </w:r>
      <w:r>
        <w:rPr>
          <w:color w:val="auto"/>
          <w:highlight w:val="none"/>
        </w:rPr>
        <w:tab/>
      </w:r>
      <w:r>
        <w:rPr>
          <w:color w:val="auto"/>
          <w:highlight w:val="none"/>
        </w:rPr>
        <w:fldChar w:fldCharType="begin"/>
      </w:r>
      <w:r>
        <w:rPr>
          <w:color w:val="auto"/>
          <w:highlight w:val="none"/>
        </w:rPr>
        <w:instrText xml:space="preserve"> PAGEREF _Toc11003 \h </w:instrText>
      </w:r>
      <w:r>
        <w:rPr>
          <w:color w:val="auto"/>
          <w:highlight w:val="none"/>
        </w:rPr>
        <w:fldChar w:fldCharType="separate"/>
      </w:r>
      <w:r>
        <w:rPr>
          <w:color w:val="auto"/>
          <w:highlight w:val="none"/>
        </w:rPr>
        <w:t>26</w:t>
      </w:r>
      <w:r>
        <w:rPr>
          <w:color w:val="auto"/>
          <w:highlight w:val="none"/>
        </w:rPr>
        <w:fldChar w:fldCharType="end"/>
      </w:r>
      <w:r>
        <w:rPr>
          <w:color w:val="auto"/>
          <w:szCs w:val="30"/>
          <w:highlight w:val="none"/>
        </w:rPr>
        <w:fldChar w:fldCharType="end"/>
      </w:r>
    </w:p>
    <w:p w14:paraId="5B2A4330">
      <w:pPr>
        <w:pStyle w:val="24"/>
        <w:shd w:val="clear"/>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_Toc1169 </w:instrText>
      </w:r>
      <w:r>
        <w:rPr>
          <w:color w:val="auto"/>
          <w:szCs w:val="30"/>
          <w:highlight w:val="none"/>
        </w:rPr>
        <w:fldChar w:fldCharType="separate"/>
      </w:r>
      <w:r>
        <w:rPr>
          <w:rFonts w:hint="eastAsia" w:ascii="宋体" w:hAnsi="宋体"/>
          <w:color w:val="auto"/>
          <w:szCs w:val="36"/>
          <w:highlight w:val="none"/>
        </w:rPr>
        <w:t>第七章  合同主要条款</w:t>
      </w:r>
      <w:r>
        <w:rPr>
          <w:color w:val="auto"/>
          <w:highlight w:val="none"/>
        </w:rPr>
        <w:tab/>
      </w:r>
      <w:r>
        <w:rPr>
          <w:color w:val="auto"/>
          <w:highlight w:val="none"/>
        </w:rPr>
        <w:fldChar w:fldCharType="begin"/>
      </w:r>
      <w:r>
        <w:rPr>
          <w:color w:val="auto"/>
          <w:highlight w:val="none"/>
        </w:rPr>
        <w:instrText xml:space="preserve"> PAGEREF _Toc1169 \h </w:instrText>
      </w:r>
      <w:r>
        <w:rPr>
          <w:color w:val="auto"/>
          <w:highlight w:val="none"/>
        </w:rPr>
        <w:fldChar w:fldCharType="separate"/>
      </w:r>
      <w:r>
        <w:rPr>
          <w:color w:val="auto"/>
          <w:highlight w:val="none"/>
        </w:rPr>
        <w:t>27</w:t>
      </w:r>
      <w:r>
        <w:rPr>
          <w:color w:val="auto"/>
          <w:highlight w:val="none"/>
        </w:rPr>
        <w:fldChar w:fldCharType="end"/>
      </w:r>
      <w:r>
        <w:rPr>
          <w:color w:val="auto"/>
          <w:szCs w:val="30"/>
          <w:highlight w:val="none"/>
        </w:rPr>
        <w:fldChar w:fldCharType="end"/>
      </w:r>
    </w:p>
    <w:p w14:paraId="7322AECB">
      <w:pPr>
        <w:pStyle w:val="24"/>
        <w:shd w:val="clear"/>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_Toc4186 </w:instrText>
      </w:r>
      <w:r>
        <w:rPr>
          <w:color w:val="auto"/>
          <w:szCs w:val="30"/>
          <w:highlight w:val="none"/>
        </w:rPr>
        <w:fldChar w:fldCharType="separate"/>
      </w:r>
      <w:r>
        <w:rPr>
          <w:rFonts w:hint="eastAsia" w:ascii="宋体" w:hAnsi="宋体" w:eastAsia="宋体" w:cs="Times New Roman"/>
          <w:color w:val="auto"/>
          <w:szCs w:val="36"/>
          <w:highlight w:val="none"/>
        </w:rPr>
        <w:t>第八章  投标文件部分格式</w:t>
      </w:r>
      <w:r>
        <w:rPr>
          <w:color w:val="auto"/>
          <w:highlight w:val="none"/>
        </w:rPr>
        <w:tab/>
      </w:r>
      <w:r>
        <w:rPr>
          <w:color w:val="auto"/>
          <w:highlight w:val="none"/>
        </w:rPr>
        <w:fldChar w:fldCharType="begin"/>
      </w:r>
      <w:r>
        <w:rPr>
          <w:color w:val="auto"/>
          <w:highlight w:val="none"/>
        </w:rPr>
        <w:instrText xml:space="preserve"> PAGEREF _Toc4186 \h </w:instrText>
      </w:r>
      <w:r>
        <w:rPr>
          <w:color w:val="auto"/>
          <w:highlight w:val="none"/>
        </w:rPr>
        <w:fldChar w:fldCharType="separate"/>
      </w:r>
      <w:r>
        <w:rPr>
          <w:color w:val="auto"/>
          <w:highlight w:val="none"/>
        </w:rPr>
        <w:t>30</w:t>
      </w:r>
      <w:r>
        <w:rPr>
          <w:color w:val="auto"/>
          <w:highlight w:val="none"/>
        </w:rPr>
        <w:fldChar w:fldCharType="end"/>
      </w:r>
      <w:r>
        <w:rPr>
          <w:color w:val="auto"/>
          <w:szCs w:val="30"/>
          <w:highlight w:val="none"/>
        </w:rPr>
        <w:fldChar w:fldCharType="end"/>
      </w:r>
    </w:p>
    <w:p w14:paraId="09F17483">
      <w:pPr>
        <w:pStyle w:val="29"/>
        <w:shd w:val="clear"/>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_Toc3921 </w:instrText>
      </w:r>
      <w:r>
        <w:rPr>
          <w:color w:val="auto"/>
          <w:szCs w:val="30"/>
          <w:highlight w:val="none"/>
        </w:rPr>
        <w:fldChar w:fldCharType="separate"/>
      </w:r>
      <w:r>
        <w:rPr>
          <w:rFonts w:hint="eastAsia" w:ascii="宋体" w:hAnsi="宋体" w:eastAsia="宋体" w:cs="宋体"/>
          <w:color w:val="auto"/>
          <w:szCs w:val="21"/>
          <w:highlight w:val="none"/>
        </w:rPr>
        <w:t>一、资格响应文件、商务技术响应文件部分格式</w:t>
      </w:r>
      <w:r>
        <w:rPr>
          <w:color w:val="auto"/>
          <w:highlight w:val="none"/>
        </w:rPr>
        <w:tab/>
      </w:r>
      <w:r>
        <w:rPr>
          <w:color w:val="auto"/>
          <w:highlight w:val="none"/>
        </w:rPr>
        <w:fldChar w:fldCharType="begin"/>
      </w:r>
      <w:r>
        <w:rPr>
          <w:color w:val="auto"/>
          <w:highlight w:val="none"/>
        </w:rPr>
        <w:instrText xml:space="preserve"> PAGEREF _Toc3921 \h </w:instrText>
      </w:r>
      <w:r>
        <w:rPr>
          <w:color w:val="auto"/>
          <w:highlight w:val="none"/>
        </w:rPr>
        <w:fldChar w:fldCharType="separate"/>
      </w:r>
      <w:r>
        <w:rPr>
          <w:color w:val="auto"/>
          <w:highlight w:val="none"/>
        </w:rPr>
        <w:t>30</w:t>
      </w:r>
      <w:r>
        <w:rPr>
          <w:color w:val="auto"/>
          <w:highlight w:val="none"/>
        </w:rPr>
        <w:fldChar w:fldCharType="end"/>
      </w:r>
      <w:r>
        <w:rPr>
          <w:color w:val="auto"/>
          <w:szCs w:val="30"/>
          <w:highlight w:val="none"/>
        </w:rPr>
        <w:fldChar w:fldCharType="end"/>
      </w:r>
    </w:p>
    <w:p w14:paraId="1F6C9EDA">
      <w:pPr>
        <w:pStyle w:val="29"/>
        <w:shd w:val="clear"/>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_Toc10153 </w:instrText>
      </w:r>
      <w:r>
        <w:rPr>
          <w:color w:val="auto"/>
          <w:szCs w:val="30"/>
          <w:highlight w:val="none"/>
        </w:rPr>
        <w:fldChar w:fldCharType="separate"/>
      </w:r>
      <w:r>
        <w:rPr>
          <w:rFonts w:hint="eastAsia" w:ascii="宋体" w:hAnsi="宋体" w:eastAsia="宋体" w:cs="宋体"/>
          <w:color w:val="auto"/>
          <w:szCs w:val="21"/>
          <w:highlight w:val="none"/>
        </w:rPr>
        <w:t>二、报价响应文件部分格式</w:t>
      </w:r>
      <w:r>
        <w:rPr>
          <w:color w:val="auto"/>
          <w:highlight w:val="none"/>
        </w:rPr>
        <w:tab/>
      </w:r>
      <w:r>
        <w:rPr>
          <w:color w:val="auto"/>
          <w:highlight w:val="none"/>
        </w:rPr>
        <w:fldChar w:fldCharType="begin"/>
      </w:r>
      <w:r>
        <w:rPr>
          <w:color w:val="auto"/>
          <w:highlight w:val="none"/>
        </w:rPr>
        <w:instrText xml:space="preserve"> PAGEREF _Toc10153 \h </w:instrText>
      </w:r>
      <w:r>
        <w:rPr>
          <w:color w:val="auto"/>
          <w:highlight w:val="none"/>
        </w:rPr>
        <w:fldChar w:fldCharType="separate"/>
      </w:r>
      <w:r>
        <w:rPr>
          <w:color w:val="auto"/>
          <w:highlight w:val="none"/>
        </w:rPr>
        <w:t>30</w:t>
      </w:r>
      <w:r>
        <w:rPr>
          <w:color w:val="auto"/>
          <w:highlight w:val="none"/>
        </w:rPr>
        <w:fldChar w:fldCharType="end"/>
      </w:r>
      <w:r>
        <w:rPr>
          <w:color w:val="auto"/>
          <w:szCs w:val="30"/>
          <w:highlight w:val="none"/>
        </w:rPr>
        <w:fldChar w:fldCharType="end"/>
      </w:r>
    </w:p>
    <w:p w14:paraId="3A797D03">
      <w:pPr>
        <w:pStyle w:val="29"/>
        <w:shd w:val="clear"/>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_Toc27227 </w:instrText>
      </w:r>
      <w:r>
        <w:rPr>
          <w:color w:val="auto"/>
          <w:szCs w:val="30"/>
          <w:highlight w:val="none"/>
        </w:rPr>
        <w:fldChar w:fldCharType="separate"/>
      </w:r>
      <w:r>
        <w:rPr>
          <w:rFonts w:hint="eastAsia" w:ascii="宋体" w:hAnsi="宋体" w:eastAsia="宋体" w:cs="宋体"/>
          <w:color w:val="auto"/>
          <w:szCs w:val="21"/>
          <w:highlight w:val="none"/>
        </w:rPr>
        <w:t>三、质疑函范本</w:t>
      </w:r>
      <w:r>
        <w:rPr>
          <w:color w:val="auto"/>
          <w:highlight w:val="none"/>
        </w:rPr>
        <w:tab/>
      </w:r>
      <w:r>
        <w:rPr>
          <w:color w:val="auto"/>
          <w:highlight w:val="none"/>
        </w:rPr>
        <w:fldChar w:fldCharType="begin"/>
      </w:r>
      <w:r>
        <w:rPr>
          <w:color w:val="auto"/>
          <w:highlight w:val="none"/>
        </w:rPr>
        <w:instrText xml:space="preserve"> PAGEREF _Toc27227 \h </w:instrText>
      </w:r>
      <w:r>
        <w:rPr>
          <w:color w:val="auto"/>
          <w:highlight w:val="none"/>
        </w:rPr>
        <w:fldChar w:fldCharType="separate"/>
      </w:r>
      <w:r>
        <w:rPr>
          <w:color w:val="auto"/>
          <w:highlight w:val="none"/>
        </w:rPr>
        <w:t>30</w:t>
      </w:r>
      <w:r>
        <w:rPr>
          <w:color w:val="auto"/>
          <w:highlight w:val="none"/>
        </w:rPr>
        <w:fldChar w:fldCharType="end"/>
      </w:r>
      <w:r>
        <w:rPr>
          <w:color w:val="auto"/>
          <w:szCs w:val="30"/>
          <w:highlight w:val="none"/>
        </w:rPr>
        <w:fldChar w:fldCharType="end"/>
      </w:r>
    </w:p>
    <w:p w14:paraId="2934EE53">
      <w:pPr>
        <w:keepNext w:val="0"/>
        <w:keepLines w:val="0"/>
        <w:pageBreakBefore w:val="0"/>
        <w:widowControl w:val="0"/>
        <w:shd w:val="clear"/>
        <w:kinsoku/>
        <w:wordWrap/>
        <w:overflowPunct/>
        <w:topLinePunct w:val="0"/>
        <w:autoSpaceDE/>
        <w:autoSpaceDN/>
        <w:bidi w:val="0"/>
        <w:adjustRightInd/>
        <w:snapToGrid/>
        <w:spacing w:line="440" w:lineRule="exact"/>
        <w:textAlignment w:val="auto"/>
        <w:rPr>
          <w:color w:val="auto"/>
          <w:sz w:val="28"/>
          <w:szCs w:val="28"/>
          <w:highlight w:val="none"/>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720" w:num="1"/>
          <w:docGrid w:type="lines" w:linePitch="312" w:charSpace="0"/>
        </w:sectPr>
      </w:pPr>
      <w:r>
        <w:rPr>
          <w:color w:val="auto"/>
          <w:szCs w:val="30"/>
          <w:highlight w:val="none"/>
        </w:rPr>
        <w:fldChar w:fldCharType="end"/>
      </w:r>
    </w:p>
    <w:p w14:paraId="71A53AA6">
      <w:pPr>
        <w:pStyle w:val="4"/>
        <w:keepNext/>
        <w:keepLines/>
        <w:pageBreakBefore w:val="0"/>
        <w:widowControl w:val="0"/>
        <w:numPr>
          <w:ilvl w:val="0"/>
          <w:numId w:val="0"/>
        </w:numPr>
        <w:shd w:val="clear"/>
        <w:kinsoku/>
        <w:wordWrap/>
        <w:overflowPunct/>
        <w:topLinePunct w:val="0"/>
        <w:autoSpaceDE/>
        <w:autoSpaceDN/>
        <w:bidi w:val="0"/>
        <w:adjustRightInd/>
        <w:snapToGrid/>
        <w:spacing w:before="340" w:after="330" w:line="240" w:lineRule="exact"/>
        <w:ind w:left="0" w:leftChars="0" w:right="0" w:rightChars="0"/>
        <w:jc w:val="center"/>
        <w:textAlignment w:val="auto"/>
        <w:rPr>
          <w:rFonts w:ascii="Times New Roman" w:hAnsi="Times New Roman" w:eastAsia="宋体" w:cs="Times New Roman"/>
          <w:b/>
          <w:bCs/>
          <w:color w:val="auto"/>
          <w:kern w:val="44"/>
          <w:sz w:val="36"/>
          <w:szCs w:val="44"/>
          <w:highlight w:val="none"/>
          <w:lang w:val="en-US" w:eastAsia="zh-CN" w:bidi="ar-SA"/>
        </w:rPr>
      </w:pPr>
      <w:bookmarkStart w:id="0" w:name="_Toc13402"/>
      <w:bookmarkStart w:id="1" w:name="_Toc8913"/>
      <w:r>
        <w:rPr>
          <w:rFonts w:ascii="Times New Roman" w:hAnsi="Times New Roman" w:eastAsia="宋体" w:cs="Times New Roman"/>
          <w:b/>
          <w:bCs/>
          <w:color w:val="auto"/>
          <w:kern w:val="44"/>
          <w:sz w:val="36"/>
          <w:szCs w:val="44"/>
          <w:highlight w:val="none"/>
          <w:lang w:val="en-US" w:eastAsia="zh-CN" w:bidi="ar-SA"/>
        </w:rPr>
        <w:t>第一章</w:t>
      </w:r>
      <w:r>
        <w:rPr>
          <w:rFonts w:hint="eastAsia" w:ascii="Times New Roman" w:hAnsi="Times New Roman" w:eastAsia="宋体" w:cs="Times New Roman"/>
          <w:b/>
          <w:bCs/>
          <w:color w:val="auto"/>
          <w:kern w:val="44"/>
          <w:sz w:val="36"/>
          <w:szCs w:val="44"/>
          <w:highlight w:val="none"/>
          <w:lang w:val="en-US" w:eastAsia="zh-CN" w:bidi="ar-SA"/>
        </w:rPr>
        <w:t>　招标公告</w:t>
      </w:r>
      <w:bookmarkEnd w:id="0"/>
      <w:bookmarkEnd w:id="1"/>
    </w:p>
    <w:p w14:paraId="001F88B6">
      <w:pPr>
        <w:pageBreakBefore w:val="0"/>
        <w:widowControl w:val="0"/>
        <w:shd w:val="clear"/>
        <w:kinsoku/>
        <w:wordWrap/>
        <w:overflowPunct/>
        <w:topLinePunct w:val="0"/>
        <w:autoSpaceDE/>
        <w:autoSpaceDN/>
        <w:bidi w:val="0"/>
        <w:spacing w:line="360" w:lineRule="auto"/>
        <w:ind w:firstLine="420" w:firstLineChars="200"/>
        <w:textAlignment w:val="auto"/>
        <w:rPr>
          <w:rFonts w:hint="eastAsia"/>
          <w:color w:val="auto"/>
          <w:highlight w:val="none"/>
        </w:rPr>
      </w:pPr>
      <w:r>
        <w:rPr>
          <w:rFonts w:hint="eastAsia"/>
          <w:color w:val="auto"/>
          <w:highlight w:val="none"/>
        </w:rPr>
        <w:t>根据法律法规等相关规定，本项目进行公开招标，欢迎国内合格的</w:t>
      </w:r>
      <w:r>
        <w:rPr>
          <w:rFonts w:hint="eastAsia" w:ascii="宋体" w:hAnsi="宋体" w:cs="宋体"/>
          <w:color w:val="auto"/>
          <w:highlight w:val="none"/>
        </w:rPr>
        <w:t>供应商</w:t>
      </w:r>
      <w:r>
        <w:rPr>
          <w:rFonts w:hint="eastAsia"/>
          <w:color w:val="auto"/>
          <w:highlight w:val="none"/>
        </w:rPr>
        <w:t>参加投标。</w:t>
      </w:r>
    </w:p>
    <w:p w14:paraId="5FBABAD6">
      <w:pPr>
        <w:pageBreakBefore w:val="0"/>
        <w:widowControl w:val="0"/>
        <w:shd w:val="clear"/>
        <w:kinsoku/>
        <w:wordWrap/>
        <w:overflowPunct/>
        <w:topLinePunct w:val="0"/>
        <w:autoSpaceDE/>
        <w:autoSpaceDN/>
        <w:bidi w:val="0"/>
        <w:spacing w:line="360" w:lineRule="auto"/>
        <w:ind w:firstLine="422" w:firstLineChars="200"/>
        <w:textAlignment w:val="auto"/>
        <w:rPr>
          <w:rFonts w:hint="default" w:hAnsi="宋体"/>
          <w:b/>
          <w:color w:val="auto"/>
          <w:highlight w:val="none"/>
          <w:lang w:val="en-US"/>
        </w:rPr>
      </w:pPr>
      <w:r>
        <w:rPr>
          <w:rFonts w:hint="eastAsia" w:ascii="宋体" w:hAnsi="宋体" w:cs="宋体"/>
          <w:b/>
          <w:color w:val="auto"/>
          <w:highlight w:val="none"/>
        </w:rPr>
        <w:t>1</w:t>
      </w:r>
      <w:r>
        <w:rPr>
          <w:rFonts w:hint="eastAsia" w:ascii="宋体" w:hAnsi="宋体" w:cs="宋体"/>
          <w:b/>
          <w:color w:val="auto"/>
          <w:highlight w:val="none"/>
          <w:lang w:eastAsia="zh-CN"/>
        </w:rPr>
        <w:t>.</w:t>
      </w:r>
      <w:r>
        <w:rPr>
          <w:rFonts w:hint="eastAsia" w:ascii="宋体" w:hAnsi="宋体" w:cs="宋体"/>
          <w:b/>
          <w:color w:val="auto"/>
          <w:highlight w:val="none"/>
        </w:rPr>
        <w:t>采购编号</w:t>
      </w:r>
      <w:r>
        <w:rPr>
          <w:rFonts w:hint="eastAsia" w:ascii="宋体" w:hAnsi="宋体" w:cs="宋体"/>
          <w:color w:val="auto"/>
          <w:highlight w:val="none"/>
        </w:rPr>
        <w:t>：YWYGZC202510CG0021</w:t>
      </w:r>
      <w:r>
        <w:rPr>
          <w:rFonts w:hint="eastAsia" w:ascii="宋体" w:hAnsi="宋体" w:cs="宋体"/>
          <w:b w:val="0"/>
          <w:bCs w:val="0"/>
          <w:color w:val="auto"/>
          <w:highlight w:val="none"/>
          <w:lang w:eastAsia="zh-CN"/>
        </w:rPr>
        <w:t>（</w:t>
      </w:r>
      <w:r>
        <w:rPr>
          <w:rFonts w:hint="eastAsia" w:ascii="宋体" w:hAnsi="宋体" w:cs="宋体"/>
          <w:b w:val="0"/>
          <w:bCs w:val="0"/>
          <w:color w:val="auto"/>
          <w:highlight w:val="none"/>
        </w:rPr>
        <w:t>YCQ-202</w:t>
      </w:r>
      <w:r>
        <w:rPr>
          <w:rFonts w:hint="eastAsia" w:ascii="宋体" w:hAnsi="宋体" w:cs="宋体"/>
          <w:b w:val="0"/>
          <w:bCs w:val="0"/>
          <w:color w:val="auto"/>
          <w:highlight w:val="none"/>
          <w:lang w:val="en-US" w:eastAsia="zh-CN"/>
        </w:rPr>
        <w:t>5</w:t>
      </w:r>
      <w:r>
        <w:rPr>
          <w:rFonts w:hint="eastAsia" w:ascii="宋体" w:hAnsi="宋体" w:cs="宋体"/>
          <w:b w:val="0"/>
          <w:bCs w:val="0"/>
          <w:color w:val="auto"/>
          <w:highlight w:val="none"/>
        </w:rPr>
        <w:t>-CG</w:t>
      </w:r>
      <w:r>
        <w:rPr>
          <w:rFonts w:hint="eastAsia" w:ascii="宋体" w:hAnsi="宋体" w:cs="宋体"/>
          <w:b w:val="0"/>
          <w:bCs w:val="0"/>
          <w:color w:val="auto"/>
          <w:highlight w:val="none"/>
          <w:lang w:val="en-US" w:eastAsia="zh-CN"/>
        </w:rPr>
        <w:t>259</w:t>
      </w:r>
      <w:r>
        <w:rPr>
          <w:rFonts w:hint="eastAsia" w:ascii="宋体" w:hAnsi="宋体" w:cs="宋体"/>
          <w:b w:val="0"/>
          <w:bCs w:val="0"/>
          <w:color w:val="auto"/>
          <w:highlight w:val="none"/>
          <w:lang w:eastAsia="zh-CN"/>
        </w:rPr>
        <w:t>）</w:t>
      </w:r>
    </w:p>
    <w:p w14:paraId="6B0FFA29">
      <w:pPr>
        <w:pageBreakBefore w:val="0"/>
        <w:widowControl w:val="0"/>
        <w:shd w:val="clear"/>
        <w:kinsoku/>
        <w:wordWrap/>
        <w:overflowPunct/>
        <w:topLinePunct w:val="0"/>
        <w:autoSpaceDE/>
        <w:autoSpaceDN/>
        <w:bidi w:val="0"/>
        <w:spacing w:line="360" w:lineRule="auto"/>
        <w:ind w:firstLine="422" w:firstLineChars="200"/>
        <w:textAlignment w:val="auto"/>
        <w:rPr>
          <w:rFonts w:hint="eastAsia"/>
          <w:color w:val="auto"/>
          <w:highlight w:val="none"/>
        </w:rPr>
      </w:pPr>
      <w:r>
        <w:rPr>
          <w:rFonts w:hint="eastAsia" w:ascii="宋体" w:hAnsi="宋体" w:cs="宋体"/>
          <w:b/>
          <w:color w:val="auto"/>
          <w:highlight w:val="none"/>
        </w:rPr>
        <w:t>2</w:t>
      </w:r>
      <w:r>
        <w:rPr>
          <w:rFonts w:hint="eastAsia" w:ascii="宋体" w:hAnsi="宋体" w:cs="宋体"/>
          <w:b/>
          <w:color w:val="auto"/>
          <w:highlight w:val="none"/>
          <w:lang w:eastAsia="zh-CN"/>
        </w:rPr>
        <w:t>.</w:t>
      </w:r>
      <w:r>
        <w:rPr>
          <w:rFonts w:hint="eastAsia" w:ascii="宋体" w:hAnsi="宋体" w:cs="宋体"/>
          <w:b/>
          <w:color w:val="auto"/>
          <w:highlight w:val="none"/>
        </w:rPr>
        <w:t>采购内容及数量：</w:t>
      </w:r>
      <w:r>
        <w:rPr>
          <w:rFonts w:hint="eastAsia" w:hAnsi="宋体"/>
          <w:color w:val="auto"/>
          <w:sz w:val="21"/>
          <w:szCs w:val="21"/>
          <w:highlight w:val="none"/>
        </w:rPr>
        <w:t>浙江义乌市自来水有限公司2026年度污泥清运处置采购项目</w:t>
      </w:r>
      <w:r>
        <w:rPr>
          <w:rFonts w:hint="eastAsia"/>
          <w:color w:val="auto"/>
          <w:highlight w:val="none"/>
        </w:rPr>
        <w:t>，具体详见第三章招标项目要求。</w:t>
      </w:r>
    </w:p>
    <w:p w14:paraId="4FDA4494">
      <w:pPr>
        <w:pageBreakBefore w:val="0"/>
        <w:widowControl w:val="0"/>
        <w:shd w:val="clear"/>
        <w:kinsoku/>
        <w:wordWrap/>
        <w:overflowPunct/>
        <w:topLinePunct w:val="0"/>
        <w:autoSpaceDE/>
        <w:autoSpaceDN/>
        <w:bidi w:val="0"/>
        <w:spacing w:line="360" w:lineRule="auto"/>
        <w:ind w:firstLine="422" w:firstLineChars="200"/>
        <w:textAlignment w:val="auto"/>
        <w:rPr>
          <w:rFonts w:hint="eastAsia" w:hAnsi="宋体"/>
          <w:bCs/>
          <w:color w:val="auto"/>
          <w:highlight w:val="none"/>
        </w:rPr>
      </w:pPr>
      <w:r>
        <w:rPr>
          <w:rFonts w:hint="eastAsia" w:ascii="宋体" w:hAnsi="宋体" w:cs="宋体"/>
          <w:b/>
          <w:color w:val="auto"/>
          <w:highlight w:val="none"/>
        </w:rPr>
        <w:t>3</w:t>
      </w:r>
      <w:r>
        <w:rPr>
          <w:rFonts w:hint="eastAsia" w:ascii="宋体" w:hAnsi="宋体" w:cs="宋体"/>
          <w:b/>
          <w:color w:val="auto"/>
          <w:highlight w:val="none"/>
          <w:lang w:eastAsia="zh-CN"/>
        </w:rPr>
        <w:t>.</w:t>
      </w:r>
      <w:r>
        <w:rPr>
          <w:rFonts w:hint="eastAsia" w:ascii="宋体" w:hAnsi="宋体" w:cs="宋体"/>
          <w:b/>
          <w:bCs/>
          <w:color w:val="auto"/>
          <w:highlight w:val="none"/>
        </w:rPr>
        <w:t>采购预算及最高限价</w:t>
      </w:r>
      <w:r>
        <w:rPr>
          <w:rFonts w:hint="eastAsia" w:ascii="宋体" w:hAnsi="宋体" w:cs="宋体"/>
          <w:color w:val="auto"/>
          <w:highlight w:val="none"/>
        </w:rPr>
        <w:t>：</w:t>
      </w:r>
      <w:r>
        <w:rPr>
          <w:rFonts w:hint="eastAsia" w:ascii="宋体" w:hAnsi="宋体" w:cs="宋体"/>
          <w:color w:val="auto"/>
          <w:highlight w:val="none"/>
          <w:lang w:val="en-US" w:eastAsia="zh-CN"/>
        </w:rPr>
        <w:t>单价</w:t>
      </w:r>
      <w:r>
        <w:rPr>
          <w:rFonts w:hint="eastAsia" w:ascii="宋体" w:hAnsi="宋体" w:cs="宋体"/>
          <w:b w:val="0"/>
          <w:bCs/>
          <w:color w:val="auto"/>
          <w:szCs w:val="21"/>
          <w:highlight w:val="none"/>
        </w:rPr>
        <w:t>最高限价</w:t>
      </w:r>
      <w:r>
        <w:rPr>
          <w:rFonts w:hint="eastAsia" w:ascii="宋体" w:hAnsi="宋体" w:cs="宋体"/>
          <w:b w:val="0"/>
          <w:bCs/>
          <w:color w:val="auto"/>
          <w:szCs w:val="21"/>
          <w:highlight w:val="none"/>
          <w:lang w:val="en-US" w:eastAsia="zh-CN"/>
        </w:rPr>
        <w:t>337</w:t>
      </w:r>
      <w:r>
        <w:rPr>
          <w:rFonts w:hint="eastAsia" w:ascii="宋体" w:hAnsi="宋体" w:cs="宋体"/>
          <w:b w:val="0"/>
          <w:bCs/>
          <w:color w:val="auto"/>
          <w:szCs w:val="21"/>
          <w:highlight w:val="none"/>
        </w:rPr>
        <w:t>元/吨</w:t>
      </w:r>
      <w:r>
        <w:rPr>
          <w:rFonts w:hint="eastAsia" w:cs="宋体"/>
          <w:b w:val="0"/>
          <w:bCs/>
          <w:color w:val="auto"/>
          <w:szCs w:val="21"/>
          <w:highlight w:val="none"/>
        </w:rPr>
        <w:t>，</w:t>
      </w:r>
      <w:r>
        <w:rPr>
          <w:rFonts w:hint="eastAsia" w:ascii="宋体" w:hAnsi="宋体" w:cs="宋体"/>
          <w:b w:val="0"/>
          <w:bCs/>
          <w:color w:val="auto"/>
          <w:highlight w:val="none"/>
          <w:lang w:val="en-US" w:eastAsia="zh-CN"/>
        </w:rPr>
        <w:t>预算</w:t>
      </w:r>
      <w:r>
        <w:rPr>
          <w:rFonts w:hint="eastAsia" w:ascii="宋体" w:hAnsi="宋体" w:cs="宋体"/>
          <w:b w:val="0"/>
          <w:bCs/>
          <w:color w:val="auto"/>
          <w:szCs w:val="21"/>
          <w:highlight w:val="none"/>
          <w:lang w:val="en-US" w:eastAsia="zh-CN"/>
        </w:rPr>
        <w:t>337</w:t>
      </w:r>
      <w:r>
        <w:rPr>
          <w:rFonts w:hint="eastAsia" w:ascii="宋体" w:hAnsi="宋体" w:cs="宋体"/>
          <w:b w:val="0"/>
          <w:bCs/>
          <w:color w:val="auto"/>
          <w:szCs w:val="21"/>
          <w:highlight w:val="none"/>
        </w:rPr>
        <w:t>万元</w:t>
      </w:r>
      <w:r>
        <w:rPr>
          <w:rFonts w:hint="eastAsia" w:ascii="宋体" w:hAnsi="宋体" w:cs="宋体"/>
          <w:b w:val="0"/>
          <w:bCs/>
          <w:color w:val="auto"/>
          <w:szCs w:val="21"/>
          <w:highlight w:val="none"/>
        </w:rPr>
        <w:t>，</w:t>
      </w:r>
      <w:r>
        <w:rPr>
          <w:rFonts w:hint="eastAsia" w:ascii="宋体" w:hAnsi="宋体" w:cs="宋体"/>
          <w:b w:val="0"/>
          <w:bCs/>
          <w:color w:val="auto"/>
          <w:szCs w:val="21"/>
          <w:highlight w:val="none"/>
          <w:lang w:val="en-US" w:eastAsia="zh-CN"/>
        </w:rPr>
        <w:t>项目</w:t>
      </w:r>
      <w:r>
        <w:rPr>
          <w:rFonts w:hint="eastAsia" w:ascii="宋体" w:hAnsi="宋体" w:cs="宋体"/>
          <w:b w:val="0"/>
          <w:bCs/>
          <w:color w:val="auto"/>
          <w:szCs w:val="21"/>
          <w:highlight w:val="none"/>
        </w:rPr>
        <w:t>按实际运输量结算。投标人的投标</w:t>
      </w:r>
      <w:r>
        <w:rPr>
          <w:rFonts w:hint="eastAsia" w:ascii="宋体" w:hAnsi="宋体" w:cs="宋体"/>
          <w:color w:val="auto"/>
          <w:szCs w:val="21"/>
          <w:highlight w:val="none"/>
        </w:rPr>
        <w:t>单价高于单价最高限价</w:t>
      </w:r>
      <w:r>
        <w:rPr>
          <w:rFonts w:hint="eastAsia" w:cs="宋体"/>
          <w:color w:val="auto"/>
          <w:szCs w:val="21"/>
          <w:highlight w:val="none"/>
        </w:rPr>
        <w:t>或超过预算价</w:t>
      </w:r>
      <w:r>
        <w:rPr>
          <w:rFonts w:hint="eastAsia" w:ascii="宋体" w:hAnsi="宋体" w:cs="宋体"/>
          <w:color w:val="auto"/>
          <w:szCs w:val="21"/>
          <w:highlight w:val="none"/>
        </w:rPr>
        <w:t>作无效标处理</w:t>
      </w:r>
      <w:r>
        <w:rPr>
          <w:rFonts w:hint="eastAsia" w:ascii="宋体" w:hAnsi="宋体" w:cs="宋体"/>
          <w:color w:val="auto"/>
          <w:highlight w:val="none"/>
        </w:rPr>
        <w:t>。</w:t>
      </w:r>
    </w:p>
    <w:p w14:paraId="3A52ACD6">
      <w:pPr>
        <w:pageBreakBefore w:val="0"/>
        <w:widowControl w:val="0"/>
        <w:shd w:val="clear"/>
        <w:kinsoku/>
        <w:wordWrap/>
        <w:overflowPunct/>
        <w:topLinePunct w:val="0"/>
        <w:autoSpaceDE/>
        <w:autoSpaceDN/>
        <w:bidi w:val="0"/>
        <w:spacing w:line="360" w:lineRule="auto"/>
        <w:ind w:firstLine="422" w:firstLineChars="200"/>
        <w:textAlignment w:val="auto"/>
        <w:rPr>
          <w:rFonts w:hint="eastAsia" w:hAnsi="宋体"/>
          <w:b/>
          <w:color w:val="auto"/>
          <w:highlight w:val="none"/>
        </w:rPr>
      </w:pPr>
      <w:r>
        <w:rPr>
          <w:rFonts w:hint="eastAsia" w:ascii="宋体" w:hAnsi="宋体" w:cs="宋体"/>
          <w:b/>
          <w:color w:val="auto"/>
          <w:highlight w:val="none"/>
        </w:rPr>
        <w:t>4</w:t>
      </w:r>
      <w:r>
        <w:rPr>
          <w:rFonts w:hint="eastAsia" w:ascii="宋体" w:hAnsi="宋体" w:cs="宋体"/>
          <w:b/>
          <w:color w:val="auto"/>
          <w:highlight w:val="none"/>
          <w:lang w:val="zh-CN"/>
        </w:rPr>
        <w:t>.</w:t>
      </w:r>
      <w:r>
        <w:rPr>
          <w:rFonts w:hint="eastAsia" w:hAnsi="宋体"/>
          <w:b/>
          <w:color w:val="auto"/>
          <w:highlight w:val="none"/>
          <w:lang w:val="zh-CN"/>
        </w:rPr>
        <w:t>投标人的资格要求</w:t>
      </w:r>
      <w:r>
        <w:rPr>
          <w:rFonts w:hint="eastAsia" w:hAnsi="宋体"/>
          <w:b/>
          <w:color w:val="auto"/>
          <w:highlight w:val="none"/>
        </w:rPr>
        <w:t>：</w:t>
      </w:r>
    </w:p>
    <w:p w14:paraId="33766133">
      <w:pPr>
        <w:pageBreakBefore w:val="0"/>
        <w:widowControl w:val="0"/>
        <w:shd w:val="clear"/>
        <w:kinsoku/>
        <w:wordWrap/>
        <w:overflowPunct/>
        <w:topLinePunct w:val="0"/>
        <w:autoSpaceDE/>
        <w:autoSpaceDN/>
        <w:bidi w:val="0"/>
        <w:spacing w:line="360" w:lineRule="auto"/>
        <w:ind w:firstLine="420" w:firstLineChars="200"/>
        <w:textAlignment w:val="auto"/>
        <w:rPr>
          <w:rFonts w:hint="eastAsia" w:ascii="宋体" w:hAnsi="宋体" w:cs="宋体"/>
          <w:color w:val="auto"/>
          <w:highlight w:val="none"/>
        </w:rPr>
      </w:pPr>
      <w:r>
        <w:rPr>
          <w:rFonts w:hint="eastAsia" w:ascii="宋体" w:hAnsi="宋体" w:cs="宋体"/>
          <w:color w:val="auto"/>
          <w:highlight w:val="none"/>
        </w:rPr>
        <w:t>①符合《义乌市国有企业采购管理办法（试行）》第十条供应商应当具备的条件，同时投标人无以下不良行为：在公开网站上能查到的被财政部或浙江省财政厅处理（或处罚）而处于暂停政府采购资格期的或处于暂停承接业务资格期的；或被国家级、浙江省级、义乌市级行业主管部门处罚处于暂停承接业务资格期的；或被义乌市政府采购监管部门列入不良行为还在公示期内的或者处于暂停政府采购资格期的；</w:t>
      </w:r>
    </w:p>
    <w:p w14:paraId="4134F940">
      <w:pPr>
        <w:pageBreakBefore w:val="0"/>
        <w:widowControl w:val="0"/>
        <w:shd w:val="clear"/>
        <w:kinsoku/>
        <w:wordWrap/>
        <w:overflowPunct/>
        <w:topLinePunct w:val="0"/>
        <w:autoSpaceDE/>
        <w:autoSpaceDN/>
        <w:bidi w:val="0"/>
        <w:spacing w:line="360" w:lineRule="auto"/>
        <w:ind w:firstLine="420" w:firstLineChars="200"/>
        <w:textAlignment w:val="auto"/>
        <w:rPr>
          <w:rFonts w:hint="eastAsia" w:ascii="宋体" w:hAnsi="宋体" w:cs="宋体"/>
          <w:color w:val="auto"/>
          <w:highlight w:val="none"/>
        </w:rPr>
      </w:pPr>
      <w:r>
        <w:rPr>
          <w:rFonts w:hint="eastAsia" w:ascii="宋体" w:hAnsi="宋体" w:cs="宋体"/>
          <w:color w:val="auto"/>
          <w:highlight w:val="none"/>
        </w:rPr>
        <w:t>②根据《浙江省公共信用信息管理条例》第二十六条的规定，未列入严重失信名单的（查询结果以开标当日网站页面显示为准）；</w:t>
      </w:r>
    </w:p>
    <w:p w14:paraId="42CE7040">
      <w:pPr>
        <w:pageBreakBefore w:val="0"/>
        <w:widowControl w:val="0"/>
        <w:shd w:val="clear"/>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eastAsia="zh-CN"/>
        </w:rPr>
        <w:t>③</w:t>
      </w:r>
      <w:r>
        <w:rPr>
          <w:rFonts w:hint="eastAsia" w:ascii="宋体" w:hAnsi="宋体" w:cs="宋体"/>
          <w:color w:val="auto"/>
          <w:highlight w:val="none"/>
        </w:rPr>
        <w:t>信誉要求：投标人自202</w:t>
      </w:r>
      <w:r>
        <w:rPr>
          <w:rFonts w:hint="eastAsia" w:ascii="宋体" w:hAnsi="宋体" w:cs="宋体"/>
          <w:color w:val="auto"/>
          <w:highlight w:val="none"/>
          <w:lang w:val="en-US" w:eastAsia="zh-CN"/>
        </w:rPr>
        <w:t>2</w:t>
      </w:r>
      <w:r>
        <w:rPr>
          <w:rFonts w:hint="eastAsia" w:ascii="宋体" w:hAnsi="宋体" w:cs="宋体"/>
          <w:color w:val="auto"/>
          <w:highlight w:val="none"/>
        </w:rPr>
        <w:t>年1月1日起到中标候选人公告期结束前无行贿犯罪记录（评标结束后，由采购人通过中国裁判文书网（http://wenshu.court.gov.cn/）按照招标文件约定对中标候</w:t>
      </w:r>
      <w:r>
        <w:rPr>
          <w:rFonts w:hint="eastAsia" w:ascii="宋体" w:hAnsi="宋体" w:eastAsia="宋体" w:cs="宋体"/>
          <w:color w:val="auto"/>
          <w:highlight w:val="none"/>
        </w:rPr>
        <w:t>选人的行贿犯罪记录进行查询，查询结果以网站页面显示内容为准）；</w:t>
      </w:r>
    </w:p>
    <w:p w14:paraId="6721E08A">
      <w:pPr>
        <w:pageBreakBefore w:val="0"/>
        <w:widowControl w:val="0"/>
        <w:shd w:val="clear"/>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 w:val="21"/>
          <w:szCs w:val="21"/>
          <w:highlight w:val="none"/>
        </w:rPr>
        <w:t>★</w:t>
      </w:r>
      <w:r>
        <w:rPr>
          <w:rFonts w:hint="eastAsia" w:ascii="宋体" w:hAnsi="宋体" w:cs="宋体"/>
          <w:color w:val="auto"/>
          <w:szCs w:val="21"/>
          <w:highlight w:val="none"/>
        </w:rPr>
        <w:t>④</w:t>
      </w:r>
      <w:r>
        <w:rPr>
          <w:rFonts w:hint="eastAsia" w:hAnsi="宋体"/>
          <w:bCs/>
          <w:color w:val="auto"/>
          <w:highlight w:val="none"/>
          <w:lang w:eastAsia="zh-CN"/>
        </w:rPr>
        <w:t>投标人须在投标文件中提供以下证明材料：提供污泥处理处置(或污泥处理设施建设)的环评批复文件或环保局备案材料证明；</w:t>
      </w:r>
    </w:p>
    <w:p w14:paraId="56EAB0CB">
      <w:pPr>
        <w:pageBreakBefore w:val="0"/>
        <w:widowControl w:val="0"/>
        <w:shd w:val="clear"/>
        <w:kinsoku/>
        <w:wordWrap/>
        <w:overflowPunct/>
        <w:topLinePunct w:val="0"/>
        <w:autoSpaceDE/>
        <w:autoSpaceDN/>
        <w:bidi w:val="0"/>
        <w:spacing w:line="360" w:lineRule="auto"/>
        <w:ind w:firstLine="420" w:firstLineChars="200"/>
        <w:textAlignment w:val="auto"/>
        <w:rPr>
          <w:rFonts w:hint="eastAsia" w:ascii="宋体" w:hAnsi="宋体" w:cs="宋体"/>
          <w:color w:val="auto"/>
          <w:highlight w:val="none"/>
        </w:rPr>
      </w:pPr>
      <w:r>
        <w:rPr>
          <w:rFonts w:hint="eastAsia" w:ascii="宋体" w:hAnsi="宋体" w:cs="宋体"/>
          <w:color w:val="auto"/>
          <w:highlight w:val="none"/>
          <w:lang w:val="en-US" w:eastAsia="zh-CN"/>
        </w:rPr>
        <w:t>⑤</w:t>
      </w:r>
      <w:r>
        <w:rPr>
          <w:rFonts w:hint="eastAsia" w:ascii="宋体" w:hAnsi="宋体" w:cs="宋体"/>
          <w:color w:val="auto"/>
          <w:highlight w:val="none"/>
        </w:rPr>
        <w:t>本项目不得转包（如有转包，终止合同），不接受联合体投标。</w:t>
      </w:r>
    </w:p>
    <w:p w14:paraId="32FAC971">
      <w:pPr>
        <w:pageBreakBefore w:val="0"/>
        <w:widowControl w:val="0"/>
        <w:shd w:val="clear"/>
        <w:kinsoku/>
        <w:wordWrap/>
        <w:overflowPunct/>
        <w:topLinePunct w:val="0"/>
        <w:autoSpaceDE/>
        <w:autoSpaceDN/>
        <w:bidi w:val="0"/>
        <w:spacing w:line="360" w:lineRule="auto"/>
        <w:ind w:firstLine="422" w:firstLineChars="200"/>
        <w:textAlignment w:val="auto"/>
        <w:rPr>
          <w:rFonts w:hint="eastAsia" w:ascii="宋体" w:hAnsi="宋体" w:cs="宋体"/>
          <w:b/>
          <w:bCs/>
          <w:color w:val="auto"/>
          <w:highlight w:val="none"/>
        </w:rPr>
      </w:pPr>
      <w:r>
        <w:rPr>
          <w:rFonts w:hint="eastAsia" w:ascii="宋体" w:hAnsi="宋体" w:cs="宋体"/>
          <w:b/>
          <w:bCs/>
          <w:color w:val="auto"/>
          <w:highlight w:val="none"/>
        </w:rPr>
        <w:t>5</w:t>
      </w:r>
      <w:r>
        <w:rPr>
          <w:rFonts w:hint="eastAsia" w:ascii="宋体" w:hAnsi="宋体" w:cs="宋体"/>
          <w:b/>
          <w:bCs/>
          <w:color w:val="auto"/>
          <w:highlight w:val="none"/>
          <w:lang w:eastAsia="zh-CN"/>
        </w:rPr>
        <w:t>.</w:t>
      </w:r>
      <w:r>
        <w:rPr>
          <w:rFonts w:hint="eastAsia" w:ascii="宋体" w:hAnsi="宋体" w:cs="宋体"/>
          <w:b/>
          <w:bCs/>
          <w:color w:val="auto"/>
          <w:highlight w:val="none"/>
        </w:rPr>
        <w:t>采购文件（即招标文件，下同）获取时间、地点及方式：</w:t>
      </w:r>
    </w:p>
    <w:p w14:paraId="4255F369">
      <w:pPr>
        <w:pageBreakBefore w:val="0"/>
        <w:widowControl w:val="0"/>
        <w:shd w:val="clear"/>
        <w:kinsoku/>
        <w:wordWrap/>
        <w:overflowPunct/>
        <w:topLinePunct w:val="0"/>
        <w:autoSpaceDE/>
        <w:autoSpaceDN/>
        <w:bidi w:val="0"/>
        <w:spacing w:line="360" w:lineRule="auto"/>
        <w:ind w:firstLine="420" w:firstLineChars="200"/>
        <w:textAlignment w:val="auto"/>
        <w:rPr>
          <w:rFonts w:hint="eastAsia" w:ascii="宋体" w:hAnsi="宋体" w:cs="宋体"/>
          <w:color w:val="auto"/>
          <w:highlight w:val="none"/>
        </w:rPr>
      </w:pPr>
      <w:r>
        <w:rPr>
          <w:rFonts w:hint="eastAsia" w:ascii="宋体" w:cs="Courier New"/>
          <w:color w:val="auto"/>
          <w:highlight w:val="none"/>
        </w:rPr>
        <w:t>①</w:t>
      </w:r>
      <w:r>
        <w:rPr>
          <w:rFonts w:hint="eastAsia" w:ascii="宋体" w:hAnsi="宋体" w:cs="宋体"/>
          <w:color w:val="auto"/>
          <w:highlight w:val="none"/>
        </w:rPr>
        <w:t>时间：公告发布时间起至投标截止时间止。</w:t>
      </w:r>
    </w:p>
    <w:p w14:paraId="6D01AF1E">
      <w:pPr>
        <w:pageBreakBefore w:val="0"/>
        <w:widowControl w:val="0"/>
        <w:shd w:val="clear"/>
        <w:kinsoku/>
        <w:wordWrap/>
        <w:overflowPunct/>
        <w:topLinePunct w:val="0"/>
        <w:autoSpaceDE/>
        <w:autoSpaceDN/>
        <w:bidi w:val="0"/>
        <w:spacing w:line="360" w:lineRule="auto"/>
        <w:ind w:firstLine="420" w:firstLineChars="200"/>
        <w:textAlignment w:val="auto"/>
        <w:rPr>
          <w:rFonts w:hint="eastAsia" w:ascii="宋体" w:hAnsi="宋体" w:cs="宋体"/>
          <w:color w:val="auto"/>
          <w:highlight w:val="none"/>
        </w:rPr>
      </w:pPr>
      <w:r>
        <w:rPr>
          <w:rFonts w:hint="eastAsia" w:ascii="宋体" w:hAnsi="宋体" w:cs="宋体"/>
          <w:color w:val="auto"/>
          <w:highlight w:val="none"/>
        </w:rPr>
        <w:t>②地点：</w:t>
      </w:r>
      <w:r>
        <w:rPr>
          <w:rFonts w:hint="eastAsia" w:ascii="宋体" w:hAnsi="宋体" w:eastAsia="宋体" w:cs="宋体"/>
          <w:color w:val="auto"/>
          <w:sz w:val="21"/>
          <w:szCs w:val="21"/>
          <w:highlight w:val="none"/>
        </w:rPr>
        <w:t>义乌市阳光招标采购平台(www.ywygzc.com)、义乌产权交易网（www.ywcq.com）</w:t>
      </w:r>
      <w:r>
        <w:rPr>
          <w:rFonts w:hint="eastAsia" w:ascii="宋体" w:hAnsi="宋体" w:cs="宋体"/>
          <w:color w:val="auto"/>
          <w:highlight w:val="none"/>
        </w:rPr>
        <w:t>。</w:t>
      </w:r>
    </w:p>
    <w:p w14:paraId="42E9BB84">
      <w:pPr>
        <w:pageBreakBefore w:val="0"/>
        <w:widowControl w:val="0"/>
        <w:shd w:val="clear"/>
        <w:kinsoku/>
        <w:wordWrap/>
        <w:overflowPunct/>
        <w:topLinePunct w:val="0"/>
        <w:autoSpaceDE/>
        <w:autoSpaceDN/>
        <w:bidi w:val="0"/>
        <w:spacing w:line="360" w:lineRule="auto"/>
        <w:ind w:firstLine="420" w:firstLineChars="200"/>
        <w:textAlignment w:val="auto"/>
        <w:rPr>
          <w:rFonts w:hint="eastAsia" w:ascii="宋体" w:hAnsi="宋体" w:cs="宋体"/>
          <w:color w:val="auto"/>
          <w:highlight w:val="none"/>
        </w:rPr>
      </w:pPr>
      <w:r>
        <w:rPr>
          <w:rFonts w:hint="eastAsia" w:ascii="宋体" w:hAnsi="宋体" w:cs="宋体"/>
          <w:color w:val="auto"/>
          <w:highlight w:val="none"/>
        </w:rPr>
        <w:t>③方式：登录义乌市阳光招标采购平台账号获取或直接在招标公告下方获取。</w:t>
      </w:r>
    </w:p>
    <w:p w14:paraId="2A5A4586">
      <w:pPr>
        <w:pageBreakBefore w:val="0"/>
        <w:widowControl w:val="0"/>
        <w:shd w:val="clear"/>
        <w:kinsoku/>
        <w:wordWrap/>
        <w:overflowPunct/>
        <w:topLinePunct w:val="0"/>
        <w:autoSpaceDE/>
        <w:autoSpaceDN/>
        <w:bidi w:val="0"/>
        <w:spacing w:line="360" w:lineRule="auto"/>
        <w:ind w:firstLine="420" w:firstLineChars="200"/>
        <w:textAlignment w:val="auto"/>
        <w:rPr>
          <w:rFonts w:hint="eastAsia" w:ascii="宋体" w:hAnsi="宋体" w:cs="宋体"/>
          <w:color w:val="auto"/>
          <w:highlight w:val="none"/>
        </w:rPr>
      </w:pPr>
      <w:r>
        <w:rPr>
          <w:rFonts w:hint="eastAsia" w:ascii="宋体" w:hAnsi="宋体" w:cs="宋体"/>
          <w:color w:val="auto"/>
          <w:highlight w:val="none"/>
        </w:rPr>
        <w:t>潜在供应商未在规定的期限内按照上述方式获取招标文件的，采购人、采购代理机构可以不予受理其所提出的对招标文件的质疑。</w:t>
      </w:r>
    </w:p>
    <w:p w14:paraId="60AC7132">
      <w:pPr>
        <w:pageBreakBefore w:val="0"/>
        <w:widowControl w:val="0"/>
        <w:shd w:val="clear"/>
        <w:kinsoku/>
        <w:wordWrap/>
        <w:overflowPunct/>
        <w:topLinePunct w:val="0"/>
        <w:autoSpaceDE/>
        <w:autoSpaceDN/>
        <w:bidi w:val="0"/>
        <w:spacing w:line="360" w:lineRule="auto"/>
        <w:ind w:firstLine="422" w:firstLineChars="200"/>
        <w:textAlignment w:val="auto"/>
        <w:rPr>
          <w:rFonts w:hint="eastAsia" w:ascii="宋体" w:hAnsi="宋体" w:cs="宋体"/>
          <w:color w:val="auto"/>
          <w:highlight w:val="none"/>
        </w:rPr>
      </w:pPr>
      <w:r>
        <w:rPr>
          <w:rFonts w:hint="eastAsia" w:ascii="宋体" w:hAnsi="宋体" w:cs="宋体"/>
          <w:b/>
          <w:color w:val="auto"/>
          <w:highlight w:val="none"/>
        </w:rPr>
        <w:t>6</w:t>
      </w:r>
      <w:r>
        <w:rPr>
          <w:rFonts w:hint="eastAsia" w:ascii="宋体" w:hAnsi="宋体" w:cs="宋体"/>
          <w:b/>
          <w:color w:val="auto"/>
          <w:highlight w:val="none"/>
          <w:lang w:eastAsia="zh-CN"/>
        </w:rPr>
        <w:t>.</w:t>
      </w:r>
      <w:r>
        <w:rPr>
          <w:rFonts w:hint="eastAsia" w:ascii="宋体" w:hAnsi="宋体" w:cs="宋体"/>
          <w:b/>
          <w:color w:val="auto"/>
          <w:highlight w:val="none"/>
        </w:rPr>
        <w:t>技术答疑：</w:t>
      </w:r>
      <w:r>
        <w:rPr>
          <w:rFonts w:hint="eastAsia" w:ascii="宋体" w:hAnsi="宋体" w:cs="宋体"/>
          <w:color w:val="auto"/>
          <w:highlight w:val="none"/>
        </w:rPr>
        <w:t>供应商认为采购文件使自己的权益受到损害的，请于202</w:t>
      </w:r>
      <w:r>
        <w:rPr>
          <w:rFonts w:hint="eastAsia" w:ascii="宋体" w:hAnsi="宋体" w:cs="宋体"/>
          <w:color w:val="auto"/>
          <w:highlight w:val="none"/>
          <w:lang w:val="en-US" w:eastAsia="zh-CN"/>
        </w:rPr>
        <w:t>5</w:t>
      </w:r>
      <w:r>
        <w:rPr>
          <w:rFonts w:hint="eastAsia" w:ascii="宋体" w:hAnsi="宋体" w:cs="宋体"/>
          <w:color w:val="auto"/>
          <w:highlight w:val="none"/>
        </w:rPr>
        <w:t>年</w:t>
      </w:r>
      <w:r>
        <w:rPr>
          <w:rFonts w:hint="eastAsia" w:ascii="宋体" w:hAnsi="宋体" w:cs="宋体"/>
          <w:color w:val="auto"/>
          <w:highlight w:val="none"/>
          <w:lang w:val="en-US" w:eastAsia="zh-CN"/>
        </w:rPr>
        <w:t>11月10日17</w:t>
      </w:r>
      <w:r>
        <w:rPr>
          <w:rFonts w:hint="eastAsia" w:ascii="宋体" w:hAnsi="宋体" w:cs="宋体"/>
          <w:color w:val="auto"/>
          <w:highlight w:val="none"/>
        </w:rPr>
        <w:t>:00前以书面形式向采购人和采购代理机构提出质疑。质疑以书面方式分别提交至浙江义乌市自来水有限公司：</w:t>
      </w:r>
      <w:r>
        <w:rPr>
          <w:rFonts w:hint="eastAsia" w:ascii="宋体" w:hAnsi="宋体" w:cs="宋体"/>
          <w:color w:val="auto"/>
          <w:highlight w:val="none"/>
          <w:lang w:eastAsia="zh-CN"/>
        </w:rPr>
        <w:t>宣先生</w:t>
      </w:r>
      <w:r>
        <w:rPr>
          <w:rFonts w:hint="eastAsia" w:ascii="宋体" w:hAnsi="宋体" w:cs="宋体"/>
          <w:color w:val="auto"/>
          <w:highlight w:val="none"/>
        </w:rPr>
        <w:t>（</w:t>
      </w:r>
      <w:r>
        <w:rPr>
          <w:rFonts w:hint="eastAsia" w:ascii="宋体" w:hAnsi="宋体" w:cs="宋体"/>
          <w:color w:val="auto"/>
          <w:highlight w:val="none"/>
          <w:lang w:val="en-US" w:eastAsia="zh-CN"/>
        </w:rPr>
        <w:t>13957908348</w:t>
      </w:r>
      <w:r>
        <w:rPr>
          <w:rFonts w:hint="eastAsia" w:ascii="宋体" w:hAnsi="宋体" w:cs="宋体"/>
          <w:color w:val="auto"/>
          <w:highlight w:val="none"/>
        </w:rPr>
        <w:t>）</w:t>
      </w:r>
      <w:r>
        <w:rPr>
          <w:rFonts w:hint="eastAsia" w:ascii="宋体" w:hAnsi="宋体" w:cs="宋体"/>
          <w:bCs/>
          <w:color w:val="auto"/>
          <w:highlight w:val="none"/>
        </w:rPr>
        <w:t>和义乌产权交易所有限公司</w:t>
      </w:r>
      <w:r>
        <w:rPr>
          <w:rFonts w:hint="eastAsia" w:ascii="宋体" w:hAnsi="宋体" w:cs="宋体"/>
          <w:bCs/>
          <w:color w:val="auto"/>
          <w:highlight w:val="none"/>
        </w:rPr>
        <w:t>：</w:t>
      </w:r>
      <w:r>
        <w:rPr>
          <w:rFonts w:hint="eastAsia" w:ascii="宋体" w:hAnsi="宋体" w:cs="宋体"/>
          <w:bCs/>
          <w:color w:val="auto"/>
          <w:highlight w:val="none"/>
          <w:lang w:val="en-US" w:eastAsia="zh-CN"/>
        </w:rPr>
        <w:t>王小姐</w:t>
      </w:r>
      <w:r>
        <w:rPr>
          <w:rFonts w:hint="eastAsia" w:ascii="宋体" w:hAnsi="宋体" w:cs="宋体"/>
          <w:bCs/>
          <w:color w:val="auto"/>
          <w:highlight w:val="none"/>
        </w:rPr>
        <w:t>（0579-8990</w:t>
      </w:r>
      <w:r>
        <w:rPr>
          <w:rFonts w:hint="eastAsia" w:ascii="宋体" w:hAnsi="宋体" w:cs="宋体"/>
          <w:bCs/>
          <w:color w:val="auto"/>
          <w:highlight w:val="none"/>
          <w:lang w:val="en-US" w:eastAsia="zh-CN"/>
        </w:rPr>
        <w:t>3</w:t>
      </w:r>
      <w:r>
        <w:rPr>
          <w:rFonts w:hint="eastAsia" w:ascii="宋体" w:hAnsi="宋体" w:cs="宋体"/>
          <w:bCs/>
          <w:color w:val="auto"/>
          <w:highlight w:val="none"/>
          <w:lang w:val="en-US" w:eastAsia="zh-CN"/>
        </w:rPr>
        <w:t>039</w:t>
      </w:r>
      <w:r>
        <w:rPr>
          <w:rFonts w:hint="eastAsia" w:ascii="宋体" w:hAnsi="宋体" w:cs="宋体"/>
          <w:color w:val="auto"/>
          <w:highlight w:val="none"/>
        </w:rPr>
        <w:t>，ywcqztb001@ywcq.com），</w:t>
      </w: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"mailto:请于2020年3月13日17时前将质疑文件以扫描件形式发送至43367901@qq.com，并致电项目负责人0579-89919879" </w:instrText>
      </w:r>
      <w:r>
        <w:rPr>
          <w:rFonts w:hint="eastAsia" w:ascii="宋体" w:hAnsi="宋体" w:cs="宋体"/>
          <w:color w:val="auto"/>
          <w:highlight w:val="none"/>
        </w:rPr>
        <w:fldChar w:fldCharType="separate"/>
      </w:r>
      <w:r>
        <w:rPr>
          <w:rFonts w:hint="eastAsia" w:ascii="宋体" w:hAnsi="宋体" w:cs="宋体"/>
          <w:color w:val="auto"/>
          <w:highlight w:val="none"/>
        </w:rPr>
        <w:t>并致电</w:t>
      </w:r>
      <w:r>
        <w:rPr>
          <w:rFonts w:hint="eastAsia" w:ascii="宋体" w:hAnsi="宋体" w:cs="宋体"/>
          <w:color w:val="auto"/>
          <w:highlight w:val="none"/>
        </w:rPr>
        <w:fldChar w:fldCharType="end"/>
      </w:r>
      <w:r>
        <w:rPr>
          <w:rFonts w:hint="eastAsia" w:ascii="宋体" w:hAnsi="宋体" w:cs="宋体"/>
          <w:color w:val="auto"/>
          <w:highlight w:val="none"/>
        </w:rPr>
        <w:t>采购代理机构确认。书面文件邮寄地址：义乌市北苑街道望道路300号40</w:t>
      </w:r>
      <w:r>
        <w:rPr>
          <w:rFonts w:hint="eastAsia" w:ascii="宋体" w:hAnsi="宋体" w:cs="宋体"/>
          <w:color w:val="auto"/>
          <w:highlight w:val="none"/>
          <w:lang w:val="en-US" w:eastAsia="zh-CN"/>
        </w:rPr>
        <w:t>56</w:t>
      </w:r>
      <w:r>
        <w:rPr>
          <w:rFonts w:hint="eastAsia" w:ascii="宋体" w:hAnsi="宋体" w:cs="宋体"/>
          <w:color w:val="auto"/>
          <w:highlight w:val="none"/>
        </w:rPr>
        <w:t>。</w:t>
      </w:r>
    </w:p>
    <w:p w14:paraId="0AF29953">
      <w:pPr>
        <w:pageBreakBefore w:val="0"/>
        <w:widowControl w:val="0"/>
        <w:shd w:val="clear"/>
        <w:kinsoku/>
        <w:wordWrap/>
        <w:overflowPunct/>
        <w:topLinePunct w:val="0"/>
        <w:autoSpaceDE/>
        <w:autoSpaceDN/>
        <w:bidi w:val="0"/>
        <w:spacing w:line="360" w:lineRule="auto"/>
        <w:ind w:firstLine="422" w:firstLineChars="200"/>
        <w:textAlignment w:val="auto"/>
        <w:rPr>
          <w:rFonts w:hint="eastAsia" w:ascii="宋体" w:hAnsi="宋体" w:eastAsia="宋体" w:cs="宋体"/>
          <w:b/>
          <w:bCs/>
          <w:color w:val="auto"/>
          <w:highlight w:val="none"/>
        </w:rPr>
      </w:pPr>
      <w:bookmarkStart w:id="2" w:name="_Toc4701"/>
      <w:r>
        <w:rPr>
          <w:rFonts w:hint="eastAsia" w:ascii="宋体" w:hAnsi="宋体" w:eastAsia="宋体" w:cs="宋体"/>
          <w:b/>
          <w:bCs/>
          <w:color w:val="auto"/>
          <w:highlight w:val="none"/>
        </w:rPr>
        <w:t>7</w:t>
      </w: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rPr>
        <w:t>投标截止时间及地点：</w:t>
      </w:r>
      <w:bookmarkEnd w:id="2"/>
    </w:p>
    <w:p w14:paraId="1CA1A2B9">
      <w:pPr>
        <w:pageBreakBefore w:val="0"/>
        <w:widowControl w:val="0"/>
        <w:shd w:val="clear"/>
        <w:kinsoku/>
        <w:wordWrap/>
        <w:overflowPunct/>
        <w:topLinePunct w:val="0"/>
        <w:autoSpaceDE/>
        <w:autoSpaceDN/>
        <w:bidi w:val="0"/>
        <w:snapToGrid w:val="0"/>
        <w:spacing w:line="360" w:lineRule="auto"/>
        <w:ind w:firstLine="411" w:firstLineChars="196"/>
        <w:textAlignment w:val="auto"/>
        <w:rPr>
          <w:rFonts w:ascii="宋体" w:cs="Courier New"/>
          <w:color w:val="auto"/>
          <w:szCs w:val="21"/>
          <w:highlight w:val="none"/>
        </w:rPr>
      </w:pPr>
      <w:r>
        <w:rPr>
          <w:rFonts w:hint="eastAsia" w:ascii="宋体" w:hAnsi="宋体" w:cs="Courier New"/>
          <w:color w:val="auto"/>
          <w:szCs w:val="21"/>
          <w:highlight w:val="none"/>
        </w:rPr>
        <w:t>①提交投标文件截止时间：</w:t>
      </w:r>
      <w:r>
        <w:rPr>
          <w:rFonts w:hint="eastAsia" w:ascii="宋体" w:hAnsi="宋体" w:cs="Courier New"/>
          <w:color w:val="auto"/>
          <w:szCs w:val="21"/>
          <w:highlight w:val="none"/>
          <w:lang w:eastAsia="zh-CN"/>
        </w:rPr>
        <w:t>202</w:t>
      </w:r>
      <w:r>
        <w:rPr>
          <w:rFonts w:hint="eastAsia" w:ascii="宋体" w:hAnsi="宋体" w:cs="Courier New"/>
          <w:color w:val="auto"/>
          <w:szCs w:val="21"/>
          <w:highlight w:val="none"/>
          <w:lang w:val="en-US" w:eastAsia="zh-CN"/>
        </w:rPr>
        <w:t>5</w:t>
      </w:r>
      <w:r>
        <w:rPr>
          <w:rFonts w:hint="eastAsia" w:ascii="宋体" w:hAnsi="宋体" w:cs="Courier New"/>
          <w:color w:val="auto"/>
          <w:szCs w:val="21"/>
          <w:highlight w:val="none"/>
          <w:lang w:eastAsia="zh-CN"/>
        </w:rPr>
        <w:t>年</w:t>
      </w:r>
      <w:r>
        <w:rPr>
          <w:rFonts w:hint="eastAsia" w:ascii="宋体" w:hAnsi="宋体" w:cs="Courier New"/>
          <w:color w:val="auto"/>
          <w:szCs w:val="21"/>
          <w:highlight w:val="none"/>
          <w:lang w:val="en-US" w:eastAsia="zh-CN"/>
        </w:rPr>
        <w:t>11</w:t>
      </w:r>
      <w:r>
        <w:rPr>
          <w:rFonts w:hint="eastAsia" w:ascii="宋体" w:hAnsi="宋体" w:cs="Courier New"/>
          <w:color w:val="auto"/>
          <w:szCs w:val="21"/>
          <w:highlight w:val="none"/>
          <w:lang w:eastAsia="zh-CN"/>
        </w:rPr>
        <w:t>月</w:t>
      </w:r>
      <w:r>
        <w:rPr>
          <w:rFonts w:hint="eastAsia" w:ascii="宋体" w:hAnsi="宋体" w:cs="Courier New"/>
          <w:color w:val="auto"/>
          <w:szCs w:val="21"/>
          <w:highlight w:val="none"/>
          <w:lang w:val="en-US" w:eastAsia="zh-CN"/>
        </w:rPr>
        <w:t>21</w:t>
      </w:r>
      <w:r>
        <w:rPr>
          <w:rFonts w:hint="eastAsia" w:ascii="宋体" w:hAnsi="宋体" w:cs="Courier New"/>
          <w:color w:val="auto"/>
          <w:szCs w:val="21"/>
          <w:highlight w:val="none"/>
          <w:lang w:eastAsia="zh-CN"/>
        </w:rPr>
        <w:t>日09</w:t>
      </w:r>
      <w:r>
        <w:rPr>
          <w:rFonts w:ascii="宋体" w:hAnsi="宋体" w:cs="Courier New"/>
          <w:color w:val="auto"/>
          <w:szCs w:val="21"/>
          <w:highlight w:val="none"/>
        </w:rPr>
        <w:t>:30</w:t>
      </w:r>
      <w:r>
        <w:rPr>
          <w:rFonts w:hint="eastAsia" w:ascii="宋体" w:hAnsi="宋体" w:cs="Courier New"/>
          <w:color w:val="auto"/>
          <w:szCs w:val="21"/>
          <w:highlight w:val="none"/>
        </w:rPr>
        <w:t>（北京时间）</w:t>
      </w:r>
    </w:p>
    <w:p w14:paraId="18012B63">
      <w:pPr>
        <w:shd w:val="clear"/>
        <w:snapToGrid w:val="0"/>
        <w:spacing w:line="360" w:lineRule="auto"/>
        <w:ind w:firstLine="420" w:firstLineChars="200"/>
        <w:rPr>
          <w:rFonts w:hint="eastAsia" w:ascii="宋体" w:hAnsi="宋体" w:eastAsia="宋体" w:cs="宋体"/>
          <w:iCs/>
          <w:color w:val="auto"/>
          <w:szCs w:val="21"/>
          <w:highlight w:val="none"/>
        </w:rPr>
      </w:pPr>
      <w:r>
        <w:rPr>
          <w:rFonts w:hint="eastAsia" w:ascii="宋体" w:hAnsi="宋体" w:eastAsia="宋体" w:cs="宋体"/>
          <w:color w:val="auto"/>
          <w:szCs w:val="21"/>
          <w:highlight w:val="none"/>
        </w:rPr>
        <w:t>②投标地点：</w:t>
      </w:r>
      <w:r>
        <w:rPr>
          <w:rFonts w:hint="eastAsia" w:ascii="宋体" w:hAnsi="宋体" w:eastAsia="宋体" w:cs="宋体"/>
          <w:iCs/>
          <w:color w:val="auto"/>
          <w:szCs w:val="21"/>
          <w:highlight w:val="none"/>
        </w:rPr>
        <w:t>在谷歌或IE浏览器上，用账号登录义乌市阳光招标采购平台（www.ywygzc.com），上传电子加密标书至“义乌市阳光招标采购平台”，逾期或未上传成功的将导致无法投标或投标无效。</w:t>
      </w:r>
    </w:p>
    <w:p w14:paraId="40456192">
      <w:pPr>
        <w:shd w:val="clea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③开标时间：2025年</w:t>
      </w:r>
      <w:r>
        <w:rPr>
          <w:rFonts w:hint="eastAsia" w:ascii="宋体" w:hAnsi="宋体" w:eastAsia="宋体" w:cs="宋体"/>
          <w:color w:val="auto"/>
          <w:szCs w:val="21"/>
          <w:highlight w:val="none"/>
          <w:lang w:val="en-US" w:eastAsia="zh-CN"/>
        </w:rPr>
        <w:t>11</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21</w:t>
      </w:r>
      <w:r>
        <w:rPr>
          <w:rFonts w:hint="eastAsia" w:ascii="宋体" w:hAnsi="宋体" w:eastAsia="宋体" w:cs="宋体"/>
          <w:color w:val="auto"/>
          <w:szCs w:val="21"/>
          <w:highlight w:val="none"/>
        </w:rPr>
        <w:t>日9:30 </w:t>
      </w:r>
    </w:p>
    <w:p w14:paraId="0F6006E2">
      <w:pPr>
        <w:shd w:val="clea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④开标地点：“义乌市阳光招标采购平台”（www.ywygzc.com）</w:t>
      </w:r>
    </w:p>
    <w:p w14:paraId="54F69C9E">
      <w:pPr>
        <w:pageBreakBefore w:val="0"/>
        <w:widowControl w:val="0"/>
        <w:shd w:val="clear"/>
        <w:kinsoku/>
        <w:wordWrap/>
        <w:overflowPunct/>
        <w:topLinePunct w:val="0"/>
        <w:autoSpaceDE/>
        <w:autoSpaceDN/>
        <w:bidi w:val="0"/>
        <w:snapToGrid w:val="0"/>
        <w:spacing w:line="360" w:lineRule="auto"/>
        <w:ind w:firstLine="413" w:firstLineChars="196"/>
        <w:textAlignment w:val="auto"/>
        <w:rPr>
          <w:rFonts w:hint="eastAsia" w:ascii="宋体" w:hAnsi="宋体" w:cs="宋体"/>
          <w:color w:val="auto"/>
          <w:szCs w:val="21"/>
          <w:highlight w:val="none"/>
        </w:rPr>
      </w:pPr>
      <w:r>
        <w:rPr>
          <w:rFonts w:hint="eastAsia" w:ascii="宋体" w:hAnsi="宋体" w:cs="宋体"/>
          <w:b/>
          <w:bCs/>
          <w:color w:val="auto"/>
          <w:szCs w:val="21"/>
          <w:highlight w:val="none"/>
          <w:shd w:val="clear" w:color="auto" w:fill="FFFFFF"/>
        </w:rPr>
        <w:t>8</w:t>
      </w:r>
      <w:r>
        <w:rPr>
          <w:rFonts w:hint="eastAsia" w:ascii="宋体" w:hAnsi="宋体" w:cs="宋体"/>
          <w:b/>
          <w:bCs/>
          <w:color w:val="auto"/>
          <w:szCs w:val="21"/>
          <w:highlight w:val="none"/>
          <w:shd w:val="clear" w:color="auto" w:fill="FFFFFF"/>
          <w:lang w:eastAsia="zh-CN"/>
        </w:rPr>
        <w:t>.</w:t>
      </w:r>
      <w:r>
        <w:rPr>
          <w:rFonts w:hint="eastAsia" w:ascii="宋体" w:hAnsi="宋体" w:cs="宋体"/>
          <w:b/>
          <w:bCs/>
          <w:color w:val="auto"/>
          <w:szCs w:val="21"/>
          <w:highlight w:val="none"/>
          <w:shd w:val="clear" w:color="auto" w:fill="FFFFFF"/>
        </w:rPr>
        <w:t>投标与开标注意事项：</w:t>
      </w:r>
    </w:p>
    <w:p w14:paraId="1EB49772">
      <w:pPr>
        <w:shd w:val="clear"/>
        <w:spacing w:line="360" w:lineRule="auto"/>
        <w:ind w:firstLine="420" w:firstLineChars="200"/>
        <w:rPr>
          <w:rFonts w:hint="eastAsia" w:hAnsi="宋体" w:cs="宋体"/>
          <w:color w:val="auto"/>
          <w:highlight w:val="none"/>
        </w:rPr>
      </w:pPr>
      <w:r>
        <w:rPr>
          <w:rFonts w:hint="eastAsia" w:hAnsi="宋体" w:cs="宋体"/>
          <w:color w:val="auto"/>
          <w:highlight w:val="none"/>
        </w:rPr>
        <w:t>①标前准备：</w:t>
      </w:r>
      <w:r>
        <w:rPr>
          <w:rFonts w:hint="eastAsia" w:ascii="宋体" w:hAnsi="宋体" w:cs="宋体"/>
          <w:color w:val="auto"/>
          <w:highlight w:val="none"/>
        </w:rPr>
        <w:t>本项目通过“义乌市阳光招标采购平台”实行在线投标（电子投标），各供应商在投标前应确保成为义乌市阳光招标采购平台正式注册入库供应商，并完成CA数字证书办理。【供应商入库办理流程：义乌市阳光招标采购平台-下载中心-义乌市阳光招标采购平台供应商入库申报操作手册；CA办理操作流程：义乌市阳光招标采购平台-办事指南-CA在线办理”（</w:t>
      </w:r>
      <w:r>
        <w:rPr>
          <w:rFonts w:hint="eastAsia" w:ascii="宋体" w:hAnsi="宋体" w:cs="宋体"/>
          <w:color w:val="auto"/>
          <w:highlight w:val="none"/>
        </w:rPr>
        <w:fldChar w:fldCharType="begin"/>
      </w:r>
      <w:r>
        <w:rPr>
          <w:rFonts w:ascii="宋体" w:hAnsi="宋体" w:cs="宋体"/>
          <w:color w:val="auto"/>
          <w:highlight w:val="none"/>
        </w:rPr>
        <w:instrText xml:space="preserve">HYPERLINK "../../../Wechat Files/WeChat Files/zxb_weixin/FileStorage/File/Documents/WeChat Files/hyysxhz/FileStorage/Administrator/AppData/Roaming/Microsoft/Word/CA申领操作指南.pdf"</w:instrText>
      </w:r>
      <w:r>
        <w:rPr>
          <w:rFonts w:hint="eastAsia" w:ascii="宋体" w:hAnsi="宋体" w:cs="宋体"/>
          <w:color w:val="auto"/>
          <w:highlight w:val="none"/>
        </w:rPr>
        <w:fldChar w:fldCharType="separate"/>
      </w:r>
      <w:r>
        <w:rPr>
          <w:rFonts w:hint="eastAsia" w:ascii="宋体" w:hAnsi="宋体" w:cs="宋体"/>
          <w:color w:val="auto"/>
          <w:highlight w:val="none"/>
        </w:rPr>
        <w:t>目前“义乌市阳光招标采购平台”仅支持天谷CA锁）</w:t>
      </w:r>
      <w:r>
        <w:rPr>
          <w:rFonts w:hint="eastAsia" w:ascii="宋体" w:hAnsi="宋体" w:cs="宋体"/>
          <w:color w:val="auto"/>
          <w:highlight w:val="none"/>
        </w:rPr>
        <w:fldChar w:fldCharType="end"/>
      </w:r>
      <w:r>
        <w:rPr>
          <w:rFonts w:hint="eastAsia" w:ascii="宋体" w:hAnsi="宋体" w:cs="宋体"/>
          <w:color w:val="auto"/>
          <w:highlight w:val="none"/>
        </w:rPr>
        <w:t>】。因未注册入库、未办理CA数字证书等原因造成无法投标或投标失败等后果由供应商自行承担。</w:t>
      </w:r>
    </w:p>
    <w:p w14:paraId="7B89E497">
      <w:pPr>
        <w:keepNext w:val="0"/>
        <w:keepLines w:val="0"/>
        <w:pageBreakBefore w:val="0"/>
        <w:widowControl w:val="0"/>
        <w:shd w:val="clear"/>
        <w:kinsoku/>
        <w:wordWrap w:val="0"/>
        <w:overflowPunct/>
        <w:topLinePunct w:val="0"/>
        <w:autoSpaceDE/>
        <w:autoSpaceDN/>
        <w:bidi w:val="0"/>
        <w:adjustRightInd/>
        <w:snapToGrid/>
        <w:spacing w:line="360" w:lineRule="auto"/>
        <w:ind w:firstLine="420" w:firstLineChars="200"/>
        <w:textAlignment w:val="auto"/>
        <w:rPr>
          <w:rFonts w:hint="eastAsia" w:ascii="宋体" w:hAnsi="宋体" w:cs="宋体"/>
          <w:color w:val="auto"/>
          <w:highlight w:val="none"/>
        </w:rPr>
      </w:pPr>
      <w:r>
        <w:rPr>
          <w:rFonts w:hint="eastAsia" w:ascii="宋体" w:hAnsi="宋体" w:cs="宋体"/>
          <w:color w:val="auto"/>
          <w:highlight w:val="none"/>
        </w:rPr>
        <w:t>②投标文件制作：投标人通过“义乌市阳光招标采购平台”电子投标工具制作投标文件，电子投标工具请供应商自行前往https://download.bqpoint.com/?SourceFrom=Ztb&amp;ZtbSoftXiaQuCode=112203&amp;ZtbSoftType=tballinclusive&amp;SoftGuid=4995a22f-7707-4e9a-bdcd-b81f2f25e809&amp;RootGuid=e9eef476-f8a3-4999-ac46-4f8b3d7857da&amp;softtypecode=03获取。投标文件制作具体流程详见“义乌市阳光招标采购平台-下载中心-义乌市阳光招标采购平台投标人操作手册”以获取最新操作指南。</w:t>
      </w:r>
    </w:p>
    <w:p w14:paraId="2C7B844A">
      <w:pPr>
        <w:shd w:val="clear"/>
        <w:spacing w:line="360" w:lineRule="auto"/>
        <w:ind w:firstLine="420" w:firstLineChars="200"/>
        <w:rPr>
          <w:rFonts w:hint="eastAsia" w:ascii="宋体" w:hAnsi="宋体" w:cs="宋体"/>
          <w:b/>
          <w:bCs/>
          <w:color w:val="auto"/>
          <w:highlight w:val="none"/>
        </w:rPr>
      </w:pPr>
      <w:r>
        <w:rPr>
          <w:rFonts w:hint="eastAsia" w:ascii="宋体" w:hAnsi="宋体" w:cs="宋体"/>
          <w:color w:val="auto"/>
          <w:highlight w:val="none"/>
        </w:rPr>
        <w:t>③投标文件上传：投标人应在投标截止时间（</w:t>
      </w:r>
      <w:r>
        <w:rPr>
          <w:rFonts w:hint="eastAsia" w:ascii="宋体" w:hAnsi="宋体" w:cs="宋体"/>
          <w:color w:val="auto"/>
          <w:highlight w:val="none"/>
          <w:lang w:eastAsia="zh-CN"/>
        </w:rPr>
        <w:t>2025年</w:t>
      </w:r>
      <w:r>
        <w:rPr>
          <w:rFonts w:hint="eastAsia" w:ascii="宋体" w:hAnsi="宋体" w:cs="宋体"/>
          <w:color w:val="auto"/>
          <w:highlight w:val="none"/>
          <w:lang w:val="en-US" w:eastAsia="zh-CN"/>
        </w:rPr>
        <w:t>11</w:t>
      </w:r>
      <w:r>
        <w:rPr>
          <w:rFonts w:hint="eastAsia" w:ascii="宋体" w:hAnsi="宋体" w:cs="宋体"/>
          <w:color w:val="auto"/>
          <w:highlight w:val="none"/>
          <w:lang w:eastAsia="zh-CN"/>
        </w:rPr>
        <w:t>月</w:t>
      </w:r>
      <w:r>
        <w:rPr>
          <w:rFonts w:hint="eastAsia" w:ascii="宋体" w:hAnsi="宋体" w:cs="宋体"/>
          <w:color w:val="auto"/>
          <w:highlight w:val="none"/>
          <w:lang w:val="en-US" w:eastAsia="zh-CN"/>
        </w:rPr>
        <w:t>21</w:t>
      </w:r>
      <w:r>
        <w:rPr>
          <w:rFonts w:hint="eastAsia" w:ascii="宋体" w:hAnsi="宋体" w:cs="宋体"/>
          <w:color w:val="auto"/>
          <w:highlight w:val="none"/>
          <w:lang w:eastAsia="zh-CN"/>
        </w:rPr>
        <w:t>日09</w:t>
      </w:r>
      <w:r>
        <w:rPr>
          <w:rFonts w:hint="eastAsia" w:ascii="宋体" w:hAnsi="宋体" w:cs="宋体"/>
          <w:color w:val="auto"/>
          <w:highlight w:val="none"/>
        </w:rPr>
        <w:t>:30）之前上传投标文件</w:t>
      </w:r>
      <w:r>
        <w:rPr>
          <w:rFonts w:hint="eastAsia" w:ascii="宋体" w:hAnsi="宋体" w:cs="宋体"/>
          <w:b/>
          <w:bCs/>
          <w:color w:val="auto"/>
          <w:highlight w:val="none"/>
        </w:rPr>
        <w:t>。</w:t>
      </w:r>
    </w:p>
    <w:p w14:paraId="2FA6AD8C">
      <w:pPr>
        <w:shd w:val="clear"/>
        <w:snapToGrid w:val="0"/>
        <w:spacing w:line="360" w:lineRule="auto"/>
        <w:ind w:firstLine="411" w:firstLineChars="196"/>
        <w:rPr>
          <w:rFonts w:hint="eastAsia" w:ascii="宋体" w:hAnsi="宋体" w:cs="宋体"/>
          <w:color w:val="auto"/>
          <w:highlight w:val="none"/>
        </w:rPr>
      </w:pPr>
      <w:r>
        <w:rPr>
          <w:rFonts w:hint="eastAsia" w:ascii="宋体" w:hAnsi="宋体" w:cs="宋体"/>
          <w:color w:val="auto"/>
          <w:highlight w:val="none"/>
        </w:rPr>
        <w:t>④开标与投标文件解密：本项目采用不见面开标方式，供应商无需到开标现场，但应准时参加线上开标。开标时间后代理机构公布名单并开启解密。开启解密后的30分钟内，供应商应当登录“义乌市阳光招标采购平台”，用“开标签到解密”功能或者登录“不见面开标大厅”解密投标文件。</w:t>
      </w:r>
    </w:p>
    <w:p w14:paraId="4464C870">
      <w:pPr>
        <w:shd w:val="clear"/>
        <w:snapToGrid w:val="0"/>
        <w:spacing w:line="360" w:lineRule="auto"/>
        <w:ind w:firstLine="411" w:firstLineChars="196"/>
        <w:rPr>
          <w:rFonts w:hint="eastAsia" w:ascii="宋体" w:hAnsi="宋体" w:cs="宋体"/>
          <w:color w:val="auto"/>
          <w:highlight w:val="none"/>
        </w:rPr>
      </w:pPr>
      <w:r>
        <w:rPr>
          <w:rFonts w:hint="eastAsia" w:ascii="宋体" w:hAnsi="宋体" w:cs="宋体"/>
          <w:color w:val="auto"/>
          <w:highlight w:val="none"/>
        </w:rPr>
        <w:t>请投标人开标前检查电脑和CA锁是否正常（确保CA锁在有效期内且CA锁介质无破损）。若收到开启解密通知后，无法解密的，可能是以下问题造成，请在收到开启解密通知15分钟内及时联系平台或招标代理进行处理，避免造成超时。</w:t>
      </w:r>
    </w:p>
    <w:p w14:paraId="1831E3AE">
      <w:pPr>
        <w:shd w:val="clear"/>
        <w:snapToGrid w:val="0"/>
        <w:spacing w:line="360" w:lineRule="auto"/>
        <w:ind w:firstLine="411" w:firstLineChars="196"/>
        <w:rPr>
          <w:rFonts w:hint="eastAsia" w:ascii="宋体" w:hAnsi="宋体" w:eastAsia="宋体" w:cs="宋体"/>
          <w:color w:val="auto"/>
          <w:highlight w:val="none"/>
          <w:lang w:eastAsia="zh-CN"/>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1</w:t>
      </w:r>
      <w:r>
        <w:rPr>
          <w:rFonts w:hint="eastAsia" w:ascii="宋体" w:hAnsi="宋体" w:cs="宋体"/>
          <w:color w:val="auto"/>
          <w:highlight w:val="none"/>
          <w:lang w:eastAsia="zh-CN"/>
        </w:rPr>
        <w:t>）</w:t>
      </w:r>
      <w:r>
        <w:rPr>
          <w:rFonts w:hint="eastAsia" w:ascii="宋体" w:hAnsi="宋体" w:cs="宋体"/>
          <w:color w:val="auto"/>
          <w:highlight w:val="none"/>
        </w:rPr>
        <w:t>该电脑未安装CA驱动，无法读取CA锁——重新下载安装驱动</w:t>
      </w:r>
      <w:r>
        <w:rPr>
          <w:rFonts w:hint="eastAsia" w:ascii="宋体" w:hAnsi="宋体" w:cs="宋体"/>
          <w:color w:val="auto"/>
          <w:highlight w:val="none"/>
          <w:lang w:eastAsia="zh-CN"/>
        </w:rPr>
        <w:t>；</w:t>
      </w:r>
    </w:p>
    <w:p w14:paraId="3EB72A18">
      <w:pPr>
        <w:shd w:val="clear"/>
        <w:snapToGrid w:val="0"/>
        <w:spacing w:line="360" w:lineRule="auto"/>
        <w:ind w:firstLine="411" w:firstLineChars="196"/>
        <w:rPr>
          <w:rFonts w:hint="eastAsia" w:ascii="宋体" w:hAnsi="宋体" w:eastAsia="宋体" w:cs="宋体"/>
          <w:color w:val="auto"/>
          <w:highlight w:val="none"/>
          <w:lang w:eastAsia="zh-CN"/>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2</w:t>
      </w:r>
      <w:r>
        <w:rPr>
          <w:rFonts w:hint="eastAsia" w:ascii="宋体" w:hAnsi="宋体" w:cs="宋体"/>
          <w:color w:val="auto"/>
          <w:highlight w:val="none"/>
          <w:lang w:eastAsia="zh-CN"/>
        </w:rPr>
        <w:t>）</w:t>
      </w:r>
      <w:r>
        <w:rPr>
          <w:rFonts w:hint="eastAsia" w:ascii="宋体" w:hAnsi="宋体" w:cs="宋体"/>
          <w:color w:val="auto"/>
          <w:highlight w:val="none"/>
        </w:rPr>
        <w:t>电脑长时间未关机应用程序未响应，导致无法读取CA锁——重启电脑或重新安装驱动</w:t>
      </w:r>
      <w:r>
        <w:rPr>
          <w:rFonts w:hint="eastAsia" w:ascii="宋体" w:hAnsi="宋体" w:cs="宋体"/>
          <w:color w:val="auto"/>
          <w:highlight w:val="none"/>
          <w:lang w:eastAsia="zh-CN"/>
        </w:rPr>
        <w:t>；</w:t>
      </w:r>
    </w:p>
    <w:p w14:paraId="3EAC1CED">
      <w:pPr>
        <w:shd w:val="clear"/>
        <w:snapToGrid w:val="0"/>
        <w:spacing w:line="360" w:lineRule="auto"/>
        <w:ind w:firstLine="411" w:firstLineChars="196"/>
        <w:rPr>
          <w:rFonts w:hint="eastAsia" w:ascii="宋体" w:hAnsi="宋体" w:eastAsia="宋体" w:cs="宋体"/>
          <w:color w:val="auto"/>
          <w:highlight w:val="none"/>
          <w:lang w:eastAsia="zh-CN"/>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3</w:t>
      </w:r>
      <w:r>
        <w:rPr>
          <w:rFonts w:hint="eastAsia" w:ascii="宋体" w:hAnsi="宋体" w:cs="宋体"/>
          <w:color w:val="auto"/>
          <w:highlight w:val="none"/>
          <w:lang w:eastAsia="zh-CN"/>
        </w:rPr>
        <w:t>）</w:t>
      </w:r>
      <w:r>
        <w:rPr>
          <w:rFonts w:hint="eastAsia" w:ascii="宋体" w:hAnsi="宋体" w:cs="宋体"/>
          <w:color w:val="auto"/>
          <w:highlight w:val="none"/>
        </w:rPr>
        <w:t>浏览器版本过低导致无法识别——更换Egde、谷歌浏览器</w:t>
      </w:r>
      <w:r>
        <w:rPr>
          <w:rFonts w:hint="eastAsia" w:ascii="宋体" w:hAnsi="宋体" w:cs="宋体"/>
          <w:color w:val="auto"/>
          <w:highlight w:val="none"/>
          <w:lang w:eastAsia="zh-CN"/>
        </w:rPr>
        <w:t>；</w:t>
      </w:r>
    </w:p>
    <w:p w14:paraId="5CF508DD">
      <w:pPr>
        <w:shd w:val="clear"/>
        <w:snapToGrid w:val="0"/>
        <w:spacing w:line="360" w:lineRule="auto"/>
        <w:ind w:firstLine="411" w:firstLineChars="196"/>
        <w:rPr>
          <w:rFonts w:hint="eastAsia" w:ascii="宋体" w:hAnsi="宋体" w:eastAsia="宋体" w:cs="宋体"/>
          <w:color w:val="auto"/>
          <w:highlight w:val="none"/>
          <w:lang w:eastAsia="zh-CN"/>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4</w:t>
      </w:r>
      <w:r>
        <w:rPr>
          <w:rFonts w:hint="eastAsia" w:ascii="宋体" w:hAnsi="宋体" w:cs="宋体"/>
          <w:color w:val="auto"/>
          <w:highlight w:val="none"/>
          <w:lang w:eastAsia="zh-CN"/>
        </w:rPr>
        <w:t>）</w:t>
      </w:r>
      <w:r>
        <w:rPr>
          <w:rFonts w:hint="eastAsia" w:ascii="宋体" w:hAnsi="宋体" w:cs="宋体"/>
          <w:color w:val="auto"/>
          <w:highlight w:val="none"/>
        </w:rPr>
        <w:t>密码多次输入错误导致无法解密——打开CA工具进行检测密码是否正确</w:t>
      </w:r>
      <w:r>
        <w:rPr>
          <w:rFonts w:hint="eastAsia" w:ascii="宋体" w:hAnsi="宋体" w:cs="宋体"/>
          <w:color w:val="auto"/>
          <w:highlight w:val="none"/>
          <w:lang w:eastAsia="zh-CN"/>
        </w:rPr>
        <w:t>；</w:t>
      </w:r>
    </w:p>
    <w:p w14:paraId="6420C7AC">
      <w:pPr>
        <w:shd w:val="clear"/>
        <w:snapToGrid w:val="0"/>
        <w:spacing w:line="360" w:lineRule="auto"/>
        <w:ind w:firstLine="411" w:firstLineChars="196"/>
        <w:rPr>
          <w:rFonts w:hint="eastAsia" w:ascii="宋体" w:hAnsi="宋体" w:eastAsia="宋体" w:cs="宋体"/>
          <w:color w:val="auto"/>
          <w:highlight w:val="none"/>
          <w:lang w:eastAsia="zh-CN"/>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5</w:t>
      </w:r>
      <w:r>
        <w:rPr>
          <w:rFonts w:hint="eastAsia" w:ascii="宋体" w:hAnsi="宋体" w:cs="宋体"/>
          <w:color w:val="auto"/>
          <w:highlight w:val="none"/>
          <w:lang w:eastAsia="zh-CN"/>
        </w:rPr>
        <w:t>）</w:t>
      </w:r>
      <w:r>
        <w:rPr>
          <w:rFonts w:hint="eastAsia" w:ascii="宋体" w:hAnsi="宋体" w:cs="宋体"/>
          <w:color w:val="auto"/>
          <w:highlight w:val="none"/>
        </w:rPr>
        <w:t>因杀毒软件检测导致无法识别CA锁——关闭杀毒软件</w:t>
      </w:r>
      <w:r>
        <w:rPr>
          <w:rFonts w:hint="eastAsia" w:ascii="宋体" w:hAnsi="宋体" w:cs="宋体"/>
          <w:color w:val="auto"/>
          <w:highlight w:val="none"/>
          <w:lang w:eastAsia="zh-CN"/>
        </w:rPr>
        <w:t>；</w:t>
      </w:r>
    </w:p>
    <w:p w14:paraId="281F01B5">
      <w:pPr>
        <w:shd w:val="clear"/>
        <w:snapToGrid w:val="0"/>
        <w:spacing w:line="360" w:lineRule="auto"/>
        <w:ind w:firstLine="411" w:firstLineChars="196"/>
        <w:rPr>
          <w:rFonts w:hint="eastAsia" w:ascii="宋体" w:hAnsi="宋体" w:cs="宋体"/>
          <w:color w:val="auto"/>
          <w:highlight w:val="none"/>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6</w:t>
      </w:r>
      <w:r>
        <w:rPr>
          <w:rFonts w:hint="eastAsia" w:ascii="宋体" w:hAnsi="宋体" w:cs="宋体"/>
          <w:color w:val="auto"/>
          <w:highlight w:val="none"/>
          <w:lang w:eastAsia="zh-CN"/>
        </w:rPr>
        <w:t>）</w:t>
      </w:r>
      <w:r>
        <w:rPr>
          <w:rFonts w:hint="eastAsia" w:ascii="宋体" w:hAnsi="宋体" w:cs="宋体"/>
          <w:color w:val="auto"/>
          <w:highlight w:val="none"/>
        </w:rPr>
        <w:t>因系统安装多版本驱动导致无法识别CA锁——卸载其他驱动或更换其他电脑安装驱动。</w:t>
      </w:r>
    </w:p>
    <w:p w14:paraId="503DA3E7">
      <w:pPr>
        <w:shd w:val="clea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⑤参与在线投标时如遇平台技术问题详询：95763，电子投标制作问题详询：</w:t>
      </w:r>
      <w:r>
        <w:rPr>
          <w:rFonts w:hint="eastAsia" w:ascii="宋体" w:hAnsi="宋体" w:eastAsia="宋体" w:cs="宋体"/>
          <w:color w:val="auto"/>
          <w:szCs w:val="21"/>
          <w:highlight w:val="none"/>
          <w:lang w:val="en-US" w:eastAsia="zh-CN"/>
        </w:rPr>
        <w:t>陶</w:t>
      </w:r>
      <w:r>
        <w:rPr>
          <w:rFonts w:hint="eastAsia" w:ascii="宋体" w:hAnsi="宋体" w:eastAsia="宋体" w:cs="宋体"/>
          <w:color w:val="auto"/>
          <w:szCs w:val="21"/>
          <w:highlight w:val="none"/>
        </w:rPr>
        <w:t>小姐  0579-899</w:t>
      </w:r>
      <w:r>
        <w:rPr>
          <w:rFonts w:hint="eastAsia" w:ascii="宋体" w:hAnsi="宋体" w:eastAsia="宋体" w:cs="宋体"/>
          <w:color w:val="auto"/>
          <w:szCs w:val="21"/>
          <w:highlight w:val="none"/>
          <w:lang w:val="en-US" w:eastAsia="zh-CN"/>
        </w:rPr>
        <w:t>06887</w:t>
      </w:r>
      <w:r>
        <w:rPr>
          <w:rFonts w:hint="eastAsia" w:ascii="宋体" w:hAnsi="宋体" w:eastAsia="宋体" w:cs="宋体"/>
          <w:color w:val="auto"/>
          <w:szCs w:val="21"/>
          <w:highlight w:val="none"/>
        </w:rPr>
        <w:t>。</w:t>
      </w:r>
    </w:p>
    <w:p w14:paraId="35EE674C">
      <w:pPr>
        <w:pStyle w:val="18"/>
        <w:pageBreakBefore w:val="0"/>
        <w:widowControl w:val="0"/>
        <w:shd w:val="clear"/>
        <w:kinsoku/>
        <w:wordWrap/>
        <w:overflowPunct/>
        <w:topLinePunct w:val="0"/>
        <w:autoSpaceDE/>
        <w:autoSpaceDN/>
        <w:bidi w:val="0"/>
        <w:spacing w:line="360" w:lineRule="auto"/>
        <w:ind w:firstLine="422" w:firstLineChars="200"/>
        <w:jc w:val="left"/>
        <w:textAlignment w:val="auto"/>
        <w:rPr>
          <w:rFonts w:hint="eastAsia" w:hAnsi="宋体"/>
          <w:b/>
          <w:color w:val="auto"/>
          <w:highlight w:val="none"/>
        </w:rPr>
      </w:pPr>
      <w:r>
        <w:rPr>
          <w:rFonts w:hint="eastAsia" w:hAnsi="宋体"/>
          <w:b/>
          <w:color w:val="auto"/>
          <w:highlight w:val="none"/>
        </w:rPr>
        <w:t>9</w:t>
      </w:r>
      <w:r>
        <w:rPr>
          <w:rFonts w:hint="eastAsia" w:hAnsi="宋体"/>
          <w:b/>
          <w:color w:val="auto"/>
          <w:highlight w:val="none"/>
          <w:lang w:eastAsia="zh-CN"/>
        </w:rPr>
        <w:t>.</w:t>
      </w:r>
      <w:r>
        <w:rPr>
          <w:rFonts w:hint="eastAsia" w:hAnsi="宋体"/>
          <w:b/>
          <w:color w:val="auto"/>
          <w:highlight w:val="none"/>
        </w:rPr>
        <w:t>投标保证金：无</w:t>
      </w:r>
    </w:p>
    <w:p w14:paraId="00E8E2D6">
      <w:pPr>
        <w:pStyle w:val="18"/>
        <w:pageBreakBefore w:val="0"/>
        <w:widowControl w:val="0"/>
        <w:shd w:val="clear"/>
        <w:kinsoku/>
        <w:wordWrap/>
        <w:overflowPunct/>
        <w:topLinePunct w:val="0"/>
        <w:autoSpaceDE/>
        <w:autoSpaceDN/>
        <w:bidi w:val="0"/>
        <w:spacing w:line="360" w:lineRule="auto"/>
        <w:ind w:firstLine="422" w:firstLineChars="200"/>
        <w:jc w:val="left"/>
        <w:textAlignment w:val="auto"/>
        <w:rPr>
          <w:rFonts w:hint="eastAsia" w:ascii="宋体" w:hAnsi="宋体" w:eastAsia="宋体" w:cs="Courier New"/>
          <w:b/>
          <w:color w:val="auto"/>
          <w:highlight w:val="none"/>
        </w:rPr>
      </w:pPr>
      <w:r>
        <w:rPr>
          <w:rFonts w:hint="eastAsia" w:ascii="宋体" w:hAnsi="宋体" w:eastAsia="宋体" w:cs="Courier New"/>
          <w:b/>
          <w:color w:val="auto"/>
          <w:highlight w:val="none"/>
          <w:lang w:val="en-US" w:eastAsia="zh-CN"/>
        </w:rPr>
        <w:t>10.</w:t>
      </w:r>
      <w:r>
        <w:rPr>
          <w:rFonts w:hint="eastAsia" w:ascii="宋体" w:hAnsi="宋体" w:eastAsia="宋体" w:cs="Courier New"/>
          <w:b/>
          <w:color w:val="auto"/>
          <w:highlight w:val="none"/>
        </w:rPr>
        <w:t>业务咨询：</w:t>
      </w:r>
    </w:p>
    <w:p w14:paraId="5418C535">
      <w:pPr>
        <w:pStyle w:val="18"/>
        <w:pageBreakBefore w:val="0"/>
        <w:widowControl w:val="0"/>
        <w:shd w:val="clear"/>
        <w:kinsoku/>
        <w:wordWrap/>
        <w:overflowPunct/>
        <w:topLinePunct w:val="0"/>
        <w:autoSpaceDE/>
        <w:autoSpaceDN/>
        <w:bidi w:val="0"/>
        <w:spacing w:line="360" w:lineRule="auto"/>
        <w:ind w:firstLine="420" w:firstLineChars="200"/>
        <w:jc w:val="left"/>
        <w:textAlignment w:val="auto"/>
        <w:rPr>
          <w:rFonts w:hint="eastAsia" w:hAnsi="宋体" w:eastAsia="宋体"/>
          <w:color w:val="auto"/>
          <w:highlight w:val="none"/>
          <w:lang w:eastAsia="zh-CN"/>
        </w:rPr>
      </w:pPr>
      <w:r>
        <w:rPr>
          <w:rFonts w:hint="eastAsia" w:ascii="宋体" w:hAnsi="宋体" w:cs="宋体"/>
          <w:color w:val="auto"/>
          <w:highlight w:val="none"/>
        </w:rPr>
        <w:t>浙江义乌市自来水有限公司：</w:t>
      </w:r>
      <w:r>
        <w:rPr>
          <w:rFonts w:hint="eastAsia" w:hAnsi="宋体" w:cs="宋体"/>
          <w:color w:val="auto"/>
          <w:highlight w:val="none"/>
          <w:lang w:eastAsia="zh-CN"/>
        </w:rPr>
        <w:t>宣先生</w:t>
      </w:r>
      <w:r>
        <w:rPr>
          <w:rFonts w:hint="eastAsia" w:hAnsi="宋体" w:cs="宋体"/>
          <w:color w:val="auto"/>
          <w:highlight w:val="none"/>
          <w:lang w:val="en-US" w:eastAsia="zh-CN"/>
        </w:rPr>
        <w:t xml:space="preserve"> </w:t>
      </w:r>
      <w:r>
        <w:rPr>
          <w:rFonts w:hint="eastAsia" w:ascii="宋体" w:hAnsi="宋体" w:cs="宋体"/>
          <w:color w:val="auto"/>
          <w:highlight w:val="none"/>
        </w:rPr>
        <w:t>13957908348</w:t>
      </w:r>
    </w:p>
    <w:p w14:paraId="749E9034">
      <w:pPr>
        <w:pageBreakBefore w:val="0"/>
        <w:widowControl w:val="0"/>
        <w:shd w:val="clear"/>
        <w:kinsoku/>
        <w:wordWrap/>
        <w:overflowPunct/>
        <w:topLinePunct w:val="0"/>
        <w:autoSpaceDE/>
        <w:autoSpaceDN/>
        <w:bidi w:val="0"/>
        <w:snapToGrid w:val="0"/>
        <w:spacing w:line="360" w:lineRule="auto"/>
        <w:ind w:firstLine="411" w:firstLineChars="196"/>
        <w:textAlignment w:val="auto"/>
        <w:rPr>
          <w:rFonts w:cs="宋体"/>
          <w:color w:val="auto"/>
          <w:highlight w:val="none"/>
          <w:lang w:val="zh-CN"/>
        </w:rPr>
      </w:pPr>
      <w:r>
        <w:rPr>
          <w:rFonts w:hint="eastAsia" w:hAnsi="宋体"/>
          <w:color w:val="auto"/>
          <w:highlight w:val="none"/>
        </w:rPr>
        <w:t>义乌产权交易所有限公司：</w:t>
      </w:r>
      <w:r>
        <w:rPr>
          <w:rFonts w:hint="eastAsia" w:ascii="宋体" w:hAnsi="宋体" w:cs="宋体"/>
          <w:color w:val="auto"/>
          <w:szCs w:val="21"/>
          <w:highlight w:val="none"/>
          <w:lang w:val="en-US" w:eastAsia="zh-CN"/>
        </w:rPr>
        <w:t>陶</w:t>
      </w:r>
      <w:r>
        <w:rPr>
          <w:rFonts w:hint="eastAsia" w:ascii="宋体" w:hAnsi="宋体" w:cs="宋体"/>
          <w:color w:val="auto"/>
          <w:szCs w:val="21"/>
          <w:highlight w:val="none"/>
        </w:rPr>
        <w:t>小姐  0579-</w:t>
      </w:r>
      <w:r>
        <w:rPr>
          <w:rFonts w:hint="eastAsia" w:ascii="宋体" w:hAnsi="宋体" w:cs="宋体"/>
          <w:color w:val="auto"/>
          <w:szCs w:val="21"/>
          <w:highlight w:val="none"/>
          <w:lang w:val="en-US" w:eastAsia="zh-CN"/>
        </w:rPr>
        <w:t>89906887</w:t>
      </w:r>
    </w:p>
    <w:p w14:paraId="77A7B1D5">
      <w:pPr>
        <w:pStyle w:val="18"/>
        <w:pageBreakBefore w:val="0"/>
        <w:widowControl w:val="0"/>
        <w:shd w:val="clear"/>
        <w:kinsoku/>
        <w:wordWrap/>
        <w:overflowPunct/>
        <w:topLinePunct w:val="0"/>
        <w:autoSpaceDE/>
        <w:autoSpaceDN/>
        <w:bidi w:val="0"/>
        <w:adjustRightInd w:val="0"/>
        <w:snapToGrid w:val="0"/>
        <w:spacing w:line="360" w:lineRule="auto"/>
        <w:textAlignment w:val="auto"/>
        <w:rPr>
          <w:rFonts w:hAnsi="宋体"/>
          <w:color w:val="auto"/>
          <w:highlight w:val="none"/>
        </w:rPr>
      </w:pPr>
    </w:p>
    <w:p w14:paraId="4FFE6305">
      <w:pPr>
        <w:pStyle w:val="18"/>
        <w:pageBreakBefore w:val="0"/>
        <w:widowControl w:val="0"/>
        <w:shd w:val="clear"/>
        <w:kinsoku/>
        <w:wordWrap/>
        <w:overflowPunct/>
        <w:topLinePunct w:val="0"/>
        <w:autoSpaceDE/>
        <w:autoSpaceDN/>
        <w:bidi w:val="0"/>
        <w:adjustRightInd w:val="0"/>
        <w:snapToGrid w:val="0"/>
        <w:spacing w:line="360" w:lineRule="auto"/>
        <w:jc w:val="right"/>
        <w:textAlignment w:val="auto"/>
        <w:rPr>
          <w:rFonts w:hint="eastAsia" w:hAnsi="宋体"/>
          <w:color w:val="auto"/>
          <w:highlight w:val="none"/>
        </w:rPr>
      </w:pPr>
      <w:r>
        <w:rPr>
          <w:rFonts w:hint="eastAsia" w:ascii="宋体" w:hAnsi="宋体" w:cs="宋体"/>
          <w:color w:val="auto"/>
          <w:highlight w:val="none"/>
        </w:rPr>
        <w:t>浙江义乌市自来水有限公司</w:t>
      </w:r>
    </w:p>
    <w:p w14:paraId="034D36EC">
      <w:pPr>
        <w:pStyle w:val="18"/>
        <w:pageBreakBefore w:val="0"/>
        <w:widowControl w:val="0"/>
        <w:shd w:val="clear"/>
        <w:kinsoku/>
        <w:wordWrap/>
        <w:overflowPunct/>
        <w:topLinePunct w:val="0"/>
        <w:autoSpaceDE/>
        <w:autoSpaceDN/>
        <w:bidi w:val="0"/>
        <w:adjustRightInd w:val="0"/>
        <w:snapToGrid w:val="0"/>
        <w:spacing w:line="360" w:lineRule="auto"/>
        <w:jc w:val="right"/>
        <w:textAlignment w:val="auto"/>
        <w:rPr>
          <w:rFonts w:hAnsi="宋体"/>
          <w:color w:val="auto"/>
          <w:highlight w:val="none"/>
        </w:rPr>
      </w:pPr>
      <w:r>
        <w:rPr>
          <w:rFonts w:hint="eastAsia" w:hAnsi="宋体"/>
          <w:color w:val="auto"/>
          <w:highlight w:val="none"/>
        </w:rPr>
        <w:t>义乌产权交易所有限公司</w:t>
      </w:r>
    </w:p>
    <w:p w14:paraId="23DFCEBB">
      <w:pPr>
        <w:pStyle w:val="18"/>
        <w:pageBreakBefore w:val="0"/>
        <w:widowControl w:val="0"/>
        <w:shd w:val="clear"/>
        <w:kinsoku/>
        <w:wordWrap/>
        <w:overflowPunct/>
        <w:topLinePunct w:val="0"/>
        <w:autoSpaceDE/>
        <w:autoSpaceDN/>
        <w:bidi w:val="0"/>
        <w:adjustRightInd w:val="0"/>
        <w:snapToGrid w:val="0"/>
        <w:spacing w:line="360" w:lineRule="auto"/>
        <w:jc w:val="right"/>
        <w:textAlignment w:val="auto"/>
        <w:rPr>
          <w:rFonts w:hint="eastAsia" w:hAnsi="宋体"/>
          <w:color w:val="auto"/>
          <w:sz w:val="24"/>
          <w:highlight w:val="none"/>
        </w:rPr>
      </w:pPr>
      <w:r>
        <w:rPr>
          <w:rFonts w:hint="eastAsia" w:hAnsi="宋体"/>
          <w:color w:val="auto"/>
          <w:highlight w:val="none"/>
        </w:rPr>
        <w:t>202</w:t>
      </w:r>
      <w:r>
        <w:rPr>
          <w:rFonts w:hint="eastAsia" w:hAnsi="宋体"/>
          <w:color w:val="auto"/>
          <w:highlight w:val="none"/>
          <w:lang w:val="en-US" w:eastAsia="zh-CN"/>
        </w:rPr>
        <w:t>5</w:t>
      </w:r>
      <w:r>
        <w:rPr>
          <w:rFonts w:hint="eastAsia" w:hAnsi="宋体"/>
          <w:color w:val="auto"/>
          <w:highlight w:val="none"/>
        </w:rPr>
        <w:t>年</w:t>
      </w:r>
      <w:r>
        <w:rPr>
          <w:rFonts w:hint="eastAsia" w:hAnsi="宋体"/>
          <w:color w:val="auto"/>
          <w:highlight w:val="none"/>
          <w:lang w:val="en-US" w:eastAsia="zh-CN"/>
        </w:rPr>
        <w:t>10</w:t>
      </w:r>
      <w:r>
        <w:rPr>
          <w:rFonts w:hint="eastAsia" w:hAnsi="宋体"/>
          <w:color w:val="auto"/>
          <w:highlight w:val="none"/>
        </w:rPr>
        <w:t>月</w:t>
      </w:r>
      <w:r>
        <w:rPr>
          <w:rFonts w:hint="eastAsia" w:hAnsi="宋体"/>
          <w:color w:val="auto"/>
          <w:highlight w:val="none"/>
          <w:lang w:val="en-US" w:eastAsia="zh-CN"/>
        </w:rPr>
        <w:t>31</w:t>
      </w:r>
      <w:r>
        <w:rPr>
          <w:rFonts w:hint="eastAsia" w:hAnsi="宋体"/>
          <w:color w:val="auto"/>
          <w:highlight w:val="none"/>
        </w:rPr>
        <w:t>日</w:t>
      </w:r>
    </w:p>
    <w:p w14:paraId="471F519B">
      <w:pPr>
        <w:pStyle w:val="4"/>
        <w:keepNext/>
        <w:keepLines/>
        <w:pageBreakBefore w:val="0"/>
        <w:widowControl w:val="0"/>
        <w:numPr>
          <w:ilvl w:val="0"/>
          <w:numId w:val="0"/>
        </w:numPr>
        <w:shd w:val="clear"/>
        <w:kinsoku/>
        <w:wordWrap/>
        <w:overflowPunct/>
        <w:topLinePunct w:val="0"/>
        <w:autoSpaceDE/>
        <w:autoSpaceDN/>
        <w:bidi w:val="0"/>
        <w:adjustRightInd/>
        <w:snapToGrid/>
        <w:spacing w:before="340" w:after="330" w:line="360" w:lineRule="auto"/>
        <w:ind w:left="0" w:leftChars="0" w:right="0" w:rightChars="0"/>
        <w:jc w:val="center"/>
        <w:textAlignment w:val="auto"/>
        <w:rPr>
          <w:rFonts w:ascii="Times New Roman" w:hAnsi="Times New Roman" w:eastAsia="宋体" w:cs="Times New Roman"/>
          <w:b/>
          <w:bCs/>
          <w:color w:val="auto"/>
          <w:kern w:val="44"/>
          <w:sz w:val="36"/>
          <w:szCs w:val="44"/>
          <w:highlight w:val="none"/>
          <w:lang w:val="en-US" w:eastAsia="zh-CN" w:bidi="ar-SA"/>
        </w:rPr>
      </w:pPr>
      <w:bookmarkStart w:id="3" w:name="_Toc10680"/>
      <w:r>
        <w:rPr>
          <w:rFonts w:hint="eastAsia" w:ascii="Times New Roman" w:hAnsi="Times New Roman" w:eastAsia="宋体" w:cs="Times New Roman"/>
          <w:b/>
          <w:bCs/>
          <w:color w:val="auto"/>
          <w:kern w:val="44"/>
          <w:sz w:val="36"/>
          <w:szCs w:val="44"/>
          <w:highlight w:val="none"/>
          <w:lang w:val="en-US" w:eastAsia="zh-CN" w:bidi="ar-SA"/>
        </w:rPr>
        <w:br w:type="page"/>
      </w:r>
      <w:bookmarkStart w:id="4" w:name="_Toc32320"/>
      <w:r>
        <w:rPr>
          <w:rFonts w:hint="eastAsia" w:ascii="Times New Roman" w:hAnsi="Times New Roman" w:eastAsia="宋体" w:cs="Times New Roman"/>
          <w:b/>
          <w:bCs/>
          <w:color w:val="auto"/>
          <w:kern w:val="44"/>
          <w:sz w:val="36"/>
          <w:szCs w:val="44"/>
          <w:highlight w:val="none"/>
          <w:lang w:val="en-US" w:eastAsia="zh-CN" w:bidi="ar-SA"/>
        </w:rPr>
        <w:t>第二章　投标须知和投标须知前附表</w:t>
      </w:r>
      <w:bookmarkEnd w:id="3"/>
      <w:bookmarkEnd w:id="4"/>
    </w:p>
    <w:p w14:paraId="36A1ACC9">
      <w:pPr>
        <w:shd w:val="clear"/>
        <w:spacing w:line="360" w:lineRule="auto"/>
        <w:ind w:firstLine="602" w:firstLineChars="200"/>
        <w:jc w:val="center"/>
        <w:rPr>
          <w:rFonts w:hint="eastAsia" w:ascii="宋体" w:hAnsi="宋体"/>
          <w:b/>
          <w:color w:val="auto"/>
          <w:sz w:val="30"/>
          <w:szCs w:val="30"/>
          <w:highlight w:val="none"/>
        </w:rPr>
      </w:pPr>
      <w:r>
        <w:rPr>
          <w:rFonts w:hint="eastAsia" w:ascii="宋体" w:hAnsi="宋体"/>
          <w:b/>
          <w:color w:val="auto"/>
          <w:sz w:val="30"/>
          <w:szCs w:val="30"/>
          <w:highlight w:val="none"/>
        </w:rPr>
        <w:t>投标须知前附表</w:t>
      </w:r>
    </w:p>
    <w:tbl>
      <w:tblPr>
        <w:tblStyle w:val="38"/>
        <w:tblW w:w="99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670"/>
        <w:gridCol w:w="7560"/>
      </w:tblGrid>
      <w:tr w14:paraId="591C9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297A18FE">
            <w:pPr>
              <w:shd w:val="clear"/>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9230" w:type="dxa"/>
            <w:gridSpan w:val="2"/>
            <w:tcBorders>
              <w:top w:val="single" w:color="auto" w:sz="4" w:space="0"/>
              <w:left w:val="single" w:color="auto" w:sz="4" w:space="0"/>
              <w:bottom w:val="single" w:color="auto" w:sz="4" w:space="0"/>
              <w:right w:val="single" w:color="auto" w:sz="4" w:space="0"/>
            </w:tcBorders>
            <w:noWrap w:val="0"/>
            <w:vAlign w:val="center"/>
          </w:tcPr>
          <w:p w14:paraId="0FA15CF5">
            <w:pPr>
              <w:shd w:val="clear"/>
              <w:jc w:val="center"/>
              <w:rPr>
                <w:rFonts w:ascii="宋体" w:hAnsi="宋体" w:cs="宋体"/>
                <w:b/>
                <w:color w:val="auto"/>
                <w:sz w:val="24"/>
                <w:highlight w:val="none"/>
              </w:rPr>
            </w:pPr>
            <w:r>
              <w:rPr>
                <w:rFonts w:hint="eastAsia" w:ascii="宋体" w:hAnsi="宋体" w:cs="宋体"/>
                <w:b/>
                <w:color w:val="auto"/>
                <w:sz w:val="24"/>
                <w:highlight w:val="none"/>
              </w:rPr>
              <w:t>内容规定</w:t>
            </w:r>
          </w:p>
        </w:tc>
      </w:tr>
      <w:tr w14:paraId="13727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229B4E08">
            <w:pPr>
              <w:pageBreakBefore w:val="0"/>
              <w:widowControl w:val="0"/>
              <w:shd w:val="clear"/>
              <w:kinsoku/>
              <w:wordWrap/>
              <w:overflowPunct/>
              <w:topLinePunct w:val="0"/>
              <w:autoSpaceDE/>
              <w:autoSpaceDN/>
              <w:bidi w:val="0"/>
              <w:spacing w:line="400" w:lineRule="exact"/>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76F7D472">
            <w:pPr>
              <w:pageBreakBefore w:val="0"/>
              <w:widowControl w:val="0"/>
              <w:shd w:val="clear"/>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项目综合</w:t>
            </w:r>
          </w:p>
          <w:p w14:paraId="7347B308">
            <w:pPr>
              <w:pageBreakBefore w:val="0"/>
              <w:widowControl w:val="0"/>
              <w:shd w:val="clear"/>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33103E70">
            <w:pPr>
              <w:pageBreakBefore w:val="0"/>
              <w:widowControl w:val="0"/>
              <w:shd w:val="clear"/>
              <w:kinsoku/>
              <w:wordWrap/>
              <w:overflowPunct/>
              <w:topLinePunct w:val="0"/>
              <w:autoSpaceDE/>
              <w:autoSpaceDN/>
              <w:bidi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项目名称：浙江义乌市自来水有限公司</w:t>
            </w:r>
            <w:r>
              <w:rPr>
                <w:rFonts w:hint="eastAsia" w:ascii="宋体" w:hAnsi="宋体" w:eastAsia="宋体" w:cs="宋体"/>
                <w:color w:val="auto"/>
                <w:sz w:val="21"/>
                <w:szCs w:val="21"/>
                <w:highlight w:val="none"/>
                <w:lang w:val="en-US" w:eastAsia="zh-CN"/>
              </w:rPr>
              <w:t>2026年度</w:t>
            </w:r>
            <w:r>
              <w:rPr>
                <w:rFonts w:hint="eastAsia" w:ascii="宋体" w:hAnsi="宋体" w:eastAsia="宋体" w:cs="宋体"/>
                <w:color w:val="auto"/>
                <w:sz w:val="21"/>
                <w:szCs w:val="21"/>
                <w:highlight w:val="none"/>
                <w:lang w:eastAsia="zh-CN"/>
              </w:rPr>
              <w:t>污泥清运处置</w:t>
            </w:r>
            <w:r>
              <w:rPr>
                <w:rFonts w:hint="eastAsia" w:ascii="宋体" w:hAnsi="宋体" w:eastAsia="宋体" w:cs="宋体"/>
                <w:color w:val="auto"/>
                <w:sz w:val="21"/>
                <w:szCs w:val="21"/>
                <w:highlight w:val="none"/>
              </w:rPr>
              <w:t>采购项目</w:t>
            </w:r>
          </w:p>
          <w:p w14:paraId="150AA515">
            <w:pPr>
              <w:pageBreakBefore w:val="0"/>
              <w:widowControl w:val="0"/>
              <w:shd w:val="clear"/>
              <w:kinsoku/>
              <w:wordWrap/>
              <w:overflowPunct/>
              <w:topLinePunct w:val="0"/>
              <w:autoSpaceDE/>
              <w:autoSpaceDN/>
              <w:bidi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采购内容及数量：</w:t>
            </w:r>
            <w:r>
              <w:rPr>
                <w:rFonts w:hint="eastAsia" w:ascii="宋体" w:hAnsi="宋体" w:eastAsia="宋体" w:cs="宋体"/>
                <w:color w:val="auto"/>
                <w:sz w:val="21"/>
                <w:szCs w:val="21"/>
                <w:highlight w:val="none"/>
                <w:lang w:val="en-US" w:eastAsia="zh-CN"/>
              </w:rPr>
              <w:t>2026年度</w:t>
            </w:r>
            <w:r>
              <w:rPr>
                <w:rFonts w:hint="eastAsia" w:ascii="宋体" w:hAnsi="宋体" w:cs="宋体"/>
                <w:color w:val="auto"/>
                <w:szCs w:val="21"/>
                <w:highlight w:val="none"/>
                <w:lang w:val="en-US" w:eastAsia="zh-CN"/>
              </w:rPr>
              <w:t>污泥清运处置</w:t>
            </w:r>
            <w:r>
              <w:rPr>
                <w:rFonts w:hint="eastAsia" w:ascii="宋体" w:hAnsi="宋体" w:cs="宋体"/>
                <w:color w:val="auto"/>
                <w:szCs w:val="21"/>
                <w:highlight w:val="none"/>
                <w:lang w:eastAsia="zh-CN"/>
              </w:rPr>
              <w:t>，</w:t>
            </w:r>
            <w:r>
              <w:rPr>
                <w:rFonts w:hint="eastAsia" w:ascii="宋体" w:hAnsi="宋体" w:eastAsia="宋体" w:cs="宋体"/>
                <w:color w:val="auto"/>
                <w:sz w:val="21"/>
                <w:szCs w:val="21"/>
                <w:highlight w:val="none"/>
              </w:rPr>
              <w:t xml:space="preserve">具体详见第三章招标项目要求。           </w:t>
            </w:r>
          </w:p>
        </w:tc>
      </w:tr>
      <w:tr w14:paraId="59A1A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5D5E8817">
            <w:pPr>
              <w:pageBreakBefore w:val="0"/>
              <w:widowControl w:val="0"/>
              <w:shd w:val="clear"/>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5FD500AC">
            <w:pPr>
              <w:pageBreakBefore w:val="0"/>
              <w:widowControl w:val="0"/>
              <w:shd w:val="clear"/>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招标方式</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2656055F">
            <w:pPr>
              <w:pageBreakBefore w:val="0"/>
              <w:widowControl w:val="0"/>
              <w:shd w:val="clear"/>
              <w:kinsoku/>
              <w:wordWrap/>
              <w:overflowPunct/>
              <w:topLinePunct w:val="0"/>
              <w:autoSpaceDE/>
              <w:autoSpaceDN/>
              <w:bidi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公开招标                       </w:t>
            </w:r>
          </w:p>
        </w:tc>
      </w:tr>
      <w:tr w14:paraId="6BB95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2FAA997C">
            <w:pPr>
              <w:pageBreakBefore w:val="0"/>
              <w:widowControl w:val="0"/>
              <w:shd w:val="clear"/>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57F6686D">
            <w:pPr>
              <w:pageBreakBefore w:val="0"/>
              <w:widowControl w:val="0"/>
              <w:shd w:val="clear"/>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投标单位</w:t>
            </w:r>
          </w:p>
          <w:p w14:paraId="10FE6C14">
            <w:pPr>
              <w:pageBreakBefore w:val="0"/>
              <w:widowControl w:val="0"/>
              <w:shd w:val="clear"/>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资格要求</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5B5DD41D">
            <w:pPr>
              <w:pageBreakBefore w:val="0"/>
              <w:widowControl w:val="0"/>
              <w:shd w:val="clear"/>
              <w:kinsoku/>
              <w:wordWrap/>
              <w:overflowPunct/>
              <w:topLinePunct w:val="0"/>
              <w:autoSpaceDE/>
              <w:autoSpaceDN/>
              <w:bidi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详见招标公告</w:t>
            </w:r>
          </w:p>
        </w:tc>
      </w:tr>
      <w:tr w14:paraId="638CE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78279C78">
            <w:pPr>
              <w:pageBreakBefore w:val="0"/>
              <w:widowControl w:val="0"/>
              <w:shd w:val="clear"/>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7A4FC473">
            <w:pPr>
              <w:pageBreakBefore w:val="0"/>
              <w:widowControl w:val="0"/>
              <w:shd w:val="clear"/>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评标办法</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48336C89">
            <w:pPr>
              <w:pageBreakBefore w:val="0"/>
              <w:widowControl w:val="0"/>
              <w:shd w:val="clear"/>
              <w:kinsoku/>
              <w:wordWrap/>
              <w:overflowPunct/>
              <w:topLinePunct w:val="0"/>
              <w:autoSpaceDE/>
              <w:autoSpaceDN/>
              <w:bidi w:val="0"/>
              <w:spacing w:line="40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val="en-US" w:eastAsia="zh-CN"/>
              </w:rPr>
              <w:t>最低评标价</w:t>
            </w:r>
            <w:r>
              <w:rPr>
                <w:rFonts w:hint="eastAsia" w:ascii="宋体" w:hAnsi="宋体" w:eastAsia="宋体" w:cs="宋体"/>
                <w:color w:val="auto"/>
                <w:sz w:val="21"/>
                <w:szCs w:val="21"/>
                <w:highlight w:val="none"/>
              </w:rPr>
              <w:t>法</w:t>
            </w:r>
          </w:p>
        </w:tc>
      </w:tr>
      <w:tr w14:paraId="457FF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2C826A2B">
            <w:pPr>
              <w:pageBreakBefore w:val="0"/>
              <w:widowControl w:val="0"/>
              <w:shd w:val="clear"/>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21B5F467">
            <w:pPr>
              <w:shd w:val="clear"/>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期</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0DC4532A">
            <w:pPr>
              <w:shd w:val="clear"/>
              <w:spacing w:line="360" w:lineRule="exact"/>
              <w:rPr>
                <w:rFonts w:hint="eastAsia" w:ascii="宋体" w:hAnsi="宋体" w:eastAsia="宋体" w:cs="宋体"/>
                <w:color w:val="auto"/>
                <w:sz w:val="21"/>
                <w:szCs w:val="21"/>
                <w:highlight w:val="none"/>
                <w:lang w:val="en-US" w:eastAsia="zh-CN"/>
              </w:rPr>
            </w:pPr>
            <w:r>
              <w:rPr>
                <w:rFonts w:hint="eastAsia" w:hAnsi="宋体" w:cs="宋体"/>
                <w:color w:val="auto"/>
                <w:highlight w:val="none"/>
              </w:rPr>
              <w:t>合同签订</w:t>
            </w:r>
            <w:r>
              <w:rPr>
                <w:rFonts w:hint="eastAsia" w:hAnsi="宋体" w:cs="宋体"/>
                <w:color w:val="auto"/>
                <w:highlight w:val="none"/>
                <w:lang w:val="en-US" w:eastAsia="zh-CN"/>
              </w:rPr>
              <w:t>之日起</w:t>
            </w:r>
            <w:r>
              <w:rPr>
                <w:rFonts w:hint="eastAsia" w:hAnsi="宋体" w:cs="宋体"/>
                <w:color w:val="auto"/>
                <w:highlight w:val="none"/>
              </w:rPr>
              <w:t>1年</w:t>
            </w:r>
          </w:p>
        </w:tc>
      </w:tr>
      <w:tr w14:paraId="717B2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2D0980A5">
            <w:pPr>
              <w:pageBreakBefore w:val="0"/>
              <w:widowControl w:val="0"/>
              <w:shd w:val="clear"/>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361FDB30">
            <w:pPr>
              <w:pageBreakBefore w:val="0"/>
              <w:widowControl w:val="0"/>
              <w:shd w:val="clear"/>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招标文件获取时间和地点</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66A7B312">
            <w:pPr>
              <w:pageBreakBefore w:val="0"/>
              <w:widowControl w:val="0"/>
              <w:shd w:val="clear"/>
              <w:kinsoku/>
              <w:wordWrap/>
              <w:overflowPunct/>
              <w:topLinePunct w:val="0"/>
              <w:autoSpaceDE/>
              <w:autoSpaceDN/>
              <w:bidi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详见招标公告</w:t>
            </w:r>
          </w:p>
        </w:tc>
      </w:tr>
      <w:tr w14:paraId="7DA7D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2C0049BB">
            <w:pPr>
              <w:pageBreakBefore w:val="0"/>
              <w:widowControl w:val="0"/>
              <w:shd w:val="clear"/>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1840082F">
            <w:pPr>
              <w:pageBreakBefore w:val="0"/>
              <w:widowControl w:val="0"/>
              <w:shd w:val="clear"/>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现场踏勘时间</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28A7B963">
            <w:pPr>
              <w:pageBreakBefore w:val="0"/>
              <w:widowControl w:val="0"/>
              <w:shd w:val="clear"/>
              <w:kinsoku/>
              <w:wordWrap/>
              <w:overflowPunct/>
              <w:topLinePunct w:val="0"/>
              <w:autoSpaceDE/>
              <w:autoSpaceDN/>
              <w:bidi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投标前，投标人须自行到项目所在地予以踏勘，对项目实施现场及周边环境等进行勘察，以获取编制投标文件和签署合同所需的所有资料，否则，由此所造成的一切后果由投标人自行承担。</w:t>
            </w:r>
          </w:p>
        </w:tc>
      </w:tr>
      <w:tr w14:paraId="5EDAE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3"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778BE1E8">
            <w:pPr>
              <w:pageBreakBefore w:val="0"/>
              <w:widowControl w:val="0"/>
              <w:shd w:val="clear"/>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53EEA9D5">
            <w:pPr>
              <w:pageBreakBefore w:val="0"/>
              <w:widowControl w:val="0"/>
              <w:shd w:val="clear"/>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技术答疑</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130FEACB">
            <w:pPr>
              <w:pageBreakBefore w:val="0"/>
              <w:widowControl w:val="0"/>
              <w:shd w:val="clear"/>
              <w:kinsoku/>
              <w:wordWrap/>
              <w:overflowPunct/>
              <w:topLinePunct w:val="0"/>
              <w:autoSpaceDE/>
              <w:autoSpaceDN/>
              <w:bidi w:val="0"/>
              <w:spacing w:line="400" w:lineRule="exact"/>
              <w:textAlignment w:val="auto"/>
              <w:rPr>
                <w:rFonts w:hint="eastAsia" w:ascii="宋体" w:hAnsi="宋体" w:eastAsia="宋体" w:cs="宋体"/>
                <w:color w:val="auto"/>
                <w:sz w:val="21"/>
                <w:szCs w:val="21"/>
                <w:highlight w:val="none"/>
              </w:rPr>
            </w:pPr>
            <w:r>
              <w:rPr>
                <w:rFonts w:hint="eastAsia" w:ascii="宋体" w:hAnsi="宋体" w:cs="宋体"/>
                <w:color w:val="auto"/>
                <w:highlight w:val="none"/>
              </w:rPr>
              <w:t>供应商认为采购文件使自己的权益受到损害的，请于202</w:t>
            </w:r>
            <w:r>
              <w:rPr>
                <w:rFonts w:hint="eastAsia" w:ascii="宋体" w:hAnsi="宋体" w:cs="宋体"/>
                <w:color w:val="auto"/>
                <w:highlight w:val="none"/>
                <w:lang w:val="en-US" w:eastAsia="zh-CN"/>
              </w:rPr>
              <w:t>5</w:t>
            </w:r>
            <w:r>
              <w:rPr>
                <w:rFonts w:hint="eastAsia" w:ascii="宋体" w:hAnsi="宋体" w:cs="宋体"/>
                <w:color w:val="auto"/>
                <w:highlight w:val="none"/>
              </w:rPr>
              <w:t>年</w:t>
            </w:r>
            <w:r>
              <w:rPr>
                <w:rFonts w:hint="eastAsia" w:ascii="宋体" w:hAnsi="宋体" w:cs="宋体"/>
                <w:color w:val="auto"/>
                <w:highlight w:val="none"/>
                <w:lang w:val="en-US" w:eastAsia="zh-CN"/>
              </w:rPr>
              <w:t>11月10日17</w:t>
            </w:r>
            <w:r>
              <w:rPr>
                <w:rFonts w:hint="eastAsia" w:ascii="宋体" w:hAnsi="宋体" w:cs="宋体"/>
                <w:color w:val="auto"/>
                <w:highlight w:val="none"/>
              </w:rPr>
              <w:t>:00前以书面形式向采购人和采购代理机构提出质疑。质疑以书面方式分别提交至浙江义乌市自来水有限公司：</w:t>
            </w:r>
            <w:r>
              <w:rPr>
                <w:rFonts w:hint="eastAsia" w:ascii="宋体" w:hAnsi="宋体" w:cs="宋体"/>
                <w:color w:val="auto"/>
                <w:highlight w:val="none"/>
                <w:lang w:eastAsia="zh-CN"/>
              </w:rPr>
              <w:t>宣先生</w:t>
            </w:r>
            <w:r>
              <w:rPr>
                <w:rFonts w:hint="eastAsia" w:ascii="宋体" w:hAnsi="宋体" w:cs="宋体"/>
                <w:color w:val="auto"/>
                <w:highlight w:val="none"/>
              </w:rPr>
              <w:t>（</w:t>
            </w:r>
            <w:r>
              <w:rPr>
                <w:rFonts w:hint="eastAsia" w:ascii="宋体" w:hAnsi="宋体" w:cs="宋体"/>
                <w:color w:val="auto"/>
                <w:highlight w:val="none"/>
                <w:lang w:val="en-US" w:eastAsia="zh-CN"/>
              </w:rPr>
              <w:t>13957908348</w:t>
            </w:r>
            <w:r>
              <w:rPr>
                <w:rFonts w:hint="eastAsia" w:ascii="宋体" w:hAnsi="宋体" w:cs="宋体"/>
                <w:color w:val="auto"/>
                <w:highlight w:val="none"/>
              </w:rPr>
              <w:t>）</w:t>
            </w:r>
            <w:r>
              <w:rPr>
                <w:rFonts w:hint="eastAsia" w:ascii="宋体" w:hAnsi="宋体" w:cs="宋体"/>
                <w:bCs/>
                <w:color w:val="auto"/>
                <w:highlight w:val="none"/>
              </w:rPr>
              <w:t>和义乌产权交易所有限公司：</w:t>
            </w:r>
            <w:r>
              <w:rPr>
                <w:rFonts w:hint="eastAsia" w:ascii="宋体" w:hAnsi="宋体" w:cs="宋体"/>
                <w:bCs/>
                <w:color w:val="auto"/>
                <w:highlight w:val="none"/>
                <w:lang w:val="en-US" w:eastAsia="zh-CN"/>
              </w:rPr>
              <w:t>王小姐</w:t>
            </w:r>
            <w:r>
              <w:rPr>
                <w:rFonts w:hint="eastAsia" w:ascii="宋体" w:hAnsi="宋体" w:cs="宋体"/>
                <w:bCs/>
                <w:color w:val="auto"/>
                <w:highlight w:val="none"/>
              </w:rPr>
              <w:t>（0579-8990</w:t>
            </w:r>
            <w:r>
              <w:rPr>
                <w:rFonts w:hint="eastAsia" w:ascii="宋体" w:hAnsi="宋体" w:cs="宋体"/>
                <w:bCs/>
                <w:color w:val="auto"/>
                <w:highlight w:val="none"/>
                <w:lang w:val="en-US" w:eastAsia="zh-CN"/>
              </w:rPr>
              <w:t>3039</w:t>
            </w:r>
            <w:r>
              <w:rPr>
                <w:rFonts w:hint="eastAsia" w:ascii="宋体" w:hAnsi="宋体" w:cs="宋体"/>
                <w:color w:val="auto"/>
                <w:highlight w:val="none"/>
              </w:rPr>
              <w:t>，ywcqztb001@ywcq.com），</w:t>
            </w: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"mailto:请于2020年3月13日17时前将质疑文件以扫描件形式发送至43367901@qq.com，并致电项目负责人0579-89919879" </w:instrText>
            </w:r>
            <w:r>
              <w:rPr>
                <w:rFonts w:hint="eastAsia" w:ascii="宋体" w:hAnsi="宋体" w:cs="宋体"/>
                <w:color w:val="auto"/>
                <w:highlight w:val="none"/>
              </w:rPr>
              <w:fldChar w:fldCharType="separate"/>
            </w:r>
            <w:r>
              <w:rPr>
                <w:rFonts w:hint="eastAsia" w:ascii="宋体" w:hAnsi="宋体" w:cs="宋体"/>
                <w:color w:val="auto"/>
                <w:highlight w:val="none"/>
              </w:rPr>
              <w:t>并致电</w:t>
            </w:r>
            <w:r>
              <w:rPr>
                <w:rFonts w:hint="eastAsia" w:ascii="宋体" w:hAnsi="宋体" w:cs="宋体"/>
                <w:color w:val="auto"/>
                <w:highlight w:val="none"/>
              </w:rPr>
              <w:fldChar w:fldCharType="end"/>
            </w:r>
            <w:r>
              <w:rPr>
                <w:rFonts w:hint="eastAsia" w:ascii="宋体" w:hAnsi="宋体" w:cs="宋体"/>
                <w:color w:val="auto"/>
                <w:highlight w:val="none"/>
              </w:rPr>
              <w:t>采购代理机构确认。书面文件邮寄地址：义乌市北苑街道望道路300号40</w:t>
            </w:r>
            <w:r>
              <w:rPr>
                <w:rFonts w:hint="eastAsia" w:ascii="宋体" w:hAnsi="宋体" w:cs="宋体"/>
                <w:color w:val="auto"/>
                <w:highlight w:val="none"/>
                <w:lang w:val="en-US" w:eastAsia="zh-CN"/>
              </w:rPr>
              <w:t>56</w:t>
            </w:r>
            <w:r>
              <w:rPr>
                <w:rFonts w:hint="eastAsia" w:ascii="宋体" w:hAnsi="宋体" w:cs="宋体"/>
                <w:color w:val="auto"/>
                <w:highlight w:val="none"/>
              </w:rPr>
              <w:t>。</w:t>
            </w:r>
          </w:p>
        </w:tc>
      </w:tr>
      <w:tr w14:paraId="0DD5D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05A86912">
            <w:pPr>
              <w:pageBreakBefore w:val="0"/>
              <w:widowControl w:val="0"/>
              <w:shd w:val="clear"/>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524DAF1D">
            <w:pPr>
              <w:pageBreakBefore w:val="0"/>
              <w:widowControl w:val="0"/>
              <w:shd w:val="clear"/>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投标有效期</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667C9044">
            <w:pPr>
              <w:pageBreakBefore w:val="0"/>
              <w:widowControl w:val="0"/>
              <w:shd w:val="clear"/>
              <w:kinsoku/>
              <w:wordWrap/>
              <w:overflowPunct/>
              <w:topLinePunct w:val="0"/>
              <w:autoSpaceDE/>
              <w:autoSpaceDN/>
              <w:bidi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自开标之日起60天（日历天）</w:t>
            </w:r>
          </w:p>
        </w:tc>
      </w:tr>
      <w:tr w14:paraId="37D99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7F56D1EA">
            <w:pPr>
              <w:pageBreakBefore w:val="0"/>
              <w:widowControl w:val="0"/>
              <w:shd w:val="clear"/>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6DB78784">
            <w:pPr>
              <w:pageBreakBefore w:val="0"/>
              <w:widowControl w:val="0"/>
              <w:shd w:val="clear"/>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上传电子投标文件时间</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1538C7A2">
            <w:pPr>
              <w:pageBreakBefore w:val="0"/>
              <w:widowControl w:val="0"/>
              <w:shd w:val="clear"/>
              <w:kinsoku/>
              <w:wordWrap/>
              <w:overflowPunct/>
              <w:topLinePunct w:val="0"/>
              <w:autoSpaceDE/>
              <w:autoSpaceDN/>
              <w:bidi w:val="0"/>
              <w:spacing w:line="4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投标人应在投标截止时间（</w:t>
            </w:r>
            <w:r>
              <w:rPr>
                <w:rFonts w:hint="eastAsia" w:ascii="宋体" w:hAnsi="宋体" w:eastAsia="宋体" w:cs="宋体"/>
                <w:color w:val="auto"/>
                <w:sz w:val="21"/>
                <w:szCs w:val="21"/>
                <w:highlight w:val="none"/>
                <w:lang w:eastAsia="zh-CN"/>
              </w:rPr>
              <w:t>202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年</w:t>
            </w:r>
            <w:r>
              <w:rPr>
                <w:rFonts w:hint="eastAsia" w:ascii="宋体" w:hAnsi="宋体" w:eastAsia="宋体" w:cs="宋体"/>
                <w:color w:val="auto"/>
                <w:sz w:val="21"/>
                <w:szCs w:val="21"/>
                <w:highlight w:val="none"/>
                <w:lang w:val="en-US" w:eastAsia="zh-CN"/>
              </w:rPr>
              <w:t>11</w:t>
            </w:r>
            <w:r>
              <w:rPr>
                <w:rFonts w:hint="eastAsia" w:ascii="宋体" w:hAnsi="宋体" w:cs="Courier New"/>
                <w:color w:val="auto"/>
                <w:szCs w:val="21"/>
                <w:highlight w:val="none"/>
                <w:lang w:eastAsia="zh-CN"/>
              </w:rPr>
              <w:t>月</w:t>
            </w:r>
            <w:r>
              <w:rPr>
                <w:rFonts w:hint="eastAsia" w:ascii="宋体" w:hAnsi="宋体" w:cs="Courier New"/>
                <w:color w:val="auto"/>
                <w:szCs w:val="21"/>
                <w:highlight w:val="none"/>
                <w:lang w:val="en-US" w:eastAsia="zh-CN"/>
              </w:rPr>
              <w:t>21</w:t>
            </w:r>
            <w:r>
              <w:rPr>
                <w:rFonts w:hint="eastAsia" w:ascii="宋体" w:hAnsi="宋体" w:cs="Courier New"/>
                <w:color w:val="auto"/>
                <w:szCs w:val="21"/>
                <w:highlight w:val="none"/>
                <w:lang w:eastAsia="zh-CN"/>
              </w:rPr>
              <w:t>日</w:t>
            </w:r>
            <w:r>
              <w:rPr>
                <w:rFonts w:hint="eastAsia" w:ascii="宋体" w:hAnsi="宋体" w:eastAsia="宋体" w:cs="宋体"/>
                <w:color w:val="auto"/>
                <w:sz w:val="21"/>
                <w:szCs w:val="21"/>
                <w:highlight w:val="none"/>
                <w:lang w:eastAsia="zh-CN"/>
              </w:rPr>
              <w:t>09</w:t>
            </w:r>
            <w:r>
              <w:rPr>
                <w:rFonts w:hint="eastAsia" w:ascii="宋体" w:hAnsi="宋体" w:eastAsia="宋体" w:cs="宋体"/>
                <w:color w:val="auto"/>
                <w:sz w:val="21"/>
                <w:szCs w:val="21"/>
                <w:highlight w:val="none"/>
              </w:rPr>
              <w:t>:30）之前上传投标文件</w:t>
            </w:r>
            <w:r>
              <w:rPr>
                <w:rFonts w:hint="eastAsia" w:ascii="宋体" w:hAnsi="宋体" w:eastAsia="宋体" w:cs="宋体"/>
                <w:color w:val="auto"/>
                <w:sz w:val="21"/>
                <w:szCs w:val="21"/>
                <w:highlight w:val="none"/>
                <w:lang w:eastAsia="zh-CN"/>
              </w:rPr>
              <w:t>。</w:t>
            </w:r>
          </w:p>
        </w:tc>
      </w:tr>
      <w:tr w14:paraId="2DB2F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2F49ACE8">
            <w:pPr>
              <w:pageBreakBefore w:val="0"/>
              <w:widowControl w:val="0"/>
              <w:shd w:val="clear"/>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39444F65">
            <w:pPr>
              <w:pageBreakBefore w:val="0"/>
              <w:widowControl w:val="0"/>
              <w:shd w:val="clear"/>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开标时间、地点及电子投标文件解密</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6CDAB909">
            <w:pPr>
              <w:shd w:val="clea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开标时间：2025年</w:t>
            </w:r>
            <w:r>
              <w:rPr>
                <w:rFonts w:hint="eastAsia" w:ascii="宋体" w:hAnsi="宋体" w:eastAsia="宋体" w:cs="宋体"/>
                <w:color w:val="auto"/>
                <w:szCs w:val="21"/>
                <w:highlight w:val="none"/>
                <w:lang w:val="en-US" w:eastAsia="zh-CN"/>
              </w:rPr>
              <w:t>11</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21</w:t>
            </w:r>
            <w:r>
              <w:rPr>
                <w:rFonts w:hint="eastAsia" w:ascii="宋体" w:hAnsi="宋体" w:eastAsia="宋体" w:cs="宋体"/>
                <w:color w:val="auto"/>
                <w:szCs w:val="21"/>
                <w:highlight w:val="none"/>
              </w:rPr>
              <w:t>日9:30</w:t>
            </w:r>
          </w:p>
          <w:p w14:paraId="20A0ADD3">
            <w:pPr>
              <w:shd w:val="clea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开标地点：“义乌市阳光招标采购平台”（</w:t>
            </w:r>
            <w:r>
              <w:rPr>
                <w:rFonts w:hint="eastAsia" w:ascii="宋体" w:hAnsi="宋体" w:eastAsia="宋体" w:cs="宋体"/>
                <w:color w:val="auto"/>
                <w:highlight w:val="none"/>
              </w:rPr>
              <w:t>www.ywygzc.com</w:t>
            </w:r>
            <w:r>
              <w:rPr>
                <w:rFonts w:hint="eastAsia" w:ascii="宋体" w:hAnsi="宋体" w:eastAsia="宋体" w:cs="宋体"/>
                <w:color w:val="auto"/>
                <w:szCs w:val="21"/>
                <w:highlight w:val="none"/>
              </w:rPr>
              <w:t>）</w:t>
            </w:r>
          </w:p>
          <w:p w14:paraId="52EBFAC8">
            <w:pPr>
              <w:shd w:val="clear"/>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本项目采用不见面开标方式，供应商无需到开标现场，但应准时参加线上开标。开标时间后代理机构公布名单并开启解密。开启解密后的30分钟内，供应商应当登录“义乌市阳光招标采购平台”，用“开标签到解密”功能或者登录“不见面开标大厅”解密投标文件。</w:t>
            </w:r>
          </w:p>
          <w:p w14:paraId="38F95F99">
            <w:pPr>
              <w:pageBreakBefore w:val="0"/>
              <w:widowControl w:val="0"/>
              <w:shd w:val="clear"/>
              <w:kinsoku/>
              <w:wordWrap/>
              <w:overflowPunct/>
              <w:topLinePunct w:val="0"/>
              <w:autoSpaceDE/>
              <w:autoSpaceDN/>
              <w:bidi w:val="0"/>
              <w:spacing w:line="400" w:lineRule="exact"/>
              <w:textAlignment w:val="auto"/>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请投标人开标前检查电脑和CA锁是否正常（确保CA锁在有效期内且CA锁介质无破损）。若收到开启解密通知后，无法解密的，可能是以下问题造成，请在收到开启解密通知15分钟内及时联系平台或招标代理进行处理，避免造成超时。</w:t>
            </w:r>
          </w:p>
          <w:p w14:paraId="5007C60A">
            <w:pPr>
              <w:pageBreakBefore w:val="0"/>
              <w:widowControl w:val="0"/>
              <w:shd w:val="clear"/>
              <w:kinsoku/>
              <w:wordWrap/>
              <w:overflowPunct/>
              <w:topLinePunct w:val="0"/>
              <w:autoSpaceDE/>
              <w:autoSpaceDN/>
              <w:bidi w:val="0"/>
              <w:spacing w:line="400" w:lineRule="exact"/>
              <w:textAlignment w:val="auto"/>
              <w:rPr>
                <w:rFonts w:hint="eastAsia" w:ascii="宋体" w:hAnsi="宋体" w:eastAsia="宋体" w:cs="宋体"/>
                <w:b w:val="0"/>
                <w:bCs w:val="0"/>
                <w:color w:val="auto"/>
                <w:highlight w:val="none"/>
                <w:lang w:eastAsia="zh-CN"/>
              </w:rPr>
            </w:pPr>
            <w:r>
              <w:rPr>
                <w:rFonts w:hint="eastAsia" w:ascii="宋体" w:hAnsi="宋体" w:eastAsia="宋体" w:cs="宋体"/>
                <w:b w:val="0"/>
                <w:bCs w:val="0"/>
                <w:color w:val="auto"/>
                <w:highlight w:val="none"/>
              </w:rPr>
              <w:t>①该电脑未安装CA驱动，无法读取CA锁——重新下载安装驱动</w:t>
            </w:r>
            <w:r>
              <w:rPr>
                <w:rFonts w:hint="eastAsia" w:ascii="宋体" w:hAnsi="宋体" w:eastAsia="宋体" w:cs="宋体"/>
                <w:b w:val="0"/>
                <w:bCs w:val="0"/>
                <w:color w:val="auto"/>
                <w:highlight w:val="none"/>
                <w:lang w:eastAsia="zh-CN"/>
              </w:rPr>
              <w:t>；</w:t>
            </w:r>
          </w:p>
          <w:p w14:paraId="23A164CD">
            <w:pPr>
              <w:pageBreakBefore w:val="0"/>
              <w:widowControl w:val="0"/>
              <w:shd w:val="clear"/>
              <w:kinsoku/>
              <w:wordWrap/>
              <w:overflowPunct/>
              <w:topLinePunct w:val="0"/>
              <w:autoSpaceDE/>
              <w:autoSpaceDN/>
              <w:bidi w:val="0"/>
              <w:spacing w:line="400" w:lineRule="exact"/>
              <w:textAlignment w:val="auto"/>
              <w:rPr>
                <w:rFonts w:hint="eastAsia" w:ascii="宋体" w:hAnsi="宋体" w:eastAsia="宋体" w:cs="宋体"/>
                <w:b w:val="0"/>
                <w:bCs w:val="0"/>
                <w:color w:val="auto"/>
                <w:highlight w:val="none"/>
                <w:lang w:eastAsia="zh-CN"/>
              </w:rPr>
            </w:pPr>
            <w:r>
              <w:rPr>
                <w:rFonts w:hint="eastAsia" w:ascii="宋体" w:hAnsi="宋体" w:eastAsia="宋体" w:cs="宋体"/>
                <w:b w:val="0"/>
                <w:bCs w:val="0"/>
                <w:color w:val="auto"/>
                <w:highlight w:val="none"/>
              </w:rPr>
              <w:t>②电脑长时间未关机应用程序未响应，导致无法读取CA锁——重启电脑或重新安装驱动</w:t>
            </w:r>
            <w:r>
              <w:rPr>
                <w:rFonts w:hint="eastAsia" w:ascii="宋体" w:hAnsi="宋体" w:eastAsia="宋体" w:cs="宋体"/>
                <w:b w:val="0"/>
                <w:bCs w:val="0"/>
                <w:color w:val="auto"/>
                <w:highlight w:val="none"/>
                <w:lang w:eastAsia="zh-CN"/>
              </w:rPr>
              <w:t>；</w:t>
            </w:r>
          </w:p>
          <w:p w14:paraId="7A95A23E">
            <w:pPr>
              <w:pageBreakBefore w:val="0"/>
              <w:widowControl w:val="0"/>
              <w:shd w:val="clear"/>
              <w:kinsoku/>
              <w:wordWrap/>
              <w:overflowPunct/>
              <w:topLinePunct w:val="0"/>
              <w:autoSpaceDE/>
              <w:autoSpaceDN/>
              <w:bidi w:val="0"/>
              <w:spacing w:line="400" w:lineRule="exact"/>
              <w:textAlignment w:val="auto"/>
              <w:rPr>
                <w:rFonts w:hint="eastAsia" w:ascii="宋体" w:hAnsi="宋体" w:eastAsia="宋体" w:cs="宋体"/>
                <w:b w:val="0"/>
                <w:bCs w:val="0"/>
                <w:color w:val="auto"/>
                <w:highlight w:val="none"/>
                <w:lang w:eastAsia="zh-CN"/>
              </w:rPr>
            </w:pPr>
            <w:r>
              <w:rPr>
                <w:rFonts w:hint="eastAsia" w:ascii="宋体" w:hAnsi="宋体" w:eastAsia="宋体" w:cs="宋体"/>
                <w:b w:val="0"/>
                <w:bCs w:val="0"/>
                <w:color w:val="auto"/>
                <w:highlight w:val="none"/>
              </w:rPr>
              <w:t>③浏览器版本过低导致无法识别——更换Egde、谷歌浏览器</w:t>
            </w:r>
            <w:r>
              <w:rPr>
                <w:rFonts w:hint="eastAsia" w:ascii="宋体" w:hAnsi="宋体" w:eastAsia="宋体" w:cs="宋体"/>
                <w:b w:val="0"/>
                <w:bCs w:val="0"/>
                <w:color w:val="auto"/>
                <w:highlight w:val="none"/>
                <w:lang w:eastAsia="zh-CN"/>
              </w:rPr>
              <w:t>；</w:t>
            </w:r>
          </w:p>
          <w:p w14:paraId="594193FD">
            <w:pPr>
              <w:pageBreakBefore w:val="0"/>
              <w:widowControl w:val="0"/>
              <w:shd w:val="clear"/>
              <w:kinsoku/>
              <w:wordWrap/>
              <w:overflowPunct/>
              <w:topLinePunct w:val="0"/>
              <w:autoSpaceDE/>
              <w:autoSpaceDN/>
              <w:bidi w:val="0"/>
              <w:spacing w:line="400" w:lineRule="exact"/>
              <w:textAlignment w:val="auto"/>
              <w:rPr>
                <w:rFonts w:hint="eastAsia" w:ascii="宋体" w:hAnsi="宋体" w:eastAsia="宋体" w:cs="宋体"/>
                <w:b w:val="0"/>
                <w:bCs w:val="0"/>
                <w:color w:val="auto"/>
                <w:highlight w:val="none"/>
                <w:lang w:eastAsia="zh-CN"/>
              </w:rPr>
            </w:pPr>
            <w:r>
              <w:rPr>
                <w:rFonts w:hint="eastAsia" w:ascii="宋体" w:hAnsi="宋体" w:eastAsia="宋体" w:cs="宋体"/>
                <w:b w:val="0"/>
                <w:bCs w:val="0"/>
                <w:color w:val="auto"/>
                <w:highlight w:val="none"/>
              </w:rPr>
              <w:t>④密码多次输入错误导致无法解密——打开CA工具进行检测密码是否正确</w:t>
            </w:r>
            <w:r>
              <w:rPr>
                <w:rFonts w:hint="eastAsia" w:ascii="宋体" w:hAnsi="宋体" w:eastAsia="宋体" w:cs="宋体"/>
                <w:b w:val="0"/>
                <w:bCs w:val="0"/>
                <w:color w:val="auto"/>
                <w:highlight w:val="none"/>
                <w:lang w:eastAsia="zh-CN"/>
              </w:rPr>
              <w:t>；</w:t>
            </w:r>
          </w:p>
          <w:p w14:paraId="231BF015">
            <w:pPr>
              <w:pageBreakBefore w:val="0"/>
              <w:widowControl w:val="0"/>
              <w:shd w:val="clear"/>
              <w:kinsoku/>
              <w:wordWrap/>
              <w:overflowPunct/>
              <w:topLinePunct w:val="0"/>
              <w:autoSpaceDE/>
              <w:autoSpaceDN/>
              <w:bidi w:val="0"/>
              <w:spacing w:line="400" w:lineRule="exact"/>
              <w:textAlignment w:val="auto"/>
              <w:rPr>
                <w:rFonts w:hint="eastAsia" w:ascii="宋体" w:hAnsi="宋体" w:eastAsia="宋体" w:cs="宋体"/>
                <w:b w:val="0"/>
                <w:bCs w:val="0"/>
                <w:color w:val="auto"/>
                <w:highlight w:val="none"/>
                <w:lang w:eastAsia="zh-CN"/>
              </w:rPr>
            </w:pPr>
            <w:r>
              <w:rPr>
                <w:rFonts w:hint="eastAsia" w:ascii="宋体" w:hAnsi="宋体" w:eastAsia="宋体" w:cs="宋体"/>
                <w:b w:val="0"/>
                <w:bCs w:val="0"/>
                <w:color w:val="auto"/>
                <w:highlight w:val="none"/>
              </w:rPr>
              <w:t>⑤因杀毒软件检测导致无法识别CA锁——关闭杀毒软件</w:t>
            </w:r>
            <w:r>
              <w:rPr>
                <w:rFonts w:hint="eastAsia" w:ascii="宋体" w:hAnsi="宋体" w:eastAsia="宋体" w:cs="宋体"/>
                <w:b w:val="0"/>
                <w:bCs w:val="0"/>
                <w:color w:val="auto"/>
                <w:highlight w:val="none"/>
                <w:lang w:eastAsia="zh-CN"/>
              </w:rPr>
              <w:t>；</w:t>
            </w:r>
          </w:p>
          <w:p w14:paraId="05684CEC">
            <w:pPr>
              <w:pageBreakBefore w:val="0"/>
              <w:widowControl w:val="0"/>
              <w:shd w:val="clear"/>
              <w:kinsoku/>
              <w:wordWrap/>
              <w:overflowPunct/>
              <w:topLinePunct w:val="0"/>
              <w:autoSpaceDE/>
              <w:autoSpaceDN/>
              <w:bidi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b w:val="0"/>
                <w:bCs w:val="0"/>
                <w:color w:val="auto"/>
                <w:highlight w:val="none"/>
              </w:rPr>
              <w:t>⑥因系统安装多版本驱动导致无法识别CA锁——卸载其他驱动或更换其他电脑安装驱动。</w:t>
            </w:r>
          </w:p>
        </w:tc>
      </w:tr>
      <w:tr w14:paraId="104C1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1DB8EB74">
            <w:pPr>
              <w:pageBreakBefore w:val="0"/>
              <w:widowControl w:val="0"/>
              <w:shd w:val="clear"/>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2C99FA6D">
            <w:pPr>
              <w:pageBreakBefore w:val="0"/>
              <w:widowControl w:val="0"/>
              <w:shd w:val="clear"/>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投标保证金</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468CC6C6">
            <w:pPr>
              <w:pageBreakBefore w:val="0"/>
              <w:widowControl w:val="0"/>
              <w:shd w:val="clear"/>
              <w:tabs>
                <w:tab w:val="left" w:pos="0"/>
              </w:tabs>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无</w:t>
            </w:r>
          </w:p>
        </w:tc>
      </w:tr>
      <w:tr w14:paraId="5F14B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7C6E7D00">
            <w:pPr>
              <w:pageBreakBefore w:val="0"/>
              <w:widowControl w:val="0"/>
              <w:shd w:val="clear"/>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69B4E6FC">
            <w:pPr>
              <w:pageBreakBefore w:val="0"/>
              <w:widowControl w:val="0"/>
              <w:shd w:val="clear"/>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履约保证金</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35651BE6">
            <w:pPr>
              <w:pageBreakBefore w:val="0"/>
              <w:widowControl w:val="0"/>
              <w:shd w:val="clear"/>
              <w:kinsoku/>
              <w:wordWrap/>
              <w:overflowPunct/>
              <w:topLinePunct w:val="0"/>
              <w:autoSpaceDE/>
              <w:autoSpaceDN/>
              <w:bidi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w:t>
            </w:r>
          </w:p>
        </w:tc>
      </w:tr>
      <w:tr w14:paraId="692B3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23A841BF">
            <w:pPr>
              <w:pageBreakBefore w:val="0"/>
              <w:widowControl w:val="0"/>
              <w:shd w:val="clear"/>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0202DA5D">
            <w:pPr>
              <w:pageBreakBefore w:val="0"/>
              <w:widowControl w:val="0"/>
              <w:shd w:val="clear"/>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付款方式</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6E5D0466">
            <w:pPr>
              <w:pageBreakBefore w:val="0"/>
              <w:widowControl w:val="0"/>
              <w:shd w:val="clear"/>
              <w:kinsoku/>
              <w:wordWrap/>
              <w:overflowPunct/>
              <w:topLinePunct w:val="0"/>
              <w:autoSpaceDE/>
              <w:autoSpaceDN/>
              <w:bidi w:val="0"/>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详见招标文件第三章。</w:t>
            </w:r>
          </w:p>
        </w:tc>
      </w:tr>
      <w:tr w14:paraId="3D020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3CE899DD">
            <w:pPr>
              <w:pageBreakBefore w:val="0"/>
              <w:widowControl w:val="0"/>
              <w:shd w:val="clear"/>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7056B726">
            <w:pPr>
              <w:pageBreakBefore w:val="0"/>
              <w:widowControl w:val="0"/>
              <w:shd w:val="clear"/>
              <w:kinsoku/>
              <w:wordWrap/>
              <w:overflowPunct/>
              <w:topLinePunct w:val="0"/>
              <w:autoSpaceDE/>
              <w:autoSpaceDN/>
              <w:bidi w:val="0"/>
              <w:spacing w:line="400" w:lineRule="exact"/>
              <w:ind w:left="-99" w:leftChars="-47"/>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失信行为处理</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5D615586">
            <w:pPr>
              <w:pageBreakBefore w:val="0"/>
              <w:widowControl w:val="0"/>
              <w:shd w:val="clear"/>
              <w:kinsoku/>
              <w:wordWrap/>
              <w:overflowPunct/>
              <w:topLinePunct w:val="0"/>
              <w:autoSpaceDE/>
              <w:autoSpaceDN/>
              <w:bidi w:val="0"/>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投标人发生下列情况之一时，除严格依法依规进行处理外，还将通报市信用管理部门，列入严重失信名单：</w:t>
            </w:r>
          </w:p>
          <w:p w14:paraId="4E0D1E19">
            <w:pPr>
              <w:pageBreakBefore w:val="0"/>
              <w:widowControl w:val="0"/>
              <w:shd w:val="clear"/>
              <w:kinsoku/>
              <w:wordWrap/>
              <w:overflowPunct/>
              <w:topLinePunct w:val="0"/>
              <w:autoSpaceDE/>
              <w:autoSpaceDN/>
              <w:bidi w:val="0"/>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（1）投标人在规定的投标有效期内撤回投标或放弃中标的；</w:t>
            </w:r>
          </w:p>
          <w:p w14:paraId="7685609A">
            <w:pPr>
              <w:pageBreakBefore w:val="0"/>
              <w:widowControl w:val="0"/>
              <w:shd w:val="clear"/>
              <w:kinsoku/>
              <w:wordWrap/>
              <w:overflowPunct/>
              <w:topLinePunct w:val="0"/>
              <w:autoSpaceDE/>
              <w:autoSpaceDN/>
              <w:bidi w:val="0"/>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（2）有意串标或提供虚假材料的；</w:t>
            </w:r>
          </w:p>
          <w:p w14:paraId="199C1CC6">
            <w:pPr>
              <w:pageBreakBefore w:val="0"/>
              <w:widowControl w:val="0"/>
              <w:shd w:val="clear"/>
              <w:kinsoku/>
              <w:wordWrap/>
              <w:overflowPunct/>
              <w:topLinePunct w:val="0"/>
              <w:autoSpaceDE/>
              <w:autoSpaceDN/>
              <w:bidi w:val="0"/>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（3）中标人在收到中标通知书后，因自身原因不能在投标有效期内和采购人签订合同。</w:t>
            </w:r>
          </w:p>
          <w:p w14:paraId="711CFF45">
            <w:pPr>
              <w:pageBreakBefore w:val="0"/>
              <w:widowControl w:val="0"/>
              <w:shd w:val="clear"/>
              <w:kinsoku/>
              <w:wordWrap/>
              <w:overflowPunct/>
              <w:topLinePunct w:val="0"/>
              <w:autoSpaceDE/>
              <w:autoSpaceDN/>
              <w:bidi w:val="0"/>
              <w:spacing w:line="400" w:lineRule="exact"/>
              <w:ind w:firstLine="210" w:firstLineChars="1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（4）中标人未在规定时间缴纳招标代理费的；</w:t>
            </w:r>
          </w:p>
          <w:p w14:paraId="04376211">
            <w:pPr>
              <w:pageBreakBefore w:val="0"/>
              <w:widowControl w:val="0"/>
              <w:shd w:val="clear"/>
              <w:kinsoku/>
              <w:wordWrap/>
              <w:overflowPunct/>
              <w:topLinePunct w:val="0"/>
              <w:autoSpaceDE/>
              <w:autoSpaceDN/>
              <w:bidi w:val="0"/>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（5）中标供应商在</w:t>
            </w:r>
            <w:r>
              <w:rPr>
                <w:rFonts w:hint="eastAsia" w:ascii="宋体" w:hAnsi="宋体" w:eastAsia="宋体" w:cs="宋体"/>
                <w:color w:val="auto"/>
                <w:sz w:val="21"/>
                <w:szCs w:val="21"/>
                <w:highlight w:val="none"/>
                <w:lang w:val="en-US" w:eastAsia="zh-CN"/>
              </w:rPr>
              <w:t>中</w:t>
            </w:r>
            <w:r>
              <w:rPr>
                <w:rFonts w:hint="eastAsia" w:ascii="宋体" w:hAnsi="宋体" w:eastAsia="宋体" w:cs="宋体"/>
                <w:color w:val="auto"/>
                <w:sz w:val="21"/>
                <w:szCs w:val="21"/>
                <w:highlight w:val="none"/>
              </w:rPr>
              <w:t>标后履约过程中未按合同约定的期限和要求履约的。</w:t>
            </w:r>
          </w:p>
          <w:p w14:paraId="097C3C91">
            <w:pPr>
              <w:pageBreakBefore w:val="0"/>
              <w:widowControl w:val="0"/>
              <w:shd w:val="clear"/>
              <w:kinsoku/>
              <w:wordWrap/>
              <w:overflowPunct/>
              <w:topLinePunct w:val="0"/>
              <w:autoSpaceDE/>
              <w:autoSpaceDN/>
              <w:bidi w:val="0"/>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（6）因中标供应商原因在</w:t>
            </w:r>
            <w:r>
              <w:rPr>
                <w:rFonts w:hint="eastAsia" w:ascii="宋体" w:hAnsi="宋体" w:eastAsia="宋体" w:cs="宋体"/>
                <w:color w:val="auto"/>
                <w:sz w:val="21"/>
                <w:szCs w:val="21"/>
                <w:highlight w:val="none"/>
                <w:lang w:val="en-US" w:eastAsia="zh-CN"/>
              </w:rPr>
              <w:t>中</w:t>
            </w:r>
            <w:r>
              <w:rPr>
                <w:rFonts w:hint="eastAsia" w:ascii="宋体" w:hAnsi="宋体" w:eastAsia="宋体" w:cs="宋体"/>
                <w:color w:val="auto"/>
                <w:sz w:val="21"/>
                <w:szCs w:val="21"/>
                <w:highlight w:val="none"/>
              </w:rPr>
              <w:t>标后履约过程中擅自终止合同的。</w:t>
            </w:r>
          </w:p>
          <w:p w14:paraId="2E9EF079">
            <w:pPr>
              <w:pageBreakBefore w:val="0"/>
              <w:widowControl w:val="0"/>
              <w:shd w:val="clear"/>
              <w:kinsoku/>
              <w:wordWrap/>
              <w:overflowPunct/>
              <w:topLinePunct w:val="0"/>
              <w:autoSpaceDE/>
              <w:autoSpaceDN/>
              <w:bidi w:val="0"/>
              <w:spacing w:line="400" w:lineRule="exact"/>
              <w:jc w:val="left"/>
              <w:textAlignment w:val="auto"/>
              <w:rPr>
                <w:rFonts w:hint="eastAsia" w:ascii="宋体" w:hAnsi="宋体" w:eastAsia="宋体" w:cs="宋体"/>
                <w:color w:val="auto"/>
                <w:sz w:val="21"/>
                <w:szCs w:val="21"/>
                <w:highlight w:val="none"/>
                <w:lang w:eastAsia="zh-TW"/>
              </w:rPr>
            </w:pPr>
            <w:r>
              <w:rPr>
                <w:rFonts w:hint="eastAsia" w:ascii="宋体" w:hAnsi="宋体" w:eastAsia="宋体" w:cs="宋体"/>
                <w:color w:val="auto"/>
                <w:sz w:val="21"/>
                <w:szCs w:val="21"/>
                <w:highlight w:val="none"/>
              </w:rPr>
              <w:t xml:space="preserve">  （7）不符合招标文件要求的其他失信行为。</w:t>
            </w:r>
          </w:p>
        </w:tc>
      </w:tr>
      <w:tr w14:paraId="59B47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07014FEE">
            <w:pPr>
              <w:pageBreakBefore w:val="0"/>
              <w:widowControl w:val="0"/>
              <w:shd w:val="clear"/>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5680A2FF">
            <w:pPr>
              <w:pageBreakBefore w:val="0"/>
              <w:widowControl w:val="0"/>
              <w:shd w:val="clear"/>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75E38497">
            <w:pPr>
              <w:pageBreakBefore w:val="0"/>
              <w:widowControl w:val="0"/>
              <w:shd w:val="clear"/>
              <w:kinsoku/>
              <w:wordWrap/>
              <w:overflowPunct/>
              <w:topLinePunct w:val="0"/>
              <w:autoSpaceDE/>
              <w:autoSpaceDN/>
              <w:bidi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1）</w:t>
            </w:r>
            <w:r>
              <w:rPr>
                <w:rFonts w:hint="eastAsia" w:ascii="宋体" w:hAnsi="宋体" w:eastAsia="宋体" w:cs="宋体"/>
                <w:b/>
                <w:color w:val="auto"/>
                <w:sz w:val="21"/>
                <w:szCs w:val="21"/>
                <w:highlight w:val="none"/>
              </w:rPr>
              <w:t>本项目设有预算价和最高限价</w:t>
            </w:r>
            <w:r>
              <w:rPr>
                <w:rFonts w:hint="eastAsia" w:ascii="宋体" w:hAnsi="宋体" w:eastAsia="宋体" w:cs="宋体"/>
                <w:color w:val="auto"/>
                <w:sz w:val="21"/>
                <w:szCs w:val="21"/>
                <w:highlight w:val="none"/>
              </w:rPr>
              <w:t>，投标报价超过</w:t>
            </w:r>
            <w:r>
              <w:rPr>
                <w:rFonts w:hint="eastAsia" w:ascii="宋体" w:hAnsi="宋体" w:eastAsia="宋体" w:cs="宋体"/>
                <w:b/>
                <w:bCs/>
                <w:color w:val="auto"/>
                <w:sz w:val="21"/>
                <w:szCs w:val="21"/>
                <w:highlight w:val="none"/>
              </w:rPr>
              <w:t>预算价及最</w:t>
            </w:r>
            <w:r>
              <w:rPr>
                <w:rFonts w:hint="eastAsia" w:ascii="宋体" w:hAnsi="宋体" w:eastAsia="宋体" w:cs="宋体"/>
                <w:b/>
                <w:color w:val="auto"/>
                <w:sz w:val="21"/>
                <w:szCs w:val="21"/>
                <w:highlight w:val="none"/>
              </w:rPr>
              <w:t>高限价的</w:t>
            </w:r>
            <w:r>
              <w:rPr>
                <w:rFonts w:hint="eastAsia" w:ascii="宋体" w:hAnsi="宋体" w:eastAsia="宋体" w:cs="宋体"/>
                <w:color w:val="auto"/>
                <w:sz w:val="21"/>
                <w:szCs w:val="21"/>
                <w:highlight w:val="none"/>
              </w:rPr>
              <w:t>，其投标为无效标。</w:t>
            </w:r>
          </w:p>
          <w:p w14:paraId="3B8BC443">
            <w:pPr>
              <w:pageBreakBefore w:val="0"/>
              <w:widowControl w:val="0"/>
              <w:shd w:val="clear"/>
              <w:kinsoku/>
              <w:wordWrap/>
              <w:overflowPunct/>
              <w:topLinePunct w:val="0"/>
              <w:autoSpaceDE/>
              <w:autoSpaceDN/>
              <w:bidi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2）招标文件中要求投标人在制作投标文件时提供的复印件，必须根据评审细则对评审的内容复印完整、清晰可辨，否则在评审时以最不利于投标人原则评审。</w:t>
            </w:r>
          </w:p>
        </w:tc>
      </w:tr>
    </w:tbl>
    <w:p w14:paraId="366D13AA">
      <w:pPr>
        <w:keepNext w:val="0"/>
        <w:keepLines w:val="0"/>
        <w:pageBreakBefore w:val="0"/>
        <w:widowControl w:val="0"/>
        <w:shd w:val="clear"/>
        <w:kinsoku/>
        <w:wordWrap/>
        <w:overflowPunct/>
        <w:topLinePunct w:val="0"/>
        <w:autoSpaceDE/>
        <w:autoSpaceDN/>
        <w:bidi w:val="0"/>
        <w:adjustRightInd/>
        <w:snapToGrid/>
        <w:spacing w:line="400" w:lineRule="exact"/>
        <w:ind w:right="-313" w:rightChars="-149"/>
        <w:textAlignment w:val="auto"/>
        <w:rPr>
          <w:rFonts w:ascii="宋体"/>
          <w:b/>
          <w:color w:val="auto"/>
          <w:szCs w:val="21"/>
          <w:highlight w:val="none"/>
        </w:rPr>
      </w:pPr>
      <w:r>
        <w:rPr>
          <w:rFonts w:hint="eastAsia" w:ascii="宋体" w:hAnsi="宋体" w:eastAsia="宋体" w:cs="宋体"/>
          <w:b/>
          <w:color w:val="auto"/>
          <w:sz w:val="21"/>
          <w:szCs w:val="21"/>
          <w:highlight w:val="none"/>
        </w:rPr>
        <w:t>注：投标人须知前附表内容与本招标文件后述内容不一致的，以投标须知前附表为准。</w:t>
      </w:r>
    </w:p>
    <w:p w14:paraId="7837EF67">
      <w:pPr>
        <w:pStyle w:val="4"/>
        <w:keepNext/>
        <w:keepLines/>
        <w:pageBreakBefore w:val="0"/>
        <w:widowControl w:val="0"/>
        <w:shd w:val="clear"/>
        <w:kinsoku/>
        <w:wordWrap/>
        <w:overflowPunct/>
        <w:topLinePunct w:val="0"/>
        <w:autoSpaceDE/>
        <w:autoSpaceDN/>
        <w:bidi w:val="0"/>
        <w:adjustRightInd/>
        <w:snapToGrid/>
        <w:spacing w:line="240" w:lineRule="exact"/>
        <w:jc w:val="center"/>
        <w:textAlignment w:val="auto"/>
        <w:rPr>
          <w:color w:val="auto"/>
          <w:sz w:val="32"/>
          <w:szCs w:val="32"/>
          <w:highlight w:val="none"/>
        </w:rPr>
      </w:pPr>
      <w:r>
        <w:rPr>
          <w:color w:val="auto"/>
          <w:sz w:val="36"/>
          <w:szCs w:val="36"/>
          <w:highlight w:val="none"/>
        </w:rPr>
        <w:br w:type="page"/>
      </w:r>
      <w:bookmarkStart w:id="5" w:name="_Toc1585"/>
      <w:bookmarkStart w:id="6" w:name="_Toc8496"/>
      <w:bookmarkStart w:id="7" w:name="_Toc32581"/>
      <w:r>
        <w:rPr>
          <w:rFonts w:hint="eastAsia"/>
          <w:color w:val="auto"/>
          <w:sz w:val="32"/>
          <w:szCs w:val="32"/>
          <w:highlight w:val="none"/>
        </w:rPr>
        <w:t>投标须知</w:t>
      </w:r>
      <w:bookmarkEnd w:id="5"/>
      <w:bookmarkEnd w:id="6"/>
      <w:bookmarkEnd w:id="7"/>
    </w:p>
    <w:p w14:paraId="05BD1540">
      <w:pPr>
        <w:pStyle w:val="5"/>
        <w:pageBreakBefore w:val="0"/>
        <w:widowControl w:val="0"/>
        <w:shd w:val="clear"/>
        <w:kinsoku/>
        <w:wordWrap/>
        <w:overflowPunct/>
        <w:topLinePunct w:val="0"/>
        <w:autoSpaceDE/>
        <w:autoSpaceDN/>
        <w:bidi w:val="0"/>
        <w:spacing w:before="120" w:after="120" w:line="360" w:lineRule="auto"/>
        <w:rPr>
          <w:rFonts w:hint="eastAsia" w:ascii="宋体" w:hAnsi="宋体" w:eastAsia="宋体" w:cs="宋体"/>
          <w:color w:val="auto"/>
          <w:sz w:val="21"/>
          <w:szCs w:val="21"/>
          <w:highlight w:val="none"/>
        </w:rPr>
      </w:pPr>
      <w:bookmarkStart w:id="8" w:name="_Toc27843"/>
      <w:bookmarkStart w:id="9" w:name="_Toc362250687"/>
      <w:bookmarkStart w:id="10" w:name="_Toc274303229"/>
      <w:bookmarkStart w:id="11" w:name="_Toc20416"/>
      <w:bookmarkStart w:id="12" w:name="_Toc12752"/>
      <w:r>
        <w:rPr>
          <w:rFonts w:hint="eastAsia" w:ascii="宋体" w:hAnsi="宋体" w:eastAsia="宋体" w:cs="宋体"/>
          <w:color w:val="auto"/>
          <w:sz w:val="21"/>
          <w:szCs w:val="21"/>
          <w:highlight w:val="none"/>
        </w:rPr>
        <w:t>一、说明</w:t>
      </w:r>
      <w:bookmarkEnd w:id="8"/>
      <w:bookmarkEnd w:id="9"/>
      <w:bookmarkEnd w:id="10"/>
      <w:bookmarkEnd w:id="11"/>
      <w:bookmarkEnd w:id="12"/>
    </w:p>
    <w:p w14:paraId="7BB5D347">
      <w:pPr>
        <w:pStyle w:val="3"/>
        <w:pageBreakBefore w:val="0"/>
        <w:widowControl w:val="0"/>
        <w:shd w:val="clear"/>
        <w:kinsoku/>
        <w:wordWrap/>
        <w:overflowPunct/>
        <w:topLinePunct w:val="0"/>
        <w:autoSpaceDE/>
        <w:autoSpaceDN/>
        <w:bidi w:val="0"/>
        <w:adjustRightInd w:val="0"/>
        <w:snapToGrid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w:t>
      </w:r>
      <w:r>
        <w:rPr>
          <w:rFonts w:hint="eastAsia" w:ascii="宋体" w:hAnsi="宋体" w:cs="宋体"/>
          <w:b/>
          <w:bCs/>
          <w:color w:val="auto"/>
          <w:sz w:val="21"/>
          <w:szCs w:val="21"/>
          <w:highlight w:val="none"/>
          <w:lang w:eastAsia="zh-CN"/>
        </w:rPr>
        <w:t>.</w:t>
      </w:r>
      <w:r>
        <w:rPr>
          <w:rFonts w:hint="eastAsia" w:ascii="宋体" w:hAnsi="宋体" w:eastAsia="宋体" w:cs="宋体"/>
          <w:b/>
          <w:bCs/>
          <w:color w:val="auto"/>
          <w:sz w:val="21"/>
          <w:szCs w:val="21"/>
          <w:highlight w:val="none"/>
        </w:rPr>
        <w:t>适用范围</w:t>
      </w:r>
    </w:p>
    <w:p w14:paraId="25D8A4D1">
      <w:pPr>
        <w:pStyle w:val="3"/>
        <w:pageBreakBefore w:val="0"/>
        <w:widowControl w:val="0"/>
        <w:shd w:val="clear"/>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 本招标文件仅适用于本次招标采购所叙述的货物和服务项目。</w:t>
      </w:r>
    </w:p>
    <w:p w14:paraId="034ED563">
      <w:pPr>
        <w:pStyle w:val="3"/>
        <w:pageBreakBefore w:val="0"/>
        <w:widowControl w:val="0"/>
        <w:shd w:val="clear"/>
        <w:kinsoku/>
        <w:wordWrap/>
        <w:overflowPunct/>
        <w:topLinePunct w:val="0"/>
        <w:autoSpaceDE/>
        <w:autoSpaceDN/>
        <w:bidi w:val="0"/>
        <w:adjustRightInd w:val="0"/>
        <w:snapToGrid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w:t>
      </w:r>
      <w:r>
        <w:rPr>
          <w:rFonts w:hint="eastAsia" w:ascii="宋体" w:hAnsi="宋体" w:cs="宋体"/>
          <w:b/>
          <w:bCs/>
          <w:color w:val="auto"/>
          <w:sz w:val="21"/>
          <w:szCs w:val="21"/>
          <w:highlight w:val="none"/>
          <w:lang w:eastAsia="zh-CN"/>
        </w:rPr>
        <w:t>.</w:t>
      </w:r>
      <w:r>
        <w:rPr>
          <w:rFonts w:hint="eastAsia" w:ascii="宋体" w:hAnsi="宋体" w:eastAsia="宋体" w:cs="宋体"/>
          <w:b/>
          <w:bCs/>
          <w:color w:val="auto"/>
          <w:sz w:val="21"/>
          <w:szCs w:val="21"/>
          <w:highlight w:val="none"/>
        </w:rPr>
        <w:t>定义</w:t>
      </w:r>
    </w:p>
    <w:p w14:paraId="4062113A">
      <w:pPr>
        <w:pStyle w:val="18"/>
        <w:pageBreakBefore w:val="0"/>
        <w:widowControl w:val="0"/>
        <w:shd w:val="clear"/>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2.1采购人：系指</w:t>
      </w:r>
      <w:r>
        <w:rPr>
          <w:rFonts w:hint="eastAsia" w:hAnsi="宋体" w:cs="宋体"/>
          <w:color w:val="auto"/>
          <w:highlight w:val="none"/>
        </w:rPr>
        <w:t>浙江义乌市自来水有限公司。</w:t>
      </w:r>
    </w:p>
    <w:p w14:paraId="285D5B67">
      <w:pPr>
        <w:pStyle w:val="18"/>
        <w:pageBreakBefore w:val="0"/>
        <w:widowControl w:val="0"/>
        <w:shd w:val="clear"/>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2.2招标代理机构：系指义乌产权交易所有限公司。</w:t>
      </w:r>
    </w:p>
    <w:p w14:paraId="6B58CE54">
      <w:pPr>
        <w:pStyle w:val="18"/>
        <w:pageBreakBefore w:val="0"/>
        <w:widowControl w:val="0"/>
        <w:shd w:val="clear"/>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2.3投标人：系指符合招标公告要求的投标供应商。</w:t>
      </w:r>
    </w:p>
    <w:p w14:paraId="21C5B8CE">
      <w:pPr>
        <w:pStyle w:val="3"/>
        <w:pageBreakBefore w:val="0"/>
        <w:widowControl w:val="0"/>
        <w:shd w:val="clear"/>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2.4服务：</w:t>
      </w:r>
      <w:r>
        <w:rPr>
          <w:rFonts w:hint="eastAsia" w:ascii="宋体" w:hAnsi="宋体" w:eastAsia="宋体" w:cs="宋体"/>
          <w:color w:val="auto"/>
          <w:kern w:val="0"/>
          <w:sz w:val="21"/>
          <w:szCs w:val="21"/>
          <w:highlight w:val="none"/>
        </w:rPr>
        <w:t>系指</w:t>
      </w:r>
      <w:r>
        <w:rPr>
          <w:rFonts w:hint="eastAsia" w:ascii="宋体" w:hAnsi="宋体" w:eastAsia="宋体" w:cs="宋体"/>
          <w:color w:val="auto"/>
          <w:sz w:val="21"/>
          <w:szCs w:val="21"/>
          <w:highlight w:val="none"/>
        </w:rPr>
        <w:t>招标文件规定投标人须承担的劳务及其他类似的服务。</w:t>
      </w:r>
    </w:p>
    <w:p w14:paraId="40E10A1D">
      <w:pPr>
        <w:pStyle w:val="20"/>
        <w:pageBreakBefore w:val="0"/>
        <w:widowControl w:val="0"/>
        <w:shd w:val="clear"/>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2.5货物：系指按招标文件规定投标人须向采购人提供的一切材料、设备、机械、仪器仪表、工具及其他有关技术资料和文字材料。</w:t>
      </w:r>
    </w:p>
    <w:p w14:paraId="752EEDBA">
      <w:pPr>
        <w:pStyle w:val="3"/>
        <w:pageBreakBefore w:val="0"/>
        <w:widowControl w:val="0"/>
        <w:shd w:val="clear"/>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2.6需方：即采购人，在招投标阶段称为采购人，在签订和执行合同阶段称为需方。</w:t>
      </w:r>
    </w:p>
    <w:p w14:paraId="17202EC7">
      <w:pPr>
        <w:pStyle w:val="3"/>
        <w:pageBreakBefore w:val="0"/>
        <w:widowControl w:val="0"/>
        <w:shd w:val="clear"/>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2.7供方：在招投标阶段称为投标人，中标后在签订和执行合同阶段称为供方。</w:t>
      </w:r>
    </w:p>
    <w:p w14:paraId="07FA2337">
      <w:pPr>
        <w:pStyle w:val="20"/>
        <w:pageBreakBefore w:val="0"/>
        <w:widowControl w:val="0"/>
        <w:shd w:val="clear"/>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2.8“原产地”是指货物开采、生长或生产或提供有关服务的来源地。</w:t>
      </w:r>
    </w:p>
    <w:p w14:paraId="6EED97D2">
      <w:pPr>
        <w:pStyle w:val="20"/>
        <w:pageBreakBefore w:val="0"/>
        <w:widowControl w:val="0"/>
        <w:shd w:val="clear"/>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2.9“★”标记系指必须满足不能负偏离或必须应答的条款。</w:t>
      </w:r>
    </w:p>
    <w:p w14:paraId="3274A941">
      <w:pPr>
        <w:pStyle w:val="3"/>
        <w:pageBreakBefore w:val="0"/>
        <w:widowControl w:val="0"/>
        <w:shd w:val="clear"/>
        <w:kinsoku/>
        <w:wordWrap/>
        <w:overflowPunct/>
        <w:topLinePunct w:val="0"/>
        <w:autoSpaceDE/>
        <w:autoSpaceDN/>
        <w:bidi w:val="0"/>
        <w:adjustRightInd w:val="0"/>
        <w:snapToGrid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w:t>
      </w:r>
      <w:r>
        <w:rPr>
          <w:rFonts w:hint="eastAsia" w:ascii="宋体" w:hAnsi="宋体" w:cs="宋体"/>
          <w:b/>
          <w:bCs/>
          <w:color w:val="auto"/>
          <w:sz w:val="21"/>
          <w:szCs w:val="21"/>
          <w:highlight w:val="none"/>
          <w:lang w:eastAsia="zh-CN"/>
        </w:rPr>
        <w:t>.</w:t>
      </w:r>
      <w:r>
        <w:rPr>
          <w:rFonts w:hint="eastAsia" w:ascii="宋体" w:hAnsi="宋体" w:eastAsia="宋体" w:cs="宋体"/>
          <w:b/>
          <w:bCs/>
          <w:color w:val="auto"/>
          <w:sz w:val="21"/>
          <w:szCs w:val="21"/>
          <w:highlight w:val="none"/>
        </w:rPr>
        <w:t>合格的投标人</w:t>
      </w:r>
    </w:p>
    <w:p w14:paraId="69382989">
      <w:pPr>
        <w:pStyle w:val="3"/>
        <w:pageBreakBefore w:val="0"/>
        <w:widowControl w:val="0"/>
        <w:shd w:val="clear"/>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3.1符合招标公告中要求的条件；</w:t>
      </w:r>
    </w:p>
    <w:p w14:paraId="2E66CA1D">
      <w:pPr>
        <w:pStyle w:val="18"/>
        <w:pageBreakBefore w:val="0"/>
        <w:widowControl w:val="0"/>
        <w:shd w:val="clear"/>
        <w:kinsoku/>
        <w:wordWrap/>
        <w:overflowPunct/>
        <w:topLinePunct w:val="0"/>
        <w:autoSpaceDE/>
        <w:autoSpaceDN/>
        <w:bidi w:val="0"/>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4</w:t>
      </w:r>
      <w:r>
        <w:rPr>
          <w:rFonts w:hint="eastAsia" w:hAnsi="宋体" w:cs="宋体"/>
          <w:b/>
          <w:color w:val="auto"/>
          <w:sz w:val="21"/>
          <w:szCs w:val="21"/>
          <w:highlight w:val="none"/>
          <w:lang w:eastAsia="zh-CN"/>
        </w:rPr>
        <w:t>.</w:t>
      </w:r>
      <w:r>
        <w:rPr>
          <w:rFonts w:hint="eastAsia" w:ascii="宋体" w:hAnsi="宋体" w:eastAsia="宋体" w:cs="宋体"/>
          <w:b/>
          <w:color w:val="auto"/>
          <w:sz w:val="21"/>
          <w:szCs w:val="21"/>
          <w:highlight w:val="none"/>
        </w:rPr>
        <w:t>保证</w:t>
      </w:r>
    </w:p>
    <w:p w14:paraId="0CFE06C2">
      <w:pPr>
        <w:pStyle w:val="18"/>
        <w:pageBreakBefore w:val="0"/>
        <w:widowControl w:val="0"/>
        <w:shd w:val="clear"/>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4.1投标单位应保证所提交给招标机构和采购人的资料和数据是真实的。</w:t>
      </w:r>
    </w:p>
    <w:p w14:paraId="3D82126B">
      <w:pPr>
        <w:pStyle w:val="18"/>
        <w:pageBreakBefore w:val="0"/>
        <w:widowControl w:val="0"/>
        <w:shd w:val="clear"/>
        <w:kinsoku/>
        <w:wordWrap/>
        <w:overflowPunct/>
        <w:topLinePunct w:val="0"/>
        <w:autoSpaceDE/>
        <w:autoSpaceDN/>
        <w:bidi w:val="0"/>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5</w:t>
      </w:r>
      <w:r>
        <w:rPr>
          <w:rFonts w:hint="eastAsia" w:hAnsi="宋体" w:cs="宋体"/>
          <w:b/>
          <w:color w:val="auto"/>
          <w:sz w:val="21"/>
          <w:szCs w:val="21"/>
          <w:highlight w:val="none"/>
          <w:lang w:eastAsia="zh-CN"/>
        </w:rPr>
        <w:t>.</w:t>
      </w:r>
      <w:r>
        <w:rPr>
          <w:rFonts w:hint="eastAsia" w:ascii="宋体" w:hAnsi="宋体" w:eastAsia="宋体" w:cs="宋体"/>
          <w:b/>
          <w:color w:val="auto"/>
          <w:sz w:val="21"/>
          <w:szCs w:val="21"/>
          <w:highlight w:val="none"/>
        </w:rPr>
        <w:t>招标投标费用</w:t>
      </w:r>
    </w:p>
    <w:p w14:paraId="18B06D0E">
      <w:pPr>
        <w:pStyle w:val="18"/>
        <w:pageBreakBefore w:val="0"/>
        <w:widowControl w:val="0"/>
        <w:shd w:val="clear"/>
        <w:kinsoku/>
        <w:wordWrap/>
        <w:overflowPunct/>
        <w:topLinePunct w:val="0"/>
        <w:autoSpaceDE/>
        <w:autoSpaceDN/>
        <w:bidi w:val="0"/>
        <w:spacing w:line="360" w:lineRule="auto"/>
        <w:ind w:firstLine="420" w:firstLineChars="20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5.1不论投标过程中的做法和结果如何，投标人应承担所有与投标有关的全部费用。采购人和采购代理机构在任何情况下均无义务和责任承担上述这些费用。</w:t>
      </w:r>
    </w:p>
    <w:p w14:paraId="06A6D0F6">
      <w:pPr>
        <w:pStyle w:val="18"/>
        <w:pageBreakBefore w:val="0"/>
        <w:widowControl w:val="0"/>
        <w:shd w:val="clear"/>
        <w:kinsoku/>
        <w:wordWrap/>
        <w:overflowPunct/>
        <w:topLinePunct w:val="0"/>
        <w:autoSpaceDE/>
        <w:autoSpaceDN/>
        <w:bidi w:val="0"/>
        <w:spacing w:line="360" w:lineRule="auto"/>
        <w:ind w:firstLine="48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6</w:t>
      </w:r>
      <w:r>
        <w:rPr>
          <w:rFonts w:hint="eastAsia" w:hAnsi="宋体" w:cs="宋体"/>
          <w:b/>
          <w:color w:val="auto"/>
          <w:sz w:val="21"/>
          <w:szCs w:val="21"/>
          <w:highlight w:val="none"/>
          <w:lang w:eastAsia="zh-CN"/>
        </w:rPr>
        <w:t>.</w:t>
      </w:r>
      <w:r>
        <w:rPr>
          <w:rFonts w:hint="eastAsia" w:ascii="宋体" w:hAnsi="宋体" w:eastAsia="宋体" w:cs="宋体"/>
          <w:b/>
          <w:color w:val="auto"/>
          <w:sz w:val="21"/>
          <w:szCs w:val="21"/>
          <w:highlight w:val="none"/>
        </w:rPr>
        <w:t xml:space="preserve">现场勘察 </w:t>
      </w:r>
    </w:p>
    <w:p w14:paraId="46114ED2">
      <w:pPr>
        <w:pStyle w:val="18"/>
        <w:pageBreakBefore w:val="0"/>
        <w:widowControl w:val="0"/>
        <w:shd w:val="clear"/>
        <w:kinsoku/>
        <w:wordWrap/>
        <w:overflowPunct/>
        <w:topLinePunct w:val="0"/>
        <w:autoSpaceDE/>
        <w:autoSpaceDN/>
        <w:bidi w:val="0"/>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6.1投标前，投标人须自行到项目所在地予以踏勘，对项目实施现场及周边环境等进行勘察，以获取编制投标文件和签署合同所需的所有资料，否则，由此所造成的一切后果由投标人自行承担。</w:t>
      </w:r>
    </w:p>
    <w:p w14:paraId="2E6D0810">
      <w:pPr>
        <w:pStyle w:val="18"/>
        <w:pageBreakBefore w:val="0"/>
        <w:widowControl w:val="0"/>
        <w:shd w:val="clear"/>
        <w:kinsoku/>
        <w:wordWrap/>
        <w:overflowPunct/>
        <w:topLinePunct w:val="0"/>
        <w:autoSpaceDE/>
        <w:autoSpaceDN/>
        <w:bidi w:val="0"/>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6.2投标单位在考察过程中发生的各类事件及所发生的各项费用，均由投标单位自行承担。采购人和代理机构概不负责。</w:t>
      </w:r>
    </w:p>
    <w:p w14:paraId="2CF8F3BE">
      <w:pPr>
        <w:pStyle w:val="18"/>
        <w:pageBreakBefore w:val="0"/>
        <w:widowControl w:val="0"/>
        <w:shd w:val="clear"/>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6.3采购人向投标单位提供的有关现场的数据和资料，是采购人现有的能被投标人利用的资料，采购人对投标人据此做出的任何推论、理解和结论不负责任。</w:t>
      </w:r>
    </w:p>
    <w:p w14:paraId="6FBDB37E">
      <w:pPr>
        <w:pageBreakBefore w:val="0"/>
        <w:widowControl w:val="0"/>
        <w:shd w:val="clear"/>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6.4现场踏勘完毕，将认为投标人已了解现场情况，并充分理解了为之所承担的风险、义务和责任。</w:t>
      </w:r>
    </w:p>
    <w:p w14:paraId="34D0902A">
      <w:pPr>
        <w:pageBreakBefore w:val="0"/>
        <w:widowControl w:val="0"/>
        <w:shd w:val="clear"/>
        <w:kinsoku/>
        <w:wordWrap/>
        <w:overflowPunct/>
        <w:topLinePunct w:val="0"/>
        <w:autoSpaceDE/>
        <w:autoSpaceDN/>
        <w:bidi w:val="0"/>
        <w:adjustRightInd w:val="0"/>
        <w:snapToGrid w:val="0"/>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7</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联合体投标</w:t>
      </w:r>
    </w:p>
    <w:p w14:paraId="1AB1B5ED">
      <w:pPr>
        <w:pageBreakBefore w:val="0"/>
        <w:widowControl w:val="0"/>
        <w:shd w:val="clear"/>
        <w:kinsoku/>
        <w:wordWrap/>
        <w:overflowPunct/>
        <w:topLinePunct w:val="0"/>
        <w:autoSpaceDE/>
        <w:autoSpaceDN/>
        <w:bidi w:val="0"/>
        <w:adjustRightInd w:val="0"/>
        <w:snapToGrid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本项目不允许转包。</w:t>
      </w:r>
    </w:p>
    <w:p w14:paraId="49F9EB02">
      <w:pPr>
        <w:pageBreakBefore w:val="0"/>
        <w:widowControl w:val="0"/>
        <w:shd w:val="clear"/>
        <w:kinsoku/>
        <w:wordWrap/>
        <w:overflowPunct/>
        <w:topLinePunct w:val="0"/>
        <w:autoSpaceDE/>
        <w:autoSpaceDN/>
        <w:bidi w:val="0"/>
        <w:adjustRightInd w:val="0"/>
        <w:snapToGrid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本项目不允许分包。</w:t>
      </w:r>
    </w:p>
    <w:p w14:paraId="7862413C">
      <w:pPr>
        <w:pageBreakBefore w:val="0"/>
        <w:widowControl w:val="0"/>
        <w:shd w:val="clear"/>
        <w:kinsoku/>
        <w:wordWrap/>
        <w:overflowPunct/>
        <w:topLinePunct w:val="0"/>
        <w:autoSpaceDE/>
        <w:autoSpaceDN/>
        <w:bidi w:val="0"/>
        <w:adjustRightInd w:val="0"/>
        <w:snapToGrid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本项目不接受联合体投标。</w:t>
      </w:r>
    </w:p>
    <w:p w14:paraId="2D0B48AB">
      <w:pPr>
        <w:pStyle w:val="5"/>
        <w:pageBreakBefore w:val="0"/>
        <w:widowControl w:val="0"/>
        <w:shd w:val="clear"/>
        <w:kinsoku/>
        <w:wordWrap/>
        <w:overflowPunct/>
        <w:topLinePunct w:val="0"/>
        <w:autoSpaceDE/>
        <w:autoSpaceDN/>
        <w:bidi w:val="0"/>
        <w:spacing w:before="120" w:after="120" w:line="360" w:lineRule="auto"/>
        <w:rPr>
          <w:rFonts w:hint="eastAsia" w:ascii="宋体" w:hAnsi="宋体" w:eastAsia="宋体" w:cs="宋体"/>
          <w:color w:val="auto"/>
          <w:sz w:val="21"/>
          <w:szCs w:val="21"/>
          <w:highlight w:val="none"/>
        </w:rPr>
      </w:pPr>
      <w:bookmarkStart w:id="13" w:name="_Toc274303230"/>
      <w:bookmarkStart w:id="14" w:name="_Toc12737"/>
      <w:bookmarkStart w:id="15" w:name="_Toc29212"/>
      <w:bookmarkStart w:id="16" w:name="_Toc28170"/>
      <w:bookmarkStart w:id="17" w:name="_Toc362250688"/>
      <w:r>
        <w:rPr>
          <w:rFonts w:hint="eastAsia" w:ascii="宋体" w:hAnsi="宋体" w:eastAsia="宋体" w:cs="宋体"/>
          <w:color w:val="auto"/>
          <w:sz w:val="21"/>
          <w:szCs w:val="21"/>
          <w:highlight w:val="none"/>
        </w:rPr>
        <w:t>二、招标文件</w:t>
      </w:r>
      <w:bookmarkEnd w:id="13"/>
      <w:bookmarkEnd w:id="14"/>
      <w:bookmarkEnd w:id="15"/>
      <w:bookmarkEnd w:id="16"/>
      <w:bookmarkEnd w:id="17"/>
    </w:p>
    <w:p w14:paraId="3F2CF788">
      <w:pPr>
        <w:pageBreakBefore w:val="0"/>
        <w:widowControl w:val="0"/>
        <w:shd w:val="clear"/>
        <w:kinsoku/>
        <w:wordWrap/>
        <w:overflowPunct/>
        <w:topLinePunct w:val="0"/>
        <w:autoSpaceDE/>
        <w:autoSpaceDN/>
        <w:bidi w:val="0"/>
        <w:adjustRightInd w:val="0"/>
        <w:snapToGrid w:val="0"/>
        <w:spacing w:before="50" w:after="50"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8</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招标文件的组成</w:t>
      </w:r>
    </w:p>
    <w:p w14:paraId="309DE9DA">
      <w:pPr>
        <w:pageBreakBefore w:val="0"/>
        <w:widowControl w:val="0"/>
        <w:shd w:val="clear"/>
        <w:kinsoku/>
        <w:wordWrap/>
        <w:overflowPunct/>
        <w:topLinePunct w:val="0"/>
        <w:autoSpaceDE/>
        <w:autoSpaceDN/>
        <w:bidi w:val="0"/>
        <w:adjustRightInd w:val="0"/>
        <w:snapToGrid w:val="0"/>
        <w:spacing w:before="50" w:after="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8.1招标文件包括下列内容：</w:t>
      </w:r>
    </w:p>
    <w:p w14:paraId="2EB21427">
      <w:pPr>
        <w:pageBreakBefore w:val="0"/>
        <w:widowControl w:val="0"/>
        <w:shd w:val="clear"/>
        <w:kinsoku/>
        <w:wordWrap/>
        <w:overflowPunct/>
        <w:topLinePunct w:val="0"/>
        <w:autoSpaceDE/>
        <w:autoSpaceDN/>
        <w:bidi w:val="0"/>
        <w:adjustRightInd w:val="0"/>
        <w:snapToGrid w:val="0"/>
        <w:spacing w:before="50" w:after="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第一章  招标公告</w:t>
      </w:r>
    </w:p>
    <w:p w14:paraId="05C9BC7B">
      <w:pPr>
        <w:pageBreakBefore w:val="0"/>
        <w:widowControl w:val="0"/>
        <w:shd w:val="clear"/>
        <w:kinsoku/>
        <w:wordWrap/>
        <w:overflowPunct/>
        <w:topLinePunct w:val="0"/>
        <w:autoSpaceDE/>
        <w:autoSpaceDN/>
        <w:bidi w:val="0"/>
        <w:adjustRightInd w:val="0"/>
        <w:snapToGrid w:val="0"/>
        <w:spacing w:before="50" w:after="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第二章  投标须知和投标须知前附表</w:t>
      </w:r>
    </w:p>
    <w:p w14:paraId="5BEE9516">
      <w:pPr>
        <w:pageBreakBefore w:val="0"/>
        <w:widowControl w:val="0"/>
        <w:shd w:val="clear"/>
        <w:kinsoku/>
        <w:wordWrap/>
        <w:overflowPunct/>
        <w:topLinePunct w:val="0"/>
        <w:autoSpaceDE/>
        <w:autoSpaceDN/>
        <w:bidi w:val="0"/>
        <w:adjustRightInd w:val="0"/>
        <w:snapToGrid w:val="0"/>
        <w:spacing w:before="50" w:after="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第三章  招标项目要求</w:t>
      </w:r>
    </w:p>
    <w:p w14:paraId="1E6A5C73">
      <w:pPr>
        <w:pageBreakBefore w:val="0"/>
        <w:widowControl w:val="0"/>
        <w:shd w:val="clear"/>
        <w:kinsoku/>
        <w:wordWrap/>
        <w:overflowPunct/>
        <w:topLinePunct w:val="0"/>
        <w:autoSpaceDE/>
        <w:autoSpaceDN/>
        <w:bidi w:val="0"/>
        <w:adjustRightInd w:val="0"/>
        <w:snapToGrid w:val="0"/>
        <w:spacing w:before="50" w:after="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第四章  开标、评标和定标须知</w:t>
      </w:r>
    </w:p>
    <w:p w14:paraId="719F93CF">
      <w:pPr>
        <w:pageBreakBefore w:val="0"/>
        <w:widowControl w:val="0"/>
        <w:shd w:val="clear"/>
        <w:kinsoku/>
        <w:wordWrap/>
        <w:overflowPunct/>
        <w:topLinePunct w:val="0"/>
        <w:autoSpaceDE/>
        <w:autoSpaceDN/>
        <w:bidi w:val="0"/>
        <w:adjustRightInd w:val="0"/>
        <w:snapToGrid w:val="0"/>
        <w:spacing w:before="50" w:after="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第五章  投标文件的有效性</w:t>
      </w:r>
    </w:p>
    <w:p w14:paraId="6B9E2DEA">
      <w:pPr>
        <w:pageBreakBefore w:val="0"/>
        <w:widowControl w:val="0"/>
        <w:shd w:val="clear"/>
        <w:kinsoku/>
        <w:wordWrap/>
        <w:overflowPunct/>
        <w:topLinePunct w:val="0"/>
        <w:autoSpaceDE/>
        <w:autoSpaceDN/>
        <w:bidi w:val="0"/>
        <w:adjustRightInd w:val="0"/>
        <w:snapToGrid w:val="0"/>
        <w:spacing w:before="50" w:after="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第六章  评标办法</w:t>
      </w:r>
    </w:p>
    <w:p w14:paraId="74F8729F">
      <w:pPr>
        <w:pageBreakBefore w:val="0"/>
        <w:widowControl w:val="0"/>
        <w:shd w:val="clear"/>
        <w:kinsoku/>
        <w:wordWrap/>
        <w:overflowPunct/>
        <w:topLinePunct w:val="0"/>
        <w:autoSpaceDE/>
        <w:autoSpaceDN/>
        <w:bidi w:val="0"/>
        <w:adjustRightInd w:val="0"/>
        <w:snapToGrid w:val="0"/>
        <w:spacing w:before="50" w:after="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第七章  合同主要条款</w:t>
      </w:r>
    </w:p>
    <w:p w14:paraId="7188E064">
      <w:pPr>
        <w:pageBreakBefore w:val="0"/>
        <w:widowControl w:val="0"/>
        <w:shd w:val="clear"/>
        <w:kinsoku/>
        <w:wordWrap/>
        <w:overflowPunct/>
        <w:topLinePunct w:val="0"/>
        <w:autoSpaceDE/>
        <w:autoSpaceDN/>
        <w:bidi w:val="0"/>
        <w:adjustRightInd w:val="0"/>
        <w:snapToGrid w:val="0"/>
        <w:spacing w:before="50" w:after="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第八章  投标文件部分格式</w:t>
      </w:r>
    </w:p>
    <w:p w14:paraId="70A2A4FC">
      <w:pPr>
        <w:pageBreakBefore w:val="0"/>
        <w:widowControl w:val="0"/>
        <w:shd w:val="clear"/>
        <w:kinsoku/>
        <w:wordWrap/>
        <w:overflowPunct/>
        <w:topLinePunct w:val="0"/>
        <w:autoSpaceDE/>
        <w:autoSpaceDN/>
        <w:bidi w:val="0"/>
        <w:adjustRightInd w:val="0"/>
        <w:snapToGrid w:val="0"/>
        <w:spacing w:before="50" w:after="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8.2除8.1内容外，采购人以书面形式发出的对招标文件的澄清或修改内容，均为招标文件的组成部分，对采购人和投标人起约束作用。</w:t>
      </w:r>
    </w:p>
    <w:p w14:paraId="71711D59">
      <w:pPr>
        <w:pageBreakBefore w:val="0"/>
        <w:widowControl w:val="0"/>
        <w:shd w:val="clear"/>
        <w:kinsoku/>
        <w:wordWrap/>
        <w:overflowPunct/>
        <w:topLinePunct w:val="0"/>
        <w:autoSpaceDE/>
        <w:autoSpaceDN/>
        <w:bidi w:val="0"/>
        <w:adjustRightInd w:val="0"/>
        <w:snapToGrid w:val="0"/>
        <w:spacing w:before="50" w:after="5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8.3上述所列8.1及8.2条内容均以书面文件为准，采购人（招标代理机构）的任何工作人员对投标人所作的任何口头解释、介绍、答复，对采购人和投标人无任何约束力。</w:t>
      </w:r>
    </w:p>
    <w:p w14:paraId="57D0BC33">
      <w:pPr>
        <w:pageBreakBefore w:val="0"/>
        <w:widowControl w:val="0"/>
        <w:shd w:val="clear"/>
        <w:kinsoku/>
        <w:wordWrap/>
        <w:overflowPunct/>
        <w:topLinePunct w:val="0"/>
        <w:autoSpaceDE/>
        <w:autoSpaceDN/>
        <w:bidi w:val="0"/>
        <w:adjustRightInd w:val="0"/>
        <w:snapToGrid w:val="0"/>
        <w:spacing w:before="50" w:after="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8.4</w:t>
      </w:r>
      <w:r>
        <w:rPr>
          <w:rFonts w:hint="eastAsia" w:ascii="宋体" w:hAnsi="宋体" w:eastAsia="宋体" w:cs="宋体"/>
          <w:b/>
          <w:bCs/>
          <w:color w:val="auto"/>
          <w:sz w:val="21"/>
          <w:szCs w:val="21"/>
          <w:highlight w:val="none"/>
        </w:rPr>
        <w:t>投标单位应认真阅读投标须知、合同条件、规定格式、项目要求、报价要求等招标文件所有的内容。如果投标单位的投标文件不能符合招标文件的要求，责任由投标单位自负。实质上不响应招标文件要求的投标文件将被拒绝。</w:t>
      </w:r>
    </w:p>
    <w:p w14:paraId="537EF29F">
      <w:pPr>
        <w:pageBreakBefore w:val="0"/>
        <w:widowControl w:val="0"/>
        <w:shd w:val="clear"/>
        <w:kinsoku/>
        <w:wordWrap/>
        <w:overflowPunct/>
        <w:topLinePunct w:val="0"/>
        <w:autoSpaceDE/>
        <w:autoSpaceDN/>
        <w:bidi w:val="0"/>
        <w:adjustRightInd w:val="0"/>
        <w:snapToGrid w:val="0"/>
        <w:spacing w:before="50" w:after="50"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9</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招标文件的澄清</w:t>
      </w:r>
    </w:p>
    <w:p w14:paraId="1516E954">
      <w:pPr>
        <w:pStyle w:val="18"/>
        <w:pageBreakBefore w:val="0"/>
        <w:widowControl w:val="0"/>
        <w:shd w:val="clear"/>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9.1投标人若对招标文件有任何疑问，应于前附表规定的时间</w:t>
      </w:r>
      <w:r>
        <w:rPr>
          <w:rFonts w:hint="eastAsia" w:ascii="宋体" w:hAnsi="宋体" w:eastAsia="宋体" w:cs="宋体"/>
          <w:color w:val="auto"/>
          <w:sz w:val="21"/>
          <w:szCs w:val="21"/>
          <w:highlight w:val="none"/>
          <w:lang w:val="en-US" w:eastAsia="zh-CN"/>
        </w:rPr>
        <w:t>及方式</w:t>
      </w:r>
      <w:r>
        <w:rPr>
          <w:rFonts w:hint="eastAsia" w:ascii="宋体" w:hAnsi="宋体" w:eastAsia="宋体" w:cs="宋体"/>
          <w:color w:val="auto"/>
          <w:sz w:val="21"/>
          <w:szCs w:val="21"/>
          <w:highlight w:val="none"/>
        </w:rPr>
        <w:t>向采购人和代理机构提出。</w:t>
      </w:r>
    </w:p>
    <w:p w14:paraId="7528F04C">
      <w:pPr>
        <w:pStyle w:val="18"/>
        <w:pageBreakBefore w:val="0"/>
        <w:widowControl w:val="0"/>
        <w:shd w:val="clear"/>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9.2无论是采购人根据需要主动对招标文件进行必要澄清，或是根据投标人的要求对招标文件做出澄清，采购人都将答疑；答疑内容是招标文件的组成部分。</w:t>
      </w:r>
    </w:p>
    <w:p w14:paraId="60AA5CD2">
      <w:pPr>
        <w:pStyle w:val="18"/>
        <w:pageBreakBefore w:val="0"/>
        <w:widowControl w:val="0"/>
        <w:shd w:val="clear"/>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同时将书面澄清文件向所有投标人发送。投标人在收到该澄清文件后应于 一 日内，以书面或传真形式（签署意见并加盖公章）向招标代理机构回函给予确认。过期未回复的，视为默认接收。</w:t>
      </w:r>
    </w:p>
    <w:p w14:paraId="1A177AE3">
      <w:pPr>
        <w:pStyle w:val="18"/>
        <w:pageBreakBefore w:val="0"/>
        <w:widowControl w:val="0"/>
        <w:shd w:val="clear"/>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9.3投标单位在前附表规定时间未提交疑问的，视作默认对本次招标过程中招标文件无异议，采购人对其提出的问题可以不作解释。</w:t>
      </w:r>
    </w:p>
    <w:p w14:paraId="7FE3D0EB">
      <w:pPr>
        <w:pageBreakBefore w:val="0"/>
        <w:widowControl w:val="0"/>
        <w:shd w:val="clear"/>
        <w:kinsoku/>
        <w:wordWrap/>
        <w:overflowPunct/>
        <w:topLinePunct w:val="0"/>
        <w:autoSpaceDE/>
        <w:autoSpaceDN/>
        <w:bidi w:val="0"/>
        <w:spacing w:line="360" w:lineRule="auto"/>
        <w:ind w:firstLine="420" w:firstLineChars="200"/>
        <w:textAlignment w:val="baseline"/>
        <w:rPr>
          <w:rFonts w:hint="eastAsia" w:ascii="宋体" w:hAnsi="宋体" w:eastAsia="宋体" w:cs="宋体"/>
          <w:color w:val="auto"/>
          <w:spacing w:val="-4"/>
          <w:sz w:val="21"/>
          <w:szCs w:val="21"/>
          <w:highlight w:val="none"/>
        </w:rPr>
      </w:pPr>
      <w:r>
        <w:rPr>
          <w:rFonts w:hint="eastAsia" w:ascii="宋体" w:hAnsi="宋体" w:eastAsia="宋体" w:cs="宋体"/>
          <w:color w:val="auto"/>
          <w:sz w:val="21"/>
          <w:szCs w:val="21"/>
          <w:highlight w:val="none"/>
        </w:rPr>
        <w:t>9.4</w:t>
      </w:r>
      <w:r>
        <w:rPr>
          <w:rFonts w:hint="eastAsia" w:ascii="宋体" w:hAnsi="宋体" w:eastAsia="宋体" w:cs="宋体"/>
          <w:color w:val="auto"/>
          <w:spacing w:val="-4"/>
          <w:sz w:val="21"/>
          <w:szCs w:val="21"/>
          <w:highlight w:val="none"/>
        </w:rPr>
        <w:t>招标文件澄清、修改、补充等内容均以书面形式明确的内容为准。当招标文件、招标文件的澄清、修改、补充等在同一内容的表述上不一致时，以最后发出的书面文件为准。</w:t>
      </w:r>
    </w:p>
    <w:p w14:paraId="395063CE">
      <w:pPr>
        <w:pageBreakBefore w:val="0"/>
        <w:widowControl w:val="0"/>
        <w:shd w:val="clear"/>
        <w:kinsoku/>
        <w:wordWrap/>
        <w:overflowPunct/>
        <w:topLinePunct w:val="0"/>
        <w:autoSpaceDE/>
        <w:autoSpaceDN/>
        <w:bidi w:val="0"/>
        <w:spacing w:before="50" w:after="50" w:line="360" w:lineRule="auto"/>
        <w:ind w:firstLine="404" w:firstLineChars="200"/>
        <w:rPr>
          <w:rFonts w:hint="eastAsia" w:ascii="宋体" w:hAnsi="宋体" w:eastAsia="宋体" w:cs="宋体"/>
          <w:color w:val="auto"/>
          <w:spacing w:val="-6"/>
          <w:sz w:val="21"/>
          <w:szCs w:val="21"/>
          <w:highlight w:val="none"/>
        </w:rPr>
      </w:pPr>
      <w:r>
        <w:rPr>
          <w:rFonts w:hint="eastAsia" w:ascii="宋体" w:hAnsi="宋体" w:eastAsia="宋体" w:cs="宋体"/>
          <w:bCs/>
          <w:color w:val="auto"/>
          <w:spacing w:val="-4"/>
          <w:sz w:val="21"/>
          <w:szCs w:val="21"/>
          <w:highlight w:val="none"/>
        </w:rPr>
        <w:t>9.5</w:t>
      </w:r>
      <w:r>
        <w:rPr>
          <w:rFonts w:hint="eastAsia" w:ascii="宋体" w:hAnsi="宋体" w:eastAsia="宋体" w:cs="宋体"/>
          <w:color w:val="auto"/>
          <w:spacing w:val="-6"/>
          <w:sz w:val="21"/>
          <w:szCs w:val="21"/>
          <w:highlight w:val="none"/>
        </w:rPr>
        <w:t>采购人及招标代理机构工作人员向投标人所作的任何口头答复或电话通知一律无效。</w:t>
      </w:r>
    </w:p>
    <w:p w14:paraId="79407F77">
      <w:pPr>
        <w:pageBreakBefore w:val="0"/>
        <w:widowControl w:val="0"/>
        <w:shd w:val="clear"/>
        <w:kinsoku/>
        <w:wordWrap/>
        <w:overflowPunct/>
        <w:topLinePunct w:val="0"/>
        <w:autoSpaceDE/>
        <w:autoSpaceDN/>
        <w:bidi w:val="0"/>
        <w:spacing w:line="360" w:lineRule="auto"/>
        <w:ind w:firstLine="404" w:firstLineChars="200"/>
        <w:textAlignment w:val="baseline"/>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9.6投标人应仔细阅读和检查招标文件的全部内容。如发现缺页或附件不全，应及时向采购人提出，以便补齐。如有疑问，应在投标人须知前附表规定的方式及时间前</w:t>
      </w:r>
      <w:r>
        <w:rPr>
          <w:rFonts w:hint="eastAsia" w:ascii="宋体" w:hAnsi="宋体" w:eastAsia="宋体" w:cs="宋体"/>
          <w:color w:val="auto"/>
          <w:spacing w:val="-4"/>
          <w:sz w:val="21"/>
          <w:szCs w:val="21"/>
          <w:highlight w:val="none"/>
          <w:lang w:val="en-US" w:eastAsia="zh-CN"/>
        </w:rPr>
        <w:t>以</w:t>
      </w:r>
      <w:r>
        <w:rPr>
          <w:rFonts w:hint="eastAsia" w:ascii="宋体" w:hAnsi="宋体" w:eastAsia="宋体" w:cs="宋体"/>
          <w:color w:val="auto"/>
          <w:spacing w:val="-4"/>
          <w:sz w:val="21"/>
          <w:szCs w:val="21"/>
          <w:highlight w:val="none"/>
        </w:rPr>
        <w:t>书面或传真</w:t>
      </w:r>
      <w:r>
        <w:rPr>
          <w:rFonts w:hint="eastAsia" w:ascii="宋体" w:hAnsi="宋体" w:eastAsia="宋体" w:cs="宋体"/>
          <w:color w:val="auto"/>
          <w:spacing w:val="-4"/>
          <w:sz w:val="21"/>
          <w:szCs w:val="21"/>
          <w:highlight w:val="none"/>
          <w:lang w:val="en-US" w:eastAsia="zh-CN"/>
        </w:rPr>
        <w:t>的</w:t>
      </w:r>
      <w:r>
        <w:rPr>
          <w:rFonts w:hint="eastAsia" w:ascii="宋体" w:hAnsi="宋体" w:eastAsia="宋体" w:cs="宋体"/>
          <w:color w:val="auto"/>
          <w:spacing w:val="-4"/>
          <w:sz w:val="21"/>
          <w:szCs w:val="21"/>
          <w:highlight w:val="none"/>
        </w:rPr>
        <w:t>形式要求采购人对招标文件予以澄清。否则，由此引起的损失由投标人自己承担。</w:t>
      </w:r>
    </w:p>
    <w:p w14:paraId="4F5BCE4F">
      <w:pPr>
        <w:pStyle w:val="5"/>
        <w:pageBreakBefore w:val="0"/>
        <w:widowControl w:val="0"/>
        <w:shd w:val="clear"/>
        <w:kinsoku/>
        <w:wordWrap/>
        <w:overflowPunct/>
        <w:topLinePunct w:val="0"/>
        <w:autoSpaceDE/>
        <w:autoSpaceDN/>
        <w:bidi w:val="0"/>
        <w:spacing w:before="120" w:after="120" w:line="360" w:lineRule="auto"/>
        <w:rPr>
          <w:rFonts w:hint="eastAsia" w:ascii="宋体" w:hAnsi="宋体" w:eastAsia="宋体" w:cs="宋体"/>
          <w:color w:val="auto"/>
          <w:sz w:val="21"/>
          <w:szCs w:val="21"/>
          <w:highlight w:val="none"/>
        </w:rPr>
      </w:pPr>
      <w:bookmarkStart w:id="18" w:name="_Toc362250689"/>
      <w:bookmarkStart w:id="19" w:name="_Toc8141"/>
      <w:bookmarkStart w:id="20" w:name="_Toc31250"/>
      <w:bookmarkStart w:id="21" w:name="_Toc16783"/>
      <w:bookmarkStart w:id="22" w:name="_Toc274303231"/>
      <w:r>
        <w:rPr>
          <w:rFonts w:hint="eastAsia" w:ascii="宋体" w:hAnsi="宋体" w:eastAsia="宋体" w:cs="宋体"/>
          <w:color w:val="auto"/>
          <w:sz w:val="21"/>
          <w:szCs w:val="21"/>
          <w:highlight w:val="none"/>
        </w:rPr>
        <w:t>三、投标文件</w:t>
      </w:r>
      <w:bookmarkEnd w:id="18"/>
      <w:bookmarkEnd w:id="19"/>
      <w:bookmarkEnd w:id="20"/>
      <w:bookmarkEnd w:id="21"/>
      <w:bookmarkEnd w:id="22"/>
    </w:p>
    <w:p w14:paraId="25A867EF">
      <w:pPr>
        <w:pageBreakBefore w:val="0"/>
        <w:widowControl w:val="0"/>
        <w:shd w:val="clear"/>
        <w:kinsoku/>
        <w:wordWrap/>
        <w:overflowPunct/>
        <w:topLinePunct w:val="0"/>
        <w:autoSpaceDE/>
        <w:autoSpaceDN/>
        <w:bidi w:val="0"/>
        <w:adjustRightInd w:val="0"/>
        <w:snapToGrid w:val="0"/>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10</w:t>
      </w:r>
      <w:r>
        <w:rPr>
          <w:rFonts w:hint="eastAsia" w:ascii="宋体" w:hAnsi="宋体" w:eastAsia="宋体" w:cs="宋体"/>
          <w:b/>
          <w:color w:val="auto"/>
          <w:sz w:val="21"/>
          <w:szCs w:val="21"/>
          <w:highlight w:val="none"/>
          <w:lang w:eastAsia="zh-CN"/>
        </w:rPr>
        <w:t>.</w:t>
      </w:r>
      <w:r>
        <w:rPr>
          <w:rFonts w:hint="eastAsia" w:ascii="宋体" w:hAnsi="宋体" w:eastAsia="宋体" w:cs="宋体"/>
          <w:b/>
          <w:bCs/>
          <w:color w:val="auto"/>
          <w:sz w:val="21"/>
          <w:szCs w:val="21"/>
          <w:highlight w:val="none"/>
        </w:rPr>
        <w:t>投标文件的语言及度量衡单位</w:t>
      </w:r>
    </w:p>
    <w:p w14:paraId="0E91E375">
      <w:pPr>
        <w:pageBreakBefore w:val="0"/>
        <w:widowControl w:val="0"/>
        <w:shd w:val="clear"/>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10.1投标文件和与投标有关的所有文件均应使用汉语。</w:t>
      </w:r>
    </w:p>
    <w:p w14:paraId="17A1F5CA">
      <w:pPr>
        <w:pStyle w:val="18"/>
        <w:pageBreakBefore w:val="0"/>
        <w:widowControl w:val="0"/>
        <w:shd w:val="clear"/>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10.2除工程规范另有规定外，投标文件使用的度量衡单位，均采用中华人民共和国法定计量单位。</w:t>
      </w:r>
    </w:p>
    <w:p w14:paraId="2C403220">
      <w:pPr>
        <w:pageBreakBefore w:val="0"/>
        <w:widowControl w:val="0"/>
        <w:shd w:val="clear"/>
        <w:kinsoku/>
        <w:wordWrap/>
        <w:overflowPunct/>
        <w:topLinePunct w:val="0"/>
        <w:autoSpaceDE/>
        <w:autoSpaceDN/>
        <w:bidi w:val="0"/>
        <w:spacing w:line="360" w:lineRule="auto"/>
        <w:ind w:firstLine="422" w:firstLineChars="200"/>
        <w:rPr>
          <w:rFonts w:hint="eastAsia" w:ascii="宋体" w:hAnsi="宋体" w:eastAsia="宋体" w:cs="宋体"/>
          <w:color w:val="auto"/>
          <w:kern w:val="0"/>
          <w:sz w:val="21"/>
          <w:szCs w:val="21"/>
          <w:highlight w:val="none"/>
        </w:rPr>
      </w:pPr>
      <w:r>
        <w:rPr>
          <w:rFonts w:hint="eastAsia" w:ascii="宋体" w:hAnsi="宋体" w:eastAsia="宋体" w:cs="宋体"/>
          <w:b/>
          <w:bCs/>
          <w:color w:val="auto"/>
          <w:sz w:val="21"/>
          <w:szCs w:val="21"/>
          <w:highlight w:val="none"/>
        </w:rPr>
        <w:t>11</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对投标文件的要求</w:t>
      </w:r>
    </w:p>
    <w:p w14:paraId="6CC4DB5A">
      <w:pPr>
        <w:pStyle w:val="31"/>
        <w:pageBreakBefore w:val="0"/>
        <w:widowControl w:val="0"/>
        <w:shd w:val="clear"/>
        <w:kinsoku/>
        <w:wordWrap/>
        <w:overflowPunct/>
        <w:topLinePunct w:val="0"/>
        <w:autoSpaceDE/>
        <w:autoSpaceDN/>
        <w:bidi w:val="0"/>
        <w:spacing w:line="360" w:lineRule="auto"/>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11.1投标人应仔细阅读招标文件，了解招标文件的要求，在完全了解招标项目的技术要求和商务要求后，编制投标文件。</w:t>
      </w:r>
    </w:p>
    <w:p w14:paraId="50AE3655">
      <w:pPr>
        <w:pStyle w:val="3"/>
        <w:pageBreakBefore w:val="0"/>
        <w:widowControl w:val="0"/>
        <w:shd w:val="clear"/>
        <w:kinsoku/>
        <w:wordWrap/>
        <w:overflowPunct/>
        <w:topLinePunct w:val="0"/>
        <w:autoSpaceDE/>
        <w:autoSpaceDN/>
        <w:bidi w:val="0"/>
        <w:spacing w:line="360" w:lineRule="auto"/>
        <w:ind w:left="1" w:firstLine="415" w:firstLineChars="198"/>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11.2编制投标文件时，投标人对招标文件中技术及商务要求须逐条逐项作出实质性回答。</w:t>
      </w:r>
    </w:p>
    <w:p w14:paraId="209A1AE6">
      <w:pPr>
        <w:pageBreakBefore w:val="0"/>
        <w:widowControl w:val="0"/>
        <w:shd w:val="clear"/>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 在招标文件对技术要求中，投标人必须充分应答和满足用户的强制性的需求，如“★”等，否则将导致废标。</w:t>
      </w:r>
    </w:p>
    <w:p w14:paraId="5368EF4B">
      <w:pPr>
        <w:pageBreakBefore w:val="0"/>
        <w:widowControl w:val="0"/>
        <w:shd w:val="clear"/>
        <w:kinsoku/>
        <w:wordWrap/>
        <w:overflowPunct/>
        <w:topLinePunct w:val="0"/>
        <w:autoSpaceDE/>
        <w:autoSpaceDN/>
        <w:bidi w:val="0"/>
        <w:spacing w:line="360" w:lineRule="auto"/>
        <w:ind w:firstLine="48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11.4</w:t>
      </w:r>
      <w:r>
        <w:rPr>
          <w:rFonts w:hint="eastAsia" w:ascii="宋体" w:hAnsi="宋体" w:eastAsia="宋体" w:cs="宋体"/>
          <w:bCs/>
          <w:color w:val="auto"/>
          <w:sz w:val="21"/>
          <w:szCs w:val="21"/>
          <w:highlight w:val="none"/>
        </w:rPr>
        <w:t>投标人应提供证明其拟提供的货物及其辅助服务的合格性及符合招标文件规定的文件，作为其投标文件的一部分。</w:t>
      </w:r>
    </w:p>
    <w:p w14:paraId="2D3BD09D">
      <w:pPr>
        <w:pageBreakBefore w:val="0"/>
        <w:widowControl w:val="0"/>
        <w:shd w:val="clear"/>
        <w:kinsoku/>
        <w:wordWrap/>
        <w:overflowPunct/>
        <w:topLinePunct w:val="0"/>
        <w:autoSpaceDE/>
        <w:autoSpaceDN/>
        <w:bidi w:val="0"/>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11.5</w:t>
      </w:r>
      <w:r>
        <w:rPr>
          <w:rFonts w:hint="eastAsia" w:ascii="宋体" w:hAnsi="宋体" w:eastAsia="宋体" w:cs="宋体"/>
          <w:color w:val="auto"/>
          <w:sz w:val="21"/>
          <w:szCs w:val="21"/>
          <w:highlight w:val="none"/>
        </w:rPr>
        <w:t>货物简要说明中对货物和服务原产地的说明，并应有原产地证书证明，进口货物必须有进口产品的商检证明、报关单等资料。</w:t>
      </w:r>
    </w:p>
    <w:p w14:paraId="692B3B36">
      <w:pPr>
        <w:pageBreakBefore w:val="0"/>
        <w:widowControl w:val="0"/>
        <w:shd w:val="clear"/>
        <w:kinsoku/>
        <w:wordWrap/>
        <w:overflowPunct/>
        <w:topLinePunct w:val="0"/>
        <w:autoSpaceDE/>
        <w:autoSpaceDN/>
        <w:bidi w:val="0"/>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11.6投标人在阐述货物和服务与招标文件的要求相一致的资料时应注意采购人和招标代理机构在技术与商务要求中指出的工艺、材料和设备的标准以及参照的牌号或分类号仅起说明作用，并没有任何限制投标人在响应中可以选用替代标准、牌号或分类号，但这些替代要实质上相当于招标文件的要求，并使采购人满意。</w:t>
      </w:r>
    </w:p>
    <w:p w14:paraId="5857B0CB">
      <w:pPr>
        <w:pageBreakBefore w:val="0"/>
        <w:widowControl w:val="0"/>
        <w:shd w:val="clear"/>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11.7编制的投标文件对招标文件中有关条款未提出异议的，均被视为接受和同意。</w:t>
      </w:r>
    </w:p>
    <w:p w14:paraId="45314D47">
      <w:pPr>
        <w:pageBreakBefore w:val="0"/>
        <w:widowControl w:val="0"/>
        <w:shd w:val="clear"/>
        <w:kinsoku/>
        <w:wordWrap/>
        <w:overflowPunct/>
        <w:topLinePunct w:val="0"/>
        <w:autoSpaceDE/>
        <w:autoSpaceDN/>
        <w:bidi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12</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投标文件的组成</w:t>
      </w:r>
    </w:p>
    <w:p w14:paraId="799C4DED">
      <w:pPr>
        <w:pageBreakBefore w:val="0"/>
        <w:widowControl w:val="0"/>
        <w:shd w:val="clear"/>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 招标文件“投标文件部分格式”所列的内容、格式及其投标人认为有必要提供的其他文件。</w:t>
      </w:r>
    </w:p>
    <w:p w14:paraId="6C818F17">
      <w:pPr>
        <w:pageBreakBefore w:val="0"/>
        <w:widowControl w:val="0"/>
        <w:shd w:val="clear"/>
        <w:kinsoku/>
        <w:wordWrap/>
        <w:overflowPunct/>
        <w:topLinePunct w:val="0"/>
        <w:autoSpaceDE/>
        <w:autoSpaceDN/>
        <w:bidi w:val="0"/>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12.2 </w:t>
      </w:r>
      <w:r>
        <w:rPr>
          <w:rFonts w:hint="eastAsia" w:ascii="宋体" w:hAnsi="宋体" w:eastAsia="宋体" w:cs="宋体"/>
          <w:b/>
          <w:bCs/>
          <w:color w:val="auto"/>
          <w:sz w:val="21"/>
          <w:szCs w:val="21"/>
          <w:highlight w:val="none"/>
        </w:rPr>
        <w:t>投标文件由资格响应文件、商务技术响应文件和报价响应文件组成，以下的“格式”，指的是第八章投标文件格式中的表格；</w:t>
      </w:r>
    </w:p>
    <w:p w14:paraId="0FF773E7">
      <w:pPr>
        <w:pStyle w:val="18"/>
        <w:pageBreakBefore w:val="0"/>
        <w:widowControl w:val="0"/>
        <w:shd w:val="clear"/>
        <w:kinsoku/>
        <w:wordWrap/>
        <w:overflowPunct/>
        <w:topLinePunct w:val="0"/>
        <w:autoSpaceDE/>
        <w:autoSpaceDN/>
        <w:bidi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12.2.1 资格响应文件：</w:t>
      </w:r>
      <w:r>
        <w:rPr>
          <w:rFonts w:hint="eastAsia" w:ascii="宋体" w:hAnsi="宋体" w:eastAsia="宋体" w:cs="宋体"/>
          <w:color w:val="auto"/>
          <w:sz w:val="21"/>
          <w:szCs w:val="21"/>
          <w:highlight w:val="none"/>
        </w:rPr>
        <w:t>投标方资格、资信合格性的有关证明及资料（提供的证明文件需在有效期内，过期的文件无效）：投标人应提交证明其有资格参加投标和中标后有能力履行合同的文件，并作为其投标文件的一部分；投标人提交的合格性的证明文件应使招标方满意，投标人在投标时应是符合条件的投标人。</w:t>
      </w:r>
      <w:r>
        <w:rPr>
          <w:rFonts w:hint="eastAsia" w:ascii="宋体" w:hAnsi="宋体" w:eastAsia="宋体" w:cs="宋体"/>
          <w:b/>
          <w:bCs/>
          <w:color w:val="auto"/>
          <w:sz w:val="21"/>
          <w:szCs w:val="21"/>
          <w:highlight w:val="none"/>
        </w:rPr>
        <w:t>应包括下列内容（并不仅限于以下）：（</w:t>
      </w:r>
      <w:r>
        <w:rPr>
          <w:rFonts w:hint="eastAsia" w:ascii="宋体" w:hAnsi="宋体" w:eastAsia="宋体" w:cs="宋体"/>
          <w:b/>
          <w:bCs/>
          <w:color w:val="auto"/>
          <w:sz w:val="21"/>
          <w:szCs w:val="21"/>
          <w:highlight w:val="none"/>
          <w:u w:val="single"/>
        </w:rPr>
        <w:t>提供的所有证书应在有效期内，过期的文件无效）</w:t>
      </w:r>
    </w:p>
    <w:p w14:paraId="009C1A0C">
      <w:pPr>
        <w:pStyle w:val="18"/>
        <w:pageBreakBefore w:val="0"/>
        <w:widowControl w:val="0"/>
        <w:shd w:val="clear"/>
        <w:kinsoku/>
        <w:wordWrap/>
        <w:overflowPunct/>
        <w:topLinePunct w:val="0"/>
        <w:autoSpaceDE/>
        <w:autoSpaceDN/>
        <w:bidi w:val="0"/>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w:t>
      </w:r>
      <w:r>
        <w:rPr>
          <w:rFonts w:hint="eastAsia" w:ascii="宋体" w:hAnsi="宋体" w:eastAsia="宋体" w:cs="宋体"/>
          <w:color w:val="auto"/>
          <w:sz w:val="21"/>
          <w:szCs w:val="21"/>
          <w:highlight w:val="none"/>
        </w:rPr>
        <w:t>（1）有效的营业执照副本等经营资格扫描件或在“国家企业信用信息公示系统”（网址：http://www.gsxt.gov.cn/）上的单位详细信息打印件；</w:t>
      </w:r>
    </w:p>
    <w:p w14:paraId="0F070989">
      <w:pPr>
        <w:pStyle w:val="18"/>
        <w:pageBreakBefore w:val="0"/>
        <w:widowControl w:val="0"/>
        <w:shd w:val="clear"/>
        <w:kinsoku/>
        <w:wordWrap/>
        <w:overflowPunct/>
        <w:topLinePunct w:val="0"/>
        <w:autoSpaceDE/>
        <w:autoSpaceDN/>
        <w:bidi w:val="0"/>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w:t>
      </w:r>
      <w:r>
        <w:rPr>
          <w:rFonts w:hint="eastAsia" w:ascii="宋体" w:hAnsi="宋体" w:eastAsia="宋体" w:cs="宋体"/>
          <w:color w:val="auto"/>
          <w:sz w:val="21"/>
          <w:szCs w:val="21"/>
          <w:highlight w:val="none"/>
        </w:rPr>
        <w:t>（2）义乌市国企采购项目投标承诺书；</w:t>
      </w:r>
    </w:p>
    <w:p w14:paraId="14D23686">
      <w:pPr>
        <w:pStyle w:val="18"/>
        <w:pageBreakBefore w:val="0"/>
        <w:widowControl w:val="0"/>
        <w:shd w:val="clear"/>
        <w:kinsoku/>
        <w:wordWrap/>
        <w:overflowPunct/>
        <w:topLinePunct w:val="0"/>
        <w:autoSpaceDE/>
        <w:autoSpaceDN/>
        <w:bidi w:val="0"/>
        <w:spacing w:line="360" w:lineRule="auto"/>
        <w:ind w:firstLine="422" w:firstLineChars="200"/>
        <w:rPr>
          <w:rFonts w:hint="eastAsia" w:ascii="宋体" w:hAnsi="宋体" w:eastAsia="宋体" w:cs="宋体"/>
          <w:color w:val="auto"/>
          <w:sz w:val="21"/>
          <w:szCs w:val="21"/>
          <w:highlight w:val="none"/>
          <w:lang w:eastAsia="zh-CN"/>
        </w:rPr>
      </w:pPr>
      <w:r>
        <w:rPr>
          <w:rFonts w:hint="eastAsia" w:ascii="宋体" w:hAnsi="宋体" w:eastAsia="宋体" w:cs="宋体"/>
          <w:b/>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法定代表人授权书和被授权人身份证复印件［适用于非法定代表人参加投标的</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说明：法定代表人以营业执照载明的人员为准］</w:t>
      </w:r>
      <w:r>
        <w:rPr>
          <w:rFonts w:hint="eastAsia" w:ascii="宋体" w:hAnsi="宋体" w:eastAsia="宋体" w:cs="宋体"/>
          <w:color w:val="auto"/>
          <w:sz w:val="21"/>
          <w:szCs w:val="21"/>
          <w:highlight w:val="none"/>
          <w:lang w:eastAsia="zh-CN"/>
        </w:rPr>
        <w:t>；</w:t>
      </w:r>
    </w:p>
    <w:p w14:paraId="65974E4A">
      <w:pPr>
        <w:pStyle w:val="18"/>
        <w:pageBreakBefore w:val="0"/>
        <w:widowControl w:val="0"/>
        <w:shd w:val="clear"/>
        <w:kinsoku/>
        <w:wordWrap/>
        <w:overflowPunct/>
        <w:topLinePunct w:val="0"/>
        <w:autoSpaceDE/>
        <w:autoSpaceDN/>
        <w:bidi w:val="0"/>
        <w:spacing w:line="360" w:lineRule="auto"/>
        <w:ind w:firstLine="422" w:firstLineChars="200"/>
        <w:rPr>
          <w:rFonts w:hint="eastAsia"/>
          <w:color w:val="auto"/>
          <w:highlight w:val="none"/>
        </w:rPr>
      </w:pPr>
      <w:r>
        <w:rPr>
          <w:rFonts w:hint="eastAsia" w:ascii="宋体" w:hAnsi="宋体" w:eastAsia="宋体" w:cs="宋体"/>
          <w:b/>
          <w:color w:val="auto"/>
          <w:sz w:val="21"/>
          <w:szCs w:val="21"/>
          <w:highlight w:val="none"/>
        </w:rPr>
        <w:t>★</w:t>
      </w: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4</w:t>
      </w:r>
      <w:r>
        <w:rPr>
          <w:rFonts w:hint="eastAsia" w:hAnsi="宋体" w:cs="宋体"/>
          <w:color w:val="auto"/>
          <w:sz w:val="21"/>
          <w:szCs w:val="21"/>
          <w:highlight w:val="none"/>
          <w:lang w:eastAsia="zh-CN"/>
        </w:rPr>
        <w:t>）提供污泥处理处置(或污泥处理设施建设)的环评批复文件或环保局备案材料证明；</w:t>
      </w:r>
    </w:p>
    <w:p w14:paraId="79984841">
      <w:pPr>
        <w:pStyle w:val="18"/>
        <w:pageBreakBefore w:val="0"/>
        <w:widowControl w:val="0"/>
        <w:shd w:val="clear"/>
        <w:kinsoku/>
        <w:wordWrap/>
        <w:overflowPunct/>
        <w:topLinePunct w:val="0"/>
        <w:autoSpaceDE/>
        <w:autoSpaceDN/>
        <w:bidi w:val="0"/>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12.2.2 商务技术响应文件</w:t>
      </w:r>
      <w:r>
        <w:rPr>
          <w:rFonts w:hint="eastAsia" w:ascii="宋体" w:hAnsi="宋体" w:eastAsia="宋体" w:cs="宋体"/>
          <w:color w:val="auto"/>
          <w:sz w:val="21"/>
          <w:szCs w:val="21"/>
          <w:highlight w:val="none"/>
        </w:rPr>
        <w:t>：投标货物、服务符合性的有关证明及技术资料：投标人须提交参投货物的详细技术文件，其形式可以是文字资料、图纸和数据等，证明其拟供货物和服务符合</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rPr>
        <w:t>文件规定的技术响应文件，作为投标文件的一部分。</w:t>
      </w:r>
      <w:r>
        <w:rPr>
          <w:rFonts w:hint="eastAsia" w:ascii="宋体" w:hAnsi="宋体" w:eastAsia="宋体" w:cs="宋体"/>
          <w:b/>
          <w:bCs/>
          <w:color w:val="auto"/>
          <w:sz w:val="21"/>
          <w:szCs w:val="21"/>
          <w:highlight w:val="none"/>
        </w:rPr>
        <w:t>应包括下列内容（并不仅限于以下）</w:t>
      </w:r>
    </w:p>
    <w:p w14:paraId="6AC44E5E">
      <w:pPr>
        <w:pStyle w:val="18"/>
        <w:shd w:val="clear"/>
        <w:spacing w:line="360" w:lineRule="auto"/>
        <w:ind w:firstLine="422" w:firstLineChars="200"/>
        <w:rPr>
          <w:rFonts w:hint="eastAsia" w:hAnsi="宋体" w:cs="宋体"/>
          <w:color w:val="auto"/>
          <w:highlight w:val="none"/>
        </w:rPr>
      </w:pPr>
      <w:r>
        <w:rPr>
          <w:rFonts w:hint="eastAsia" w:hAnsi="宋体" w:cs="宋体"/>
          <w:b/>
          <w:color w:val="auto"/>
          <w:highlight w:val="none"/>
        </w:rPr>
        <w:t>★</w:t>
      </w:r>
      <w:r>
        <w:rPr>
          <w:rFonts w:hint="eastAsia" w:hAnsi="宋体" w:cs="宋体"/>
          <w:color w:val="auto"/>
          <w:highlight w:val="none"/>
        </w:rPr>
        <w:t>（1）</w:t>
      </w:r>
      <w:r>
        <w:rPr>
          <w:rFonts w:hint="eastAsia" w:hAnsi="宋体" w:cs="宋体"/>
          <w:color w:val="auto"/>
          <w:highlight w:val="none"/>
          <w:lang w:val="en-US" w:eastAsia="zh-CN"/>
        </w:rPr>
        <w:t>服务</w:t>
      </w:r>
      <w:r>
        <w:rPr>
          <w:rFonts w:hint="eastAsia" w:hAnsi="宋体" w:cs="宋体"/>
          <w:color w:val="auto"/>
          <w:highlight w:val="none"/>
        </w:rPr>
        <w:t>简要说明一览表；</w:t>
      </w:r>
    </w:p>
    <w:p w14:paraId="5F4DB129">
      <w:pPr>
        <w:pStyle w:val="18"/>
        <w:shd w:val="clear"/>
        <w:spacing w:line="360" w:lineRule="auto"/>
        <w:ind w:firstLine="420" w:firstLineChars="200"/>
        <w:rPr>
          <w:rFonts w:hint="eastAsia" w:hAnsi="宋体" w:eastAsia="宋体" w:cs="宋体"/>
          <w:color w:val="auto"/>
          <w:highlight w:val="none"/>
        </w:rPr>
      </w:pPr>
      <w:r>
        <w:rPr>
          <w:rFonts w:hint="eastAsia" w:hAnsi="宋体" w:eastAsia="宋体" w:cs="宋体"/>
          <w:color w:val="auto"/>
          <w:highlight w:val="none"/>
        </w:rPr>
        <w:t>★（</w:t>
      </w:r>
      <w:r>
        <w:rPr>
          <w:rFonts w:hint="eastAsia" w:hAnsi="宋体" w:eastAsia="宋体" w:cs="宋体"/>
          <w:color w:val="auto"/>
          <w:highlight w:val="none"/>
          <w:lang w:val="en-US" w:eastAsia="zh-CN"/>
        </w:rPr>
        <w:t>2</w:t>
      </w:r>
      <w:r>
        <w:rPr>
          <w:rFonts w:hint="eastAsia" w:hAnsi="宋体" w:eastAsia="宋体" w:cs="宋体"/>
          <w:color w:val="auto"/>
          <w:highlight w:val="none"/>
        </w:rPr>
        <w:t>）售后服务</w:t>
      </w:r>
      <w:r>
        <w:rPr>
          <w:rFonts w:hint="eastAsia" w:hAnsi="宋体" w:eastAsia="宋体" w:cs="宋体"/>
          <w:color w:val="auto"/>
          <w:highlight w:val="none"/>
          <w:lang w:val="en-US" w:eastAsia="zh-CN"/>
        </w:rPr>
        <w:t>承诺书</w:t>
      </w:r>
      <w:r>
        <w:rPr>
          <w:rFonts w:hint="eastAsia" w:hAnsi="宋体" w:eastAsia="宋体" w:cs="宋体"/>
          <w:color w:val="auto"/>
          <w:highlight w:val="none"/>
        </w:rPr>
        <w:t>；</w:t>
      </w:r>
    </w:p>
    <w:p w14:paraId="4AD76CC6">
      <w:pPr>
        <w:pStyle w:val="18"/>
        <w:shd w:val="clear"/>
        <w:spacing w:line="360" w:lineRule="auto"/>
        <w:ind w:firstLine="420" w:firstLineChars="200"/>
        <w:rPr>
          <w:rFonts w:hint="eastAsia" w:ascii="宋体" w:hAnsi="宋体" w:eastAsia="宋体" w:cs="宋体"/>
          <w:color w:val="auto"/>
          <w:sz w:val="21"/>
          <w:szCs w:val="21"/>
          <w:highlight w:val="none"/>
        </w:rPr>
      </w:pPr>
      <w:r>
        <w:rPr>
          <w:rFonts w:hint="eastAsia" w:hAnsi="宋体" w:eastAsia="宋体" w:cs="宋体"/>
          <w:color w:val="auto"/>
          <w:highlight w:val="none"/>
          <w:lang w:eastAsia="zh-CN"/>
        </w:rPr>
        <w:t>（</w:t>
      </w:r>
      <w:r>
        <w:rPr>
          <w:rFonts w:hint="eastAsia" w:hAnsi="宋体" w:eastAsia="宋体" w:cs="宋体"/>
          <w:color w:val="auto"/>
          <w:highlight w:val="none"/>
          <w:lang w:val="en-US" w:eastAsia="zh-CN"/>
        </w:rPr>
        <w:t>3</w:t>
      </w:r>
      <w:r>
        <w:rPr>
          <w:rFonts w:hint="eastAsia" w:hAnsi="宋体" w:eastAsia="宋体" w:cs="宋体"/>
          <w:color w:val="auto"/>
          <w:highlight w:val="none"/>
          <w:lang w:eastAsia="zh-CN"/>
        </w:rPr>
        <w:t>）</w:t>
      </w:r>
      <w:r>
        <w:rPr>
          <w:rFonts w:hint="eastAsia" w:hAnsi="宋体" w:eastAsia="宋体" w:cs="宋体"/>
          <w:color w:val="auto"/>
          <w:highlight w:val="none"/>
        </w:rPr>
        <w:t>根据评审</w:t>
      </w:r>
      <w:r>
        <w:rPr>
          <w:rFonts w:hint="eastAsia" w:ascii="宋体" w:hAnsi="宋体" w:cs="宋体"/>
          <w:color w:val="auto"/>
          <w:highlight w:val="none"/>
        </w:rPr>
        <w:t>需要、招标文件要求等，投标人自行考虑需提供的资料</w:t>
      </w:r>
      <w:r>
        <w:rPr>
          <w:rFonts w:hint="eastAsia" w:hAnsi="宋体" w:cs="宋体"/>
          <w:color w:val="auto"/>
          <w:highlight w:val="none"/>
          <w:lang w:eastAsia="zh-CN"/>
        </w:rPr>
        <w:t>。</w:t>
      </w:r>
    </w:p>
    <w:p w14:paraId="6DAA0261">
      <w:pPr>
        <w:pStyle w:val="18"/>
        <w:pageBreakBefore w:val="0"/>
        <w:widowControl w:val="0"/>
        <w:shd w:val="clear"/>
        <w:kinsoku/>
        <w:wordWrap/>
        <w:overflowPunct/>
        <w:topLinePunct w:val="0"/>
        <w:autoSpaceDE/>
        <w:autoSpaceDN/>
        <w:bidi w:val="0"/>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u w:val="single"/>
        </w:rPr>
        <w:t>以上文件均需加盖电子签章</w:t>
      </w:r>
    </w:p>
    <w:p w14:paraId="3466987E">
      <w:pPr>
        <w:pStyle w:val="18"/>
        <w:pageBreakBefore w:val="0"/>
        <w:widowControl w:val="0"/>
        <w:shd w:val="clear"/>
        <w:kinsoku/>
        <w:wordWrap/>
        <w:overflowPunct/>
        <w:topLinePunct w:val="0"/>
        <w:autoSpaceDE/>
        <w:autoSpaceDN/>
        <w:bidi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12.2.3报价响应文件：应包括下列内容（并不仅限于以下）</w:t>
      </w:r>
    </w:p>
    <w:p w14:paraId="27E073CB">
      <w:pPr>
        <w:pageBreakBefore w:val="0"/>
        <w:widowControl w:val="0"/>
        <w:shd w:val="clear"/>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（1）开标一览表；</w:t>
      </w:r>
    </w:p>
    <w:p w14:paraId="4029BDC0">
      <w:pPr>
        <w:pStyle w:val="18"/>
        <w:pageBreakBefore w:val="0"/>
        <w:widowControl w:val="0"/>
        <w:shd w:val="clear"/>
        <w:kinsoku/>
        <w:wordWrap/>
        <w:overflowPunct/>
        <w:topLinePunct w:val="0"/>
        <w:autoSpaceDE/>
        <w:autoSpaceDN/>
        <w:bidi w:val="0"/>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u w:val="single"/>
        </w:rPr>
        <w:t>以上文件均需加盖电子签章</w:t>
      </w:r>
    </w:p>
    <w:p w14:paraId="14060915">
      <w:pPr>
        <w:pStyle w:val="3"/>
        <w:pageBreakBefore w:val="0"/>
        <w:widowControl w:val="0"/>
        <w:shd w:val="clear"/>
        <w:kinsoku/>
        <w:wordWrap/>
        <w:overflowPunct/>
        <w:topLinePunct w:val="0"/>
        <w:autoSpaceDE/>
        <w:autoSpaceDN/>
        <w:bidi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13</w:t>
      </w:r>
      <w:r>
        <w:rPr>
          <w:rFonts w:hint="eastAsia" w:ascii="宋体" w:hAnsi="宋体" w:cs="宋体"/>
          <w:b/>
          <w:bCs/>
          <w:color w:val="auto"/>
          <w:sz w:val="21"/>
          <w:szCs w:val="21"/>
          <w:highlight w:val="none"/>
          <w:lang w:eastAsia="zh-CN"/>
        </w:rPr>
        <w:t>.</w:t>
      </w:r>
      <w:r>
        <w:rPr>
          <w:rFonts w:hint="eastAsia" w:ascii="宋体" w:hAnsi="宋体" w:eastAsia="宋体" w:cs="宋体"/>
          <w:b/>
          <w:bCs/>
          <w:color w:val="auto"/>
          <w:sz w:val="21"/>
          <w:szCs w:val="21"/>
          <w:highlight w:val="none"/>
        </w:rPr>
        <w:t>投标人资格的有关证明资料</w:t>
      </w:r>
    </w:p>
    <w:p w14:paraId="26079548">
      <w:pPr>
        <w:pageBreakBefore w:val="0"/>
        <w:widowControl w:val="0"/>
        <w:shd w:val="clear"/>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13.1投标人应提交证明其有资格参加投标和中标后有能力履行合同的文件，并作为其投标文件的一部分。</w:t>
      </w:r>
    </w:p>
    <w:p w14:paraId="36EE4358">
      <w:pPr>
        <w:pageBreakBefore w:val="0"/>
        <w:widowControl w:val="0"/>
        <w:shd w:val="clear"/>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 投标人提交的合格性的证明文件应使采购人满意，投标人在投标时应是符合条件的投标人。</w:t>
      </w:r>
    </w:p>
    <w:p w14:paraId="3F203E41">
      <w:pPr>
        <w:pStyle w:val="18"/>
        <w:pageBreakBefore w:val="0"/>
        <w:widowControl w:val="0"/>
        <w:shd w:val="clear"/>
        <w:kinsoku/>
        <w:wordWrap/>
        <w:overflowPunct/>
        <w:topLinePunct w:val="0"/>
        <w:autoSpaceDE/>
        <w:autoSpaceDN/>
        <w:bidi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14</w:t>
      </w:r>
      <w:r>
        <w:rPr>
          <w:rFonts w:hint="eastAsia" w:hAnsi="宋体" w:cs="宋体"/>
          <w:b/>
          <w:bCs/>
          <w:color w:val="auto"/>
          <w:sz w:val="21"/>
          <w:szCs w:val="21"/>
          <w:highlight w:val="none"/>
          <w:lang w:eastAsia="zh-CN"/>
        </w:rPr>
        <w:t>.</w:t>
      </w:r>
      <w:r>
        <w:rPr>
          <w:rFonts w:hint="eastAsia" w:ascii="宋体" w:hAnsi="宋体" w:eastAsia="宋体" w:cs="宋体"/>
          <w:b/>
          <w:bCs/>
          <w:color w:val="auto"/>
          <w:sz w:val="21"/>
          <w:szCs w:val="21"/>
          <w:highlight w:val="none"/>
        </w:rPr>
        <w:t>投标报价</w:t>
      </w:r>
    </w:p>
    <w:p w14:paraId="5DB8F42C">
      <w:pPr>
        <w:pStyle w:val="18"/>
        <w:pageBreakBefore w:val="0"/>
        <w:widowControl w:val="0"/>
        <w:shd w:val="clear"/>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14.1投标人应根据国家的有关规定和</w:t>
      </w:r>
      <w:r>
        <w:rPr>
          <w:rFonts w:hint="eastAsia" w:ascii="宋体" w:hAnsi="宋体" w:eastAsia="宋体" w:cs="宋体"/>
          <w:b/>
          <w:color w:val="auto"/>
          <w:sz w:val="21"/>
          <w:szCs w:val="21"/>
          <w:highlight w:val="none"/>
        </w:rPr>
        <w:t>招标文件要求</w:t>
      </w:r>
      <w:r>
        <w:rPr>
          <w:rFonts w:hint="eastAsia" w:ascii="宋体" w:hAnsi="宋体" w:eastAsia="宋体" w:cs="宋体"/>
          <w:color w:val="auto"/>
          <w:sz w:val="21"/>
          <w:szCs w:val="21"/>
          <w:highlight w:val="none"/>
        </w:rPr>
        <w:t>并结合企业的实际情况进行投标报价。具体详见招标文件第三章中的商务要求。</w:t>
      </w:r>
    </w:p>
    <w:p w14:paraId="00F8A2CD">
      <w:pPr>
        <w:pStyle w:val="18"/>
        <w:pageBreakBefore w:val="0"/>
        <w:widowControl w:val="0"/>
        <w:shd w:val="clear"/>
        <w:kinsoku/>
        <w:wordWrap/>
        <w:overflowPunct/>
        <w:topLinePunct w:val="0"/>
        <w:autoSpaceDE/>
        <w:autoSpaceDN/>
        <w:bidi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15.</w:t>
      </w:r>
      <w:r>
        <w:rPr>
          <w:rFonts w:hint="eastAsia" w:ascii="宋体" w:hAnsi="宋体" w:eastAsia="宋体" w:cs="宋体"/>
          <w:b/>
          <w:bCs/>
          <w:color w:val="auto"/>
          <w:sz w:val="21"/>
          <w:szCs w:val="21"/>
          <w:highlight w:val="none"/>
        </w:rPr>
        <w:t>投标文件格式</w:t>
      </w:r>
    </w:p>
    <w:p w14:paraId="097ECE7A">
      <w:pPr>
        <w:pStyle w:val="18"/>
        <w:pageBreakBefore w:val="0"/>
        <w:widowControl w:val="0"/>
        <w:shd w:val="clear"/>
        <w:kinsoku/>
        <w:wordWrap/>
        <w:overflowPunct/>
        <w:topLinePunct w:val="0"/>
        <w:autoSpaceDE/>
        <w:autoSpaceDN/>
        <w:bidi w:val="0"/>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15.1投标文件须包括本须知第12条中规定的全部内容，投标人不按招标文件的要求提供的投标文件和资料将视为没有对招标文件作实质性响应，其投标将被拒绝，其风险由投标人自行承担。</w:t>
      </w:r>
    </w:p>
    <w:p w14:paraId="5BA10CC7">
      <w:pPr>
        <w:pStyle w:val="18"/>
        <w:pageBreakBefore w:val="0"/>
        <w:widowControl w:val="0"/>
        <w:shd w:val="clear"/>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15.2投标人提交的投标文件应当使用招标文件所提供的投标文件格式，表格格式在不改变格式内容的情况下可自行制作。在所提供表格格式之外，投标人可以增加自行设计的表格及内容，以便更细致全面地说明其能力。</w:t>
      </w:r>
    </w:p>
    <w:p w14:paraId="17FC38CC">
      <w:pPr>
        <w:pStyle w:val="18"/>
        <w:pageBreakBefore w:val="0"/>
        <w:widowControl w:val="0"/>
        <w:shd w:val="clear"/>
        <w:kinsoku/>
        <w:wordWrap/>
        <w:overflowPunct/>
        <w:topLinePunct w:val="0"/>
        <w:autoSpaceDE/>
        <w:autoSpaceDN/>
        <w:bidi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16</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投标文件编制要求</w:t>
      </w:r>
    </w:p>
    <w:p w14:paraId="1AE44165">
      <w:pPr>
        <w:pageBreakBefore w:val="0"/>
        <w:widowControl w:val="0"/>
        <w:shd w:val="clear"/>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16.1投标人应仔细阅读招标文件，了解招标文件的要求，在完全了解招标项目的要求后，编制投标文件。</w:t>
      </w:r>
    </w:p>
    <w:p w14:paraId="509C0F96">
      <w:pPr>
        <w:pageBreakBefore w:val="0"/>
        <w:widowControl w:val="0"/>
        <w:shd w:val="clear"/>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16.2在招标文件对技术要求中，投标人必须充分应答和满足用户的强制性的需求，如“★”等，否则将导致无效标。</w:t>
      </w:r>
    </w:p>
    <w:p w14:paraId="4AA1B3DF">
      <w:pPr>
        <w:pageBreakBefore w:val="0"/>
        <w:widowControl w:val="0"/>
        <w:shd w:val="clear"/>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16.3编制的投标文件对招标文件中有关条款未提出异议的，均被视为接受和同意。</w:t>
      </w:r>
    </w:p>
    <w:p w14:paraId="3E3FD9C1">
      <w:pPr>
        <w:pageBreakBefore w:val="0"/>
        <w:widowControl w:val="0"/>
        <w:shd w:val="clear"/>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16.4投标人应根据电子投标操作指南按本招标文件规定的格式和顺序编制电子投标文件并进行关联定位。</w:t>
      </w:r>
    </w:p>
    <w:p w14:paraId="3A0F304C">
      <w:pPr>
        <w:pageBreakBefore w:val="0"/>
        <w:widowControl w:val="0"/>
        <w:shd w:val="clear"/>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16.5由于未按招标文件的规定要求编制投标文件，导致评审小组作出的对投标人的误判，责任由投标人自己承担。</w:t>
      </w:r>
    </w:p>
    <w:p w14:paraId="6044C68F">
      <w:pPr>
        <w:pageBreakBefore w:val="0"/>
        <w:widowControl w:val="0"/>
        <w:shd w:val="clear"/>
        <w:kinsoku/>
        <w:wordWrap/>
        <w:overflowPunct/>
        <w:topLinePunct w:val="0"/>
        <w:autoSpaceDE/>
        <w:autoSpaceDN/>
        <w:bidi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17</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投标有效期</w:t>
      </w:r>
    </w:p>
    <w:p w14:paraId="2EED47E9">
      <w:pPr>
        <w:pageBreakBefore w:val="0"/>
        <w:widowControl w:val="0"/>
        <w:shd w:val="clear"/>
        <w:kinsoku/>
        <w:wordWrap/>
        <w:overflowPunct/>
        <w:topLinePunct w:val="0"/>
        <w:autoSpaceDE/>
        <w:autoSpaceDN/>
        <w:bidi w:val="0"/>
        <w:spacing w:line="360" w:lineRule="auto"/>
        <w:ind w:firstLine="420" w:firstLineChars="200"/>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17.1 投标文件从开标之日起，投标有效期为60天。</w:t>
      </w:r>
    </w:p>
    <w:p w14:paraId="0AEED2F8">
      <w:pPr>
        <w:pStyle w:val="18"/>
        <w:pageBreakBefore w:val="0"/>
        <w:widowControl w:val="0"/>
        <w:shd w:val="clear"/>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17.2 特殊情况下，在原投标有效期截止之前，采购人可要求投标人同意延长有效期，这种要求与答复均应以书面形式提交。</w:t>
      </w:r>
      <w:bookmarkStart w:id="23" w:name="_Toc362250690"/>
      <w:bookmarkStart w:id="24" w:name="_Toc27009"/>
      <w:bookmarkStart w:id="25" w:name="_Toc274303232"/>
      <w:bookmarkStart w:id="26" w:name="_Toc8254"/>
    </w:p>
    <w:p w14:paraId="0D3F89CD">
      <w:pPr>
        <w:pStyle w:val="5"/>
        <w:pageBreakBefore w:val="0"/>
        <w:widowControl w:val="0"/>
        <w:shd w:val="clear"/>
        <w:kinsoku/>
        <w:wordWrap/>
        <w:overflowPunct/>
        <w:topLinePunct w:val="0"/>
        <w:autoSpaceDE/>
        <w:autoSpaceDN/>
        <w:bidi w:val="0"/>
        <w:spacing w:before="120" w:after="120" w:line="360" w:lineRule="auto"/>
        <w:rPr>
          <w:rFonts w:hint="eastAsia" w:ascii="宋体" w:hAnsi="宋体" w:eastAsia="宋体" w:cs="宋体"/>
          <w:color w:val="auto"/>
          <w:sz w:val="21"/>
          <w:szCs w:val="21"/>
          <w:highlight w:val="none"/>
        </w:rPr>
      </w:pPr>
      <w:bookmarkStart w:id="27" w:name="_Toc11296"/>
      <w:r>
        <w:rPr>
          <w:rFonts w:hint="eastAsia" w:ascii="宋体" w:hAnsi="宋体" w:eastAsia="宋体" w:cs="宋体"/>
          <w:color w:val="auto"/>
          <w:sz w:val="21"/>
          <w:szCs w:val="21"/>
          <w:highlight w:val="none"/>
        </w:rPr>
        <w:t>四、投标文件的递交</w:t>
      </w:r>
      <w:bookmarkEnd w:id="23"/>
      <w:bookmarkEnd w:id="24"/>
      <w:bookmarkEnd w:id="25"/>
      <w:bookmarkEnd w:id="26"/>
      <w:bookmarkEnd w:id="27"/>
      <w:bookmarkStart w:id="28" w:name="_Toc7770"/>
      <w:bookmarkStart w:id="29" w:name="_Toc6809"/>
    </w:p>
    <w:p w14:paraId="628360F6">
      <w:pPr>
        <w:pageBreakBefore w:val="0"/>
        <w:widowControl w:val="0"/>
        <w:shd w:val="clear"/>
        <w:kinsoku/>
        <w:wordWrap/>
        <w:overflowPunct/>
        <w:topLinePunct w:val="0"/>
        <w:autoSpaceDE/>
        <w:autoSpaceDN/>
        <w:bidi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18.电子投标文件上传的地点和截止时间</w:t>
      </w:r>
    </w:p>
    <w:p w14:paraId="0BE5E391">
      <w:pPr>
        <w:pageBreakBefore w:val="0"/>
        <w:widowControl w:val="0"/>
        <w:shd w:val="clear"/>
        <w:kinsoku/>
        <w:wordWrap/>
        <w:overflowPunct/>
        <w:topLinePunct w:val="0"/>
        <w:autoSpaceDE/>
        <w:autoSpaceDN/>
        <w:bidi w:val="0"/>
        <w:spacing w:line="360" w:lineRule="auto"/>
        <w:ind w:firstLine="420" w:firstLineChars="200"/>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投标人应在投标截止时间（</w:t>
      </w:r>
      <w:r>
        <w:rPr>
          <w:rFonts w:hint="eastAsia" w:ascii="宋体" w:hAnsi="宋体" w:eastAsia="宋体" w:cs="宋体"/>
          <w:color w:val="auto"/>
          <w:sz w:val="21"/>
          <w:szCs w:val="21"/>
          <w:highlight w:val="none"/>
          <w:lang w:eastAsia="zh-CN"/>
        </w:rPr>
        <w:t>202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年</w:t>
      </w:r>
      <w:r>
        <w:rPr>
          <w:rFonts w:hint="eastAsia" w:ascii="宋体" w:hAnsi="宋体" w:eastAsia="宋体" w:cs="宋体"/>
          <w:color w:val="auto"/>
          <w:sz w:val="21"/>
          <w:szCs w:val="21"/>
          <w:highlight w:val="none"/>
          <w:lang w:val="en-US" w:eastAsia="zh-CN"/>
        </w:rPr>
        <w:t>11</w:t>
      </w:r>
      <w:r>
        <w:rPr>
          <w:rFonts w:hint="eastAsia" w:ascii="宋体" w:hAnsi="宋体" w:cs="Courier New"/>
          <w:color w:val="auto"/>
          <w:szCs w:val="21"/>
          <w:highlight w:val="none"/>
          <w:lang w:eastAsia="zh-CN"/>
        </w:rPr>
        <w:t>月</w:t>
      </w:r>
      <w:r>
        <w:rPr>
          <w:rFonts w:hint="eastAsia" w:ascii="宋体" w:hAnsi="宋体" w:cs="Courier New"/>
          <w:color w:val="auto"/>
          <w:szCs w:val="21"/>
          <w:highlight w:val="none"/>
          <w:lang w:val="en-US" w:eastAsia="zh-CN"/>
        </w:rPr>
        <w:t>21</w:t>
      </w:r>
      <w:r>
        <w:rPr>
          <w:rFonts w:hint="eastAsia" w:ascii="宋体" w:hAnsi="宋体" w:cs="Courier New"/>
          <w:color w:val="auto"/>
          <w:szCs w:val="21"/>
          <w:highlight w:val="none"/>
          <w:lang w:eastAsia="zh-CN"/>
        </w:rPr>
        <w:t>日09</w:t>
      </w:r>
      <w:r>
        <w:rPr>
          <w:rFonts w:ascii="宋体" w:hAnsi="宋体" w:cs="Courier New"/>
          <w:color w:val="auto"/>
          <w:szCs w:val="21"/>
          <w:highlight w:val="none"/>
        </w:rPr>
        <w:t>:30</w:t>
      </w:r>
      <w:r>
        <w:rPr>
          <w:rFonts w:hint="eastAsia" w:ascii="宋体" w:hAnsi="宋体" w:eastAsia="宋体" w:cs="宋体"/>
          <w:color w:val="auto"/>
          <w:sz w:val="21"/>
          <w:szCs w:val="21"/>
          <w:highlight w:val="none"/>
        </w:rPr>
        <w:t>）之前上传投标文件</w:t>
      </w:r>
      <w:r>
        <w:rPr>
          <w:rFonts w:hint="eastAsia" w:ascii="宋体" w:hAnsi="宋体" w:eastAsia="宋体" w:cs="宋体"/>
          <w:color w:val="auto"/>
          <w:sz w:val="21"/>
          <w:szCs w:val="21"/>
          <w:highlight w:val="none"/>
          <w:lang w:eastAsia="zh-CN"/>
        </w:rPr>
        <w:t>。</w:t>
      </w:r>
    </w:p>
    <w:p w14:paraId="6F18FC9B">
      <w:pPr>
        <w:pageBreakBefore w:val="0"/>
        <w:widowControl w:val="0"/>
        <w:shd w:val="clear"/>
        <w:kinsoku/>
        <w:wordWrap/>
        <w:overflowPunct/>
        <w:topLinePunct w:val="0"/>
        <w:autoSpaceDE/>
        <w:autoSpaceDN/>
        <w:bidi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19.</w:t>
      </w:r>
      <w:r>
        <w:rPr>
          <w:rFonts w:hint="eastAsia" w:ascii="宋体" w:hAnsi="宋体" w:eastAsia="宋体" w:cs="宋体"/>
          <w:b/>
          <w:bCs/>
          <w:color w:val="auto"/>
          <w:sz w:val="21"/>
          <w:szCs w:val="21"/>
          <w:highlight w:val="none"/>
        </w:rPr>
        <w:t>投标文件的补充、修改与撤回</w:t>
      </w:r>
    </w:p>
    <w:p w14:paraId="2A7E87E5">
      <w:pPr>
        <w:pStyle w:val="18"/>
        <w:pageBreakBefore w:val="0"/>
        <w:widowControl w:val="0"/>
        <w:shd w:val="clear"/>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19.1投标人在“</w:t>
      </w:r>
      <w:r>
        <w:rPr>
          <w:rFonts w:hint="eastAsia" w:ascii="宋体" w:hAnsi="宋体" w:eastAsia="宋体" w:cs="宋体"/>
          <w:color w:val="auto"/>
          <w:sz w:val="21"/>
          <w:szCs w:val="21"/>
          <w:highlight w:val="none"/>
          <w:lang w:eastAsia="zh-CN"/>
        </w:rPr>
        <w:t>义乌市阳光招标采购平台</w:t>
      </w:r>
      <w:r>
        <w:rPr>
          <w:rFonts w:hint="eastAsia" w:ascii="宋体" w:hAnsi="宋体" w:eastAsia="宋体" w:cs="宋体"/>
          <w:color w:val="auto"/>
          <w:sz w:val="21"/>
          <w:szCs w:val="21"/>
          <w:highlight w:val="none"/>
        </w:rPr>
        <w:t>”上提交投标文件以后，在规定的投标截止时间之前，可以重新补充修改或撤回已上传的投标文件，补充、修改的内容为投标文件的组成部分。</w:t>
      </w:r>
    </w:p>
    <w:p w14:paraId="07EE24D5">
      <w:pPr>
        <w:pStyle w:val="3"/>
        <w:pageBreakBefore w:val="0"/>
        <w:widowControl w:val="0"/>
        <w:shd w:val="clear"/>
        <w:kinsoku/>
        <w:wordWrap/>
        <w:overflowPunct/>
        <w:topLinePunct w:val="0"/>
        <w:autoSpaceDE/>
        <w:autoSpaceDN/>
        <w:bidi w:val="0"/>
        <w:spacing w:line="360" w:lineRule="auto"/>
        <w:ind w:firstLine="411" w:firstLineChars="196"/>
        <w:rPr>
          <w:rFonts w:hint="eastAsia" w:ascii="宋体" w:hAnsi="宋体" w:eastAsia="宋体" w:cs="宋体"/>
          <w:color w:val="auto"/>
          <w:spacing w:val="-6"/>
          <w:sz w:val="21"/>
          <w:szCs w:val="21"/>
          <w:highlight w:val="none"/>
        </w:rPr>
      </w:pPr>
      <w:r>
        <w:rPr>
          <w:rFonts w:hint="eastAsia" w:ascii="宋体" w:hAnsi="宋体" w:eastAsia="宋体" w:cs="宋体"/>
          <w:color w:val="auto"/>
          <w:sz w:val="21"/>
          <w:szCs w:val="21"/>
          <w:highlight w:val="none"/>
        </w:rPr>
        <w:t>19.2在投标截止时间之后，</w:t>
      </w:r>
      <w:r>
        <w:rPr>
          <w:rFonts w:hint="eastAsia" w:ascii="宋体" w:hAnsi="宋体" w:eastAsia="宋体" w:cs="宋体"/>
          <w:color w:val="auto"/>
          <w:spacing w:val="-6"/>
          <w:sz w:val="21"/>
          <w:szCs w:val="21"/>
          <w:highlight w:val="none"/>
        </w:rPr>
        <w:t>投标人不得对其投标做任何修改。</w:t>
      </w:r>
    </w:p>
    <w:p w14:paraId="0AF928AF">
      <w:pPr>
        <w:pStyle w:val="18"/>
        <w:pageBreakBefore w:val="0"/>
        <w:widowControl w:val="0"/>
        <w:shd w:val="clear"/>
        <w:kinsoku/>
        <w:wordWrap/>
        <w:overflowPunct/>
        <w:topLinePunct w:val="0"/>
        <w:autoSpaceDE/>
        <w:autoSpaceDN/>
        <w:bidi w:val="0"/>
        <w:spacing w:line="360" w:lineRule="auto"/>
        <w:ind w:firstLine="396" w:firstLineChars="200"/>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19.3从投标截止时间至投标人在投标书格式中确定的投标有效期期满这段时间内，投标人不得撤回其投标，否则将通报市信用管理部门，列入严重失信名单。</w:t>
      </w:r>
    </w:p>
    <w:p w14:paraId="32EE561C">
      <w:pPr>
        <w:pStyle w:val="18"/>
        <w:pageBreakBefore w:val="0"/>
        <w:widowControl w:val="0"/>
        <w:shd w:val="clear"/>
        <w:kinsoku/>
        <w:wordWrap/>
        <w:overflowPunct/>
        <w:topLinePunct w:val="0"/>
        <w:autoSpaceDE/>
        <w:autoSpaceDN/>
        <w:bidi w:val="0"/>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20.投标文件解密</w:t>
      </w:r>
    </w:p>
    <w:p w14:paraId="063CBF9D">
      <w:pPr>
        <w:pStyle w:val="18"/>
        <w:shd w:val="clear"/>
        <w:spacing w:line="360" w:lineRule="auto"/>
        <w:ind w:firstLine="480"/>
        <w:rPr>
          <w:rFonts w:hint="eastAsia" w:hAnsi="宋体" w:cs="宋体"/>
          <w:color w:val="auto"/>
          <w:highlight w:val="none"/>
        </w:rPr>
      </w:pPr>
      <w:r>
        <w:rPr>
          <w:rFonts w:hint="eastAsia" w:ascii="宋体" w:hAnsi="宋体" w:eastAsia="宋体" w:cs="宋体"/>
          <w:color w:val="auto"/>
          <w:highlight w:val="none"/>
        </w:rPr>
        <w:t>本项目采用线上开标，</w:t>
      </w:r>
      <w:r>
        <w:rPr>
          <w:rFonts w:hint="eastAsia" w:hAnsi="宋体" w:cs="宋体"/>
          <w:color w:val="auto"/>
          <w:highlight w:val="none"/>
        </w:rPr>
        <w:t>供应商无需到开标现场，但应准时参加线上开标。开标时间后代理机构公布名单并开启解密。开启解密后的30分钟内，供应商应当登录“义乌市阳光招标采购平台”，用“开标签到解密”功能或者登录“不见面开标大厅”解密投标文件。</w:t>
      </w:r>
    </w:p>
    <w:p w14:paraId="154B0FBE">
      <w:pPr>
        <w:pStyle w:val="18"/>
        <w:pageBreakBefore w:val="0"/>
        <w:widowControl w:val="0"/>
        <w:shd w:val="clear"/>
        <w:kinsoku/>
        <w:wordWrap/>
        <w:overflowPunct/>
        <w:topLinePunct w:val="0"/>
        <w:autoSpaceDE/>
        <w:autoSpaceDN/>
        <w:bidi w:val="0"/>
        <w:spacing w:line="360" w:lineRule="auto"/>
        <w:ind w:firstLine="480"/>
        <w:rPr>
          <w:rFonts w:hint="eastAsia" w:ascii="宋体" w:hAnsi="宋体" w:cs="宋体"/>
          <w:b w:val="0"/>
          <w:bCs w:val="0"/>
          <w:color w:val="auto"/>
          <w:highlight w:val="none"/>
        </w:rPr>
      </w:pPr>
      <w:r>
        <w:rPr>
          <w:rFonts w:hint="eastAsia" w:ascii="宋体" w:hAnsi="宋体" w:cs="宋体"/>
          <w:b w:val="0"/>
          <w:bCs w:val="0"/>
          <w:color w:val="auto"/>
          <w:highlight w:val="none"/>
        </w:rPr>
        <w:t>请投标人开标前检查电脑和CA锁是否正常（确保CA锁在有效期内且CA锁介质无破损）。若收到开启解密通知后，无法解密的，可能是以下问题造成，请在收到开启解密通知15分钟内及时联系平台或招标代理进行处理，避免造成超时。</w:t>
      </w:r>
    </w:p>
    <w:p w14:paraId="367C44B2">
      <w:pPr>
        <w:pStyle w:val="18"/>
        <w:pageBreakBefore w:val="0"/>
        <w:widowControl w:val="0"/>
        <w:shd w:val="clear"/>
        <w:kinsoku/>
        <w:wordWrap/>
        <w:overflowPunct/>
        <w:topLinePunct w:val="0"/>
        <w:autoSpaceDE/>
        <w:autoSpaceDN/>
        <w:bidi w:val="0"/>
        <w:spacing w:line="360" w:lineRule="auto"/>
        <w:ind w:firstLine="480"/>
        <w:rPr>
          <w:rFonts w:hint="eastAsia" w:ascii="宋体" w:hAnsi="宋体" w:eastAsia="宋体" w:cs="宋体"/>
          <w:b w:val="0"/>
          <w:bCs w:val="0"/>
          <w:color w:val="auto"/>
          <w:highlight w:val="none"/>
          <w:lang w:eastAsia="zh-CN"/>
        </w:rPr>
      </w:pPr>
      <w:r>
        <w:rPr>
          <w:rFonts w:hint="eastAsia" w:ascii="宋体" w:hAnsi="宋体" w:cs="宋体"/>
          <w:b w:val="0"/>
          <w:bCs w:val="0"/>
          <w:color w:val="auto"/>
          <w:highlight w:val="none"/>
        </w:rPr>
        <w:t>①该电脑未安装CA驱动，无法读取CA锁——重新下载安装驱动</w:t>
      </w:r>
      <w:r>
        <w:rPr>
          <w:rFonts w:hint="eastAsia" w:ascii="宋体" w:hAnsi="宋体" w:cs="宋体"/>
          <w:b w:val="0"/>
          <w:bCs w:val="0"/>
          <w:color w:val="auto"/>
          <w:highlight w:val="none"/>
          <w:lang w:eastAsia="zh-CN"/>
        </w:rPr>
        <w:t>；</w:t>
      </w:r>
    </w:p>
    <w:p w14:paraId="2AA8B989">
      <w:pPr>
        <w:pStyle w:val="18"/>
        <w:pageBreakBefore w:val="0"/>
        <w:widowControl w:val="0"/>
        <w:shd w:val="clear"/>
        <w:kinsoku/>
        <w:wordWrap/>
        <w:overflowPunct/>
        <w:topLinePunct w:val="0"/>
        <w:autoSpaceDE/>
        <w:autoSpaceDN/>
        <w:bidi w:val="0"/>
        <w:spacing w:line="360" w:lineRule="auto"/>
        <w:ind w:firstLine="480"/>
        <w:rPr>
          <w:rFonts w:hint="eastAsia" w:ascii="宋体" w:hAnsi="宋体" w:eastAsia="宋体" w:cs="宋体"/>
          <w:b w:val="0"/>
          <w:bCs w:val="0"/>
          <w:color w:val="auto"/>
          <w:highlight w:val="none"/>
          <w:lang w:eastAsia="zh-CN"/>
        </w:rPr>
      </w:pPr>
      <w:r>
        <w:rPr>
          <w:rFonts w:hint="eastAsia" w:ascii="宋体" w:hAnsi="宋体" w:cs="宋体"/>
          <w:b w:val="0"/>
          <w:bCs w:val="0"/>
          <w:color w:val="auto"/>
          <w:highlight w:val="none"/>
        </w:rPr>
        <w:t>②电脑长时间未关机应用程序未响应，导致无法读取CA锁——重启电脑或重新安装驱动</w:t>
      </w:r>
      <w:r>
        <w:rPr>
          <w:rFonts w:hint="eastAsia" w:ascii="宋体" w:hAnsi="宋体" w:cs="宋体"/>
          <w:b w:val="0"/>
          <w:bCs w:val="0"/>
          <w:color w:val="auto"/>
          <w:highlight w:val="none"/>
          <w:lang w:eastAsia="zh-CN"/>
        </w:rPr>
        <w:t>；</w:t>
      </w:r>
    </w:p>
    <w:p w14:paraId="506B2916">
      <w:pPr>
        <w:pStyle w:val="18"/>
        <w:pageBreakBefore w:val="0"/>
        <w:widowControl w:val="0"/>
        <w:shd w:val="clear"/>
        <w:kinsoku/>
        <w:wordWrap/>
        <w:overflowPunct/>
        <w:topLinePunct w:val="0"/>
        <w:autoSpaceDE/>
        <w:autoSpaceDN/>
        <w:bidi w:val="0"/>
        <w:spacing w:line="360" w:lineRule="auto"/>
        <w:ind w:firstLine="480"/>
        <w:rPr>
          <w:rFonts w:hint="eastAsia" w:ascii="宋体" w:hAnsi="宋体" w:eastAsia="宋体" w:cs="宋体"/>
          <w:b w:val="0"/>
          <w:bCs w:val="0"/>
          <w:color w:val="auto"/>
          <w:highlight w:val="none"/>
          <w:lang w:eastAsia="zh-CN"/>
        </w:rPr>
      </w:pPr>
      <w:r>
        <w:rPr>
          <w:rFonts w:hint="eastAsia" w:ascii="宋体" w:hAnsi="宋体" w:cs="宋体"/>
          <w:b w:val="0"/>
          <w:bCs w:val="0"/>
          <w:color w:val="auto"/>
          <w:highlight w:val="none"/>
        </w:rPr>
        <w:t>③浏览器版本过低导致无法识别——更换Egde、谷歌浏览器</w:t>
      </w:r>
      <w:r>
        <w:rPr>
          <w:rFonts w:hint="eastAsia" w:ascii="宋体" w:hAnsi="宋体" w:cs="宋体"/>
          <w:b w:val="0"/>
          <w:bCs w:val="0"/>
          <w:color w:val="auto"/>
          <w:highlight w:val="none"/>
          <w:lang w:eastAsia="zh-CN"/>
        </w:rPr>
        <w:t>；</w:t>
      </w:r>
    </w:p>
    <w:p w14:paraId="3A5282A0">
      <w:pPr>
        <w:pStyle w:val="18"/>
        <w:pageBreakBefore w:val="0"/>
        <w:widowControl w:val="0"/>
        <w:shd w:val="clear"/>
        <w:kinsoku/>
        <w:wordWrap/>
        <w:overflowPunct/>
        <w:topLinePunct w:val="0"/>
        <w:autoSpaceDE/>
        <w:autoSpaceDN/>
        <w:bidi w:val="0"/>
        <w:spacing w:line="360" w:lineRule="auto"/>
        <w:ind w:firstLine="480"/>
        <w:rPr>
          <w:rFonts w:hint="eastAsia" w:ascii="宋体" w:hAnsi="宋体" w:eastAsia="宋体" w:cs="宋体"/>
          <w:b w:val="0"/>
          <w:bCs w:val="0"/>
          <w:color w:val="auto"/>
          <w:highlight w:val="none"/>
          <w:lang w:eastAsia="zh-CN"/>
        </w:rPr>
      </w:pPr>
      <w:r>
        <w:rPr>
          <w:rFonts w:hint="eastAsia" w:ascii="宋体" w:hAnsi="宋体" w:cs="宋体"/>
          <w:b w:val="0"/>
          <w:bCs w:val="0"/>
          <w:color w:val="auto"/>
          <w:highlight w:val="none"/>
        </w:rPr>
        <w:t>④密码多次输入错误导致无法解密——打开CA工具进行检测密码是否正确</w:t>
      </w:r>
      <w:r>
        <w:rPr>
          <w:rFonts w:hint="eastAsia" w:ascii="宋体" w:hAnsi="宋体" w:cs="宋体"/>
          <w:b w:val="0"/>
          <w:bCs w:val="0"/>
          <w:color w:val="auto"/>
          <w:highlight w:val="none"/>
          <w:lang w:eastAsia="zh-CN"/>
        </w:rPr>
        <w:t>；</w:t>
      </w:r>
    </w:p>
    <w:p w14:paraId="0B4C6EB1">
      <w:pPr>
        <w:pStyle w:val="18"/>
        <w:pageBreakBefore w:val="0"/>
        <w:widowControl w:val="0"/>
        <w:shd w:val="clear"/>
        <w:kinsoku/>
        <w:wordWrap/>
        <w:overflowPunct/>
        <w:topLinePunct w:val="0"/>
        <w:autoSpaceDE/>
        <w:autoSpaceDN/>
        <w:bidi w:val="0"/>
        <w:spacing w:line="360" w:lineRule="auto"/>
        <w:ind w:firstLine="480"/>
        <w:rPr>
          <w:rFonts w:hint="eastAsia" w:ascii="宋体" w:hAnsi="宋体" w:eastAsia="宋体" w:cs="宋体"/>
          <w:b w:val="0"/>
          <w:bCs w:val="0"/>
          <w:color w:val="auto"/>
          <w:highlight w:val="none"/>
          <w:lang w:eastAsia="zh-CN"/>
        </w:rPr>
      </w:pPr>
      <w:r>
        <w:rPr>
          <w:rFonts w:hint="eastAsia" w:ascii="宋体" w:hAnsi="宋体" w:cs="宋体"/>
          <w:b w:val="0"/>
          <w:bCs w:val="0"/>
          <w:color w:val="auto"/>
          <w:highlight w:val="none"/>
        </w:rPr>
        <w:t>⑤因杀毒软件检测导致无法识别CA锁——关闭杀毒软件</w:t>
      </w:r>
      <w:r>
        <w:rPr>
          <w:rFonts w:hint="eastAsia" w:ascii="宋体" w:hAnsi="宋体" w:cs="宋体"/>
          <w:b w:val="0"/>
          <w:bCs w:val="0"/>
          <w:color w:val="auto"/>
          <w:highlight w:val="none"/>
          <w:lang w:eastAsia="zh-CN"/>
        </w:rPr>
        <w:t>；</w:t>
      </w:r>
    </w:p>
    <w:p w14:paraId="6A5761FB">
      <w:pPr>
        <w:pStyle w:val="18"/>
        <w:pageBreakBefore w:val="0"/>
        <w:widowControl w:val="0"/>
        <w:shd w:val="clear"/>
        <w:kinsoku/>
        <w:wordWrap/>
        <w:overflowPunct/>
        <w:topLinePunct w:val="0"/>
        <w:autoSpaceDE/>
        <w:autoSpaceDN/>
        <w:bidi w:val="0"/>
        <w:spacing w:line="360" w:lineRule="auto"/>
        <w:ind w:firstLine="480"/>
        <w:rPr>
          <w:rFonts w:hint="eastAsia" w:ascii="宋体" w:hAnsi="宋体" w:eastAsia="宋体" w:cs="宋体"/>
          <w:b w:val="0"/>
          <w:bCs w:val="0"/>
          <w:color w:val="auto"/>
          <w:sz w:val="21"/>
          <w:szCs w:val="21"/>
          <w:highlight w:val="none"/>
        </w:rPr>
      </w:pPr>
      <w:r>
        <w:rPr>
          <w:rFonts w:hint="eastAsia" w:ascii="宋体" w:hAnsi="宋体" w:cs="宋体"/>
          <w:b w:val="0"/>
          <w:bCs w:val="0"/>
          <w:color w:val="auto"/>
          <w:highlight w:val="none"/>
        </w:rPr>
        <w:t>⑥因系统安装多版本驱动导致无法识别CA锁——卸载其他驱动或更换其他电脑安装驱动。</w:t>
      </w:r>
    </w:p>
    <w:p w14:paraId="0392476B">
      <w:pPr>
        <w:pStyle w:val="5"/>
        <w:pageBreakBefore w:val="0"/>
        <w:widowControl w:val="0"/>
        <w:shd w:val="clear"/>
        <w:kinsoku/>
        <w:wordWrap/>
        <w:overflowPunct/>
        <w:topLinePunct w:val="0"/>
        <w:autoSpaceDE/>
        <w:autoSpaceDN/>
        <w:bidi w:val="0"/>
        <w:spacing w:before="120" w:after="120" w:line="360" w:lineRule="auto"/>
        <w:rPr>
          <w:rFonts w:hint="default" w:ascii="宋体" w:hAnsi="宋体" w:eastAsia="宋体" w:cs="宋体"/>
          <w:color w:val="auto"/>
          <w:sz w:val="21"/>
          <w:szCs w:val="21"/>
          <w:highlight w:val="none"/>
          <w:lang w:val="en-US" w:eastAsia="zh-CN"/>
        </w:rPr>
      </w:pPr>
      <w:bookmarkStart w:id="30" w:name="_Toc25468"/>
      <w:r>
        <w:rPr>
          <w:rFonts w:hint="eastAsia" w:ascii="宋体" w:hAnsi="宋体" w:eastAsia="宋体" w:cs="宋体"/>
          <w:color w:val="auto"/>
          <w:sz w:val="21"/>
          <w:szCs w:val="21"/>
          <w:highlight w:val="none"/>
        </w:rPr>
        <w:t>五、</w:t>
      </w:r>
      <w:bookmarkEnd w:id="28"/>
      <w:bookmarkEnd w:id="29"/>
      <w:r>
        <w:rPr>
          <w:rFonts w:hint="eastAsia" w:ascii="宋体" w:hAnsi="宋体" w:eastAsia="宋体" w:cs="宋体"/>
          <w:color w:val="auto"/>
          <w:sz w:val="21"/>
          <w:szCs w:val="21"/>
          <w:highlight w:val="none"/>
          <w:lang w:val="en-US" w:eastAsia="zh-CN"/>
        </w:rPr>
        <w:t>费用缴纳</w:t>
      </w:r>
      <w:bookmarkEnd w:id="30"/>
    </w:p>
    <w:p w14:paraId="43EA1B6A">
      <w:pPr>
        <w:pageBreakBefore w:val="0"/>
        <w:widowControl w:val="0"/>
        <w:shd w:val="clear"/>
        <w:kinsoku/>
        <w:wordWrap/>
        <w:overflowPunct/>
        <w:topLinePunct w:val="0"/>
        <w:autoSpaceDE/>
        <w:autoSpaceDN/>
        <w:bidi w:val="0"/>
        <w:spacing w:line="360" w:lineRule="auto"/>
        <w:ind w:firstLine="435"/>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lang w:val="en-US" w:eastAsia="zh-CN"/>
        </w:rPr>
        <w:t>1.</w:t>
      </w:r>
      <w:r>
        <w:rPr>
          <w:rFonts w:hint="eastAsia" w:ascii="宋体" w:hAnsi="宋体" w:eastAsia="宋体" w:cs="宋体"/>
          <w:color w:val="auto"/>
          <w:spacing w:val="-6"/>
          <w:sz w:val="21"/>
          <w:szCs w:val="21"/>
          <w:highlight w:val="none"/>
        </w:rPr>
        <w:t>招标服务费于中标通知书发送前按照</w:t>
      </w:r>
      <w:r>
        <w:rPr>
          <w:rFonts w:hint="eastAsia" w:ascii="宋体" w:hAnsi="宋体" w:eastAsia="宋体" w:cs="宋体"/>
          <w:b/>
          <w:bCs/>
          <w:color w:val="auto"/>
          <w:spacing w:val="-6"/>
          <w:sz w:val="21"/>
          <w:szCs w:val="21"/>
          <w:highlight w:val="none"/>
          <w:lang w:val="en-US" w:eastAsia="zh-CN"/>
        </w:rPr>
        <w:t>预算</w:t>
      </w:r>
      <w:r>
        <w:rPr>
          <w:rFonts w:hint="eastAsia" w:ascii="宋体" w:hAnsi="宋体" w:eastAsia="宋体" w:cs="宋体"/>
          <w:color w:val="auto"/>
          <w:spacing w:val="-6"/>
          <w:sz w:val="21"/>
          <w:szCs w:val="21"/>
          <w:highlight w:val="none"/>
        </w:rPr>
        <w:t xml:space="preserve">金额向中标方收取。单宗招标服务费不足3000元按3000元收取。 </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2"/>
        <w:gridCol w:w="1335"/>
        <w:gridCol w:w="3967"/>
      </w:tblGrid>
      <w:tr w14:paraId="7E232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212" w:type="dxa"/>
            <w:tcBorders>
              <w:top w:val="single" w:color="auto" w:sz="4" w:space="0"/>
              <w:left w:val="single" w:color="auto" w:sz="4" w:space="0"/>
              <w:bottom w:val="single" w:color="auto" w:sz="4" w:space="0"/>
              <w:right w:val="single" w:color="auto" w:sz="4" w:space="0"/>
            </w:tcBorders>
            <w:noWrap w:val="0"/>
            <w:vAlign w:val="center"/>
          </w:tcPr>
          <w:p w14:paraId="277DD057">
            <w:pPr>
              <w:pStyle w:val="18"/>
              <w:shd w:val="clear"/>
              <w:spacing w:line="360" w:lineRule="auto"/>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中标金额（万元）</w:t>
            </w:r>
          </w:p>
        </w:tc>
        <w:tc>
          <w:tcPr>
            <w:tcW w:w="1335" w:type="dxa"/>
            <w:tcBorders>
              <w:top w:val="single" w:color="auto" w:sz="4" w:space="0"/>
              <w:left w:val="single" w:color="auto" w:sz="4" w:space="0"/>
              <w:bottom w:val="single" w:color="auto" w:sz="4" w:space="0"/>
              <w:right w:val="single" w:color="auto" w:sz="4" w:space="0"/>
            </w:tcBorders>
            <w:noWrap w:val="0"/>
            <w:vAlign w:val="center"/>
          </w:tcPr>
          <w:p w14:paraId="030A70D0">
            <w:pPr>
              <w:pStyle w:val="18"/>
              <w:shd w:val="clear"/>
              <w:spacing w:line="360" w:lineRule="auto"/>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收费标准</w:t>
            </w:r>
          </w:p>
        </w:tc>
        <w:tc>
          <w:tcPr>
            <w:tcW w:w="3967" w:type="dxa"/>
            <w:tcBorders>
              <w:top w:val="single" w:color="auto" w:sz="4" w:space="0"/>
              <w:left w:val="single" w:color="auto" w:sz="4" w:space="0"/>
              <w:bottom w:val="single" w:color="auto" w:sz="4" w:space="0"/>
              <w:right w:val="single" w:color="auto" w:sz="4" w:space="0"/>
            </w:tcBorders>
            <w:noWrap w:val="0"/>
            <w:vAlign w:val="center"/>
          </w:tcPr>
          <w:p w14:paraId="6D6A0BC0">
            <w:pPr>
              <w:pStyle w:val="18"/>
              <w:shd w:val="clear"/>
              <w:spacing w:line="360" w:lineRule="auto"/>
              <w:ind w:firstLine="480"/>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备注</w:t>
            </w:r>
          </w:p>
        </w:tc>
      </w:tr>
      <w:tr w14:paraId="7E941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2212" w:type="dxa"/>
            <w:tcBorders>
              <w:top w:val="single" w:color="auto" w:sz="4" w:space="0"/>
              <w:left w:val="single" w:color="auto" w:sz="4" w:space="0"/>
              <w:bottom w:val="single" w:color="auto" w:sz="4" w:space="0"/>
              <w:right w:val="single" w:color="auto" w:sz="4" w:space="0"/>
            </w:tcBorders>
            <w:noWrap w:val="0"/>
            <w:vAlign w:val="center"/>
          </w:tcPr>
          <w:p w14:paraId="16ABA0CC">
            <w:pPr>
              <w:pStyle w:val="18"/>
              <w:shd w:val="clea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100</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含</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以下</w:t>
            </w:r>
          </w:p>
        </w:tc>
        <w:tc>
          <w:tcPr>
            <w:tcW w:w="1335" w:type="dxa"/>
            <w:tcBorders>
              <w:top w:val="single" w:color="auto" w:sz="4" w:space="0"/>
              <w:left w:val="single" w:color="auto" w:sz="4" w:space="0"/>
              <w:bottom w:val="single" w:color="auto" w:sz="4" w:space="0"/>
              <w:right w:val="single" w:color="auto" w:sz="4" w:space="0"/>
            </w:tcBorders>
            <w:noWrap w:val="0"/>
            <w:vAlign w:val="center"/>
          </w:tcPr>
          <w:p w14:paraId="7146D2F5">
            <w:pPr>
              <w:pStyle w:val="18"/>
              <w:shd w:val="clea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1.5%</w:t>
            </w:r>
          </w:p>
        </w:tc>
        <w:tc>
          <w:tcPr>
            <w:tcW w:w="3967" w:type="dxa"/>
            <w:vMerge w:val="restart"/>
            <w:tcBorders>
              <w:top w:val="single" w:color="auto" w:sz="4" w:space="0"/>
              <w:left w:val="single" w:color="auto" w:sz="4" w:space="0"/>
              <w:right w:val="single" w:color="auto" w:sz="4" w:space="0"/>
            </w:tcBorders>
            <w:noWrap w:val="0"/>
            <w:vAlign w:val="center"/>
          </w:tcPr>
          <w:p w14:paraId="1BE587E9">
            <w:pPr>
              <w:pStyle w:val="18"/>
              <w:shd w:val="clear"/>
              <w:spacing w:line="360" w:lineRule="auto"/>
              <w:jc w:val="both"/>
              <w:rPr>
                <w:rFonts w:hint="eastAsia" w:ascii="宋体" w:hAnsi="宋体" w:eastAsia="宋体" w:cs="宋体"/>
                <w:color w:val="auto"/>
                <w:highlight w:val="none"/>
              </w:rPr>
            </w:pPr>
            <w:r>
              <w:rPr>
                <w:rFonts w:hint="eastAsia" w:ascii="宋体" w:hAnsi="宋体" w:eastAsia="宋体" w:cs="宋体"/>
                <w:color w:val="auto"/>
                <w:highlight w:val="none"/>
              </w:rPr>
              <w:t>招标服务采用差额定率累进法计算，向中标方单向收取。</w:t>
            </w:r>
          </w:p>
          <w:p w14:paraId="24F33C77">
            <w:pPr>
              <w:pStyle w:val="18"/>
              <w:shd w:val="clear"/>
              <w:spacing w:line="360" w:lineRule="auto"/>
              <w:jc w:val="both"/>
              <w:rPr>
                <w:rFonts w:hint="eastAsia" w:ascii="宋体" w:hAnsi="宋体" w:eastAsia="宋体" w:cs="宋体"/>
                <w:color w:val="auto"/>
                <w:highlight w:val="none"/>
              </w:rPr>
            </w:pPr>
            <w:r>
              <w:rPr>
                <w:rFonts w:hint="eastAsia" w:ascii="宋体" w:hAnsi="宋体" w:eastAsia="宋体" w:cs="宋体"/>
                <w:color w:val="auto"/>
                <w:highlight w:val="none"/>
              </w:rPr>
              <w:t>例：中标金额为1000万。服务费=100万×1.5%+40</w:t>
            </w:r>
            <w:r>
              <w:rPr>
                <w:rFonts w:hint="eastAsia" w:ascii="宋体" w:hAnsi="宋体" w:eastAsia="宋体" w:cs="宋体"/>
                <w:color w:val="auto"/>
                <w:highlight w:val="none"/>
                <w:lang w:val="en-US" w:eastAsia="zh-CN"/>
              </w:rPr>
              <w:t>0</w:t>
            </w:r>
            <w:r>
              <w:rPr>
                <w:rFonts w:hint="eastAsia" w:ascii="宋体" w:hAnsi="宋体" w:eastAsia="宋体" w:cs="宋体"/>
                <w:color w:val="auto"/>
                <w:highlight w:val="none"/>
              </w:rPr>
              <w:t>万×0.8%+500万×0.45%=6.95万</w:t>
            </w:r>
          </w:p>
          <w:p w14:paraId="359A1CF8">
            <w:pPr>
              <w:shd w:val="clear"/>
              <w:rPr>
                <w:rFonts w:hint="eastAsia"/>
                <w:color w:val="auto"/>
                <w:highlight w:val="none"/>
              </w:rPr>
            </w:pPr>
            <w:r>
              <w:rPr>
                <w:rFonts w:hint="eastAsia"/>
                <w:color w:val="auto"/>
                <w:highlight w:val="none"/>
              </w:rPr>
              <w:t>服务招标服务费最高300万元。</w:t>
            </w:r>
          </w:p>
        </w:tc>
      </w:tr>
      <w:tr w14:paraId="6AB6C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2212" w:type="dxa"/>
            <w:tcBorders>
              <w:top w:val="single" w:color="auto" w:sz="4" w:space="0"/>
              <w:left w:val="single" w:color="auto" w:sz="4" w:space="0"/>
              <w:bottom w:val="single" w:color="auto" w:sz="4" w:space="0"/>
              <w:right w:val="single" w:color="auto" w:sz="4" w:space="0"/>
            </w:tcBorders>
            <w:noWrap w:val="0"/>
            <w:vAlign w:val="center"/>
          </w:tcPr>
          <w:p w14:paraId="15CA3468">
            <w:pPr>
              <w:pStyle w:val="18"/>
              <w:shd w:val="clea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100-500</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含</w:t>
            </w:r>
            <w:r>
              <w:rPr>
                <w:rFonts w:hint="eastAsia" w:ascii="宋体" w:hAnsi="宋体" w:eastAsia="宋体" w:cs="宋体"/>
                <w:color w:val="auto"/>
                <w:highlight w:val="none"/>
                <w:lang w:eastAsia="zh-CN"/>
              </w:rPr>
              <w:t>）</w:t>
            </w:r>
          </w:p>
        </w:tc>
        <w:tc>
          <w:tcPr>
            <w:tcW w:w="1335" w:type="dxa"/>
            <w:tcBorders>
              <w:top w:val="single" w:color="auto" w:sz="4" w:space="0"/>
              <w:left w:val="single" w:color="auto" w:sz="4" w:space="0"/>
              <w:bottom w:val="single" w:color="auto" w:sz="4" w:space="0"/>
              <w:right w:val="single" w:color="auto" w:sz="4" w:space="0"/>
            </w:tcBorders>
            <w:noWrap w:val="0"/>
            <w:vAlign w:val="center"/>
          </w:tcPr>
          <w:p w14:paraId="5C9DC464">
            <w:pPr>
              <w:pStyle w:val="18"/>
              <w:shd w:val="clea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0.8%</w:t>
            </w:r>
          </w:p>
        </w:tc>
        <w:tc>
          <w:tcPr>
            <w:tcW w:w="3967" w:type="dxa"/>
            <w:vMerge w:val="continue"/>
            <w:tcBorders>
              <w:left w:val="single" w:color="auto" w:sz="4" w:space="0"/>
              <w:right w:val="single" w:color="auto" w:sz="4" w:space="0"/>
            </w:tcBorders>
            <w:noWrap w:val="0"/>
            <w:vAlign w:val="center"/>
          </w:tcPr>
          <w:p w14:paraId="1F831C0D">
            <w:pPr>
              <w:pStyle w:val="18"/>
              <w:shd w:val="clear"/>
              <w:spacing w:line="360" w:lineRule="auto"/>
              <w:ind w:firstLine="480"/>
              <w:jc w:val="center"/>
              <w:rPr>
                <w:rFonts w:hint="eastAsia" w:ascii="宋体" w:hAnsi="宋体" w:eastAsia="宋体" w:cs="宋体"/>
                <w:color w:val="auto"/>
                <w:highlight w:val="none"/>
              </w:rPr>
            </w:pPr>
          </w:p>
        </w:tc>
      </w:tr>
      <w:tr w14:paraId="04C98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2212" w:type="dxa"/>
            <w:tcBorders>
              <w:top w:val="single" w:color="auto" w:sz="4" w:space="0"/>
              <w:left w:val="single" w:color="auto" w:sz="4" w:space="0"/>
              <w:bottom w:val="single" w:color="auto" w:sz="4" w:space="0"/>
              <w:right w:val="single" w:color="auto" w:sz="4" w:space="0"/>
            </w:tcBorders>
            <w:noWrap w:val="0"/>
            <w:vAlign w:val="center"/>
          </w:tcPr>
          <w:p w14:paraId="5938274E">
            <w:pPr>
              <w:pStyle w:val="18"/>
              <w:shd w:val="clea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500-1000</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含</w:t>
            </w:r>
            <w:r>
              <w:rPr>
                <w:rFonts w:hint="eastAsia" w:ascii="宋体" w:hAnsi="宋体" w:eastAsia="宋体" w:cs="宋体"/>
                <w:color w:val="auto"/>
                <w:highlight w:val="none"/>
                <w:lang w:eastAsia="zh-CN"/>
              </w:rPr>
              <w:t>）</w:t>
            </w:r>
          </w:p>
        </w:tc>
        <w:tc>
          <w:tcPr>
            <w:tcW w:w="1335" w:type="dxa"/>
            <w:tcBorders>
              <w:top w:val="single" w:color="auto" w:sz="4" w:space="0"/>
              <w:left w:val="single" w:color="auto" w:sz="4" w:space="0"/>
              <w:bottom w:val="single" w:color="auto" w:sz="4" w:space="0"/>
              <w:right w:val="single" w:color="auto" w:sz="4" w:space="0"/>
            </w:tcBorders>
            <w:noWrap w:val="0"/>
            <w:vAlign w:val="center"/>
          </w:tcPr>
          <w:p w14:paraId="241483C6">
            <w:pPr>
              <w:pStyle w:val="18"/>
              <w:shd w:val="clea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0.45%</w:t>
            </w:r>
          </w:p>
        </w:tc>
        <w:tc>
          <w:tcPr>
            <w:tcW w:w="3967" w:type="dxa"/>
            <w:vMerge w:val="continue"/>
            <w:tcBorders>
              <w:left w:val="single" w:color="auto" w:sz="4" w:space="0"/>
              <w:right w:val="single" w:color="auto" w:sz="4" w:space="0"/>
            </w:tcBorders>
            <w:noWrap w:val="0"/>
            <w:vAlign w:val="center"/>
          </w:tcPr>
          <w:p w14:paraId="7CA76771">
            <w:pPr>
              <w:pStyle w:val="18"/>
              <w:shd w:val="clear"/>
              <w:spacing w:line="360" w:lineRule="auto"/>
              <w:ind w:firstLine="480"/>
              <w:jc w:val="center"/>
              <w:rPr>
                <w:rFonts w:hint="eastAsia" w:ascii="宋体" w:hAnsi="宋体" w:eastAsia="宋体" w:cs="宋体"/>
                <w:color w:val="auto"/>
                <w:highlight w:val="none"/>
              </w:rPr>
            </w:pPr>
          </w:p>
        </w:tc>
      </w:tr>
      <w:tr w14:paraId="77725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2212" w:type="dxa"/>
            <w:tcBorders>
              <w:top w:val="single" w:color="auto" w:sz="4" w:space="0"/>
              <w:left w:val="single" w:color="auto" w:sz="4" w:space="0"/>
              <w:bottom w:val="single" w:color="auto" w:sz="4" w:space="0"/>
              <w:right w:val="single" w:color="auto" w:sz="4" w:space="0"/>
            </w:tcBorders>
            <w:noWrap w:val="0"/>
            <w:vAlign w:val="center"/>
          </w:tcPr>
          <w:p w14:paraId="41E16AA7">
            <w:pPr>
              <w:pStyle w:val="18"/>
              <w:shd w:val="clea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1000-5000</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含</w:t>
            </w:r>
            <w:r>
              <w:rPr>
                <w:rFonts w:hint="eastAsia" w:ascii="宋体" w:hAnsi="宋体" w:eastAsia="宋体" w:cs="宋体"/>
                <w:color w:val="auto"/>
                <w:highlight w:val="none"/>
                <w:lang w:eastAsia="zh-CN"/>
              </w:rPr>
              <w:t>）</w:t>
            </w:r>
          </w:p>
        </w:tc>
        <w:tc>
          <w:tcPr>
            <w:tcW w:w="1335" w:type="dxa"/>
            <w:tcBorders>
              <w:top w:val="single" w:color="auto" w:sz="4" w:space="0"/>
              <w:left w:val="single" w:color="auto" w:sz="4" w:space="0"/>
              <w:bottom w:val="single" w:color="auto" w:sz="4" w:space="0"/>
              <w:right w:val="single" w:color="auto" w:sz="4" w:space="0"/>
            </w:tcBorders>
            <w:noWrap w:val="0"/>
            <w:vAlign w:val="center"/>
          </w:tcPr>
          <w:p w14:paraId="296FFF4C">
            <w:pPr>
              <w:pStyle w:val="18"/>
              <w:shd w:val="clea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0.25%</w:t>
            </w:r>
          </w:p>
        </w:tc>
        <w:tc>
          <w:tcPr>
            <w:tcW w:w="3967" w:type="dxa"/>
            <w:vMerge w:val="continue"/>
            <w:tcBorders>
              <w:left w:val="single" w:color="auto" w:sz="4" w:space="0"/>
              <w:right w:val="single" w:color="auto" w:sz="4" w:space="0"/>
            </w:tcBorders>
            <w:noWrap w:val="0"/>
            <w:vAlign w:val="center"/>
          </w:tcPr>
          <w:p w14:paraId="27AB77EA">
            <w:pPr>
              <w:pStyle w:val="18"/>
              <w:shd w:val="clear"/>
              <w:spacing w:line="360" w:lineRule="auto"/>
              <w:ind w:firstLine="480"/>
              <w:jc w:val="center"/>
              <w:rPr>
                <w:rFonts w:hint="eastAsia" w:ascii="宋体" w:hAnsi="宋体" w:eastAsia="宋体" w:cs="宋体"/>
                <w:color w:val="auto"/>
                <w:highlight w:val="none"/>
              </w:rPr>
            </w:pPr>
          </w:p>
        </w:tc>
      </w:tr>
      <w:tr w14:paraId="69483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2212" w:type="dxa"/>
            <w:tcBorders>
              <w:top w:val="single" w:color="auto" w:sz="4" w:space="0"/>
              <w:left w:val="single" w:color="auto" w:sz="4" w:space="0"/>
              <w:bottom w:val="single" w:color="auto" w:sz="4" w:space="0"/>
              <w:right w:val="single" w:color="auto" w:sz="4" w:space="0"/>
            </w:tcBorders>
            <w:noWrap w:val="0"/>
            <w:vAlign w:val="center"/>
          </w:tcPr>
          <w:p w14:paraId="7B723C89">
            <w:pPr>
              <w:pStyle w:val="18"/>
              <w:shd w:val="clea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5000-10000</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含</w:t>
            </w:r>
            <w:r>
              <w:rPr>
                <w:rFonts w:hint="eastAsia" w:ascii="宋体" w:hAnsi="宋体" w:eastAsia="宋体" w:cs="宋体"/>
                <w:color w:val="auto"/>
                <w:highlight w:val="none"/>
                <w:lang w:eastAsia="zh-CN"/>
              </w:rPr>
              <w:t>）</w:t>
            </w:r>
          </w:p>
        </w:tc>
        <w:tc>
          <w:tcPr>
            <w:tcW w:w="1335" w:type="dxa"/>
            <w:tcBorders>
              <w:top w:val="single" w:color="auto" w:sz="4" w:space="0"/>
              <w:left w:val="single" w:color="auto" w:sz="4" w:space="0"/>
              <w:bottom w:val="single" w:color="auto" w:sz="4" w:space="0"/>
              <w:right w:val="single" w:color="auto" w:sz="4" w:space="0"/>
            </w:tcBorders>
            <w:noWrap w:val="0"/>
            <w:vAlign w:val="center"/>
          </w:tcPr>
          <w:p w14:paraId="1A1977FC">
            <w:pPr>
              <w:pStyle w:val="18"/>
              <w:shd w:val="clea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0.1%</w:t>
            </w:r>
          </w:p>
        </w:tc>
        <w:tc>
          <w:tcPr>
            <w:tcW w:w="3967" w:type="dxa"/>
            <w:vMerge w:val="continue"/>
            <w:tcBorders>
              <w:left w:val="single" w:color="auto" w:sz="4" w:space="0"/>
              <w:right w:val="single" w:color="auto" w:sz="4" w:space="0"/>
            </w:tcBorders>
            <w:noWrap w:val="0"/>
            <w:vAlign w:val="center"/>
          </w:tcPr>
          <w:p w14:paraId="29F63E70">
            <w:pPr>
              <w:pStyle w:val="18"/>
              <w:shd w:val="clear"/>
              <w:spacing w:line="360" w:lineRule="auto"/>
              <w:ind w:firstLine="480"/>
              <w:jc w:val="center"/>
              <w:rPr>
                <w:rFonts w:hint="eastAsia" w:ascii="宋体" w:hAnsi="宋体" w:eastAsia="宋体" w:cs="宋体"/>
                <w:color w:val="auto"/>
                <w:highlight w:val="none"/>
              </w:rPr>
            </w:pPr>
          </w:p>
        </w:tc>
      </w:tr>
      <w:tr w14:paraId="7F44E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2212" w:type="dxa"/>
            <w:tcBorders>
              <w:top w:val="single" w:color="auto" w:sz="4" w:space="0"/>
              <w:left w:val="single" w:color="auto" w:sz="4" w:space="0"/>
              <w:bottom w:val="single" w:color="auto" w:sz="4" w:space="0"/>
              <w:right w:val="single" w:color="auto" w:sz="4" w:space="0"/>
            </w:tcBorders>
            <w:noWrap w:val="0"/>
            <w:vAlign w:val="center"/>
          </w:tcPr>
          <w:p w14:paraId="481163D4">
            <w:pPr>
              <w:pStyle w:val="18"/>
              <w:shd w:val="clea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10</w:t>
            </w:r>
            <w:r>
              <w:rPr>
                <w:rFonts w:hint="eastAsia" w:ascii="宋体" w:hAnsi="宋体" w:eastAsia="宋体" w:cs="宋体"/>
                <w:color w:val="auto"/>
                <w:highlight w:val="none"/>
              </w:rPr>
              <w:t>000-</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0000</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含</w:t>
            </w:r>
            <w:r>
              <w:rPr>
                <w:rFonts w:hint="eastAsia" w:ascii="宋体" w:hAnsi="宋体" w:eastAsia="宋体" w:cs="宋体"/>
                <w:color w:val="auto"/>
                <w:highlight w:val="none"/>
                <w:lang w:eastAsia="zh-CN"/>
              </w:rPr>
              <w:t>）</w:t>
            </w:r>
          </w:p>
        </w:tc>
        <w:tc>
          <w:tcPr>
            <w:tcW w:w="1335" w:type="dxa"/>
            <w:tcBorders>
              <w:top w:val="single" w:color="auto" w:sz="4" w:space="0"/>
              <w:left w:val="single" w:color="auto" w:sz="4" w:space="0"/>
              <w:bottom w:val="single" w:color="auto" w:sz="4" w:space="0"/>
              <w:right w:val="single" w:color="auto" w:sz="4" w:space="0"/>
            </w:tcBorders>
            <w:noWrap w:val="0"/>
            <w:vAlign w:val="center"/>
          </w:tcPr>
          <w:p w14:paraId="460D83FD">
            <w:pPr>
              <w:pStyle w:val="18"/>
              <w:shd w:val="clear"/>
              <w:spacing w:line="360" w:lineRule="auto"/>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0.05%</w:t>
            </w:r>
          </w:p>
        </w:tc>
        <w:tc>
          <w:tcPr>
            <w:tcW w:w="3967" w:type="dxa"/>
            <w:vMerge w:val="continue"/>
            <w:tcBorders>
              <w:left w:val="single" w:color="auto" w:sz="4" w:space="0"/>
              <w:right w:val="single" w:color="auto" w:sz="4" w:space="0"/>
            </w:tcBorders>
            <w:noWrap w:val="0"/>
            <w:vAlign w:val="center"/>
          </w:tcPr>
          <w:p w14:paraId="5AB4E60B">
            <w:pPr>
              <w:pStyle w:val="18"/>
              <w:shd w:val="clear"/>
              <w:spacing w:line="360" w:lineRule="auto"/>
              <w:ind w:firstLine="480"/>
              <w:jc w:val="center"/>
              <w:rPr>
                <w:rFonts w:hint="eastAsia" w:ascii="宋体" w:hAnsi="宋体" w:eastAsia="宋体" w:cs="宋体"/>
                <w:color w:val="auto"/>
                <w:highlight w:val="none"/>
              </w:rPr>
            </w:pPr>
          </w:p>
        </w:tc>
      </w:tr>
      <w:tr w14:paraId="2813A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2212" w:type="dxa"/>
            <w:tcBorders>
              <w:top w:val="single" w:color="auto" w:sz="4" w:space="0"/>
              <w:left w:val="single" w:color="auto" w:sz="4" w:space="0"/>
              <w:bottom w:val="single" w:color="auto" w:sz="4" w:space="0"/>
              <w:right w:val="single" w:color="auto" w:sz="4" w:space="0"/>
            </w:tcBorders>
            <w:noWrap w:val="0"/>
            <w:vAlign w:val="center"/>
          </w:tcPr>
          <w:p w14:paraId="026CE7D6">
            <w:pPr>
              <w:pStyle w:val="18"/>
              <w:shd w:val="clea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5</w:t>
            </w:r>
            <w:r>
              <w:rPr>
                <w:rFonts w:hint="eastAsia" w:ascii="宋体" w:hAnsi="宋体" w:eastAsia="宋体" w:cs="宋体"/>
                <w:color w:val="auto"/>
                <w:highlight w:val="none"/>
                <w:lang w:val="en-US" w:eastAsia="zh-CN"/>
              </w:rPr>
              <w:t>0</w:t>
            </w:r>
            <w:r>
              <w:rPr>
                <w:rFonts w:hint="eastAsia" w:ascii="宋体" w:hAnsi="宋体" w:eastAsia="宋体" w:cs="宋体"/>
                <w:color w:val="auto"/>
                <w:highlight w:val="none"/>
              </w:rPr>
              <w:t>000-1</w:t>
            </w:r>
            <w:r>
              <w:rPr>
                <w:rFonts w:hint="eastAsia" w:ascii="宋体" w:hAnsi="宋体" w:eastAsia="宋体" w:cs="宋体"/>
                <w:color w:val="auto"/>
                <w:highlight w:val="none"/>
                <w:lang w:val="en-US" w:eastAsia="zh-CN"/>
              </w:rPr>
              <w:t>0</w:t>
            </w:r>
            <w:r>
              <w:rPr>
                <w:rFonts w:hint="eastAsia" w:ascii="宋体" w:hAnsi="宋体" w:eastAsia="宋体" w:cs="宋体"/>
                <w:color w:val="auto"/>
                <w:highlight w:val="none"/>
              </w:rPr>
              <w:t>0000</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含</w:t>
            </w:r>
            <w:r>
              <w:rPr>
                <w:rFonts w:hint="eastAsia" w:ascii="宋体" w:hAnsi="宋体" w:eastAsia="宋体" w:cs="宋体"/>
                <w:color w:val="auto"/>
                <w:highlight w:val="none"/>
                <w:lang w:eastAsia="zh-CN"/>
              </w:rPr>
              <w:t>）</w:t>
            </w:r>
          </w:p>
        </w:tc>
        <w:tc>
          <w:tcPr>
            <w:tcW w:w="1335" w:type="dxa"/>
            <w:tcBorders>
              <w:top w:val="single" w:color="auto" w:sz="4" w:space="0"/>
              <w:left w:val="single" w:color="auto" w:sz="4" w:space="0"/>
              <w:bottom w:val="single" w:color="auto" w:sz="4" w:space="0"/>
              <w:right w:val="single" w:color="auto" w:sz="4" w:space="0"/>
            </w:tcBorders>
            <w:noWrap w:val="0"/>
            <w:vAlign w:val="center"/>
          </w:tcPr>
          <w:p w14:paraId="257AAA0A">
            <w:pPr>
              <w:pStyle w:val="18"/>
              <w:shd w:val="clear"/>
              <w:spacing w:line="360" w:lineRule="auto"/>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0.035%</w:t>
            </w:r>
          </w:p>
        </w:tc>
        <w:tc>
          <w:tcPr>
            <w:tcW w:w="3967" w:type="dxa"/>
            <w:vMerge w:val="continue"/>
            <w:tcBorders>
              <w:left w:val="single" w:color="auto" w:sz="4" w:space="0"/>
              <w:right w:val="single" w:color="auto" w:sz="4" w:space="0"/>
            </w:tcBorders>
            <w:noWrap w:val="0"/>
            <w:vAlign w:val="center"/>
          </w:tcPr>
          <w:p w14:paraId="79D8CBD8">
            <w:pPr>
              <w:pStyle w:val="18"/>
              <w:shd w:val="clear"/>
              <w:spacing w:line="360" w:lineRule="auto"/>
              <w:ind w:firstLine="480"/>
              <w:jc w:val="center"/>
              <w:rPr>
                <w:rFonts w:hint="eastAsia" w:ascii="宋体" w:hAnsi="宋体" w:eastAsia="宋体" w:cs="宋体"/>
                <w:color w:val="auto"/>
                <w:highlight w:val="none"/>
              </w:rPr>
            </w:pPr>
          </w:p>
        </w:tc>
      </w:tr>
      <w:tr w14:paraId="3E098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2212" w:type="dxa"/>
            <w:tcBorders>
              <w:top w:val="single" w:color="auto" w:sz="4" w:space="0"/>
              <w:left w:val="single" w:color="auto" w:sz="4" w:space="0"/>
              <w:bottom w:val="single" w:color="auto" w:sz="4" w:space="0"/>
              <w:right w:val="single" w:color="auto" w:sz="4" w:space="0"/>
            </w:tcBorders>
            <w:noWrap w:val="0"/>
            <w:vAlign w:val="center"/>
          </w:tcPr>
          <w:p w14:paraId="57D37001">
            <w:pPr>
              <w:pStyle w:val="18"/>
              <w:shd w:val="clea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100</w:t>
            </w:r>
            <w:r>
              <w:rPr>
                <w:rFonts w:hint="eastAsia" w:ascii="宋体" w:hAnsi="宋体" w:eastAsia="宋体" w:cs="宋体"/>
                <w:color w:val="auto"/>
                <w:highlight w:val="none"/>
              </w:rPr>
              <w:t>000-</w:t>
            </w:r>
            <w:r>
              <w:rPr>
                <w:rFonts w:hint="eastAsia" w:ascii="宋体" w:hAnsi="宋体" w:eastAsia="宋体" w:cs="宋体"/>
                <w:color w:val="auto"/>
                <w:highlight w:val="none"/>
                <w:lang w:val="en-US" w:eastAsia="zh-CN"/>
              </w:rPr>
              <w:t>50</w:t>
            </w:r>
            <w:r>
              <w:rPr>
                <w:rFonts w:hint="eastAsia" w:ascii="宋体" w:hAnsi="宋体" w:eastAsia="宋体" w:cs="宋体"/>
                <w:color w:val="auto"/>
                <w:highlight w:val="none"/>
              </w:rPr>
              <w:t>0000</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含</w:t>
            </w:r>
            <w:r>
              <w:rPr>
                <w:rFonts w:hint="eastAsia" w:ascii="宋体" w:hAnsi="宋体" w:eastAsia="宋体" w:cs="宋体"/>
                <w:color w:val="auto"/>
                <w:highlight w:val="none"/>
                <w:lang w:eastAsia="zh-CN"/>
              </w:rPr>
              <w:t>）</w:t>
            </w:r>
          </w:p>
        </w:tc>
        <w:tc>
          <w:tcPr>
            <w:tcW w:w="1335" w:type="dxa"/>
            <w:tcBorders>
              <w:top w:val="single" w:color="auto" w:sz="4" w:space="0"/>
              <w:left w:val="single" w:color="auto" w:sz="4" w:space="0"/>
              <w:bottom w:val="single" w:color="auto" w:sz="4" w:space="0"/>
              <w:right w:val="single" w:color="auto" w:sz="4" w:space="0"/>
            </w:tcBorders>
            <w:noWrap w:val="0"/>
            <w:vAlign w:val="center"/>
          </w:tcPr>
          <w:p w14:paraId="099C6C3E">
            <w:pPr>
              <w:pStyle w:val="18"/>
              <w:shd w:val="clear"/>
              <w:spacing w:line="360" w:lineRule="auto"/>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0.008%</w:t>
            </w:r>
          </w:p>
        </w:tc>
        <w:tc>
          <w:tcPr>
            <w:tcW w:w="3967" w:type="dxa"/>
            <w:vMerge w:val="continue"/>
            <w:tcBorders>
              <w:left w:val="single" w:color="auto" w:sz="4" w:space="0"/>
              <w:right w:val="single" w:color="auto" w:sz="4" w:space="0"/>
            </w:tcBorders>
            <w:noWrap w:val="0"/>
            <w:vAlign w:val="center"/>
          </w:tcPr>
          <w:p w14:paraId="62D7A037">
            <w:pPr>
              <w:pStyle w:val="18"/>
              <w:shd w:val="clear"/>
              <w:spacing w:line="360" w:lineRule="auto"/>
              <w:ind w:firstLine="480"/>
              <w:jc w:val="center"/>
              <w:rPr>
                <w:rFonts w:hint="eastAsia" w:ascii="宋体" w:hAnsi="宋体" w:eastAsia="宋体" w:cs="宋体"/>
                <w:color w:val="auto"/>
                <w:highlight w:val="none"/>
              </w:rPr>
            </w:pPr>
          </w:p>
        </w:tc>
      </w:tr>
      <w:tr w14:paraId="143C9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2212" w:type="dxa"/>
            <w:tcBorders>
              <w:top w:val="single" w:color="auto" w:sz="4" w:space="0"/>
              <w:left w:val="single" w:color="auto" w:sz="4" w:space="0"/>
              <w:bottom w:val="single" w:color="auto" w:sz="4" w:space="0"/>
              <w:right w:val="single" w:color="auto" w:sz="4" w:space="0"/>
            </w:tcBorders>
            <w:noWrap w:val="0"/>
            <w:vAlign w:val="center"/>
          </w:tcPr>
          <w:p w14:paraId="2FE7BF2E">
            <w:pPr>
              <w:pStyle w:val="18"/>
              <w:shd w:val="clear"/>
              <w:spacing w:line="360" w:lineRule="auto"/>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500</w:t>
            </w:r>
            <w:r>
              <w:rPr>
                <w:rFonts w:hint="eastAsia" w:ascii="宋体" w:hAnsi="宋体" w:eastAsia="宋体" w:cs="宋体"/>
                <w:color w:val="auto"/>
                <w:highlight w:val="none"/>
              </w:rPr>
              <w:t>000-</w:t>
            </w:r>
            <w:r>
              <w:rPr>
                <w:rFonts w:hint="eastAsia" w:ascii="宋体" w:hAnsi="宋体" w:eastAsia="宋体" w:cs="宋体"/>
                <w:color w:val="auto"/>
                <w:highlight w:val="none"/>
                <w:lang w:val="en-US" w:eastAsia="zh-CN"/>
              </w:rPr>
              <w:t>100</w:t>
            </w:r>
            <w:r>
              <w:rPr>
                <w:rFonts w:hint="eastAsia" w:ascii="宋体" w:hAnsi="宋体" w:eastAsia="宋体" w:cs="宋体"/>
                <w:color w:val="auto"/>
                <w:highlight w:val="none"/>
              </w:rPr>
              <w:t>0000</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含</w:t>
            </w:r>
            <w:r>
              <w:rPr>
                <w:rFonts w:hint="eastAsia" w:ascii="宋体" w:hAnsi="宋体" w:eastAsia="宋体" w:cs="宋体"/>
                <w:color w:val="auto"/>
                <w:highlight w:val="none"/>
                <w:lang w:eastAsia="zh-CN"/>
              </w:rPr>
              <w:t>）</w:t>
            </w:r>
          </w:p>
        </w:tc>
        <w:tc>
          <w:tcPr>
            <w:tcW w:w="1335" w:type="dxa"/>
            <w:tcBorders>
              <w:top w:val="single" w:color="auto" w:sz="4" w:space="0"/>
              <w:left w:val="single" w:color="auto" w:sz="4" w:space="0"/>
              <w:bottom w:val="single" w:color="auto" w:sz="4" w:space="0"/>
              <w:right w:val="single" w:color="auto" w:sz="4" w:space="0"/>
            </w:tcBorders>
            <w:noWrap w:val="0"/>
            <w:vAlign w:val="center"/>
          </w:tcPr>
          <w:p w14:paraId="4B79236D">
            <w:pPr>
              <w:pStyle w:val="18"/>
              <w:shd w:val="clear"/>
              <w:spacing w:line="360" w:lineRule="auto"/>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0.006%</w:t>
            </w:r>
          </w:p>
        </w:tc>
        <w:tc>
          <w:tcPr>
            <w:tcW w:w="3967" w:type="dxa"/>
            <w:vMerge w:val="continue"/>
            <w:tcBorders>
              <w:left w:val="single" w:color="auto" w:sz="4" w:space="0"/>
              <w:right w:val="single" w:color="auto" w:sz="4" w:space="0"/>
            </w:tcBorders>
            <w:noWrap w:val="0"/>
            <w:vAlign w:val="center"/>
          </w:tcPr>
          <w:p w14:paraId="0EC93153">
            <w:pPr>
              <w:pStyle w:val="18"/>
              <w:shd w:val="clear"/>
              <w:spacing w:line="360" w:lineRule="auto"/>
              <w:ind w:firstLine="480"/>
              <w:jc w:val="center"/>
              <w:rPr>
                <w:rFonts w:hint="eastAsia" w:ascii="宋体" w:hAnsi="宋体" w:eastAsia="宋体" w:cs="宋体"/>
                <w:color w:val="auto"/>
                <w:highlight w:val="none"/>
              </w:rPr>
            </w:pPr>
          </w:p>
        </w:tc>
      </w:tr>
      <w:tr w14:paraId="59705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2212" w:type="dxa"/>
            <w:tcBorders>
              <w:top w:val="single" w:color="auto" w:sz="4" w:space="0"/>
              <w:left w:val="single" w:color="auto" w:sz="4" w:space="0"/>
              <w:bottom w:val="single" w:color="auto" w:sz="4" w:space="0"/>
              <w:right w:val="single" w:color="auto" w:sz="4" w:space="0"/>
            </w:tcBorders>
            <w:noWrap w:val="0"/>
            <w:vAlign w:val="center"/>
          </w:tcPr>
          <w:p w14:paraId="4694CBC6">
            <w:pPr>
              <w:pStyle w:val="18"/>
              <w:shd w:val="clear"/>
              <w:spacing w:line="360" w:lineRule="auto"/>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100</w:t>
            </w:r>
            <w:r>
              <w:rPr>
                <w:rFonts w:hint="eastAsia" w:ascii="宋体" w:hAnsi="宋体" w:eastAsia="宋体" w:cs="宋体"/>
                <w:color w:val="auto"/>
                <w:highlight w:val="none"/>
              </w:rPr>
              <w:t>0</w:t>
            </w:r>
            <w:r>
              <w:rPr>
                <w:rFonts w:hint="eastAsia" w:ascii="宋体" w:hAnsi="宋体" w:eastAsia="宋体" w:cs="宋体"/>
                <w:color w:val="auto"/>
                <w:highlight w:val="none"/>
                <w:lang w:val="en-US" w:eastAsia="zh-CN"/>
              </w:rPr>
              <w:t>0</w:t>
            </w:r>
            <w:r>
              <w:rPr>
                <w:rFonts w:hint="eastAsia" w:ascii="宋体" w:hAnsi="宋体" w:eastAsia="宋体" w:cs="宋体"/>
                <w:color w:val="auto"/>
                <w:highlight w:val="none"/>
              </w:rPr>
              <w:t>00</w:t>
            </w:r>
            <w:r>
              <w:rPr>
                <w:rFonts w:hint="eastAsia" w:ascii="宋体" w:hAnsi="宋体" w:eastAsia="宋体" w:cs="宋体"/>
                <w:color w:val="auto"/>
                <w:highlight w:val="none"/>
                <w:lang w:val="en-US" w:eastAsia="zh-CN"/>
              </w:rPr>
              <w:t>以上</w:t>
            </w:r>
          </w:p>
        </w:tc>
        <w:tc>
          <w:tcPr>
            <w:tcW w:w="1335" w:type="dxa"/>
            <w:tcBorders>
              <w:top w:val="single" w:color="auto" w:sz="4" w:space="0"/>
              <w:left w:val="single" w:color="auto" w:sz="4" w:space="0"/>
              <w:bottom w:val="single" w:color="auto" w:sz="4" w:space="0"/>
              <w:right w:val="single" w:color="auto" w:sz="4" w:space="0"/>
            </w:tcBorders>
            <w:noWrap w:val="0"/>
            <w:vAlign w:val="center"/>
          </w:tcPr>
          <w:p w14:paraId="0621994B">
            <w:pPr>
              <w:pStyle w:val="18"/>
              <w:shd w:val="clear"/>
              <w:spacing w:line="360" w:lineRule="auto"/>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0.004%</w:t>
            </w:r>
          </w:p>
        </w:tc>
        <w:tc>
          <w:tcPr>
            <w:tcW w:w="3967" w:type="dxa"/>
            <w:vMerge w:val="continue"/>
            <w:tcBorders>
              <w:left w:val="single" w:color="auto" w:sz="4" w:space="0"/>
              <w:bottom w:val="single" w:color="auto" w:sz="4" w:space="0"/>
              <w:right w:val="single" w:color="auto" w:sz="4" w:space="0"/>
            </w:tcBorders>
            <w:noWrap w:val="0"/>
            <w:vAlign w:val="center"/>
          </w:tcPr>
          <w:p w14:paraId="74C00D73">
            <w:pPr>
              <w:pStyle w:val="18"/>
              <w:shd w:val="clear"/>
              <w:spacing w:line="360" w:lineRule="auto"/>
              <w:ind w:firstLine="480"/>
              <w:jc w:val="center"/>
              <w:rPr>
                <w:rFonts w:hint="eastAsia" w:ascii="宋体" w:hAnsi="宋体" w:eastAsia="宋体" w:cs="宋体"/>
                <w:color w:val="auto"/>
                <w:highlight w:val="none"/>
              </w:rPr>
            </w:pPr>
          </w:p>
        </w:tc>
      </w:tr>
    </w:tbl>
    <w:p w14:paraId="6308AFB7">
      <w:pPr>
        <w:pageBreakBefore w:val="0"/>
        <w:widowControl w:val="0"/>
        <w:shd w:val="clear"/>
        <w:kinsoku/>
        <w:wordWrap/>
        <w:overflowPunct/>
        <w:topLinePunct w:val="0"/>
        <w:autoSpaceDE/>
        <w:autoSpaceDN/>
        <w:bidi w:val="0"/>
        <w:spacing w:line="360" w:lineRule="auto"/>
        <w:jc w:val="left"/>
        <w:rPr>
          <w:rFonts w:hint="eastAsia" w:ascii="宋体" w:hAnsi="宋体" w:eastAsia="宋体" w:cs="宋体"/>
          <w:b/>
          <w:bCs/>
          <w:color w:val="auto"/>
          <w:sz w:val="21"/>
          <w:szCs w:val="21"/>
          <w:highlight w:val="none"/>
        </w:rPr>
      </w:pPr>
    </w:p>
    <w:p w14:paraId="49F94366">
      <w:pPr>
        <w:pageBreakBefore w:val="0"/>
        <w:widowControl w:val="0"/>
        <w:shd w:val="clear"/>
        <w:kinsoku/>
        <w:wordWrap/>
        <w:overflowPunct/>
        <w:topLinePunct w:val="0"/>
        <w:autoSpaceDE/>
        <w:autoSpaceDN/>
        <w:bidi w:val="0"/>
        <w:spacing w:line="360" w:lineRule="auto"/>
        <w:ind w:firstLine="422" w:firstLineChars="200"/>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服务费汇至：</w:t>
      </w:r>
    </w:p>
    <w:p w14:paraId="32D8B523">
      <w:pPr>
        <w:pageBreakBefore w:val="0"/>
        <w:widowControl w:val="0"/>
        <w:shd w:val="clear"/>
        <w:kinsoku/>
        <w:wordWrap/>
        <w:overflowPunct/>
        <w:topLinePunct w:val="0"/>
        <w:autoSpaceDE/>
        <w:autoSpaceDN/>
        <w:bidi w:val="0"/>
        <w:spacing w:line="360" w:lineRule="auto"/>
        <w:ind w:firstLine="422" w:firstLineChars="200"/>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银行账号名称：义乌产权交易所有限公司</w:t>
      </w:r>
    </w:p>
    <w:p w14:paraId="42A2F51A">
      <w:pPr>
        <w:pageBreakBefore w:val="0"/>
        <w:widowControl w:val="0"/>
        <w:shd w:val="clear"/>
        <w:kinsoku/>
        <w:wordWrap/>
        <w:overflowPunct/>
        <w:topLinePunct w:val="0"/>
        <w:autoSpaceDE/>
        <w:autoSpaceDN/>
        <w:bidi w:val="0"/>
        <w:spacing w:line="360" w:lineRule="auto"/>
        <w:ind w:firstLine="422" w:firstLineChars="200"/>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xml:space="preserve">银行账号：1208020009045009586 </w:t>
      </w:r>
    </w:p>
    <w:p w14:paraId="12B8B468">
      <w:pPr>
        <w:pageBreakBefore w:val="0"/>
        <w:widowControl w:val="0"/>
        <w:shd w:val="clear"/>
        <w:kinsoku/>
        <w:wordWrap/>
        <w:overflowPunct/>
        <w:topLinePunct w:val="0"/>
        <w:autoSpaceDE/>
        <w:autoSpaceDN/>
        <w:bidi w:val="0"/>
        <w:spacing w:line="360" w:lineRule="auto"/>
        <w:ind w:firstLine="422" w:firstLineChars="200"/>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开户银行：中国工商银行义乌分行</w:t>
      </w:r>
    </w:p>
    <w:p w14:paraId="1BA832BF">
      <w:pPr>
        <w:shd w:val="clear"/>
        <w:spacing w:line="480" w:lineRule="exact"/>
        <w:ind w:firstLine="396" w:firstLineChars="200"/>
        <w:rPr>
          <w:rFonts w:hint="eastAsia" w:ascii="宋体" w:hAnsi="宋体" w:cs="宋体"/>
          <w:color w:val="auto"/>
          <w:spacing w:val="-6"/>
          <w:szCs w:val="21"/>
          <w:highlight w:val="none"/>
        </w:rPr>
      </w:pPr>
      <w:r>
        <w:rPr>
          <w:rFonts w:hint="eastAsia" w:ascii="宋体" w:hAnsi="宋体" w:cs="宋体"/>
          <w:color w:val="auto"/>
          <w:spacing w:val="-6"/>
          <w:szCs w:val="21"/>
          <w:highlight w:val="none"/>
        </w:rPr>
        <w:t>2.项目中标后，中标人需向义乌市阳光招标采购平台缴纳交易服务费，收费标准如下：</w:t>
      </w:r>
    </w:p>
    <w:tbl>
      <w:tblPr>
        <w:tblStyle w:val="38"/>
        <w:tblW w:w="361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37"/>
        <w:gridCol w:w="3573"/>
      </w:tblGrid>
      <w:tr w14:paraId="3BA4F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2414" w:type="pct"/>
            <w:noWrap w:val="0"/>
            <w:vAlign w:val="center"/>
          </w:tcPr>
          <w:p w14:paraId="1678F9A9">
            <w:pPr>
              <w:shd w:val="clea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中标金额（万元）</w:t>
            </w:r>
          </w:p>
        </w:tc>
        <w:tc>
          <w:tcPr>
            <w:tcW w:w="2585" w:type="pct"/>
            <w:noWrap w:val="0"/>
            <w:vAlign w:val="center"/>
          </w:tcPr>
          <w:p w14:paraId="3834AB98">
            <w:pPr>
              <w:shd w:val="clea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收费标准</w:t>
            </w:r>
          </w:p>
        </w:tc>
      </w:tr>
      <w:tr w14:paraId="33894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2414" w:type="pct"/>
            <w:noWrap w:val="0"/>
            <w:vAlign w:val="center"/>
          </w:tcPr>
          <w:p w14:paraId="7B1303F4">
            <w:pPr>
              <w:shd w:val="clea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100万（含）以下</w:t>
            </w:r>
          </w:p>
        </w:tc>
        <w:tc>
          <w:tcPr>
            <w:tcW w:w="2585" w:type="pct"/>
            <w:noWrap w:val="0"/>
            <w:vAlign w:val="center"/>
          </w:tcPr>
          <w:p w14:paraId="629645C1">
            <w:pPr>
              <w:shd w:val="clear"/>
              <w:spacing w:line="360" w:lineRule="auto"/>
              <w:jc w:val="center"/>
              <w:rPr>
                <w:rFonts w:ascii="宋体" w:hAnsi="宋体" w:eastAsia="宋体" w:cs="宋体"/>
                <w:color w:val="auto"/>
                <w:szCs w:val="21"/>
                <w:highlight w:val="none"/>
              </w:rPr>
            </w:pPr>
            <w:r>
              <w:rPr>
                <w:rFonts w:hint="eastAsia" w:ascii="宋体" w:hAnsi="宋体" w:cs="宋体"/>
                <w:color w:val="auto"/>
                <w:szCs w:val="21"/>
                <w:highlight w:val="none"/>
                <w:lang w:val="en-US" w:eastAsia="zh-CN"/>
              </w:rPr>
              <w:t>10</w:t>
            </w:r>
            <w:r>
              <w:rPr>
                <w:rFonts w:hint="eastAsia" w:ascii="宋体" w:hAnsi="宋体" w:eastAsia="宋体" w:cs="宋体"/>
                <w:color w:val="auto"/>
                <w:szCs w:val="21"/>
                <w:highlight w:val="none"/>
              </w:rPr>
              <w:t>00元</w:t>
            </w:r>
          </w:p>
        </w:tc>
      </w:tr>
      <w:tr w14:paraId="44BF3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2414" w:type="pct"/>
            <w:noWrap w:val="0"/>
            <w:vAlign w:val="center"/>
          </w:tcPr>
          <w:p w14:paraId="28C0DA6C">
            <w:pPr>
              <w:shd w:val="clea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100万-200万（含）</w:t>
            </w:r>
          </w:p>
        </w:tc>
        <w:tc>
          <w:tcPr>
            <w:tcW w:w="2585" w:type="pct"/>
            <w:noWrap w:val="0"/>
            <w:vAlign w:val="center"/>
          </w:tcPr>
          <w:p w14:paraId="32B84A2F">
            <w:pPr>
              <w:shd w:val="clea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1500元</w:t>
            </w:r>
          </w:p>
        </w:tc>
      </w:tr>
      <w:tr w14:paraId="42F3E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2414" w:type="pct"/>
            <w:noWrap w:val="0"/>
            <w:vAlign w:val="center"/>
          </w:tcPr>
          <w:p w14:paraId="7A164028">
            <w:pPr>
              <w:shd w:val="clea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200万-500万（含）</w:t>
            </w:r>
          </w:p>
        </w:tc>
        <w:tc>
          <w:tcPr>
            <w:tcW w:w="2585" w:type="pct"/>
            <w:noWrap w:val="0"/>
            <w:vAlign w:val="center"/>
          </w:tcPr>
          <w:p w14:paraId="4E252CD8">
            <w:pPr>
              <w:shd w:val="clea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3000元</w:t>
            </w:r>
          </w:p>
        </w:tc>
      </w:tr>
      <w:tr w14:paraId="51081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2414" w:type="pct"/>
            <w:noWrap w:val="0"/>
            <w:vAlign w:val="center"/>
          </w:tcPr>
          <w:p w14:paraId="52665E2E">
            <w:pPr>
              <w:shd w:val="clea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500万-1000万（含）</w:t>
            </w:r>
          </w:p>
        </w:tc>
        <w:tc>
          <w:tcPr>
            <w:tcW w:w="2585" w:type="pct"/>
            <w:noWrap w:val="0"/>
            <w:vAlign w:val="center"/>
          </w:tcPr>
          <w:p w14:paraId="4056F24E">
            <w:pPr>
              <w:shd w:val="clea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8000元</w:t>
            </w:r>
          </w:p>
        </w:tc>
      </w:tr>
      <w:tr w14:paraId="05DF9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2414" w:type="pct"/>
            <w:noWrap w:val="0"/>
            <w:vAlign w:val="center"/>
          </w:tcPr>
          <w:p w14:paraId="5441798C">
            <w:pPr>
              <w:shd w:val="clea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1000万-2000万（含）</w:t>
            </w:r>
          </w:p>
        </w:tc>
        <w:tc>
          <w:tcPr>
            <w:tcW w:w="2585" w:type="pct"/>
            <w:noWrap w:val="0"/>
            <w:vAlign w:val="center"/>
          </w:tcPr>
          <w:p w14:paraId="39925E77">
            <w:pPr>
              <w:shd w:val="clea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16000元</w:t>
            </w:r>
          </w:p>
        </w:tc>
      </w:tr>
      <w:tr w14:paraId="51665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2414" w:type="pct"/>
            <w:noWrap w:val="0"/>
            <w:vAlign w:val="center"/>
          </w:tcPr>
          <w:p w14:paraId="3FFCF257">
            <w:pPr>
              <w:shd w:val="clea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2000万-5000万（含）</w:t>
            </w:r>
          </w:p>
        </w:tc>
        <w:tc>
          <w:tcPr>
            <w:tcW w:w="2585" w:type="pct"/>
            <w:noWrap w:val="0"/>
            <w:vAlign w:val="center"/>
          </w:tcPr>
          <w:p w14:paraId="5EC17AD2">
            <w:pPr>
              <w:shd w:val="clea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25000元</w:t>
            </w:r>
          </w:p>
        </w:tc>
      </w:tr>
      <w:tr w14:paraId="2B6D0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2414" w:type="pct"/>
            <w:noWrap w:val="0"/>
            <w:vAlign w:val="center"/>
          </w:tcPr>
          <w:p w14:paraId="0DF3B614">
            <w:pPr>
              <w:shd w:val="clea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5000万-1亿（含）</w:t>
            </w:r>
          </w:p>
        </w:tc>
        <w:tc>
          <w:tcPr>
            <w:tcW w:w="2585" w:type="pct"/>
            <w:noWrap w:val="0"/>
            <w:vAlign w:val="center"/>
          </w:tcPr>
          <w:p w14:paraId="04A1EEDA">
            <w:pPr>
              <w:shd w:val="clea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35000元</w:t>
            </w:r>
          </w:p>
        </w:tc>
      </w:tr>
      <w:tr w14:paraId="4CE44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2414" w:type="pct"/>
            <w:noWrap w:val="0"/>
            <w:vAlign w:val="center"/>
          </w:tcPr>
          <w:p w14:paraId="0220192D">
            <w:pPr>
              <w:shd w:val="clea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1亿以上</w:t>
            </w:r>
          </w:p>
        </w:tc>
        <w:tc>
          <w:tcPr>
            <w:tcW w:w="2585" w:type="pct"/>
            <w:noWrap w:val="0"/>
            <w:vAlign w:val="center"/>
          </w:tcPr>
          <w:p w14:paraId="28D21B5B">
            <w:pPr>
              <w:shd w:val="clea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50000元</w:t>
            </w:r>
          </w:p>
        </w:tc>
      </w:tr>
    </w:tbl>
    <w:p w14:paraId="3EE5A1EC">
      <w:pPr>
        <w:shd w:val="clear"/>
        <w:spacing w:line="360" w:lineRule="auto"/>
        <w:ind w:firstLine="396" w:firstLineChars="200"/>
        <w:jc w:val="left"/>
        <w:rPr>
          <w:rFonts w:hint="eastAsia" w:ascii="宋体" w:hAnsi="宋体" w:eastAsia="宋体" w:cs="宋体"/>
          <w:b/>
          <w:bCs/>
          <w:color w:val="auto"/>
          <w:sz w:val="21"/>
          <w:szCs w:val="21"/>
          <w:highlight w:val="none"/>
        </w:rPr>
      </w:pPr>
      <w:r>
        <w:rPr>
          <w:rFonts w:hint="eastAsia" w:ascii="宋体" w:hAnsi="宋体" w:cs="宋体"/>
          <w:color w:val="auto"/>
          <w:spacing w:val="-6"/>
          <w:szCs w:val="21"/>
          <w:highlight w:val="none"/>
        </w:rPr>
        <w:t>注：1）不涉及具体金额的采购项目，中标单位收取交易服务费1000元/次；2）以上收费不包含作为投标单位交纳的150元技术服务费；3）具体操作流程详见“义乌市阳光招标采购平台-下载中心-义乌市阳光招标采购平台投标人操作手册”</w:t>
      </w:r>
      <w:r>
        <w:rPr>
          <w:rFonts w:hint="eastAsia" w:ascii="宋体" w:hAnsi="宋体" w:cs="宋体"/>
          <w:color w:val="auto"/>
          <w:spacing w:val="-6"/>
          <w:szCs w:val="21"/>
          <w:highlight w:val="none"/>
          <w:lang w:eastAsia="zh-CN"/>
        </w:rPr>
        <w:t>。</w:t>
      </w:r>
    </w:p>
    <w:p w14:paraId="4A7EECEF">
      <w:pPr>
        <w:pStyle w:val="5"/>
        <w:pageBreakBefore w:val="0"/>
        <w:widowControl w:val="0"/>
        <w:shd w:val="clear"/>
        <w:kinsoku/>
        <w:wordWrap/>
        <w:overflowPunct/>
        <w:topLinePunct w:val="0"/>
        <w:autoSpaceDE/>
        <w:autoSpaceDN/>
        <w:bidi w:val="0"/>
        <w:spacing w:before="120" w:after="120" w:line="360" w:lineRule="auto"/>
        <w:rPr>
          <w:rFonts w:hint="eastAsia" w:ascii="宋体" w:hAnsi="宋体" w:eastAsia="宋体" w:cs="宋体"/>
          <w:color w:val="auto"/>
          <w:sz w:val="21"/>
          <w:szCs w:val="21"/>
          <w:highlight w:val="none"/>
          <w:lang w:eastAsia="zh-CN"/>
        </w:rPr>
      </w:pPr>
      <w:bookmarkStart w:id="31" w:name="_Toc9436"/>
      <w:r>
        <w:rPr>
          <w:rFonts w:hint="eastAsia" w:ascii="宋体" w:hAnsi="宋体" w:eastAsia="宋体" w:cs="宋体"/>
          <w:color w:val="auto"/>
          <w:sz w:val="21"/>
          <w:szCs w:val="21"/>
          <w:highlight w:val="none"/>
        </w:rPr>
        <w:t>六、其</w:t>
      </w:r>
      <w:r>
        <w:rPr>
          <w:rFonts w:hint="eastAsia" w:ascii="宋体" w:hAnsi="宋体" w:eastAsia="宋体" w:cs="宋体"/>
          <w:color w:val="auto"/>
          <w:sz w:val="21"/>
          <w:szCs w:val="21"/>
          <w:highlight w:val="none"/>
          <w:lang w:eastAsia="zh-CN"/>
        </w:rPr>
        <w:t>他</w:t>
      </w:r>
      <w:bookmarkEnd w:id="31"/>
    </w:p>
    <w:p w14:paraId="4F4196F0">
      <w:pPr>
        <w:pageBreakBefore w:val="0"/>
        <w:widowControl w:val="0"/>
        <w:shd w:val="clear"/>
        <w:kinsoku/>
        <w:wordWrap/>
        <w:overflowPunct/>
        <w:topLinePunct w:val="0"/>
        <w:autoSpaceDE/>
        <w:autoSpaceDN/>
        <w:bidi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本招标文件解释权归采购人。</w:t>
      </w:r>
    </w:p>
    <w:p w14:paraId="165EFE30">
      <w:pPr>
        <w:pStyle w:val="4"/>
        <w:keepNext/>
        <w:keepLines/>
        <w:pageBreakBefore w:val="0"/>
        <w:widowControl w:val="0"/>
        <w:numPr>
          <w:ilvl w:val="0"/>
          <w:numId w:val="0"/>
        </w:numPr>
        <w:shd w:val="clear"/>
        <w:kinsoku/>
        <w:wordWrap/>
        <w:overflowPunct/>
        <w:topLinePunct w:val="0"/>
        <w:autoSpaceDE/>
        <w:autoSpaceDN/>
        <w:bidi w:val="0"/>
        <w:adjustRightInd/>
        <w:snapToGrid/>
        <w:spacing w:before="340" w:after="330" w:line="240" w:lineRule="exact"/>
        <w:ind w:left="0" w:leftChars="0" w:right="0" w:rightChars="0"/>
        <w:jc w:val="center"/>
        <w:textAlignment w:val="auto"/>
        <w:rPr>
          <w:rFonts w:hint="eastAsia" w:ascii="Times New Roman" w:hAnsi="Times New Roman" w:eastAsia="宋体" w:cs="Times New Roman"/>
          <w:b/>
          <w:bCs/>
          <w:color w:val="auto"/>
          <w:kern w:val="44"/>
          <w:sz w:val="36"/>
          <w:szCs w:val="44"/>
          <w:highlight w:val="none"/>
          <w:lang w:val="en-US" w:eastAsia="zh-CN" w:bidi="ar-SA"/>
        </w:rPr>
      </w:pPr>
      <w:r>
        <w:rPr>
          <w:rFonts w:hint="eastAsia" w:ascii="Times New Roman" w:hAnsi="Times New Roman" w:eastAsia="宋体" w:cs="Times New Roman"/>
          <w:b/>
          <w:bCs/>
          <w:color w:val="auto"/>
          <w:kern w:val="44"/>
          <w:sz w:val="36"/>
          <w:szCs w:val="44"/>
          <w:highlight w:val="none"/>
          <w:lang w:val="en-US" w:eastAsia="zh-CN" w:bidi="ar-SA"/>
        </w:rPr>
        <w:br w:type="page"/>
      </w:r>
      <w:bookmarkStart w:id="32" w:name="_Toc29970"/>
      <w:r>
        <w:rPr>
          <w:rFonts w:hint="eastAsia" w:ascii="Times New Roman" w:hAnsi="Times New Roman" w:eastAsia="宋体" w:cs="Times New Roman"/>
          <w:b/>
          <w:bCs/>
          <w:color w:val="auto"/>
          <w:kern w:val="44"/>
          <w:sz w:val="36"/>
          <w:szCs w:val="44"/>
          <w:highlight w:val="none"/>
          <w:lang w:val="en-US" w:eastAsia="zh-CN" w:bidi="ar-SA"/>
        </w:rPr>
        <w:t>第三章  招标项目要求</w:t>
      </w:r>
      <w:bookmarkEnd w:id="32"/>
    </w:p>
    <w:p w14:paraId="302D4AAC">
      <w:pPr>
        <w:pStyle w:val="5"/>
        <w:pageBreakBefore w:val="0"/>
        <w:widowControl w:val="0"/>
        <w:shd w:val="clear"/>
        <w:kinsoku/>
        <w:wordWrap/>
        <w:overflowPunct/>
        <w:topLinePunct w:val="0"/>
        <w:autoSpaceDE/>
        <w:autoSpaceDN/>
        <w:bidi w:val="0"/>
        <w:spacing w:before="120" w:after="120" w:line="360" w:lineRule="auto"/>
        <w:rPr>
          <w:rFonts w:hint="default" w:ascii="宋体" w:hAnsi="宋体" w:eastAsia="宋体" w:cs="宋体"/>
          <w:color w:val="auto"/>
          <w:sz w:val="21"/>
          <w:szCs w:val="21"/>
          <w:highlight w:val="none"/>
          <w:lang w:val="en-US" w:eastAsia="zh-CN"/>
        </w:rPr>
      </w:pPr>
      <w:bookmarkStart w:id="33" w:name="_Toc10074"/>
      <w:bookmarkStart w:id="34" w:name="_Toc254507067"/>
      <w:r>
        <w:rPr>
          <w:rFonts w:hint="eastAsia" w:ascii="宋体" w:hAnsi="宋体" w:eastAsia="宋体" w:cs="宋体"/>
          <w:color w:val="auto"/>
          <w:sz w:val="21"/>
          <w:szCs w:val="21"/>
          <w:highlight w:val="none"/>
        </w:rPr>
        <w:t>一、</w:t>
      </w:r>
      <w:r>
        <w:rPr>
          <w:rFonts w:hint="eastAsia" w:ascii="宋体" w:hAnsi="宋体" w:eastAsia="宋体" w:cs="宋体"/>
          <w:color w:val="auto"/>
          <w:sz w:val="21"/>
          <w:szCs w:val="21"/>
          <w:highlight w:val="none"/>
          <w:lang w:val="en-US" w:eastAsia="zh-CN"/>
        </w:rPr>
        <w:t>项目概况</w:t>
      </w:r>
      <w:bookmarkEnd w:id="33"/>
    </w:p>
    <w:p w14:paraId="411210FF">
      <w:pPr>
        <w:shd w:val="clear"/>
        <w:spacing w:line="440" w:lineRule="exact"/>
        <w:ind w:firstLine="420" w:firstLineChars="200"/>
        <w:rPr>
          <w:rFonts w:hint="eastAsia" w:ascii="宋体" w:hAnsi="宋体" w:cs="宋体"/>
          <w:color w:val="auto"/>
          <w:sz w:val="24"/>
          <w:highlight w:val="none"/>
        </w:rPr>
      </w:pPr>
      <w:r>
        <w:rPr>
          <w:rFonts w:ascii="宋体" w:hAnsi="宋体" w:cs="宋体"/>
          <w:color w:val="auto"/>
          <w:kern w:val="1"/>
          <w:szCs w:val="21"/>
          <w:highlight w:val="none"/>
        </w:rPr>
        <w:t>浙江义乌市自来水有限公司下属各水厂在生产过程中产生污泥，其主要成分为</w:t>
      </w:r>
      <w:r>
        <w:rPr>
          <w:rFonts w:hint="eastAsia" w:ascii="宋体" w:hAnsi="宋体" w:cs="宋体"/>
          <w:color w:val="auto"/>
          <w:kern w:val="1"/>
          <w:szCs w:val="21"/>
          <w:highlight w:val="none"/>
        </w:rPr>
        <w:t>泥沙、</w:t>
      </w:r>
      <w:r>
        <w:rPr>
          <w:rFonts w:ascii="宋体" w:hAnsi="宋体" w:cs="宋体"/>
          <w:color w:val="auto"/>
          <w:kern w:val="1"/>
          <w:szCs w:val="21"/>
          <w:highlight w:val="none"/>
        </w:rPr>
        <w:t>氢氧化铝和天然有机物</w:t>
      </w:r>
      <w:r>
        <w:rPr>
          <w:rFonts w:ascii="宋体" w:hAnsi="宋体" w:eastAsia="宋体" w:cs="宋体"/>
          <w:color w:val="auto"/>
          <w:kern w:val="1"/>
          <w:szCs w:val="21"/>
          <w:highlight w:val="none"/>
        </w:rPr>
        <w:t>。</w:t>
      </w:r>
      <w:r>
        <w:rPr>
          <w:rFonts w:hint="default" w:ascii="宋体" w:hAnsi="宋体" w:eastAsia="宋体" w:cs="宋体"/>
          <w:color w:val="auto"/>
          <w:kern w:val="1"/>
          <w:sz w:val="21"/>
          <w:szCs w:val="21"/>
          <w:highlight w:val="none"/>
        </w:rPr>
        <w:t>为规范处理处置</w:t>
      </w:r>
      <w:r>
        <w:rPr>
          <w:rFonts w:hint="default" w:ascii="宋体" w:hAnsi="宋体" w:eastAsia="宋体" w:cs="宋体"/>
          <w:color w:val="auto"/>
          <w:kern w:val="1"/>
          <w:sz w:val="21"/>
          <w:szCs w:val="21"/>
          <w:highlight w:val="none"/>
          <w:lang w:val="en-US" w:eastAsia="zh-CN"/>
        </w:rPr>
        <w:t>制水所产生的脱水污泥，</w:t>
      </w:r>
      <w:r>
        <w:rPr>
          <w:rFonts w:hint="default" w:ascii="宋体" w:hAnsi="宋体" w:eastAsia="宋体" w:cs="宋体"/>
          <w:color w:val="auto"/>
          <w:kern w:val="1"/>
          <w:sz w:val="21"/>
          <w:szCs w:val="21"/>
          <w:highlight w:val="none"/>
        </w:rPr>
        <w:t>实现污泥处置稳定化、无害化、资源化</w:t>
      </w:r>
      <w:r>
        <w:rPr>
          <w:rFonts w:hint="default" w:ascii="宋体" w:hAnsi="宋体" w:eastAsia="宋体" w:cs="宋体"/>
          <w:color w:val="auto"/>
          <w:kern w:val="1"/>
          <w:sz w:val="21"/>
          <w:szCs w:val="21"/>
          <w:highlight w:val="none"/>
          <w:lang w:eastAsia="zh-CN"/>
        </w:rPr>
        <w:t>，</w:t>
      </w:r>
      <w:r>
        <w:rPr>
          <w:rFonts w:hint="default" w:ascii="宋体" w:hAnsi="宋体" w:eastAsia="宋体" w:cs="宋体"/>
          <w:color w:val="auto"/>
          <w:kern w:val="1"/>
          <w:sz w:val="21"/>
          <w:szCs w:val="21"/>
          <w:highlight w:val="none"/>
        </w:rPr>
        <w:t>现开展</w:t>
      </w:r>
      <w:r>
        <w:rPr>
          <w:rFonts w:hint="default" w:ascii="宋体" w:hAnsi="宋体" w:eastAsia="宋体" w:cs="宋体"/>
          <w:color w:val="auto"/>
          <w:kern w:val="1"/>
          <w:sz w:val="21"/>
          <w:szCs w:val="21"/>
          <w:highlight w:val="none"/>
          <w:lang w:val="en-US" w:eastAsia="zh-CN"/>
        </w:rPr>
        <w:t>浙江义乌</w:t>
      </w:r>
      <w:r>
        <w:rPr>
          <w:rFonts w:hint="default" w:ascii="宋体" w:hAnsi="宋体" w:eastAsia="宋体" w:cs="宋体"/>
          <w:color w:val="auto"/>
          <w:kern w:val="1"/>
          <w:sz w:val="21"/>
          <w:szCs w:val="21"/>
          <w:highlight w:val="none"/>
        </w:rPr>
        <w:t>市自来水</w:t>
      </w:r>
      <w:r>
        <w:rPr>
          <w:rFonts w:hint="default" w:ascii="宋体" w:hAnsi="宋体" w:eastAsia="宋体" w:cs="宋体"/>
          <w:color w:val="auto"/>
          <w:kern w:val="1"/>
          <w:sz w:val="21"/>
          <w:szCs w:val="21"/>
          <w:highlight w:val="none"/>
          <w:lang w:eastAsia="zh-CN"/>
        </w:rPr>
        <w:t>有限公司</w:t>
      </w:r>
      <w:r>
        <w:rPr>
          <w:rFonts w:hint="default" w:ascii="宋体" w:hAnsi="宋体" w:eastAsia="宋体" w:cs="宋体"/>
          <w:color w:val="auto"/>
          <w:kern w:val="1"/>
          <w:sz w:val="21"/>
          <w:szCs w:val="21"/>
          <w:highlight w:val="none"/>
        </w:rPr>
        <w:t>污泥处置</w:t>
      </w:r>
      <w:r>
        <w:rPr>
          <w:rFonts w:hint="default" w:ascii="宋体" w:hAnsi="宋体" w:eastAsia="宋体" w:cs="宋体"/>
          <w:color w:val="auto"/>
          <w:kern w:val="1"/>
          <w:sz w:val="21"/>
          <w:szCs w:val="21"/>
          <w:highlight w:val="none"/>
          <w:lang w:val="en-US" w:eastAsia="zh-CN"/>
        </w:rPr>
        <w:t>采购</w:t>
      </w:r>
      <w:r>
        <w:rPr>
          <w:rFonts w:hint="default" w:ascii="宋体" w:hAnsi="宋体" w:eastAsia="宋体" w:cs="宋体"/>
          <w:color w:val="auto"/>
          <w:kern w:val="1"/>
          <w:sz w:val="21"/>
          <w:szCs w:val="21"/>
          <w:highlight w:val="none"/>
        </w:rPr>
        <w:t>项目的公开招标</w:t>
      </w:r>
      <w:r>
        <w:rPr>
          <w:rFonts w:hint="default" w:ascii="宋体" w:hAnsi="宋体" w:eastAsia="宋体" w:cs="宋体"/>
          <w:color w:val="auto"/>
          <w:kern w:val="1"/>
          <w:sz w:val="21"/>
          <w:szCs w:val="21"/>
          <w:highlight w:val="none"/>
          <w:lang w:eastAsia="zh-CN"/>
        </w:rPr>
        <w:t>，</w:t>
      </w:r>
      <w:r>
        <w:rPr>
          <w:rFonts w:hint="default" w:ascii="宋体" w:hAnsi="宋体" w:eastAsia="宋体" w:cs="宋体"/>
          <w:color w:val="auto"/>
          <w:kern w:val="1"/>
          <w:sz w:val="21"/>
          <w:szCs w:val="21"/>
          <w:highlight w:val="none"/>
        </w:rPr>
        <w:t>污泥处置需符合国家关于城镇污水处理污泥处理处置、污染防治的相关规定要求。</w:t>
      </w:r>
    </w:p>
    <w:p w14:paraId="1123EB7A">
      <w:pPr>
        <w:shd w:val="clear"/>
        <w:spacing w:line="360" w:lineRule="auto"/>
        <w:ind w:firstLine="0" w:firstLineChars="0"/>
        <w:jc w:val="left"/>
        <w:outlineLvl w:val="1"/>
        <w:rPr>
          <w:rFonts w:hint="eastAsia" w:ascii="宋体" w:hAnsi="宋体" w:eastAsia="宋体" w:cs="Times New Roman"/>
          <w:b/>
          <w:bCs w:val="0"/>
          <w:color w:val="auto"/>
          <w:szCs w:val="21"/>
          <w:highlight w:val="none"/>
          <w:lang w:val="en-US" w:eastAsia="zh-CN"/>
        </w:rPr>
      </w:pPr>
      <w:bookmarkStart w:id="35" w:name="_Toc18420"/>
      <w:r>
        <w:rPr>
          <w:rFonts w:hint="eastAsia" w:ascii="宋体" w:hAnsi="宋体" w:eastAsia="宋体" w:cs="Times New Roman"/>
          <w:b/>
          <w:bCs w:val="0"/>
          <w:color w:val="auto"/>
          <w:szCs w:val="21"/>
          <w:highlight w:val="none"/>
          <w:lang w:val="en-US" w:eastAsia="zh-CN"/>
        </w:rPr>
        <w:t>二、采购要求</w:t>
      </w:r>
      <w:bookmarkEnd w:id="35"/>
    </w:p>
    <w:p w14:paraId="4B608A64">
      <w:pPr>
        <w:shd w:val="clear"/>
        <w:spacing w:line="360" w:lineRule="auto"/>
        <w:ind w:firstLine="420" w:firstLineChars="200"/>
        <w:jc w:val="left"/>
        <w:rPr>
          <w:rFonts w:hint="eastAsia" w:ascii="宋体" w:hAnsi="宋体" w:eastAsia="宋体" w:cs="Times New Roman"/>
          <w:bCs/>
          <w:color w:val="auto"/>
          <w:sz w:val="21"/>
          <w:szCs w:val="21"/>
          <w:highlight w:val="none"/>
        </w:rPr>
      </w:pPr>
      <w:r>
        <w:rPr>
          <w:rFonts w:hint="eastAsia" w:ascii="宋体" w:hAnsi="宋体" w:eastAsia="宋体" w:cs="Times New Roman"/>
          <w:bCs/>
          <w:color w:val="auto"/>
          <w:sz w:val="21"/>
          <w:szCs w:val="21"/>
          <w:highlight w:val="none"/>
        </w:rPr>
        <w:t>1、中标人应严格按照《中国环境保护法》、《中华人民共和国固体废物污染环境防治法》及国家、地方的其他相关法律法规、规范标准对所产生的污泥进行处置，并确保污泥的处置为安全处置，且符合相关规定和环保要求。中标人对处置过程和处置结果负责并承担一切法律责任。</w:t>
      </w:r>
    </w:p>
    <w:p w14:paraId="675C54F7">
      <w:pPr>
        <w:shd w:val="clear"/>
        <w:spacing w:line="360" w:lineRule="auto"/>
        <w:ind w:firstLine="420" w:firstLineChars="200"/>
        <w:jc w:val="left"/>
        <w:rPr>
          <w:rFonts w:hint="eastAsia" w:ascii="宋体" w:hAnsi="宋体" w:eastAsia="宋体" w:cs="Times New Roman"/>
          <w:bCs/>
          <w:color w:val="auto"/>
          <w:sz w:val="21"/>
          <w:szCs w:val="21"/>
          <w:highlight w:val="none"/>
        </w:rPr>
      </w:pPr>
      <w:r>
        <w:rPr>
          <w:rFonts w:hint="eastAsia" w:ascii="宋体" w:hAnsi="宋体" w:eastAsia="宋体" w:cs="Times New Roman"/>
          <w:bCs/>
          <w:color w:val="auto"/>
          <w:sz w:val="21"/>
          <w:szCs w:val="21"/>
          <w:highlight w:val="none"/>
        </w:rPr>
        <w:t>2、中标人在贮存、利用、</w:t>
      </w:r>
      <w:r>
        <w:rPr>
          <w:rFonts w:hint="eastAsia" w:ascii="宋体" w:hAnsi="宋体" w:eastAsia="宋体" w:cs="Times New Roman"/>
          <w:bCs/>
          <w:color w:val="auto"/>
          <w:sz w:val="21"/>
          <w:szCs w:val="21"/>
          <w:highlight w:val="none"/>
          <w:lang w:val="en-US" w:eastAsia="zh-CN"/>
        </w:rPr>
        <w:t>运输、</w:t>
      </w:r>
      <w:r>
        <w:rPr>
          <w:rFonts w:hint="eastAsia" w:ascii="宋体" w:hAnsi="宋体" w:eastAsia="宋体" w:cs="Times New Roman"/>
          <w:bCs/>
          <w:color w:val="auto"/>
          <w:sz w:val="21"/>
          <w:szCs w:val="21"/>
          <w:highlight w:val="none"/>
        </w:rPr>
        <w:t>处置污泥时，必须采取防扬散、防流失、防渗漏或者其他防止污染环境的措施；不得擅自倾倒、堆放、丢弃、遗撒固体废物。禁止向江河、湖泊、运河、渠道、水库及其最高水位线以下的滩地和岸坡等法律、法规规定禁止倾倒、堆放废弃物的地点倾倒、堆放污泥。</w:t>
      </w:r>
    </w:p>
    <w:p w14:paraId="48F290D0">
      <w:pPr>
        <w:shd w:val="clear"/>
        <w:spacing w:line="360" w:lineRule="auto"/>
        <w:ind w:firstLine="420" w:firstLineChars="200"/>
        <w:jc w:val="left"/>
        <w:rPr>
          <w:rFonts w:hint="eastAsia" w:ascii="宋体" w:hAnsi="宋体" w:eastAsia="宋体" w:cs="Times New Roman"/>
          <w:bCs/>
          <w:color w:val="auto"/>
          <w:sz w:val="21"/>
          <w:szCs w:val="21"/>
          <w:highlight w:val="none"/>
        </w:rPr>
      </w:pPr>
      <w:r>
        <w:rPr>
          <w:rFonts w:hint="eastAsia" w:ascii="宋体" w:hAnsi="宋体" w:eastAsia="宋体" w:cs="Times New Roman"/>
          <w:bCs/>
          <w:color w:val="auto"/>
          <w:sz w:val="21"/>
          <w:szCs w:val="21"/>
          <w:highlight w:val="none"/>
        </w:rPr>
        <w:t>3、未经采购人同意，中标人不得单方面将污泥转移至第三方处置，或在服务期间单方面拒绝接收采购方的污泥（环保局等政府部门规定的除外），否则由此造成的损失和责任均由中标人承担。</w:t>
      </w:r>
    </w:p>
    <w:p w14:paraId="12018EE9">
      <w:pPr>
        <w:shd w:val="clear"/>
        <w:spacing w:line="360" w:lineRule="auto"/>
        <w:ind w:firstLine="420" w:firstLineChars="200"/>
        <w:jc w:val="left"/>
        <w:rPr>
          <w:rFonts w:hint="eastAsia" w:ascii="宋体" w:hAnsi="宋体" w:eastAsia="宋体" w:cs="Times New Roman"/>
          <w:bCs/>
          <w:color w:val="auto"/>
          <w:sz w:val="21"/>
          <w:szCs w:val="21"/>
          <w:highlight w:val="none"/>
        </w:rPr>
      </w:pPr>
      <w:r>
        <w:rPr>
          <w:rFonts w:hint="eastAsia" w:ascii="宋体" w:hAnsi="宋体" w:eastAsia="宋体" w:cs="Times New Roman"/>
          <w:bCs/>
          <w:color w:val="auto"/>
          <w:sz w:val="21"/>
          <w:szCs w:val="21"/>
          <w:highlight w:val="none"/>
        </w:rPr>
        <w:t>4、中标人应保证优先处置采购方的污泥，及时接纳采购方的污泥；如果中标人因设备检修等原因不能接纳采购方的污泥时，应提前通知采购方，否则由此造成的损失和责任均由中标人承担。</w:t>
      </w:r>
    </w:p>
    <w:p w14:paraId="46081E6A">
      <w:pPr>
        <w:shd w:val="clear"/>
        <w:spacing w:line="360" w:lineRule="auto"/>
        <w:ind w:firstLine="420" w:firstLineChars="200"/>
        <w:jc w:val="left"/>
        <w:rPr>
          <w:rFonts w:hint="eastAsia" w:ascii="宋体" w:hAnsi="宋体" w:eastAsia="宋体" w:cs="Times New Roman"/>
          <w:bCs/>
          <w:color w:val="auto"/>
          <w:sz w:val="21"/>
          <w:szCs w:val="21"/>
          <w:highlight w:val="none"/>
        </w:rPr>
      </w:pPr>
      <w:r>
        <w:rPr>
          <w:rFonts w:hint="eastAsia" w:ascii="宋体" w:hAnsi="宋体" w:eastAsia="宋体" w:cs="Times New Roman"/>
          <w:bCs/>
          <w:color w:val="auto"/>
          <w:sz w:val="21"/>
          <w:szCs w:val="21"/>
          <w:highlight w:val="none"/>
        </w:rPr>
        <w:t>5、中标人应根据相关规定，做好</w:t>
      </w:r>
      <w:r>
        <w:rPr>
          <w:rFonts w:hint="eastAsia" w:ascii="宋体" w:hAnsi="宋体" w:eastAsia="宋体" w:cs="Times New Roman"/>
          <w:bCs/>
          <w:color w:val="auto"/>
          <w:sz w:val="21"/>
          <w:szCs w:val="21"/>
          <w:highlight w:val="none"/>
          <w:lang w:eastAsia="zh-CN"/>
        </w:rPr>
        <w:t>浙里办“金华市固废</w:t>
      </w:r>
      <w:r>
        <w:rPr>
          <w:rFonts w:hint="eastAsia" w:ascii="宋体" w:hAnsi="宋体" w:eastAsia="宋体" w:cs="Times New Roman"/>
          <w:bCs/>
          <w:color w:val="auto"/>
          <w:sz w:val="21"/>
          <w:szCs w:val="21"/>
          <w:highlight w:val="none"/>
          <w:lang w:val="en-US" w:eastAsia="zh-CN"/>
        </w:rPr>
        <w:t>e掌通</w:t>
      </w:r>
      <w:r>
        <w:rPr>
          <w:rFonts w:hint="eastAsia" w:ascii="宋体" w:hAnsi="宋体" w:eastAsia="宋体" w:cs="Times New Roman"/>
          <w:bCs/>
          <w:color w:val="auto"/>
          <w:sz w:val="21"/>
          <w:szCs w:val="21"/>
          <w:highlight w:val="none"/>
          <w:lang w:eastAsia="zh-CN"/>
        </w:rPr>
        <w:t>”的登记等工作。</w:t>
      </w:r>
    </w:p>
    <w:p w14:paraId="3A4D38AA">
      <w:pPr>
        <w:shd w:val="clear"/>
        <w:spacing w:line="360" w:lineRule="auto"/>
        <w:ind w:firstLine="420" w:firstLineChars="200"/>
        <w:jc w:val="left"/>
        <w:rPr>
          <w:rFonts w:hint="eastAsia" w:ascii="宋体" w:hAnsi="宋体" w:eastAsia="宋体" w:cs="Times New Roman"/>
          <w:bCs/>
          <w:color w:val="auto"/>
          <w:sz w:val="21"/>
          <w:szCs w:val="21"/>
          <w:highlight w:val="none"/>
        </w:rPr>
      </w:pPr>
      <w:r>
        <w:rPr>
          <w:rFonts w:hint="eastAsia" w:ascii="宋体" w:hAnsi="宋体" w:eastAsia="宋体" w:cs="Times New Roman"/>
          <w:bCs/>
          <w:color w:val="auto"/>
          <w:sz w:val="21"/>
          <w:szCs w:val="21"/>
          <w:highlight w:val="none"/>
          <w:lang w:eastAsia="zh-CN"/>
        </w:rPr>
        <w:t>6</w:t>
      </w:r>
      <w:r>
        <w:rPr>
          <w:rFonts w:hint="eastAsia" w:ascii="宋体" w:hAnsi="宋体" w:eastAsia="宋体" w:cs="Times New Roman"/>
          <w:bCs/>
          <w:color w:val="auto"/>
          <w:sz w:val="21"/>
          <w:szCs w:val="21"/>
          <w:highlight w:val="none"/>
        </w:rPr>
        <w:t>、中标人必须重视安全生产工作，确保全年不出安全生产责任事故。如发生安全生产责任事故或交通事故，由中标人承担一切责任及损失。</w:t>
      </w:r>
    </w:p>
    <w:p w14:paraId="416A15DF">
      <w:pPr>
        <w:shd w:val="clear"/>
        <w:spacing w:line="360" w:lineRule="auto"/>
        <w:ind w:firstLine="420" w:firstLineChars="200"/>
        <w:jc w:val="left"/>
        <w:rPr>
          <w:rFonts w:hint="eastAsia" w:ascii="宋体" w:hAnsi="宋体" w:eastAsia="宋体" w:cs="Times New Roman"/>
          <w:bCs/>
          <w:color w:val="auto"/>
          <w:sz w:val="21"/>
          <w:szCs w:val="21"/>
          <w:highlight w:val="none"/>
        </w:rPr>
      </w:pPr>
      <w:r>
        <w:rPr>
          <w:rFonts w:hint="eastAsia" w:ascii="宋体" w:hAnsi="宋体" w:eastAsia="宋体" w:cs="Times New Roman"/>
          <w:bCs/>
          <w:color w:val="auto"/>
          <w:sz w:val="21"/>
          <w:szCs w:val="21"/>
          <w:highlight w:val="none"/>
          <w:lang w:eastAsia="zh-CN"/>
        </w:rPr>
        <w:t>7</w:t>
      </w:r>
      <w:r>
        <w:rPr>
          <w:rFonts w:hint="eastAsia" w:ascii="宋体" w:hAnsi="宋体" w:eastAsia="宋体" w:cs="Times New Roman"/>
          <w:bCs/>
          <w:color w:val="auto"/>
          <w:sz w:val="21"/>
          <w:szCs w:val="21"/>
          <w:highlight w:val="none"/>
        </w:rPr>
        <w:t>、中标人须接受采购人对项目实施过程中的监督管理。</w:t>
      </w:r>
    </w:p>
    <w:p w14:paraId="7005FC2E">
      <w:pPr>
        <w:shd w:val="clear"/>
        <w:spacing w:line="360" w:lineRule="auto"/>
        <w:ind w:firstLine="420" w:firstLineChars="200"/>
        <w:jc w:val="left"/>
        <w:rPr>
          <w:rFonts w:hint="eastAsia" w:ascii="宋体" w:hAnsi="宋体" w:eastAsia="宋体" w:cs="Times New Roman"/>
          <w:bCs/>
          <w:color w:val="auto"/>
          <w:sz w:val="21"/>
          <w:szCs w:val="21"/>
          <w:highlight w:val="none"/>
        </w:rPr>
      </w:pPr>
      <w:r>
        <w:rPr>
          <w:rFonts w:hint="eastAsia" w:ascii="宋体" w:hAnsi="宋体" w:eastAsia="宋体" w:cs="Times New Roman"/>
          <w:bCs/>
          <w:color w:val="auto"/>
          <w:sz w:val="21"/>
          <w:szCs w:val="21"/>
          <w:highlight w:val="none"/>
          <w:lang w:eastAsia="zh-CN"/>
        </w:rPr>
        <w:t>8</w:t>
      </w:r>
      <w:r>
        <w:rPr>
          <w:rFonts w:hint="eastAsia" w:ascii="宋体" w:hAnsi="宋体" w:eastAsia="宋体" w:cs="Times New Roman"/>
          <w:bCs/>
          <w:color w:val="auto"/>
          <w:sz w:val="21"/>
          <w:szCs w:val="21"/>
          <w:highlight w:val="none"/>
        </w:rPr>
        <w:t>、中标人有责任及时报告在污泥处理处置过程中所发生的事件，包括但不限于任何可能造成各方行政责任及经济损失、任何第三方的投诉和索赔的所有事件。</w:t>
      </w:r>
    </w:p>
    <w:p w14:paraId="11FA9725">
      <w:pPr>
        <w:shd w:val="clear"/>
        <w:spacing w:line="360" w:lineRule="auto"/>
        <w:ind w:firstLine="420" w:firstLineChars="200"/>
        <w:jc w:val="left"/>
        <w:rPr>
          <w:rFonts w:hint="eastAsia" w:ascii="宋体" w:hAnsi="宋体" w:eastAsia="宋体" w:cs="Times New Roman"/>
          <w:bCs/>
          <w:color w:val="auto"/>
          <w:sz w:val="21"/>
          <w:szCs w:val="21"/>
          <w:highlight w:val="none"/>
        </w:rPr>
      </w:pPr>
      <w:r>
        <w:rPr>
          <w:rFonts w:hint="eastAsia" w:ascii="宋体" w:hAnsi="宋体" w:eastAsia="宋体" w:cs="Times New Roman"/>
          <w:bCs/>
          <w:color w:val="auto"/>
          <w:sz w:val="21"/>
          <w:szCs w:val="21"/>
          <w:highlight w:val="none"/>
          <w:lang w:eastAsia="zh-CN"/>
        </w:rPr>
        <w:t>9</w:t>
      </w:r>
      <w:r>
        <w:rPr>
          <w:rFonts w:hint="eastAsia" w:ascii="宋体" w:hAnsi="宋体" w:eastAsia="宋体" w:cs="Times New Roman"/>
          <w:bCs/>
          <w:color w:val="auto"/>
          <w:sz w:val="21"/>
          <w:szCs w:val="21"/>
          <w:highlight w:val="none"/>
        </w:rPr>
        <w:t>、中标人须接受采购人及其上级主管部门随时对中标人的污泥减量干化和处理处置情况的检查。</w:t>
      </w:r>
    </w:p>
    <w:p w14:paraId="6F99DE63">
      <w:pPr>
        <w:shd w:val="clear"/>
        <w:spacing w:line="360" w:lineRule="auto"/>
        <w:ind w:firstLine="420" w:firstLineChars="200"/>
        <w:jc w:val="left"/>
        <w:rPr>
          <w:rFonts w:hint="eastAsia" w:ascii="宋体" w:hAnsi="宋体" w:eastAsia="宋体" w:cs="Times New Roman"/>
          <w:bCs/>
          <w:color w:val="auto"/>
          <w:sz w:val="21"/>
          <w:szCs w:val="21"/>
          <w:highlight w:val="none"/>
        </w:rPr>
      </w:pPr>
      <w:r>
        <w:rPr>
          <w:rFonts w:hint="eastAsia" w:ascii="宋体" w:hAnsi="宋体" w:eastAsia="宋体" w:cs="Times New Roman"/>
          <w:bCs/>
          <w:color w:val="auto"/>
          <w:sz w:val="21"/>
          <w:szCs w:val="21"/>
          <w:highlight w:val="none"/>
        </w:rPr>
        <w:t>1</w:t>
      </w:r>
      <w:r>
        <w:rPr>
          <w:rFonts w:hint="eastAsia" w:ascii="宋体" w:hAnsi="宋体" w:eastAsia="宋体" w:cs="Times New Roman"/>
          <w:bCs/>
          <w:color w:val="auto"/>
          <w:sz w:val="21"/>
          <w:szCs w:val="21"/>
          <w:highlight w:val="none"/>
          <w:lang w:eastAsia="zh-CN"/>
        </w:rPr>
        <w:t>0</w:t>
      </w:r>
      <w:r>
        <w:rPr>
          <w:rFonts w:hint="eastAsia" w:ascii="宋体" w:hAnsi="宋体" w:eastAsia="宋体" w:cs="Times New Roman"/>
          <w:bCs/>
          <w:color w:val="auto"/>
          <w:sz w:val="21"/>
          <w:szCs w:val="21"/>
          <w:highlight w:val="none"/>
        </w:rPr>
        <w:t>、采购人有权对中标人的违规操作行为(包括但不限于偷倒、乱倒)保留追究责任的权利。</w:t>
      </w:r>
    </w:p>
    <w:p w14:paraId="412E9368">
      <w:pPr>
        <w:shd w:val="clear"/>
        <w:spacing w:line="312" w:lineRule="auto"/>
        <w:ind w:firstLine="420" w:firstLineChars="0"/>
        <w:jc w:val="left"/>
        <w:rPr>
          <w:rFonts w:hint="eastAsia"/>
          <w:color w:val="auto"/>
          <w:highlight w:val="none"/>
        </w:rPr>
      </w:pPr>
      <w:r>
        <w:rPr>
          <w:rFonts w:hint="eastAsia" w:ascii="宋体" w:hAnsi="宋体" w:eastAsia="宋体" w:cs="Times New Roman"/>
          <w:bCs/>
          <w:color w:val="auto"/>
          <w:sz w:val="21"/>
          <w:szCs w:val="21"/>
          <w:highlight w:val="none"/>
        </w:rPr>
        <w:t>1</w:t>
      </w:r>
      <w:r>
        <w:rPr>
          <w:rFonts w:hint="eastAsia" w:ascii="宋体" w:hAnsi="宋体" w:eastAsia="宋体" w:cs="Times New Roman"/>
          <w:bCs/>
          <w:color w:val="auto"/>
          <w:sz w:val="21"/>
          <w:szCs w:val="21"/>
          <w:highlight w:val="none"/>
          <w:lang w:eastAsia="zh-CN"/>
        </w:rPr>
        <w:t>1</w:t>
      </w:r>
      <w:r>
        <w:rPr>
          <w:rFonts w:hint="eastAsia" w:ascii="宋体" w:hAnsi="宋体" w:eastAsia="宋体" w:cs="Times New Roman"/>
          <w:bCs/>
          <w:color w:val="auto"/>
          <w:sz w:val="21"/>
          <w:szCs w:val="21"/>
          <w:highlight w:val="none"/>
        </w:rPr>
        <w:t>、污泥处置</w:t>
      </w:r>
      <w:r>
        <w:rPr>
          <w:rFonts w:hint="eastAsia" w:ascii="宋体" w:hAnsi="宋体" w:cs="宋体"/>
          <w:color w:val="auto"/>
          <w:kern w:val="1"/>
          <w:szCs w:val="21"/>
          <w:highlight w:val="none"/>
          <w:lang w:val="en-US" w:eastAsia="zh-CN"/>
        </w:rPr>
        <w:t>应</w:t>
      </w:r>
      <w:r>
        <w:rPr>
          <w:rFonts w:hint="eastAsia" w:ascii="宋体" w:hAnsi="宋体" w:cs="宋体"/>
          <w:color w:val="auto"/>
          <w:kern w:val="1"/>
          <w:szCs w:val="21"/>
          <w:highlight w:val="none"/>
          <w:lang w:eastAsia="zh-CN"/>
        </w:rPr>
        <w:t>在</w:t>
      </w:r>
      <w:r>
        <w:rPr>
          <w:rFonts w:hint="eastAsia" w:ascii="宋体" w:hAnsi="宋体" w:cs="宋体"/>
          <w:color w:val="auto"/>
          <w:kern w:val="1"/>
          <w:szCs w:val="21"/>
          <w:highlight w:val="none"/>
          <w:lang w:val="en-US" w:eastAsia="zh-CN"/>
        </w:rPr>
        <w:t>义乌</w:t>
      </w:r>
      <w:r>
        <w:rPr>
          <w:rFonts w:hint="eastAsia" w:ascii="宋体" w:hAnsi="宋体" w:cs="宋体"/>
          <w:color w:val="auto"/>
          <w:kern w:val="1"/>
          <w:szCs w:val="21"/>
          <w:highlight w:val="none"/>
          <w:lang w:eastAsia="zh-CN"/>
        </w:rPr>
        <w:t>市范围内进行污泥处置，</w:t>
      </w:r>
      <w:r>
        <w:rPr>
          <w:rFonts w:hint="eastAsia" w:ascii="宋体" w:hAnsi="宋体" w:eastAsia="宋体" w:cs="Times New Roman"/>
          <w:bCs/>
          <w:color w:val="auto"/>
          <w:sz w:val="21"/>
          <w:szCs w:val="21"/>
          <w:highlight w:val="none"/>
        </w:rPr>
        <w:t>应采用资源利用化方式，禁止堆肥或直接填埋的处置方式，资源利用化后的收益归中标人所有。</w:t>
      </w:r>
    </w:p>
    <w:p w14:paraId="50D2662E">
      <w:pPr>
        <w:widowControl/>
        <w:shd w:val="clear"/>
        <w:snapToGrid/>
        <w:spacing w:line="360" w:lineRule="auto"/>
        <w:ind w:firstLine="420" w:firstLineChars="200"/>
        <w:jc w:val="left"/>
        <w:rPr>
          <w:rFonts w:hint="default" w:ascii="宋体" w:hAnsi="宋体" w:eastAsia="宋体"/>
          <w:bCs/>
          <w:color w:val="auto"/>
          <w:szCs w:val="21"/>
          <w:highlight w:val="none"/>
          <w:lang w:val="en-US" w:eastAsia="zh-CN"/>
        </w:rPr>
      </w:pPr>
      <w:r>
        <w:rPr>
          <w:rFonts w:hint="eastAsia" w:ascii="宋体" w:hAnsi="宋体" w:eastAsia="宋体" w:cs="Times New Roman"/>
          <w:bCs/>
          <w:color w:val="auto"/>
          <w:sz w:val="21"/>
          <w:szCs w:val="21"/>
          <w:highlight w:val="none"/>
        </w:rPr>
        <w:t>如中标人违反上述规定的，甲方有权解除合同，并追究中标人的违约责任。</w:t>
      </w:r>
    </w:p>
    <w:bookmarkEnd w:id="34"/>
    <w:p w14:paraId="55BF878A">
      <w:pPr>
        <w:pStyle w:val="5"/>
        <w:pageBreakBefore w:val="0"/>
        <w:widowControl w:val="0"/>
        <w:shd w:val="clear"/>
        <w:kinsoku/>
        <w:wordWrap/>
        <w:overflowPunct/>
        <w:topLinePunct w:val="0"/>
        <w:autoSpaceDE/>
        <w:autoSpaceDN/>
        <w:bidi w:val="0"/>
        <w:spacing w:before="120" w:after="120" w:line="360" w:lineRule="auto"/>
        <w:rPr>
          <w:rFonts w:hint="eastAsia" w:ascii="宋体" w:hAnsi="宋体" w:eastAsia="宋体" w:cs="宋体"/>
          <w:color w:val="auto"/>
          <w:sz w:val="21"/>
          <w:szCs w:val="21"/>
          <w:highlight w:val="none"/>
        </w:rPr>
      </w:pPr>
      <w:bookmarkStart w:id="36" w:name="_Toc8002"/>
      <w:bookmarkStart w:id="37" w:name="_Toc7717"/>
      <w:r>
        <w:rPr>
          <w:rFonts w:hint="eastAsia" w:ascii="宋体" w:hAnsi="宋体" w:eastAsia="宋体" w:cs="宋体"/>
          <w:color w:val="auto"/>
          <w:sz w:val="21"/>
          <w:szCs w:val="21"/>
          <w:highlight w:val="none"/>
          <w:lang w:val="en-US" w:eastAsia="zh-CN"/>
        </w:rPr>
        <w:t>三</w:t>
      </w:r>
      <w:r>
        <w:rPr>
          <w:rFonts w:hint="eastAsia" w:ascii="宋体" w:hAnsi="宋体" w:eastAsia="宋体" w:cs="宋体"/>
          <w:color w:val="auto"/>
          <w:sz w:val="21"/>
          <w:szCs w:val="21"/>
          <w:highlight w:val="none"/>
        </w:rPr>
        <w:t>、商务要求</w:t>
      </w:r>
      <w:bookmarkEnd w:id="36"/>
    </w:p>
    <w:p w14:paraId="01477B07">
      <w:pPr>
        <w:shd w:val="clear"/>
        <w:spacing w:line="360" w:lineRule="auto"/>
        <w:jc w:val="left"/>
        <w:outlineLvl w:val="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（一）项目投标报价要求</w:t>
      </w:r>
    </w:p>
    <w:p w14:paraId="63A7F310">
      <w:pPr>
        <w:numPr>
          <w:ilvl w:val="0"/>
          <w:numId w:val="0"/>
        </w:numPr>
        <w:shd w:val="clear"/>
        <w:spacing w:line="312" w:lineRule="auto"/>
        <w:ind w:left="0" w:firstLine="420" w:firstLineChars="200"/>
        <w:rPr>
          <w:rFonts w:hint="eastAsia" w:hAnsi="宋体" w:cs="宋体"/>
          <w:color w:val="auto"/>
          <w:highlight w:val="none"/>
        </w:rPr>
      </w:pPr>
      <w:r>
        <w:rPr>
          <w:rFonts w:hint="eastAsia" w:hAnsi="宋体" w:cs="宋体"/>
          <w:bCs/>
          <w:color w:val="auto"/>
          <w:highlight w:val="none"/>
          <w:lang w:val="en-US" w:eastAsia="zh-CN"/>
        </w:rPr>
        <w:t>1.</w:t>
      </w:r>
      <w:r>
        <w:rPr>
          <w:rFonts w:hint="eastAsia" w:hAnsi="宋体" w:cs="宋体"/>
          <w:color w:val="auto"/>
          <w:highlight w:val="none"/>
        </w:rPr>
        <w:t>投标报价以人民币为结算货币，</w:t>
      </w:r>
      <w:r>
        <w:rPr>
          <w:rFonts w:hint="eastAsia" w:ascii="宋体" w:hAnsi="宋体" w:eastAsia="宋体" w:cs="宋体"/>
          <w:color w:val="auto"/>
          <w:szCs w:val="21"/>
          <w:highlight w:val="none"/>
        </w:rPr>
        <w:t>投标报价包括</w:t>
      </w:r>
      <w:r>
        <w:rPr>
          <w:rFonts w:hint="eastAsia" w:ascii="宋体" w:hAnsi="宋体" w:eastAsia="宋体" w:cs="宋体"/>
          <w:b w:val="0"/>
          <w:color w:val="auto"/>
          <w:kern w:val="2"/>
          <w:szCs w:val="21"/>
          <w:highlight w:val="none"/>
          <w:lang w:eastAsia="zh-CN"/>
        </w:rPr>
        <w:t>铲泥费</w:t>
      </w:r>
      <w:r>
        <w:rPr>
          <w:rFonts w:hint="eastAsia" w:ascii="宋体" w:hAnsi="宋体" w:eastAsia="宋体" w:cs="宋体"/>
          <w:color w:val="auto"/>
          <w:szCs w:val="21"/>
          <w:highlight w:val="none"/>
        </w:rPr>
        <w:t>、装车费、</w:t>
      </w:r>
      <w:r>
        <w:rPr>
          <w:rFonts w:hint="eastAsia" w:ascii="宋体" w:hAnsi="宋体" w:eastAsia="宋体" w:cs="宋体"/>
          <w:color w:val="auto"/>
          <w:szCs w:val="21"/>
          <w:highlight w:val="none"/>
          <w:lang w:val="en-US" w:eastAsia="zh-CN"/>
        </w:rPr>
        <w:t>车辆运输费、</w:t>
      </w:r>
      <w:r>
        <w:rPr>
          <w:rFonts w:hint="eastAsia" w:ascii="宋体" w:hAnsi="宋体" w:eastAsia="宋体" w:cs="宋体"/>
          <w:color w:val="auto"/>
          <w:szCs w:val="21"/>
          <w:highlight w:val="none"/>
        </w:rPr>
        <w:t>污泥的</w:t>
      </w:r>
      <w:r>
        <w:rPr>
          <w:rFonts w:hint="eastAsia" w:ascii="宋体" w:hAnsi="宋体" w:eastAsia="宋体" w:cs="宋体"/>
          <w:color w:val="auto"/>
          <w:szCs w:val="21"/>
          <w:highlight w:val="none"/>
          <w:lang w:eastAsia="zh-CN"/>
        </w:rPr>
        <w:t>焚烧</w:t>
      </w:r>
      <w:r>
        <w:rPr>
          <w:rFonts w:hint="eastAsia" w:ascii="宋体" w:hAnsi="宋体" w:eastAsia="宋体" w:cs="宋体"/>
          <w:color w:val="auto"/>
          <w:szCs w:val="21"/>
          <w:highlight w:val="none"/>
        </w:rPr>
        <w:t>或制砖处置、管理费</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税费</w:t>
      </w:r>
      <w:r>
        <w:rPr>
          <w:rFonts w:hint="eastAsia" w:ascii="宋体" w:hAnsi="宋体" w:eastAsia="宋体" w:cs="宋体"/>
          <w:color w:val="auto"/>
          <w:szCs w:val="21"/>
          <w:highlight w:val="none"/>
        </w:rPr>
        <w:t>等一切</w:t>
      </w:r>
      <w:r>
        <w:rPr>
          <w:rFonts w:hint="eastAsia" w:ascii="宋体" w:hAnsi="宋体" w:eastAsia="宋体" w:cs="宋体"/>
          <w:color w:val="auto"/>
          <w:szCs w:val="21"/>
          <w:highlight w:val="none"/>
          <w:lang w:val="en-US" w:eastAsia="zh-CN"/>
        </w:rPr>
        <w:t>费用。</w:t>
      </w:r>
      <w:r>
        <w:rPr>
          <w:rFonts w:hint="eastAsia" w:ascii="宋体" w:hAnsi="宋体" w:eastAsia="宋体" w:cs="宋体"/>
          <w:color w:val="auto"/>
          <w:szCs w:val="21"/>
          <w:highlight w:val="none"/>
        </w:rPr>
        <w:t>如有漏项，视同已包含在其总项目中，合同总价不予调整。投标报价为投标方所能承受的最低、最终一次性报价。</w:t>
      </w:r>
    </w:p>
    <w:p w14:paraId="4880CC82">
      <w:pPr>
        <w:pStyle w:val="18"/>
        <w:keepNext w:val="0"/>
        <w:keepLines w:val="0"/>
        <w:pageBreakBefore w:val="0"/>
        <w:widowControl w:val="0"/>
        <w:shd w:val="clear"/>
        <w:kinsoku/>
        <w:wordWrap/>
        <w:overflowPunct/>
        <w:topLinePunct w:val="0"/>
        <w:autoSpaceDE/>
        <w:autoSpaceDN/>
        <w:bidi w:val="0"/>
        <w:spacing w:line="360" w:lineRule="auto"/>
        <w:ind w:firstLine="420" w:firstLineChars="200"/>
        <w:textAlignment w:val="auto"/>
        <w:rPr>
          <w:rFonts w:hint="eastAsia" w:hAnsi="宋体" w:cs="宋体"/>
          <w:color w:val="auto"/>
          <w:highlight w:val="none"/>
        </w:rPr>
      </w:pPr>
      <w:r>
        <w:rPr>
          <w:rFonts w:hint="eastAsia" w:hAnsi="宋体" w:cs="宋体"/>
          <w:color w:val="auto"/>
          <w:highlight w:val="none"/>
        </w:rPr>
        <w:t xml:space="preserve">2.投标方须在《开标一览表》上写明投标货物的单价和投标总价。如果大写金额和小写金额不一致的，以大写金额为准；单价金额小数点或者百分比有明显错位的，以《开标一览表》的总价为准，并修改单价；总价金额与按单价汇总金额不一致的，以单价金额计算结果为准。             </w:t>
      </w:r>
    </w:p>
    <w:p w14:paraId="3657B012">
      <w:pPr>
        <w:pStyle w:val="18"/>
        <w:keepNext w:val="0"/>
        <w:keepLines w:val="0"/>
        <w:pageBreakBefore w:val="0"/>
        <w:widowControl w:val="0"/>
        <w:shd w:val="clear"/>
        <w:kinsoku/>
        <w:wordWrap/>
        <w:overflowPunct/>
        <w:topLinePunct w:val="0"/>
        <w:autoSpaceDE/>
        <w:autoSpaceDN/>
        <w:bidi w:val="0"/>
        <w:spacing w:line="360" w:lineRule="auto"/>
        <w:ind w:firstLine="420" w:firstLineChars="200"/>
        <w:textAlignment w:val="auto"/>
        <w:rPr>
          <w:rFonts w:hint="eastAsia" w:hAnsi="宋体" w:cs="宋体"/>
          <w:color w:val="auto"/>
          <w:highlight w:val="none"/>
        </w:rPr>
      </w:pPr>
      <w:r>
        <w:rPr>
          <w:rFonts w:hint="eastAsia" w:hAnsi="宋体" w:cs="宋体"/>
          <w:color w:val="auto"/>
          <w:highlight w:val="none"/>
        </w:rPr>
        <w:t>3.中标后，</w:t>
      </w:r>
      <w:r>
        <w:rPr>
          <w:rFonts w:hint="eastAsia" w:hAnsi="宋体" w:cs="宋体"/>
          <w:b/>
          <w:color w:val="auto"/>
          <w:highlight w:val="none"/>
        </w:rPr>
        <w:t>中标人所填写的单价在合同实施期间不因市场变化因素而变动；</w:t>
      </w:r>
      <w:r>
        <w:rPr>
          <w:rFonts w:hint="eastAsia" w:hAnsi="宋体" w:cs="宋体"/>
          <w:color w:val="auto"/>
          <w:highlight w:val="none"/>
        </w:rPr>
        <w:t>投标人在计算报价时应考虑一定的风险系数。</w:t>
      </w:r>
    </w:p>
    <w:p w14:paraId="2DD55048">
      <w:pPr>
        <w:pStyle w:val="18"/>
        <w:keepNext w:val="0"/>
        <w:keepLines w:val="0"/>
        <w:pageBreakBefore w:val="0"/>
        <w:widowControl w:val="0"/>
        <w:shd w:val="clear"/>
        <w:kinsoku/>
        <w:wordWrap/>
        <w:overflowPunct/>
        <w:topLinePunct w:val="0"/>
        <w:autoSpaceDE/>
        <w:autoSpaceDN/>
        <w:bidi w:val="0"/>
        <w:spacing w:line="360" w:lineRule="auto"/>
        <w:ind w:firstLine="420" w:firstLineChars="200"/>
        <w:textAlignment w:val="auto"/>
        <w:rPr>
          <w:rFonts w:hint="eastAsia" w:hAnsi="宋体" w:cs="宋体"/>
          <w:color w:val="auto"/>
          <w:highlight w:val="none"/>
        </w:rPr>
      </w:pPr>
      <w:r>
        <w:rPr>
          <w:rFonts w:hAnsi="宋体" w:cs="宋体"/>
          <w:color w:val="auto"/>
          <w:highlight w:val="none"/>
        </w:rPr>
        <w:t>4</w:t>
      </w:r>
      <w:r>
        <w:rPr>
          <w:rFonts w:hint="eastAsia" w:hAnsi="宋体" w:cs="宋体"/>
          <w:color w:val="auto"/>
          <w:highlight w:val="none"/>
        </w:rPr>
        <w:t>.投标人应按招标文件规定的报价格式进行投标报价。投标人对每种货物只允许有一个报价，采购人不接受任何有选择性的报价。</w:t>
      </w:r>
    </w:p>
    <w:p w14:paraId="4A12313E">
      <w:pPr>
        <w:pStyle w:val="18"/>
        <w:keepNext w:val="0"/>
        <w:keepLines w:val="0"/>
        <w:pageBreakBefore w:val="0"/>
        <w:widowControl w:val="0"/>
        <w:shd w:val="clear"/>
        <w:kinsoku/>
        <w:wordWrap/>
        <w:overflowPunct/>
        <w:topLinePunct w:val="0"/>
        <w:autoSpaceDE/>
        <w:autoSpaceDN/>
        <w:bidi w:val="0"/>
        <w:spacing w:line="360" w:lineRule="auto"/>
        <w:ind w:firstLine="420" w:firstLineChars="200"/>
        <w:textAlignment w:val="auto"/>
        <w:rPr>
          <w:rFonts w:hint="eastAsia" w:hAnsi="宋体" w:cs="宋体"/>
          <w:color w:val="auto"/>
          <w:spacing w:val="-8"/>
          <w:highlight w:val="none"/>
        </w:rPr>
      </w:pPr>
      <w:r>
        <w:rPr>
          <w:rFonts w:hAnsi="宋体" w:cs="宋体"/>
          <w:color w:val="auto"/>
          <w:highlight w:val="none"/>
        </w:rPr>
        <w:t>5</w:t>
      </w:r>
      <w:r>
        <w:rPr>
          <w:rFonts w:hint="eastAsia" w:hAnsi="宋体" w:cs="宋体"/>
          <w:color w:val="auto"/>
          <w:highlight w:val="none"/>
        </w:rPr>
        <w:t>.</w:t>
      </w:r>
      <w:r>
        <w:rPr>
          <w:rFonts w:hint="eastAsia" w:hAnsi="宋体" w:cs="宋体"/>
          <w:color w:val="auto"/>
          <w:spacing w:val="-8"/>
          <w:highlight w:val="none"/>
        </w:rPr>
        <w:t>采购人不接受低于成本的投标报价。</w:t>
      </w:r>
    </w:p>
    <w:p w14:paraId="6CC9A44B">
      <w:pPr>
        <w:pStyle w:val="18"/>
        <w:keepNext w:val="0"/>
        <w:keepLines w:val="0"/>
        <w:pageBreakBefore w:val="0"/>
        <w:widowControl w:val="0"/>
        <w:shd w:val="clear"/>
        <w:kinsoku/>
        <w:wordWrap/>
        <w:overflowPunct/>
        <w:topLinePunct w:val="0"/>
        <w:autoSpaceDE/>
        <w:autoSpaceDN/>
        <w:bidi w:val="0"/>
        <w:spacing w:line="360" w:lineRule="auto"/>
        <w:ind w:firstLine="420" w:firstLineChars="200"/>
        <w:textAlignment w:val="auto"/>
        <w:rPr>
          <w:rFonts w:hint="eastAsia" w:hAnsi="宋体" w:cs="宋体"/>
          <w:color w:val="auto"/>
          <w:highlight w:val="none"/>
        </w:rPr>
      </w:pPr>
      <w:r>
        <w:rPr>
          <w:rFonts w:hAnsi="宋体" w:cs="宋体"/>
          <w:color w:val="auto"/>
          <w:highlight w:val="none"/>
        </w:rPr>
        <w:t>6</w:t>
      </w:r>
      <w:r>
        <w:rPr>
          <w:rFonts w:hint="eastAsia" w:hAnsi="宋体" w:cs="宋体"/>
          <w:color w:val="auto"/>
          <w:highlight w:val="none"/>
        </w:rPr>
        <w:t>.投标人按照上述要求编制投标报价。一旦确认某一投标人中标，除合同规定的可调整内容外，中标人不得要求追加任何费用。</w:t>
      </w:r>
    </w:p>
    <w:p w14:paraId="59E4806F">
      <w:pPr>
        <w:pStyle w:val="18"/>
        <w:keepNext w:val="0"/>
        <w:keepLines w:val="0"/>
        <w:pageBreakBefore w:val="0"/>
        <w:widowControl w:val="0"/>
        <w:shd w:val="clear"/>
        <w:kinsoku/>
        <w:wordWrap/>
        <w:overflowPunct/>
        <w:topLinePunct w:val="0"/>
        <w:autoSpaceDE/>
        <w:autoSpaceDN/>
        <w:bidi w:val="0"/>
        <w:spacing w:line="360" w:lineRule="auto"/>
        <w:ind w:firstLine="420" w:firstLineChars="200"/>
        <w:textAlignment w:val="auto"/>
        <w:rPr>
          <w:rFonts w:hint="eastAsia" w:hAnsi="宋体" w:cs="宋体"/>
          <w:color w:val="auto"/>
          <w:highlight w:val="none"/>
        </w:rPr>
      </w:pPr>
      <w:r>
        <w:rPr>
          <w:rFonts w:hAnsi="宋体" w:cs="宋体"/>
          <w:color w:val="auto"/>
          <w:highlight w:val="none"/>
        </w:rPr>
        <w:t>7</w:t>
      </w:r>
      <w:r>
        <w:rPr>
          <w:rFonts w:hint="eastAsia" w:hAnsi="宋体" w:cs="宋体"/>
          <w:color w:val="auto"/>
          <w:highlight w:val="none"/>
        </w:rPr>
        <w:t>.须由中标单位开具正式发票。</w:t>
      </w:r>
    </w:p>
    <w:p w14:paraId="4DE38913">
      <w:pPr>
        <w:keepNext w:val="0"/>
        <w:keepLines w:val="0"/>
        <w:pageBreakBefore w:val="0"/>
        <w:widowControl w:val="0"/>
        <w:shd w:val="clear"/>
        <w:kinsoku/>
        <w:wordWrap/>
        <w:overflowPunct/>
        <w:topLinePunct w:val="0"/>
        <w:autoSpaceDE/>
        <w:autoSpaceDN/>
        <w:bidi w:val="0"/>
        <w:spacing w:line="360" w:lineRule="auto"/>
        <w:ind w:firstLine="420" w:firstLineChars="200"/>
        <w:textAlignment w:val="auto"/>
        <w:rPr>
          <w:rFonts w:hint="eastAsia" w:ascii="宋体" w:hAnsi="宋体" w:cs="宋体"/>
          <w:bCs/>
          <w:color w:val="auto"/>
          <w:szCs w:val="21"/>
          <w:highlight w:val="none"/>
        </w:rPr>
      </w:pPr>
      <w:r>
        <w:rPr>
          <w:rFonts w:ascii="宋体" w:hAnsi="宋体" w:cs="宋体"/>
          <w:color w:val="auto"/>
          <w:szCs w:val="21"/>
          <w:highlight w:val="none"/>
        </w:rPr>
        <w:t>8</w:t>
      </w:r>
      <w:r>
        <w:rPr>
          <w:rFonts w:hint="eastAsia" w:ascii="宋体" w:hAnsi="宋体" w:cs="宋体"/>
          <w:color w:val="auto"/>
          <w:szCs w:val="21"/>
          <w:highlight w:val="none"/>
        </w:rPr>
        <w:t>.招标文件中规定由投标单位承担并支付的相关费用在投标报价时应一并考虑</w:t>
      </w:r>
      <w:r>
        <w:rPr>
          <w:rFonts w:hint="eastAsia" w:ascii="宋体" w:hAnsi="宋体" w:cs="宋体"/>
          <w:bCs/>
          <w:color w:val="auto"/>
          <w:szCs w:val="21"/>
          <w:highlight w:val="none"/>
        </w:rPr>
        <w:t>。</w:t>
      </w:r>
    </w:p>
    <w:p w14:paraId="10822CB9">
      <w:pPr>
        <w:shd w:val="clear"/>
        <w:spacing w:line="360" w:lineRule="auto"/>
        <w:jc w:val="left"/>
        <w:outlineLvl w:val="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（二）服务期</w:t>
      </w:r>
    </w:p>
    <w:p w14:paraId="7F3C79A2">
      <w:pPr>
        <w:shd w:val="clear"/>
        <w:spacing w:line="312" w:lineRule="auto"/>
        <w:ind w:firstLine="420"/>
        <w:rPr>
          <w:rFonts w:hint="eastAsia" w:ascii="宋体" w:hAnsi="宋体" w:cs="宋体"/>
          <w:bCs/>
          <w:color w:val="auto"/>
          <w:szCs w:val="21"/>
          <w:highlight w:val="none"/>
        </w:rPr>
      </w:pPr>
      <w:r>
        <w:rPr>
          <w:rFonts w:hint="eastAsia" w:hAnsi="宋体" w:cs="宋体"/>
          <w:color w:val="auto"/>
          <w:highlight w:val="none"/>
        </w:rPr>
        <w:t>合同签订</w:t>
      </w:r>
      <w:r>
        <w:rPr>
          <w:rFonts w:hint="eastAsia" w:hAnsi="宋体" w:cs="宋体"/>
          <w:color w:val="auto"/>
          <w:highlight w:val="none"/>
          <w:lang w:val="en-US" w:eastAsia="zh-CN"/>
        </w:rPr>
        <w:t>之日起</w:t>
      </w:r>
      <w:r>
        <w:rPr>
          <w:rFonts w:hint="eastAsia" w:hAnsi="宋体" w:cs="宋体"/>
          <w:color w:val="auto"/>
          <w:highlight w:val="none"/>
        </w:rPr>
        <w:t>1年。</w:t>
      </w:r>
    </w:p>
    <w:p w14:paraId="02FD32A0">
      <w:pPr>
        <w:shd w:val="clear"/>
        <w:spacing w:line="360" w:lineRule="auto"/>
        <w:jc w:val="left"/>
        <w:outlineLvl w:val="2"/>
        <w:rPr>
          <w:rFonts w:hint="eastAsia" w:ascii="宋体" w:hAnsi="宋体" w:eastAsia="宋体" w:cs="宋体"/>
          <w:b/>
          <w:color w:val="auto"/>
          <w:sz w:val="21"/>
          <w:szCs w:val="21"/>
          <w:highlight w:val="none"/>
        </w:rPr>
      </w:pPr>
      <w:bookmarkStart w:id="38" w:name="_Toc506107091"/>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三</w:t>
      </w:r>
      <w:r>
        <w:rPr>
          <w:rFonts w:hint="eastAsia" w:ascii="宋体" w:hAnsi="宋体" w:eastAsia="宋体" w:cs="宋体"/>
          <w:b/>
          <w:color w:val="auto"/>
          <w:sz w:val="21"/>
          <w:szCs w:val="21"/>
          <w:highlight w:val="none"/>
        </w:rPr>
        <w:t>）付款方式及要求</w:t>
      </w:r>
      <w:bookmarkEnd w:id="38"/>
    </w:p>
    <w:p w14:paraId="69509A6A">
      <w:pPr>
        <w:widowControl w:val="0"/>
        <w:shd w:val="clear"/>
        <w:spacing w:line="360" w:lineRule="auto"/>
        <w:ind w:left="105" w:leftChars="50" w:firstLine="411" w:firstLineChars="19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付款方式：采购人按任务支付，按实结算，每月结算一次，中标人将上一月度完成处置的污泥数量提交采购人确认，结算金额为：中标单价×经确认的当月实际处置污泥数量，中标单位提供上月相应的运输信息、</w:t>
      </w:r>
      <w:r>
        <w:rPr>
          <w:rFonts w:hint="eastAsia" w:ascii="宋体" w:hAnsi="宋体" w:eastAsia="宋体" w:cs="宋体"/>
          <w:bCs/>
          <w:color w:val="auto"/>
          <w:sz w:val="21"/>
          <w:szCs w:val="21"/>
          <w:highlight w:val="none"/>
          <w:lang w:val="en-US" w:eastAsia="zh-CN"/>
        </w:rPr>
        <w:t>一般固废处置系统联单</w:t>
      </w:r>
      <w:r>
        <w:rPr>
          <w:rFonts w:hint="eastAsia" w:ascii="宋体" w:hAnsi="宋体" w:eastAsia="宋体" w:cs="宋体"/>
          <w:bCs/>
          <w:color w:val="auto"/>
          <w:sz w:val="21"/>
          <w:szCs w:val="21"/>
          <w:highlight w:val="none"/>
        </w:rPr>
        <w:t>和正式发票，经双方确认无误后，采购人在10日内支付。</w:t>
      </w:r>
    </w:p>
    <w:p w14:paraId="63061AF7">
      <w:pPr>
        <w:widowControl w:val="0"/>
        <w:shd w:val="clear"/>
        <w:spacing w:line="360" w:lineRule="auto"/>
        <w:ind w:left="105" w:leftChars="50" w:firstLine="411" w:firstLineChars="196"/>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注：污泥计量按双方确认的地磅为准，结算依据为双方授权代表签署</w:t>
      </w:r>
      <w:r>
        <w:rPr>
          <w:rFonts w:hint="eastAsia" w:ascii="宋体" w:hAnsi="宋体" w:eastAsia="宋体" w:cs="宋体"/>
          <w:bCs/>
          <w:color w:val="auto"/>
          <w:sz w:val="21"/>
          <w:szCs w:val="21"/>
          <w:highlight w:val="none"/>
          <w:lang w:val="en-US" w:eastAsia="zh-CN"/>
        </w:rPr>
        <w:t>一般固废处置系统联单</w:t>
      </w:r>
      <w:r>
        <w:rPr>
          <w:rFonts w:hint="eastAsia" w:ascii="宋体" w:hAnsi="宋体" w:eastAsia="宋体" w:cs="宋体"/>
          <w:bCs/>
          <w:color w:val="auto"/>
          <w:sz w:val="21"/>
          <w:szCs w:val="21"/>
          <w:highlight w:val="none"/>
        </w:rPr>
        <w:t>数量为准。</w:t>
      </w:r>
      <w:r>
        <w:rPr>
          <w:rFonts w:hint="eastAsia" w:ascii="宋体" w:hAnsi="宋体" w:eastAsia="宋体" w:cs="宋体"/>
          <w:bCs/>
          <w:color w:val="auto"/>
          <w:sz w:val="21"/>
          <w:szCs w:val="21"/>
          <w:highlight w:val="none"/>
        </w:rPr>
        <w:t>义南、城西、上溪水厂的由义乌市城西自来水有限公司付款</w:t>
      </w:r>
      <w:r>
        <w:rPr>
          <w:rFonts w:hint="eastAsia" w:ascii="宋体" w:hAnsi="宋体" w:eastAsia="宋体" w:cs="宋体"/>
          <w:bCs/>
          <w:color w:val="auto"/>
          <w:sz w:val="21"/>
          <w:szCs w:val="21"/>
          <w:highlight w:val="none"/>
          <w:lang w:eastAsia="zh-CN"/>
        </w:rPr>
        <w:t>。</w:t>
      </w:r>
    </w:p>
    <w:p w14:paraId="14DE85AB">
      <w:pPr>
        <w:shd w:val="clear"/>
        <w:spacing w:line="360" w:lineRule="auto"/>
        <w:jc w:val="left"/>
        <w:outlineLvl w:val="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四</w:t>
      </w:r>
      <w:r>
        <w:rPr>
          <w:rFonts w:hint="eastAsia" w:ascii="宋体" w:hAnsi="宋体" w:eastAsia="宋体" w:cs="宋体"/>
          <w:b/>
          <w:color w:val="auto"/>
          <w:sz w:val="21"/>
          <w:szCs w:val="21"/>
          <w:highlight w:val="none"/>
        </w:rPr>
        <w:t>）验收办法及其标准</w:t>
      </w:r>
    </w:p>
    <w:p w14:paraId="54CD81F8">
      <w:pPr>
        <w:keepNext w:val="0"/>
        <w:keepLines w:val="0"/>
        <w:pageBreakBefore w:val="0"/>
        <w:widowControl w:val="0"/>
        <w:shd w:val="clear"/>
        <w:kinsoku/>
        <w:wordWrap/>
        <w:overflowPunct/>
        <w:topLinePunct w:val="0"/>
        <w:autoSpaceDE/>
        <w:autoSpaceDN/>
        <w:bidi w:val="0"/>
        <w:spacing w:line="360" w:lineRule="auto"/>
        <w:ind w:left="105" w:leftChars="50" w:firstLine="411" w:firstLineChars="196"/>
        <w:textAlignment w:val="auto"/>
        <w:rPr>
          <w:rFonts w:hint="eastAsia" w:ascii="宋体" w:hAnsi="宋体" w:cs="宋体"/>
          <w:bCs/>
          <w:color w:val="auto"/>
          <w:szCs w:val="21"/>
          <w:highlight w:val="none"/>
        </w:rPr>
      </w:pPr>
      <w:r>
        <w:rPr>
          <w:rFonts w:hint="eastAsia" w:ascii="宋体" w:hAnsi="宋体" w:cs="宋体"/>
          <w:bCs/>
          <w:color w:val="auto"/>
          <w:szCs w:val="21"/>
          <w:highlight w:val="none"/>
        </w:rPr>
        <w:t>根据中华人民共和国现行技术标准，按招标文件以及合同规定的验收评定标准等规范，由采购人根据《义乌市人民政府办公室关于印发规范政府采购管理若干意见的通知》（义政办发〔2017〕102号）、《政府采购合同履约和验收管理办法（暂行）》（义招管办〔2008〕32号）文件要求组织验收。</w:t>
      </w:r>
      <w:r>
        <w:rPr>
          <w:rFonts w:hint="eastAsia" w:hAnsi="宋体" w:cs="宋体"/>
          <w:color w:val="auto"/>
          <w:szCs w:val="21"/>
          <w:highlight w:val="none"/>
        </w:rPr>
        <w:t>验收产生的费用由中标方承担。</w:t>
      </w:r>
    </w:p>
    <w:p w14:paraId="2A5A757D">
      <w:pPr>
        <w:keepNext w:val="0"/>
        <w:keepLines w:val="0"/>
        <w:pageBreakBefore w:val="0"/>
        <w:widowControl w:val="0"/>
        <w:shd w:val="clear"/>
        <w:kinsoku/>
        <w:wordWrap/>
        <w:overflowPunct/>
        <w:topLinePunct w:val="0"/>
        <w:autoSpaceDE/>
        <w:autoSpaceDN/>
        <w:bidi w:val="0"/>
        <w:spacing w:line="360" w:lineRule="auto"/>
        <w:ind w:firstLine="420" w:firstLineChars="200"/>
        <w:textAlignment w:val="auto"/>
        <w:rPr>
          <w:rFonts w:hint="eastAsia" w:eastAsia="宋体"/>
          <w:color w:val="auto"/>
          <w:highlight w:val="none"/>
          <w:lang w:eastAsia="zh-CN"/>
        </w:rPr>
      </w:pPr>
      <w:r>
        <w:rPr>
          <w:rFonts w:hint="eastAsia" w:ascii="宋体" w:hAnsi="宋体" w:cs="宋体"/>
          <w:bCs/>
          <w:color w:val="auto"/>
          <w:szCs w:val="21"/>
          <w:highlight w:val="none"/>
        </w:rPr>
        <w:t>在</w:t>
      </w:r>
      <w:r>
        <w:rPr>
          <w:rFonts w:hint="eastAsia" w:ascii="宋体" w:hAnsi="宋体" w:cs="宋体"/>
          <w:bCs/>
          <w:color w:val="auto"/>
          <w:szCs w:val="21"/>
          <w:highlight w:val="none"/>
          <w:lang w:eastAsia="zh-CN"/>
        </w:rPr>
        <w:t>进行污泥运输、处置时，</w:t>
      </w:r>
      <w:r>
        <w:rPr>
          <w:rFonts w:hint="eastAsia" w:ascii="宋体" w:hAnsi="宋体" w:cs="宋体"/>
          <w:bCs/>
          <w:color w:val="auto"/>
          <w:szCs w:val="21"/>
          <w:highlight w:val="none"/>
        </w:rPr>
        <w:t>需方</w:t>
      </w:r>
      <w:r>
        <w:rPr>
          <w:rFonts w:hint="eastAsia" w:ascii="宋体" w:hAnsi="宋体" w:cs="宋体"/>
          <w:bCs/>
          <w:color w:val="auto"/>
          <w:szCs w:val="21"/>
          <w:highlight w:val="none"/>
          <w:lang w:eastAsia="zh-CN"/>
        </w:rPr>
        <w:t>可以</w:t>
      </w:r>
      <w:r>
        <w:rPr>
          <w:rFonts w:hint="eastAsia" w:ascii="宋体" w:hAnsi="宋体" w:cs="宋体"/>
          <w:bCs/>
          <w:color w:val="auto"/>
          <w:szCs w:val="21"/>
          <w:highlight w:val="none"/>
        </w:rPr>
        <w:t>派员</w:t>
      </w:r>
      <w:r>
        <w:rPr>
          <w:rFonts w:hint="eastAsia" w:ascii="宋体" w:hAnsi="宋体" w:eastAsia="宋体" w:cs="宋体"/>
          <w:bCs/>
          <w:color w:val="auto"/>
          <w:szCs w:val="21"/>
          <w:highlight w:val="none"/>
          <w:lang w:eastAsia="zh-CN"/>
        </w:rPr>
        <w:t>对中标方</w:t>
      </w:r>
      <w:r>
        <w:rPr>
          <w:rFonts w:hint="eastAsia" w:ascii="宋体" w:hAnsi="宋体" w:eastAsia="宋体" w:cs="宋体"/>
          <w:bCs/>
          <w:color w:val="auto"/>
          <w:szCs w:val="21"/>
          <w:highlight w:val="none"/>
        </w:rPr>
        <w:t>进行</w:t>
      </w:r>
      <w:r>
        <w:rPr>
          <w:rFonts w:hint="eastAsia" w:ascii="宋体" w:hAnsi="宋体" w:eastAsia="宋体" w:cs="宋体"/>
          <w:bCs/>
          <w:color w:val="auto"/>
          <w:szCs w:val="21"/>
          <w:highlight w:val="none"/>
          <w:lang w:eastAsia="zh-CN"/>
        </w:rPr>
        <w:t>监督管理。若发现污泥清运处置</w:t>
      </w:r>
      <w:r>
        <w:rPr>
          <w:rFonts w:hint="eastAsia" w:ascii="宋体" w:hAnsi="宋体" w:cs="宋体"/>
          <w:bCs/>
          <w:color w:val="auto"/>
          <w:szCs w:val="21"/>
          <w:highlight w:val="none"/>
          <w:lang w:eastAsia="zh-CN"/>
        </w:rPr>
        <w:t>过程和处置结果</w:t>
      </w:r>
      <w:r>
        <w:rPr>
          <w:rFonts w:hint="eastAsia" w:ascii="宋体" w:hAnsi="宋体" w:eastAsia="宋体" w:cs="宋体"/>
          <w:bCs/>
          <w:color w:val="auto"/>
          <w:szCs w:val="21"/>
          <w:highlight w:val="none"/>
          <w:lang w:eastAsia="zh-CN"/>
        </w:rPr>
        <w:t>中存在问题，中标人</w:t>
      </w:r>
      <w:r>
        <w:rPr>
          <w:rFonts w:hint="eastAsia" w:ascii="宋体" w:hAnsi="宋体" w:eastAsia="宋体" w:cs="宋体"/>
          <w:bCs/>
          <w:color w:val="auto"/>
          <w:szCs w:val="21"/>
          <w:highlight w:val="none"/>
        </w:rPr>
        <w:t>应负责妥善处理直至需方满意。此工作所发生的费</w:t>
      </w:r>
      <w:r>
        <w:rPr>
          <w:rFonts w:hint="eastAsia" w:ascii="宋体" w:hAnsi="宋体" w:cs="宋体"/>
          <w:bCs/>
          <w:color w:val="auto"/>
          <w:szCs w:val="21"/>
          <w:highlight w:val="none"/>
        </w:rPr>
        <w:t>用应由中标人自行承担。</w:t>
      </w:r>
    </w:p>
    <w:p w14:paraId="3A5D4011">
      <w:pPr>
        <w:pStyle w:val="5"/>
        <w:pageBreakBefore w:val="0"/>
        <w:widowControl w:val="0"/>
        <w:shd w:val="clear"/>
        <w:kinsoku/>
        <w:wordWrap/>
        <w:overflowPunct/>
        <w:topLinePunct w:val="0"/>
        <w:autoSpaceDE/>
        <w:autoSpaceDN/>
        <w:bidi w:val="0"/>
        <w:spacing w:before="120" w:after="120" w:line="360" w:lineRule="auto"/>
        <w:rPr>
          <w:rFonts w:hint="eastAsia" w:ascii="宋体" w:hAnsi="宋体" w:eastAsia="宋体" w:cs="宋体"/>
          <w:color w:val="auto"/>
          <w:sz w:val="21"/>
          <w:szCs w:val="21"/>
          <w:highlight w:val="none"/>
        </w:rPr>
      </w:pPr>
      <w:bookmarkStart w:id="39" w:name="_Toc4020"/>
      <w:r>
        <w:rPr>
          <w:rFonts w:hint="eastAsia" w:ascii="宋体" w:hAnsi="宋体" w:eastAsia="宋体" w:cs="宋体"/>
          <w:color w:val="auto"/>
          <w:sz w:val="21"/>
          <w:szCs w:val="21"/>
          <w:highlight w:val="none"/>
          <w:lang w:val="en-US" w:eastAsia="zh-CN"/>
        </w:rPr>
        <w:t>四</w:t>
      </w:r>
      <w:r>
        <w:rPr>
          <w:rFonts w:hint="eastAsia" w:ascii="宋体" w:hAnsi="宋体" w:eastAsia="宋体" w:cs="宋体"/>
          <w:color w:val="auto"/>
          <w:sz w:val="21"/>
          <w:szCs w:val="21"/>
          <w:highlight w:val="none"/>
        </w:rPr>
        <w:t>、其他说明</w:t>
      </w:r>
      <w:bookmarkEnd w:id="39"/>
    </w:p>
    <w:p w14:paraId="60CE71C6">
      <w:pPr>
        <w:pStyle w:val="18"/>
        <w:keepNext w:val="0"/>
        <w:keepLines w:val="0"/>
        <w:pageBreakBefore w:val="0"/>
        <w:widowControl w:val="0"/>
        <w:shd w:val="clear"/>
        <w:kinsoku/>
        <w:wordWrap/>
        <w:overflowPunct/>
        <w:topLinePunct w:val="0"/>
        <w:autoSpaceDE/>
        <w:autoSpaceDN/>
        <w:bidi w:val="0"/>
        <w:spacing w:line="360" w:lineRule="auto"/>
        <w:ind w:firstLine="420" w:firstLineChars="200"/>
        <w:textAlignment w:val="auto"/>
        <w:rPr>
          <w:rFonts w:hint="eastAsia" w:hAnsi="宋体"/>
          <w:bCs/>
          <w:color w:val="auto"/>
          <w:highlight w:val="none"/>
        </w:rPr>
      </w:pPr>
      <w:r>
        <w:rPr>
          <w:rFonts w:hint="eastAsia" w:hAnsi="宋体" w:cs="宋体"/>
          <w:color w:val="auto"/>
          <w:highlight w:val="none"/>
        </w:rPr>
        <w:t>1.中标之后，如发现投标文件与招标文件内容如有不一致，应以有利于采购人原则为准</w:t>
      </w:r>
      <w:r>
        <w:rPr>
          <w:rFonts w:hint="eastAsia" w:hAnsi="宋体"/>
          <w:bCs/>
          <w:color w:val="auto"/>
          <w:highlight w:val="none"/>
        </w:rPr>
        <w:t>。</w:t>
      </w:r>
    </w:p>
    <w:p w14:paraId="51015BD1">
      <w:pPr>
        <w:keepNext w:val="0"/>
        <w:keepLines w:val="0"/>
        <w:pageBreakBefore w:val="0"/>
        <w:widowControl w:val="0"/>
        <w:shd w:val="clear"/>
        <w:kinsoku/>
        <w:wordWrap/>
        <w:overflowPunct/>
        <w:topLinePunct w:val="0"/>
        <w:autoSpaceDE/>
        <w:autoSpaceDN/>
        <w:bidi w:val="0"/>
        <w:spacing w:line="360" w:lineRule="auto"/>
        <w:ind w:firstLine="420" w:firstLineChars="200"/>
        <w:textAlignment w:val="auto"/>
        <w:rPr>
          <w:rFonts w:hint="eastAsia" w:eastAsia="宋体"/>
          <w:color w:val="auto"/>
          <w:highlight w:val="none"/>
          <w:lang w:eastAsia="zh-CN"/>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中标之后，中标方应在</w:t>
      </w:r>
      <w:r>
        <w:rPr>
          <w:rFonts w:hint="eastAsia" w:ascii="宋体" w:hAnsi="宋体" w:cs="宋体"/>
          <w:color w:val="auto"/>
          <w:szCs w:val="21"/>
          <w:highlight w:val="none"/>
          <w:lang w:val="en-US" w:eastAsia="zh-CN"/>
        </w:rPr>
        <w:t>义乌</w:t>
      </w:r>
      <w:r>
        <w:rPr>
          <w:rFonts w:hint="eastAsia" w:ascii="宋体" w:hAnsi="宋体" w:cs="宋体"/>
          <w:color w:val="auto"/>
          <w:szCs w:val="21"/>
          <w:highlight w:val="none"/>
          <w:lang w:eastAsia="zh-CN"/>
        </w:rPr>
        <w:t>市范围内对污泥进行处置。</w:t>
      </w:r>
    </w:p>
    <w:p w14:paraId="4770DD6F">
      <w:pPr>
        <w:pStyle w:val="4"/>
        <w:keepNext/>
        <w:keepLines/>
        <w:pageBreakBefore w:val="0"/>
        <w:widowControl w:val="0"/>
        <w:numPr>
          <w:ilvl w:val="0"/>
          <w:numId w:val="0"/>
        </w:numPr>
        <w:shd w:val="clear"/>
        <w:kinsoku/>
        <w:wordWrap/>
        <w:overflowPunct/>
        <w:topLinePunct w:val="0"/>
        <w:autoSpaceDE/>
        <w:autoSpaceDN/>
        <w:bidi w:val="0"/>
        <w:adjustRightInd/>
        <w:snapToGrid/>
        <w:spacing w:before="340" w:after="330" w:line="240" w:lineRule="exact"/>
        <w:ind w:left="0" w:leftChars="0" w:right="0" w:rightChars="0"/>
        <w:jc w:val="center"/>
        <w:textAlignment w:val="auto"/>
        <w:rPr>
          <w:rFonts w:ascii="Times New Roman" w:hAnsi="Times New Roman" w:eastAsia="宋体" w:cs="Times New Roman"/>
          <w:b/>
          <w:bCs/>
          <w:color w:val="auto"/>
          <w:kern w:val="44"/>
          <w:sz w:val="36"/>
          <w:szCs w:val="44"/>
          <w:highlight w:val="none"/>
          <w:lang w:val="en-US" w:eastAsia="zh-CN" w:bidi="ar-SA"/>
        </w:rPr>
      </w:pPr>
      <w:r>
        <w:rPr>
          <w:rFonts w:hint="eastAsia" w:ascii="Times New Roman" w:hAnsi="Times New Roman" w:eastAsia="宋体" w:cs="Times New Roman"/>
          <w:b/>
          <w:bCs/>
          <w:color w:val="auto"/>
          <w:kern w:val="44"/>
          <w:sz w:val="36"/>
          <w:szCs w:val="44"/>
          <w:highlight w:val="none"/>
          <w:lang w:val="en-US" w:eastAsia="zh-CN" w:bidi="ar-SA"/>
        </w:rPr>
        <w:br w:type="page"/>
      </w:r>
      <w:bookmarkStart w:id="40" w:name="_Toc13889"/>
      <w:r>
        <w:rPr>
          <w:rFonts w:hint="eastAsia" w:ascii="Times New Roman" w:hAnsi="Times New Roman" w:eastAsia="宋体" w:cs="Times New Roman"/>
          <w:b/>
          <w:bCs/>
          <w:color w:val="auto"/>
          <w:kern w:val="44"/>
          <w:sz w:val="36"/>
          <w:szCs w:val="44"/>
          <w:highlight w:val="none"/>
          <w:lang w:val="en-US" w:eastAsia="zh-CN" w:bidi="ar-SA"/>
        </w:rPr>
        <w:t>第四章</w:t>
      </w:r>
      <w:r>
        <w:rPr>
          <w:rFonts w:ascii="Times New Roman" w:hAnsi="Times New Roman" w:eastAsia="宋体" w:cs="Times New Roman"/>
          <w:b/>
          <w:bCs/>
          <w:color w:val="auto"/>
          <w:kern w:val="44"/>
          <w:sz w:val="36"/>
          <w:szCs w:val="44"/>
          <w:highlight w:val="none"/>
          <w:lang w:val="en-US" w:eastAsia="zh-CN" w:bidi="ar-SA"/>
        </w:rPr>
        <w:t xml:space="preserve">  </w:t>
      </w:r>
      <w:r>
        <w:rPr>
          <w:rFonts w:hint="eastAsia" w:ascii="Times New Roman" w:hAnsi="Times New Roman" w:eastAsia="宋体" w:cs="Times New Roman"/>
          <w:b/>
          <w:bCs/>
          <w:color w:val="auto"/>
          <w:kern w:val="44"/>
          <w:sz w:val="36"/>
          <w:szCs w:val="44"/>
          <w:highlight w:val="none"/>
          <w:lang w:val="en-US" w:eastAsia="zh-CN" w:bidi="ar-SA"/>
        </w:rPr>
        <w:t>开标、评标和定标须知</w:t>
      </w:r>
      <w:bookmarkEnd w:id="37"/>
      <w:bookmarkEnd w:id="40"/>
    </w:p>
    <w:p w14:paraId="4C4A3291">
      <w:pPr>
        <w:pStyle w:val="5"/>
        <w:shd w:val="clear"/>
        <w:spacing w:before="0" w:after="0" w:line="460" w:lineRule="exact"/>
        <w:rPr>
          <w:rFonts w:ascii="宋体" w:hAnsi="宋体" w:eastAsia="宋体"/>
          <w:color w:val="auto"/>
          <w:sz w:val="21"/>
          <w:szCs w:val="21"/>
          <w:highlight w:val="none"/>
        </w:rPr>
      </w:pPr>
      <w:bookmarkStart w:id="41" w:name="_Toc406413937"/>
      <w:bookmarkStart w:id="42" w:name="_Toc2595"/>
      <w:bookmarkStart w:id="43" w:name="_Toc22509"/>
      <w:bookmarkStart w:id="44" w:name="_Toc20175"/>
      <w:bookmarkStart w:id="45" w:name="_Toc27000"/>
      <w:bookmarkStart w:id="46" w:name="_Toc362250705"/>
      <w:bookmarkStart w:id="47" w:name="_Toc263090375"/>
      <w:bookmarkStart w:id="48" w:name="_Toc274303253"/>
      <w:bookmarkStart w:id="49" w:name="_Toc261519847"/>
      <w:bookmarkStart w:id="50" w:name="_Toc226973002"/>
      <w:r>
        <w:rPr>
          <w:rFonts w:hint="eastAsia" w:ascii="宋体" w:hAnsi="宋体" w:eastAsia="宋体"/>
          <w:color w:val="auto"/>
          <w:sz w:val="21"/>
          <w:szCs w:val="21"/>
          <w:highlight w:val="none"/>
        </w:rPr>
        <w:t>一、开标</w:t>
      </w:r>
      <w:bookmarkEnd w:id="41"/>
      <w:bookmarkEnd w:id="42"/>
      <w:bookmarkEnd w:id="43"/>
    </w:p>
    <w:p w14:paraId="00F03560">
      <w:pPr>
        <w:shd w:val="clear"/>
        <w:spacing w:line="460" w:lineRule="exact"/>
        <w:ind w:firstLine="420" w:firstLineChars="200"/>
        <w:rPr>
          <w:rFonts w:ascii="宋体"/>
          <w:color w:val="auto"/>
          <w:highlight w:val="none"/>
        </w:rPr>
      </w:pPr>
      <w:r>
        <w:rPr>
          <w:rFonts w:ascii="宋体" w:hAnsi="宋体"/>
          <w:color w:val="auto"/>
          <w:highlight w:val="none"/>
        </w:rPr>
        <w:t>1.</w:t>
      </w:r>
      <w:r>
        <w:rPr>
          <w:rFonts w:hint="eastAsia" w:ascii="宋体" w:hAnsi="宋体"/>
          <w:color w:val="auto"/>
          <w:highlight w:val="none"/>
        </w:rPr>
        <w:t>本项目实行电子开评标，投标人无需前往开评标现场，应在规定时间内在“</w:t>
      </w:r>
      <w:r>
        <w:rPr>
          <w:rFonts w:hint="eastAsia" w:ascii="宋体" w:hAnsi="宋体"/>
          <w:color w:val="auto"/>
          <w:highlight w:val="none"/>
          <w:lang w:eastAsia="zh-CN"/>
        </w:rPr>
        <w:t>义乌市阳光招标采购平台</w:t>
      </w:r>
      <w:r>
        <w:rPr>
          <w:rFonts w:hint="eastAsia" w:ascii="宋体" w:hAnsi="宋体"/>
          <w:color w:val="auto"/>
          <w:highlight w:val="none"/>
        </w:rPr>
        <w:t>”上上传电子投标文件和准时在线参加开标。</w:t>
      </w:r>
    </w:p>
    <w:p w14:paraId="065C0575">
      <w:pPr>
        <w:shd w:val="clear"/>
        <w:spacing w:line="460" w:lineRule="exact"/>
        <w:ind w:firstLine="420" w:firstLineChars="200"/>
        <w:rPr>
          <w:rFonts w:ascii="宋体"/>
          <w:color w:val="auto"/>
          <w:highlight w:val="none"/>
        </w:rPr>
      </w:pPr>
      <w:r>
        <w:rPr>
          <w:rFonts w:ascii="宋体" w:hAnsi="宋体"/>
          <w:color w:val="auto"/>
          <w:highlight w:val="none"/>
        </w:rPr>
        <w:t>2</w:t>
      </w:r>
      <w:r>
        <w:rPr>
          <w:rFonts w:ascii="宋体"/>
          <w:color w:val="auto"/>
          <w:highlight w:val="none"/>
        </w:rPr>
        <w:t>.</w:t>
      </w:r>
      <w:r>
        <w:rPr>
          <w:rFonts w:hint="eastAsia" w:ascii="宋体" w:hAnsi="宋体"/>
          <w:color w:val="auto"/>
          <w:highlight w:val="none"/>
        </w:rPr>
        <w:t>电子开评标及评审程序</w:t>
      </w:r>
    </w:p>
    <w:p w14:paraId="544D2047">
      <w:pPr>
        <w:shd w:val="clear"/>
        <w:spacing w:line="460" w:lineRule="exact"/>
        <w:ind w:firstLine="420" w:firstLineChars="200"/>
        <w:rPr>
          <w:rFonts w:ascii="宋体"/>
          <w:color w:val="auto"/>
          <w:highlight w:val="none"/>
        </w:rPr>
      </w:pPr>
      <w:r>
        <w:rPr>
          <w:rFonts w:ascii="宋体" w:hAnsi="宋体"/>
          <w:color w:val="auto"/>
          <w:highlight w:val="none"/>
        </w:rPr>
        <w:t>2.1</w:t>
      </w:r>
      <w:r>
        <w:rPr>
          <w:rFonts w:hint="eastAsia" w:ascii="宋体" w:hAnsi="宋体"/>
          <w:color w:val="auto"/>
          <w:highlight w:val="none"/>
        </w:rPr>
        <w:t>采购代理机构开启解密后的30分钟内，由各投标人自行对电子投标文件进行解密请各投标人务必在规定时间内完成电子投标文件的解密工作，在电子开评标期间，投标人（授权代表）需确保在各自所在的区域具备上网的技术条件并保持网络及联系方式畅通；</w:t>
      </w:r>
      <w:r>
        <w:rPr>
          <w:rFonts w:ascii="宋体" w:hAnsi="宋体"/>
          <w:color w:val="auto"/>
          <w:highlight w:val="none"/>
        </w:rPr>
        <w:t xml:space="preserve"> </w:t>
      </w:r>
    </w:p>
    <w:p w14:paraId="2A79A690">
      <w:pPr>
        <w:shd w:val="clear"/>
        <w:spacing w:line="460" w:lineRule="exact"/>
        <w:ind w:firstLine="420" w:firstLineChars="200"/>
        <w:rPr>
          <w:rFonts w:ascii="宋体"/>
          <w:color w:val="auto"/>
          <w:highlight w:val="none"/>
        </w:rPr>
      </w:pPr>
      <w:r>
        <w:rPr>
          <w:rFonts w:ascii="宋体" w:hAnsi="宋体"/>
          <w:color w:val="auto"/>
          <w:highlight w:val="none"/>
        </w:rPr>
        <w:t>2.2</w:t>
      </w:r>
      <w:r>
        <w:rPr>
          <w:rFonts w:hint="eastAsia" w:ascii="宋体" w:hAnsi="宋体"/>
          <w:color w:val="auto"/>
          <w:highlight w:val="none"/>
        </w:rPr>
        <w:t>评标委员会对投标人的资格和商务技术响应文件进行评审；</w:t>
      </w:r>
    </w:p>
    <w:p w14:paraId="6DCE83DF">
      <w:pPr>
        <w:shd w:val="clear"/>
        <w:spacing w:line="460" w:lineRule="exact"/>
        <w:ind w:firstLine="420" w:firstLineChars="200"/>
        <w:rPr>
          <w:rFonts w:ascii="宋体"/>
          <w:color w:val="auto"/>
          <w:highlight w:val="none"/>
        </w:rPr>
      </w:pPr>
      <w:r>
        <w:rPr>
          <w:rFonts w:ascii="宋体" w:hAnsi="宋体"/>
          <w:color w:val="auto"/>
          <w:highlight w:val="none"/>
        </w:rPr>
        <w:t>2.3</w:t>
      </w:r>
      <w:r>
        <w:rPr>
          <w:rFonts w:hint="eastAsia" w:ascii="宋体" w:hAnsi="宋体"/>
          <w:color w:val="auto"/>
          <w:highlight w:val="none"/>
        </w:rPr>
        <w:t>评标委员会对报价响应文件进行评审；</w:t>
      </w:r>
    </w:p>
    <w:p w14:paraId="48A9E46B">
      <w:pPr>
        <w:shd w:val="clear"/>
        <w:spacing w:line="460" w:lineRule="exact"/>
        <w:ind w:firstLine="420" w:firstLineChars="200"/>
        <w:rPr>
          <w:rFonts w:ascii="宋体"/>
          <w:color w:val="auto"/>
          <w:highlight w:val="none"/>
        </w:rPr>
      </w:pPr>
      <w:r>
        <w:rPr>
          <w:rFonts w:ascii="宋体" w:hAnsi="宋体"/>
          <w:color w:val="auto"/>
          <w:highlight w:val="none"/>
        </w:rPr>
        <w:t>2.4</w:t>
      </w:r>
      <w:r>
        <w:rPr>
          <w:rFonts w:hint="eastAsia" w:ascii="宋体" w:hAnsi="宋体"/>
          <w:color w:val="auto"/>
          <w:highlight w:val="none"/>
        </w:rPr>
        <w:t>在系统上公布评审结果。</w:t>
      </w:r>
    </w:p>
    <w:p w14:paraId="02518307">
      <w:pPr>
        <w:shd w:val="clear"/>
        <w:spacing w:line="460" w:lineRule="exact"/>
        <w:ind w:firstLine="422" w:firstLineChars="200"/>
        <w:rPr>
          <w:b/>
          <w:color w:val="auto"/>
          <w:szCs w:val="21"/>
          <w:highlight w:val="none"/>
          <w:u w:val="single"/>
        </w:rPr>
      </w:pPr>
      <w:r>
        <w:rPr>
          <w:rFonts w:hint="eastAsia"/>
          <w:b/>
          <w:color w:val="auto"/>
          <w:szCs w:val="21"/>
          <w:highlight w:val="none"/>
          <w:u w:val="single"/>
        </w:rPr>
        <w:t>特别说明：“</w:t>
      </w:r>
      <w:r>
        <w:rPr>
          <w:rFonts w:hint="eastAsia"/>
          <w:b/>
          <w:color w:val="auto"/>
          <w:szCs w:val="21"/>
          <w:highlight w:val="none"/>
          <w:u w:val="single"/>
          <w:lang w:eastAsia="zh-CN"/>
        </w:rPr>
        <w:t>义乌市阳光招标采购平台</w:t>
      </w:r>
      <w:r>
        <w:rPr>
          <w:rFonts w:hint="eastAsia"/>
          <w:b/>
          <w:color w:val="auto"/>
          <w:szCs w:val="21"/>
          <w:highlight w:val="none"/>
          <w:u w:val="single"/>
        </w:rPr>
        <w:t>”如对开评标程序有调整的，按调整后的程序操作。</w:t>
      </w:r>
    </w:p>
    <w:p w14:paraId="3E46A6E4">
      <w:pPr>
        <w:pStyle w:val="5"/>
        <w:shd w:val="clear"/>
        <w:spacing w:before="120" w:after="120" w:line="460" w:lineRule="exact"/>
        <w:rPr>
          <w:rFonts w:ascii="宋体" w:hAnsi="宋体" w:eastAsia="宋体" w:cs="宋体"/>
          <w:color w:val="auto"/>
          <w:sz w:val="21"/>
          <w:szCs w:val="21"/>
          <w:highlight w:val="none"/>
        </w:rPr>
      </w:pPr>
      <w:bookmarkStart w:id="51" w:name="_Toc27215"/>
      <w:r>
        <w:rPr>
          <w:rFonts w:hint="eastAsia" w:ascii="宋体" w:hAnsi="宋体" w:eastAsia="宋体" w:cs="宋体"/>
          <w:color w:val="auto"/>
          <w:sz w:val="21"/>
          <w:szCs w:val="21"/>
          <w:highlight w:val="none"/>
        </w:rPr>
        <w:t>二、评标</w:t>
      </w:r>
      <w:bookmarkEnd w:id="44"/>
      <w:bookmarkEnd w:id="45"/>
      <w:bookmarkEnd w:id="46"/>
      <w:bookmarkEnd w:id="47"/>
      <w:bookmarkEnd w:id="48"/>
      <w:bookmarkEnd w:id="49"/>
      <w:bookmarkEnd w:id="50"/>
      <w:bookmarkEnd w:id="51"/>
    </w:p>
    <w:p w14:paraId="246BC489">
      <w:pPr>
        <w:shd w:val="clear"/>
        <w:spacing w:line="360" w:lineRule="auto"/>
        <w:ind w:firstLine="480"/>
        <w:rPr>
          <w:rFonts w:ascii="宋体" w:cs="宋体"/>
          <w:b/>
          <w:color w:val="auto"/>
          <w:kern w:val="0"/>
          <w:szCs w:val="21"/>
          <w:highlight w:val="none"/>
        </w:rPr>
      </w:pPr>
      <w:r>
        <w:rPr>
          <w:rFonts w:ascii="宋体" w:hAnsi="宋体" w:cs="宋体"/>
          <w:b/>
          <w:color w:val="auto"/>
          <w:kern w:val="0"/>
          <w:szCs w:val="21"/>
          <w:highlight w:val="none"/>
        </w:rPr>
        <w:t>3</w:t>
      </w:r>
      <w:r>
        <w:rPr>
          <w:rFonts w:hint="eastAsia" w:ascii="宋体" w:hAnsi="宋体" w:cs="宋体"/>
          <w:b/>
          <w:color w:val="auto"/>
          <w:kern w:val="0"/>
          <w:szCs w:val="21"/>
          <w:highlight w:val="none"/>
          <w:lang w:eastAsia="zh-CN"/>
        </w:rPr>
        <w:t>.</w:t>
      </w:r>
      <w:r>
        <w:rPr>
          <w:rFonts w:hint="eastAsia" w:ascii="宋体" w:hAnsi="宋体" w:cs="宋体"/>
          <w:b/>
          <w:color w:val="auto"/>
          <w:kern w:val="0"/>
          <w:szCs w:val="21"/>
          <w:highlight w:val="none"/>
        </w:rPr>
        <w:t>评标小组</w:t>
      </w:r>
    </w:p>
    <w:p w14:paraId="4287062D">
      <w:pPr>
        <w:shd w:val="clear"/>
        <w:spacing w:line="360" w:lineRule="auto"/>
        <w:ind w:firstLine="420" w:firstLineChars="200"/>
        <w:rPr>
          <w:rFonts w:ascii="宋体" w:cs="宋体"/>
          <w:color w:val="auto"/>
          <w:szCs w:val="21"/>
          <w:highlight w:val="none"/>
        </w:rPr>
      </w:pPr>
      <w:r>
        <w:rPr>
          <w:rFonts w:ascii="宋体" w:hAnsi="宋体" w:cs="宋体"/>
          <w:color w:val="auto"/>
          <w:szCs w:val="21"/>
          <w:highlight w:val="none"/>
        </w:rPr>
        <w:t xml:space="preserve">3.1 </w:t>
      </w:r>
      <w:r>
        <w:rPr>
          <w:rFonts w:hint="eastAsia" w:ascii="宋体" w:hAnsi="宋体" w:cs="宋体"/>
          <w:color w:val="auto"/>
          <w:szCs w:val="21"/>
          <w:highlight w:val="none"/>
        </w:rPr>
        <w:t>评标小组将根据招标采购项目的特点确定。其成员由专家和采购人代表</w:t>
      </w:r>
      <w:r>
        <w:rPr>
          <w:rFonts w:ascii="宋体" w:hAnsi="宋体" w:cs="宋体"/>
          <w:color w:val="auto"/>
          <w:szCs w:val="21"/>
          <w:highlight w:val="none"/>
        </w:rPr>
        <w:t>5</w:t>
      </w:r>
      <w:r>
        <w:rPr>
          <w:rFonts w:hint="eastAsia" w:ascii="宋体" w:hAnsi="宋体" w:cs="宋体"/>
          <w:color w:val="auto"/>
          <w:szCs w:val="21"/>
          <w:highlight w:val="none"/>
        </w:rPr>
        <w:t>人及以上单数组成。评标小组对投标文件进行审查、质疑、评估和比较。</w:t>
      </w:r>
    </w:p>
    <w:p w14:paraId="194A9794">
      <w:pPr>
        <w:shd w:val="clear"/>
        <w:spacing w:line="440" w:lineRule="exact"/>
        <w:rPr>
          <w:rFonts w:hint="eastAsia" w:hAnsi="宋体"/>
          <w:color w:val="auto"/>
          <w:highlight w:val="none"/>
        </w:rPr>
      </w:pPr>
      <w:r>
        <w:rPr>
          <w:rFonts w:hint="eastAsia" w:hAnsi="宋体"/>
          <w:color w:val="auto"/>
          <w:highlight w:val="none"/>
        </w:rPr>
        <w:t xml:space="preserve">    </w:t>
      </w:r>
      <w:r>
        <w:rPr>
          <w:rFonts w:hint="eastAsia" w:ascii="宋体" w:hAnsi="宋体" w:cs="宋体"/>
          <w:color w:val="auto"/>
          <w:highlight w:val="none"/>
        </w:rPr>
        <w:t xml:space="preserve">3.2 </w:t>
      </w:r>
      <w:r>
        <w:rPr>
          <w:rFonts w:hint="eastAsia" w:hAnsi="宋体"/>
          <w:color w:val="auto"/>
          <w:highlight w:val="none"/>
        </w:rPr>
        <w:t>评审过程中招标代理人员通过“</w:t>
      </w:r>
      <w:r>
        <w:rPr>
          <w:rFonts w:hint="eastAsia" w:hAnsi="宋体"/>
          <w:color w:val="auto"/>
          <w:highlight w:val="none"/>
          <w:lang w:eastAsia="zh-CN"/>
        </w:rPr>
        <w:t>义乌市阳光招标采购平台</w:t>
      </w:r>
      <w:r>
        <w:rPr>
          <w:rFonts w:hint="eastAsia" w:hAnsi="宋体"/>
          <w:color w:val="auto"/>
          <w:highlight w:val="none"/>
        </w:rPr>
        <w:t>”在线询标方式进行询标的，投标单位应在</w:t>
      </w:r>
      <w:r>
        <w:rPr>
          <w:rFonts w:hint="eastAsia" w:ascii="宋体" w:hAnsi="宋体" w:cs="宋体"/>
          <w:color w:val="auto"/>
          <w:highlight w:val="none"/>
        </w:rPr>
        <w:t>30分</w:t>
      </w:r>
      <w:r>
        <w:rPr>
          <w:rFonts w:hint="eastAsia" w:hAnsi="宋体"/>
          <w:color w:val="auto"/>
          <w:highlight w:val="none"/>
        </w:rPr>
        <w:t>钟内予以回应，否则后果自负。</w:t>
      </w:r>
    </w:p>
    <w:p w14:paraId="5F1F05A9">
      <w:pPr>
        <w:shd w:val="clear"/>
        <w:spacing w:line="360" w:lineRule="auto"/>
        <w:ind w:firstLine="422" w:firstLineChars="200"/>
        <w:rPr>
          <w:rFonts w:ascii="宋体" w:cs="宋体"/>
          <w:b/>
          <w:color w:val="auto"/>
          <w:szCs w:val="21"/>
          <w:highlight w:val="none"/>
        </w:rPr>
      </w:pPr>
      <w:r>
        <w:rPr>
          <w:rFonts w:ascii="宋体" w:hAnsi="宋体" w:cs="宋体"/>
          <w:b/>
          <w:color w:val="auto"/>
          <w:szCs w:val="21"/>
          <w:highlight w:val="none"/>
        </w:rPr>
        <w:t>4</w:t>
      </w:r>
      <w:r>
        <w:rPr>
          <w:rFonts w:hint="eastAsia" w:ascii="宋体" w:hAnsi="宋体" w:cs="宋体"/>
          <w:b/>
          <w:color w:val="auto"/>
          <w:szCs w:val="21"/>
          <w:highlight w:val="none"/>
          <w:lang w:eastAsia="zh-CN"/>
        </w:rPr>
        <w:t>.</w:t>
      </w:r>
      <w:r>
        <w:rPr>
          <w:rFonts w:hint="eastAsia" w:ascii="宋体" w:hAnsi="宋体" w:cs="宋体"/>
          <w:b/>
          <w:color w:val="auto"/>
          <w:szCs w:val="21"/>
          <w:highlight w:val="none"/>
        </w:rPr>
        <w:t>评标原则</w:t>
      </w:r>
    </w:p>
    <w:p w14:paraId="55CFB921">
      <w:pPr>
        <w:shd w:val="clear"/>
        <w:spacing w:line="360" w:lineRule="auto"/>
        <w:ind w:firstLine="420" w:firstLineChars="200"/>
        <w:rPr>
          <w:rFonts w:ascii="宋体" w:cs="宋体"/>
          <w:color w:val="auto"/>
          <w:sz w:val="24"/>
          <w:highlight w:val="none"/>
        </w:rPr>
      </w:pPr>
      <w:r>
        <w:rPr>
          <w:rFonts w:ascii="宋体" w:hAnsi="宋体" w:cs="宋体"/>
          <w:color w:val="auto"/>
          <w:szCs w:val="21"/>
          <w:highlight w:val="none"/>
        </w:rPr>
        <w:t>4.1</w:t>
      </w:r>
      <w:r>
        <w:rPr>
          <w:rFonts w:hint="eastAsia" w:ascii="宋体" w:hAnsi="宋体" w:cs="宋体"/>
          <w:color w:val="auto"/>
          <w:szCs w:val="21"/>
          <w:highlight w:val="none"/>
        </w:rPr>
        <w:t>评标小组将遵循公开、公平、公正的原则，严格遵守评标工作纪律。</w:t>
      </w:r>
    </w:p>
    <w:p w14:paraId="4A425D5C">
      <w:pPr>
        <w:shd w:val="clear"/>
        <w:spacing w:line="360" w:lineRule="auto"/>
        <w:ind w:firstLine="420" w:firstLineChars="200"/>
        <w:rPr>
          <w:rFonts w:ascii="宋体" w:cs="宋体"/>
          <w:bCs/>
          <w:color w:val="auto"/>
          <w:szCs w:val="21"/>
          <w:highlight w:val="none"/>
        </w:rPr>
      </w:pPr>
      <w:r>
        <w:rPr>
          <w:rFonts w:ascii="宋体" w:hAnsi="宋体" w:cs="宋体"/>
          <w:color w:val="auto"/>
          <w:szCs w:val="21"/>
          <w:highlight w:val="none"/>
        </w:rPr>
        <w:t>4.2</w:t>
      </w:r>
      <w:r>
        <w:rPr>
          <w:rFonts w:hint="eastAsia" w:ascii="宋体" w:hAnsi="宋体" w:cs="宋体"/>
          <w:bCs/>
          <w:color w:val="auto"/>
          <w:szCs w:val="21"/>
          <w:highlight w:val="none"/>
        </w:rPr>
        <w:t>先评资格及商务技术响应文件，再评报价响应文件。</w:t>
      </w:r>
    </w:p>
    <w:p w14:paraId="383F3F10">
      <w:pPr>
        <w:shd w:val="clear"/>
        <w:spacing w:line="360" w:lineRule="auto"/>
        <w:ind w:firstLine="420" w:firstLineChars="200"/>
        <w:rPr>
          <w:rFonts w:ascii="宋体" w:cs="宋体"/>
          <w:color w:val="auto"/>
          <w:szCs w:val="21"/>
          <w:highlight w:val="none"/>
        </w:rPr>
      </w:pPr>
      <w:r>
        <w:rPr>
          <w:rFonts w:ascii="宋体" w:hAnsi="宋体" w:cs="宋体"/>
          <w:bCs/>
          <w:color w:val="auto"/>
          <w:szCs w:val="21"/>
          <w:highlight w:val="none"/>
        </w:rPr>
        <w:t>4.3</w:t>
      </w:r>
      <w:r>
        <w:rPr>
          <w:rFonts w:hint="eastAsia" w:ascii="宋体" w:hAnsi="宋体" w:cs="宋体"/>
          <w:color w:val="auto"/>
          <w:szCs w:val="21"/>
          <w:highlight w:val="none"/>
        </w:rPr>
        <w:t>客观公正对待所有投标人，对所有投标评审均采用相同的程序和标准。评标的依据为招标文件和投标文件。</w:t>
      </w:r>
    </w:p>
    <w:p w14:paraId="0AD646FE">
      <w:pPr>
        <w:shd w:val="clear"/>
        <w:spacing w:line="360" w:lineRule="auto"/>
        <w:ind w:firstLine="420" w:firstLineChars="200"/>
        <w:rPr>
          <w:rFonts w:ascii="宋体" w:cs="宋体"/>
          <w:color w:val="auto"/>
          <w:szCs w:val="21"/>
          <w:highlight w:val="none"/>
        </w:rPr>
      </w:pPr>
      <w:r>
        <w:rPr>
          <w:rFonts w:ascii="宋体" w:hAnsi="宋体" w:cs="宋体"/>
          <w:color w:val="auto"/>
          <w:szCs w:val="21"/>
          <w:highlight w:val="none"/>
        </w:rPr>
        <w:t>4.4</w:t>
      </w:r>
      <w:r>
        <w:rPr>
          <w:rFonts w:hint="eastAsia" w:ascii="宋体" w:hAnsi="宋体" w:cs="宋体"/>
          <w:color w:val="auto"/>
          <w:szCs w:val="21"/>
          <w:highlight w:val="none"/>
        </w:rPr>
        <w:t>有利于提高投资效益，节约建设资金。</w:t>
      </w:r>
    </w:p>
    <w:p w14:paraId="073C3BC2">
      <w:pPr>
        <w:shd w:val="clear"/>
        <w:spacing w:line="360" w:lineRule="auto"/>
        <w:ind w:firstLine="420" w:firstLineChars="200"/>
        <w:rPr>
          <w:rFonts w:ascii="宋体" w:cs="宋体"/>
          <w:color w:val="auto"/>
          <w:szCs w:val="21"/>
          <w:highlight w:val="none"/>
        </w:rPr>
      </w:pPr>
      <w:r>
        <w:rPr>
          <w:rFonts w:ascii="宋体" w:hAnsi="宋体" w:cs="宋体"/>
          <w:color w:val="auto"/>
          <w:szCs w:val="21"/>
          <w:highlight w:val="none"/>
        </w:rPr>
        <w:t>4.5</w:t>
      </w:r>
      <w:r>
        <w:rPr>
          <w:rFonts w:hint="eastAsia" w:ascii="宋体" w:hAnsi="宋体" w:cs="宋体"/>
          <w:color w:val="auto"/>
          <w:szCs w:val="21"/>
          <w:highlight w:val="none"/>
        </w:rPr>
        <w:t>在评标过程中，出现异常或特殊情况时，由评标小组集体讨论决定。</w:t>
      </w:r>
    </w:p>
    <w:p w14:paraId="6479DAC8">
      <w:pPr>
        <w:pStyle w:val="18"/>
        <w:shd w:val="clear"/>
        <w:spacing w:line="360" w:lineRule="auto"/>
        <w:ind w:firstLine="422" w:firstLineChars="200"/>
        <w:rPr>
          <w:rFonts w:hAnsi="宋体" w:cs="宋体"/>
          <w:color w:val="auto"/>
          <w:highlight w:val="none"/>
        </w:rPr>
      </w:pPr>
      <w:r>
        <w:rPr>
          <w:rFonts w:hAnsi="宋体" w:cs="宋体"/>
          <w:b/>
          <w:color w:val="auto"/>
          <w:highlight w:val="none"/>
        </w:rPr>
        <w:t>5</w:t>
      </w:r>
      <w:r>
        <w:rPr>
          <w:rFonts w:hint="eastAsia" w:hAnsi="宋体" w:cs="宋体"/>
          <w:b/>
          <w:color w:val="auto"/>
          <w:highlight w:val="none"/>
          <w:lang w:eastAsia="zh-CN"/>
        </w:rPr>
        <w:t>.</w:t>
      </w:r>
      <w:r>
        <w:rPr>
          <w:rFonts w:hint="eastAsia" w:hAnsi="宋体" w:cs="宋体"/>
          <w:b/>
          <w:color w:val="auto"/>
          <w:highlight w:val="none"/>
        </w:rPr>
        <w:t>评标过程的保密</w:t>
      </w:r>
    </w:p>
    <w:p w14:paraId="16EB4076">
      <w:pPr>
        <w:shd w:val="clear"/>
        <w:adjustRightInd w:val="0"/>
        <w:snapToGrid w:val="0"/>
        <w:spacing w:line="360" w:lineRule="auto"/>
        <w:ind w:firstLine="420" w:firstLineChars="200"/>
        <w:rPr>
          <w:rFonts w:ascii="宋体" w:cs="宋体"/>
          <w:color w:val="auto"/>
          <w:szCs w:val="21"/>
          <w:highlight w:val="none"/>
        </w:rPr>
      </w:pPr>
      <w:r>
        <w:rPr>
          <w:rFonts w:ascii="宋体" w:hAnsi="宋体" w:cs="宋体"/>
          <w:color w:val="auto"/>
          <w:szCs w:val="21"/>
          <w:highlight w:val="none"/>
        </w:rPr>
        <w:t>5.1</w:t>
      </w:r>
      <w:r>
        <w:rPr>
          <w:rFonts w:hint="eastAsia" w:ascii="宋体" w:hAnsi="宋体" w:cs="宋体"/>
          <w:color w:val="auto"/>
          <w:szCs w:val="21"/>
          <w:highlight w:val="none"/>
        </w:rPr>
        <w:t>开标后，直至授予中标人合同为止，凡属于对投标文件的审查、澄清、评价和比较等有关的资料以及中标候选人的推荐情况等与评标有关的任何情况均严格保密。</w:t>
      </w:r>
    </w:p>
    <w:p w14:paraId="1AEE9F81">
      <w:pPr>
        <w:shd w:val="clear"/>
        <w:adjustRightInd w:val="0"/>
        <w:snapToGrid w:val="0"/>
        <w:spacing w:line="360" w:lineRule="auto"/>
        <w:ind w:firstLine="420" w:firstLineChars="200"/>
        <w:rPr>
          <w:rFonts w:ascii="宋体" w:cs="宋体"/>
          <w:color w:val="auto"/>
          <w:szCs w:val="21"/>
          <w:highlight w:val="none"/>
        </w:rPr>
      </w:pPr>
      <w:r>
        <w:rPr>
          <w:rFonts w:ascii="宋体" w:hAnsi="宋体" w:cs="宋体"/>
          <w:color w:val="auto"/>
          <w:szCs w:val="21"/>
          <w:highlight w:val="none"/>
        </w:rPr>
        <w:t>5.2</w:t>
      </w:r>
      <w:r>
        <w:rPr>
          <w:rFonts w:hint="eastAsia" w:ascii="宋体" w:hAnsi="宋体" w:cs="宋体"/>
          <w:color w:val="auto"/>
          <w:szCs w:val="21"/>
          <w:highlight w:val="none"/>
        </w:rPr>
        <w:t>在投标文件的评审和比较、中标候选人推荐以及授予合同的过程中，投标人向采购人和评标小组施加影响的任何行为，都将会导致其投标被拒绝。</w:t>
      </w:r>
    </w:p>
    <w:p w14:paraId="7864220F">
      <w:pPr>
        <w:pStyle w:val="18"/>
        <w:shd w:val="clear"/>
        <w:spacing w:line="360" w:lineRule="auto"/>
        <w:ind w:firstLine="420" w:firstLineChars="200"/>
        <w:rPr>
          <w:rFonts w:hAnsi="宋体" w:cs="宋体"/>
          <w:color w:val="auto"/>
          <w:highlight w:val="none"/>
        </w:rPr>
      </w:pPr>
      <w:r>
        <w:rPr>
          <w:rFonts w:hAnsi="宋体" w:cs="宋体"/>
          <w:color w:val="auto"/>
          <w:highlight w:val="none"/>
        </w:rPr>
        <w:t>5.3</w:t>
      </w:r>
      <w:r>
        <w:rPr>
          <w:rFonts w:hint="eastAsia" w:hAnsi="宋体" w:cs="宋体"/>
          <w:color w:val="auto"/>
          <w:highlight w:val="none"/>
        </w:rPr>
        <w:t>中标人确认后，采购人不对未中标人就评标过程以及未能中标原因作出任何解释。未中标人不得向评标小组人员或其他有关人员索问评标过程的全部情况。</w:t>
      </w:r>
    </w:p>
    <w:p w14:paraId="4F4E9AF0">
      <w:pPr>
        <w:shd w:val="clear"/>
        <w:spacing w:line="360" w:lineRule="auto"/>
        <w:ind w:firstLine="420" w:firstLineChars="200"/>
        <w:rPr>
          <w:rFonts w:hint="eastAsia" w:ascii="宋体" w:hAnsi="宋体" w:cs="宋体"/>
          <w:color w:val="auto"/>
          <w:spacing w:val="-4"/>
          <w:szCs w:val="21"/>
          <w:highlight w:val="none"/>
        </w:rPr>
      </w:pPr>
      <w:r>
        <w:rPr>
          <w:rFonts w:ascii="宋体" w:hAnsi="宋体" w:cs="宋体"/>
          <w:color w:val="auto"/>
          <w:szCs w:val="21"/>
          <w:highlight w:val="none"/>
        </w:rPr>
        <w:t>5.4</w:t>
      </w:r>
      <w:r>
        <w:rPr>
          <w:rFonts w:hint="eastAsia" w:ascii="宋体" w:hAnsi="宋体" w:cs="宋体"/>
          <w:color w:val="auto"/>
          <w:spacing w:val="-4"/>
          <w:szCs w:val="21"/>
          <w:highlight w:val="none"/>
        </w:rPr>
        <w:t>为保证定标的公正性，在评标过程中，评标成员不得与投标人私人交换意见。在招标工作结束后，凡与评标情况有接触的任何人不得也不应将评标情况扩散出评标成员之外。</w:t>
      </w:r>
    </w:p>
    <w:p w14:paraId="0BB36299">
      <w:pPr>
        <w:shd w:val="clear"/>
        <w:spacing w:line="460" w:lineRule="exact"/>
        <w:ind w:firstLine="406" w:firstLineChars="200"/>
        <w:rPr>
          <w:rFonts w:ascii="宋体"/>
          <w:color w:val="auto"/>
          <w:spacing w:val="-4"/>
          <w:highlight w:val="none"/>
        </w:rPr>
      </w:pPr>
      <w:r>
        <w:rPr>
          <w:rFonts w:ascii="宋体" w:hAnsi="宋体"/>
          <w:b/>
          <w:bCs/>
          <w:color w:val="auto"/>
          <w:spacing w:val="-4"/>
          <w:highlight w:val="none"/>
        </w:rPr>
        <w:t>6</w:t>
      </w:r>
      <w:r>
        <w:rPr>
          <w:rFonts w:hint="eastAsia" w:ascii="宋体" w:hAnsi="宋体"/>
          <w:b/>
          <w:bCs/>
          <w:color w:val="auto"/>
          <w:spacing w:val="-4"/>
          <w:highlight w:val="none"/>
          <w:lang w:eastAsia="zh-CN"/>
        </w:rPr>
        <w:t>.</w:t>
      </w:r>
      <w:r>
        <w:rPr>
          <w:rFonts w:hint="eastAsia" w:ascii="宋体" w:hAnsi="宋体"/>
          <w:b/>
          <w:bCs/>
          <w:color w:val="auto"/>
          <w:spacing w:val="-4"/>
          <w:highlight w:val="none"/>
        </w:rPr>
        <w:t>投标文件中内容不一致的处理</w:t>
      </w:r>
    </w:p>
    <w:p w14:paraId="264843E2">
      <w:pPr>
        <w:shd w:val="clear"/>
        <w:spacing w:line="460" w:lineRule="exact"/>
        <w:ind w:firstLine="404" w:firstLineChars="200"/>
        <w:rPr>
          <w:rFonts w:hint="eastAsia" w:ascii="宋体" w:hAnsi="宋体"/>
          <w:color w:val="auto"/>
          <w:spacing w:val="-4"/>
          <w:highlight w:val="none"/>
        </w:rPr>
      </w:pPr>
      <w:r>
        <w:rPr>
          <w:rFonts w:hint="eastAsia" w:ascii="宋体" w:hAnsi="宋体"/>
          <w:color w:val="auto"/>
          <w:spacing w:val="-4"/>
          <w:highlight w:val="none"/>
        </w:rPr>
        <w:t>同一份投标文件中，彩页、官网下载资料、检测报告等证明性资料中描写的技术性能指标与投标文件中其它地方内容描述不一致的，应以上述证明性资料为准；规范偏离表等偏离表的内容与投标文件中其它地方内容有描述不一致的，应以投标文件中其它地方内容的描述为准。</w:t>
      </w:r>
    </w:p>
    <w:p w14:paraId="29B7EB56">
      <w:pPr>
        <w:shd w:val="clear"/>
        <w:spacing w:line="460" w:lineRule="exact"/>
        <w:ind w:firstLine="406" w:firstLineChars="200"/>
        <w:rPr>
          <w:rFonts w:ascii="宋体" w:cs="宋体"/>
          <w:b/>
          <w:color w:val="auto"/>
          <w:szCs w:val="21"/>
          <w:highlight w:val="none"/>
        </w:rPr>
      </w:pPr>
      <w:r>
        <w:rPr>
          <w:rFonts w:hint="eastAsia" w:ascii="宋体" w:hAnsi="宋体"/>
          <w:b/>
          <w:bCs/>
          <w:color w:val="auto"/>
          <w:spacing w:val="-4"/>
          <w:highlight w:val="none"/>
        </w:rPr>
        <w:t>7</w:t>
      </w:r>
      <w:r>
        <w:rPr>
          <w:rFonts w:hint="eastAsia" w:ascii="宋体" w:hAnsi="宋体"/>
          <w:b/>
          <w:bCs/>
          <w:color w:val="auto"/>
          <w:spacing w:val="-4"/>
          <w:highlight w:val="none"/>
          <w:lang w:eastAsia="zh-CN"/>
        </w:rPr>
        <w:t>.</w:t>
      </w:r>
      <w:r>
        <w:rPr>
          <w:rFonts w:hint="eastAsia" w:ascii="宋体" w:hAnsi="宋体" w:cs="宋体"/>
          <w:b/>
          <w:bCs/>
          <w:color w:val="auto"/>
          <w:szCs w:val="21"/>
          <w:highlight w:val="none"/>
        </w:rPr>
        <w:t>供应商的认定</w:t>
      </w:r>
    </w:p>
    <w:p w14:paraId="754E67AD">
      <w:pPr>
        <w:shd w:val="clear"/>
        <w:tabs>
          <w:tab w:val="left" w:pos="362"/>
        </w:tabs>
        <w:spacing w:line="460" w:lineRule="exact"/>
        <w:ind w:firstLine="420" w:firstLineChars="200"/>
        <w:rPr>
          <w:rFonts w:hint="eastAsia" w:ascii="宋体" w:hAnsi="宋体" w:cs="宋体"/>
          <w:bCs/>
          <w:color w:val="auto"/>
          <w:highlight w:val="none"/>
        </w:rPr>
      </w:pPr>
      <w:r>
        <w:rPr>
          <w:rFonts w:hint="eastAsia" w:ascii="宋体" w:hAnsi="宋体" w:cs="宋体"/>
          <w:bCs/>
          <w:color w:val="auto"/>
          <w:highlight w:val="none"/>
        </w:rPr>
        <w:t>单位负责人为同一人或者存在直接控股、管理关系的不同供应商，不得参加同一合同项下的采购活动。</w:t>
      </w:r>
    </w:p>
    <w:p w14:paraId="1C38915C">
      <w:pPr>
        <w:shd w:val="clear"/>
        <w:tabs>
          <w:tab w:val="left" w:pos="362"/>
        </w:tabs>
        <w:spacing w:line="46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8</w:t>
      </w:r>
      <w:r>
        <w:rPr>
          <w:rFonts w:hint="eastAsia" w:ascii="宋体" w:hAnsi="宋体" w:cs="宋体"/>
          <w:b/>
          <w:color w:val="auto"/>
          <w:szCs w:val="21"/>
          <w:highlight w:val="none"/>
          <w:lang w:eastAsia="zh-CN"/>
        </w:rPr>
        <w:t>.</w:t>
      </w:r>
      <w:r>
        <w:rPr>
          <w:rFonts w:hint="eastAsia" w:ascii="宋体" w:hAnsi="宋体" w:cs="宋体"/>
          <w:b/>
          <w:color w:val="auto"/>
          <w:szCs w:val="21"/>
          <w:highlight w:val="none"/>
        </w:rPr>
        <w:t>投标文件的澄清</w:t>
      </w:r>
    </w:p>
    <w:p w14:paraId="0FAFC303">
      <w:pPr>
        <w:shd w:val="clear"/>
        <w:spacing w:line="4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8</w:t>
      </w:r>
      <w:r>
        <w:rPr>
          <w:rFonts w:ascii="宋体" w:hAnsi="宋体"/>
          <w:color w:val="auto"/>
          <w:szCs w:val="21"/>
          <w:highlight w:val="none"/>
        </w:rPr>
        <w:t>.1</w:t>
      </w:r>
      <w:r>
        <w:rPr>
          <w:rFonts w:hint="eastAsia" w:ascii="宋体" w:hAnsi="宋体"/>
          <w:color w:val="auto"/>
          <w:szCs w:val="21"/>
          <w:highlight w:val="none"/>
        </w:rPr>
        <w:t>为有助于投标文件的审查、评价和比较，评标委员会应当在“</w:t>
      </w:r>
      <w:r>
        <w:rPr>
          <w:rFonts w:hint="eastAsia" w:ascii="宋体" w:hAnsi="宋体"/>
          <w:color w:val="auto"/>
          <w:szCs w:val="21"/>
          <w:highlight w:val="none"/>
          <w:lang w:eastAsia="zh-CN"/>
        </w:rPr>
        <w:t>义乌市阳光招标采购平台</w:t>
      </w:r>
      <w:r>
        <w:rPr>
          <w:rFonts w:hint="eastAsia" w:ascii="宋体" w:hAnsi="宋体"/>
          <w:color w:val="auto"/>
          <w:szCs w:val="21"/>
          <w:highlight w:val="none"/>
        </w:rPr>
        <w:t>”在线询标或采用其他有效形式要求投标人对同一份投标文件含义不明确、同类问题表述不一致或者有明显文字和计算错误的内容（招标文件其它地方有另有规定处理方法的除外）作必要的澄清或说明，投标人应采用在线回复或其他有效形式在询标规定时间内进行澄清或说明（需盖电子签章或实体公章），但不得超出投标文件的范围或改变投标文件的实质性内容。根据本须知第10条规定，凡属于评标小组在评标中发现的计算错误并进行核实的修改不在此列。</w:t>
      </w:r>
    </w:p>
    <w:p w14:paraId="4C165AD8">
      <w:pPr>
        <w:shd w:val="clear"/>
        <w:tabs>
          <w:tab w:val="left" w:pos="362"/>
        </w:tabs>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8.2如果投标人代表拒绝按评标委员会要求在“</w:t>
      </w:r>
      <w:r>
        <w:rPr>
          <w:rFonts w:hint="eastAsia" w:ascii="宋体" w:hAnsi="宋体" w:cs="宋体"/>
          <w:color w:val="auto"/>
          <w:szCs w:val="21"/>
          <w:highlight w:val="none"/>
          <w:lang w:eastAsia="zh-CN"/>
        </w:rPr>
        <w:t>义乌市阳光招标采购平台</w:t>
      </w:r>
      <w:r>
        <w:rPr>
          <w:rFonts w:hint="eastAsia" w:ascii="宋体" w:hAnsi="宋体" w:cs="宋体"/>
          <w:color w:val="auto"/>
          <w:szCs w:val="21"/>
          <w:highlight w:val="none"/>
        </w:rPr>
        <w:t>”作出在线回复且无其他有效回复方式的，评标委员会可以对其作出无效标处理。</w:t>
      </w:r>
    </w:p>
    <w:p w14:paraId="1FF7F824">
      <w:pPr>
        <w:shd w:val="clear"/>
        <w:tabs>
          <w:tab w:val="left" w:pos="362"/>
        </w:tabs>
        <w:spacing w:line="46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9.</w:t>
      </w:r>
      <w:r>
        <w:rPr>
          <w:rFonts w:hint="eastAsia" w:ascii="宋体" w:hAnsi="宋体" w:eastAsia="宋体" w:cs="宋体"/>
          <w:b/>
          <w:color w:val="auto"/>
          <w:szCs w:val="21"/>
          <w:highlight w:val="none"/>
        </w:rPr>
        <w:t>投标文件的初步评审</w:t>
      </w:r>
    </w:p>
    <w:p w14:paraId="2682411E">
      <w:pPr>
        <w:shd w:val="clear"/>
        <w:tabs>
          <w:tab w:val="left" w:pos="362"/>
        </w:tabs>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w:t>
      </w:r>
      <w:r>
        <w:rPr>
          <w:rFonts w:ascii="宋体" w:hAnsi="宋体" w:cs="宋体"/>
          <w:color w:val="auto"/>
          <w:szCs w:val="21"/>
          <w:highlight w:val="none"/>
        </w:rPr>
        <w:t>.1</w:t>
      </w:r>
      <w:r>
        <w:rPr>
          <w:rFonts w:hint="eastAsia" w:ascii="宋体" w:hAnsi="宋体" w:cs="宋体"/>
          <w:color w:val="auto"/>
          <w:szCs w:val="21"/>
          <w:highlight w:val="none"/>
        </w:rPr>
        <w:t>开标后，采购人应将投标文件提交评标小组进行初步评审，初步评审内容为：</w:t>
      </w:r>
    </w:p>
    <w:p w14:paraId="773568D8">
      <w:pPr>
        <w:shd w:val="clear"/>
        <w:tabs>
          <w:tab w:val="left" w:pos="362"/>
        </w:tabs>
        <w:spacing w:line="460" w:lineRule="exact"/>
        <w:ind w:firstLine="420" w:firstLineChars="200"/>
        <w:rPr>
          <w:rFonts w:ascii="宋体" w:cs="宋体"/>
          <w:color w:val="auto"/>
          <w:szCs w:val="21"/>
          <w:highlight w:val="none"/>
        </w:rPr>
      </w:pPr>
      <w:r>
        <w:rPr>
          <w:rFonts w:hint="eastAsia" w:ascii="宋体" w:hAnsi="宋体" w:cs="宋体"/>
          <w:color w:val="auto"/>
          <w:szCs w:val="21"/>
          <w:highlight w:val="none"/>
        </w:rPr>
        <w:t>9</w:t>
      </w:r>
      <w:r>
        <w:rPr>
          <w:rFonts w:ascii="宋体" w:hAnsi="宋体" w:cs="宋体"/>
          <w:color w:val="auto"/>
          <w:szCs w:val="21"/>
          <w:highlight w:val="none"/>
        </w:rPr>
        <w:t>.1.1</w:t>
      </w:r>
      <w:r>
        <w:rPr>
          <w:rFonts w:hint="eastAsia" w:ascii="宋体" w:hAnsi="宋体" w:cs="宋体"/>
          <w:color w:val="auto"/>
          <w:szCs w:val="21"/>
          <w:highlight w:val="none"/>
        </w:rPr>
        <w:t>是否出现第五章规定的内容；</w:t>
      </w:r>
    </w:p>
    <w:p w14:paraId="7D2D2A46">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违反上述情形之一者，技术文件或商务文件初步评审不予通过，不列入商务标详细评审。</w:t>
      </w:r>
    </w:p>
    <w:p w14:paraId="357E5B3C">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w:t>
      </w:r>
      <w:r>
        <w:rPr>
          <w:rFonts w:ascii="宋体" w:hAnsi="宋体" w:cs="宋体"/>
          <w:color w:val="auto"/>
          <w:szCs w:val="21"/>
          <w:highlight w:val="none"/>
        </w:rPr>
        <w:t>.2</w:t>
      </w:r>
      <w:r>
        <w:rPr>
          <w:rFonts w:hint="eastAsia" w:ascii="宋体" w:hAnsi="宋体" w:cs="宋体"/>
          <w:color w:val="auto"/>
          <w:szCs w:val="21"/>
          <w:highlight w:val="none"/>
        </w:rPr>
        <w:t>评标时，评标小组将首先评定每份投标文件是否在实质上响应了招标文件的要求。所谓实质上响应，是指投标文件应与招标文件的所有实质性条款、条件和要求相符，无显著差异或保留，或者对合同中约定的采购人的权利和投标人的义务方面造成重大的限制，纠正这些显著差异或保留将会对其他实质上响应招标文件要求的投标文件的投标人的竞争地位产生不公正的影响。</w:t>
      </w:r>
    </w:p>
    <w:p w14:paraId="0C4A7F81">
      <w:pPr>
        <w:shd w:val="clear"/>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9</w:t>
      </w:r>
      <w:r>
        <w:rPr>
          <w:rFonts w:ascii="宋体" w:hAnsi="宋体" w:cs="宋体"/>
          <w:color w:val="auto"/>
          <w:szCs w:val="21"/>
          <w:highlight w:val="none"/>
        </w:rPr>
        <w:t>.3</w:t>
      </w:r>
      <w:r>
        <w:rPr>
          <w:rFonts w:hint="eastAsia" w:ascii="宋体" w:hAnsi="宋体" w:cs="宋体"/>
          <w:color w:val="auto"/>
          <w:szCs w:val="21"/>
          <w:highlight w:val="none"/>
        </w:rPr>
        <w:t>如果投标文件实质上不响应招标文件的各项要求，评标小组将予以拒绝，并且不允许投标人通过修改或撤销其不符合要求的差异或保留，使之成为具有响应性的投标。</w:t>
      </w:r>
    </w:p>
    <w:p w14:paraId="3723CA46">
      <w:pPr>
        <w:shd w:val="clear"/>
        <w:tabs>
          <w:tab w:val="left" w:pos="362"/>
        </w:tabs>
        <w:spacing w:line="46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10</w:t>
      </w:r>
      <w:r>
        <w:rPr>
          <w:rFonts w:hint="eastAsia" w:ascii="宋体" w:hAnsi="宋体" w:eastAsia="宋体" w:cs="宋体"/>
          <w:b/>
          <w:color w:val="auto"/>
          <w:szCs w:val="21"/>
          <w:highlight w:val="none"/>
          <w:lang w:eastAsia="zh-CN"/>
        </w:rPr>
        <w:t>.</w:t>
      </w:r>
      <w:r>
        <w:rPr>
          <w:rFonts w:hint="eastAsia" w:ascii="宋体" w:hAnsi="宋体" w:eastAsia="宋体" w:cs="宋体"/>
          <w:b/>
          <w:color w:val="auto"/>
          <w:szCs w:val="21"/>
          <w:highlight w:val="none"/>
        </w:rPr>
        <w:t>投标文件计算错误的修正</w:t>
      </w:r>
    </w:p>
    <w:p w14:paraId="79430C8C">
      <w:pPr>
        <w:shd w:val="clear"/>
        <w:adjustRightInd w:val="0"/>
        <w:snapToGrid w:val="0"/>
        <w:spacing w:line="460" w:lineRule="exact"/>
        <w:ind w:firstLine="411" w:firstLineChars="196"/>
        <w:rPr>
          <w:rFonts w:hint="eastAsia" w:ascii="宋体" w:hAnsi="宋体" w:cs="宋体"/>
          <w:bCs/>
          <w:color w:val="auto"/>
          <w:szCs w:val="21"/>
          <w:highlight w:val="none"/>
        </w:rPr>
      </w:pPr>
      <w:r>
        <w:rPr>
          <w:rFonts w:hint="eastAsia" w:ascii="宋体" w:hAnsi="宋体" w:cs="宋体"/>
          <w:bCs/>
          <w:color w:val="auto"/>
          <w:szCs w:val="21"/>
          <w:highlight w:val="none"/>
        </w:rPr>
        <w:t>10.1评标小组将对确定为实质上响应招标文件要求的投标文件进行校核，看其是否有计算或表达上的错误，修正错误的原则如下：</w:t>
      </w:r>
    </w:p>
    <w:p w14:paraId="0650EF16">
      <w:pPr>
        <w:shd w:val="clear"/>
        <w:adjustRightInd w:val="0"/>
        <w:snapToGrid w:val="0"/>
        <w:spacing w:line="46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10.1.1客户端填写的报价与以pdf格式上传文件中的报价不一致的，应以pdf格式上传文件中的报价为准；</w:t>
      </w:r>
    </w:p>
    <w:p w14:paraId="74CC20FF">
      <w:pPr>
        <w:shd w:val="clear"/>
        <w:adjustRightInd w:val="0"/>
        <w:snapToGrid w:val="0"/>
        <w:spacing w:line="46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10.1.2投标文件中《开标一览表》（报价表）与投标文件中相应内容不一致的，以《开标一览表》（报价表）为准；</w:t>
      </w:r>
    </w:p>
    <w:p w14:paraId="6AD8F2FF">
      <w:pPr>
        <w:shd w:val="clear"/>
        <w:adjustRightInd w:val="0"/>
        <w:snapToGrid w:val="0"/>
        <w:spacing w:line="46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10.1.3大写金额和小写金额不一致的，以大写金额为准；</w:t>
      </w:r>
    </w:p>
    <w:p w14:paraId="4E383F08">
      <w:pPr>
        <w:shd w:val="clear"/>
        <w:adjustRightInd w:val="0"/>
        <w:snapToGrid w:val="0"/>
        <w:spacing w:line="46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10.1.4单价金额小数点或者百分比有明显错位的，以开标一览表的总价为准，并修改单价；</w:t>
      </w:r>
    </w:p>
    <w:p w14:paraId="67EEAF63">
      <w:pPr>
        <w:shd w:val="clear"/>
        <w:adjustRightInd w:val="0"/>
        <w:snapToGrid w:val="0"/>
        <w:spacing w:line="46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10.1.5总价金额与按单价汇总金额不一致的，以单价金额计算结果为准；</w:t>
      </w:r>
    </w:p>
    <w:p w14:paraId="38E44E25">
      <w:pPr>
        <w:shd w:val="clear"/>
        <w:adjustRightInd w:val="0"/>
        <w:snapToGrid w:val="0"/>
        <w:spacing w:line="460" w:lineRule="exact"/>
        <w:ind w:firstLine="411" w:firstLineChars="196"/>
        <w:rPr>
          <w:rFonts w:hint="eastAsia" w:ascii="宋体" w:hAnsi="宋体" w:cs="宋体"/>
          <w:bCs/>
          <w:color w:val="auto"/>
          <w:szCs w:val="21"/>
          <w:highlight w:val="none"/>
        </w:rPr>
      </w:pPr>
      <w:r>
        <w:rPr>
          <w:rFonts w:hint="eastAsia" w:ascii="宋体" w:hAnsi="宋体" w:cs="宋体"/>
          <w:bCs/>
          <w:color w:val="auto"/>
          <w:szCs w:val="21"/>
          <w:highlight w:val="none"/>
        </w:rPr>
        <w:t>同时出现两种以上不一致的，按照前款规定的顺序修正。修正后的报价按照财政部令第87号第五十一条第二款的规定通过“</w:t>
      </w:r>
      <w:r>
        <w:rPr>
          <w:rFonts w:hint="eastAsia" w:ascii="宋体" w:hAnsi="宋体" w:cs="宋体"/>
          <w:bCs/>
          <w:color w:val="auto"/>
          <w:szCs w:val="21"/>
          <w:highlight w:val="none"/>
          <w:lang w:eastAsia="zh-CN"/>
        </w:rPr>
        <w:t>义乌市阳光招标采购平台</w:t>
      </w:r>
      <w:r>
        <w:rPr>
          <w:rFonts w:hint="eastAsia" w:ascii="宋体" w:hAnsi="宋体" w:cs="宋体"/>
          <w:bCs/>
          <w:color w:val="auto"/>
          <w:szCs w:val="21"/>
          <w:highlight w:val="none"/>
        </w:rPr>
        <w:t>”经投标人确认后产生约束力，投标人不确认的，其投标无效。</w:t>
      </w:r>
    </w:p>
    <w:p w14:paraId="7CAC19DE">
      <w:pPr>
        <w:shd w:val="clear"/>
        <w:adjustRightInd w:val="0"/>
        <w:snapToGrid w:val="0"/>
        <w:spacing w:line="460" w:lineRule="exact"/>
        <w:ind w:firstLine="413" w:firstLineChars="196"/>
        <w:rPr>
          <w:rFonts w:ascii="宋体" w:cs="宋体"/>
          <w:b/>
          <w:color w:val="auto"/>
          <w:szCs w:val="21"/>
          <w:highlight w:val="none"/>
        </w:rPr>
      </w:pPr>
      <w:r>
        <w:rPr>
          <w:rFonts w:ascii="宋体" w:hAnsi="宋体" w:cs="宋体"/>
          <w:b/>
          <w:color w:val="auto"/>
          <w:szCs w:val="21"/>
          <w:highlight w:val="none"/>
        </w:rPr>
        <w:t>1</w:t>
      </w:r>
      <w:r>
        <w:rPr>
          <w:rFonts w:hint="eastAsia" w:ascii="宋体" w:hAnsi="宋体" w:cs="宋体"/>
          <w:b/>
          <w:color w:val="auto"/>
          <w:szCs w:val="21"/>
          <w:highlight w:val="none"/>
        </w:rPr>
        <w:t>1</w:t>
      </w:r>
      <w:r>
        <w:rPr>
          <w:rFonts w:hint="eastAsia" w:ascii="宋体" w:hAnsi="宋体" w:cs="宋体"/>
          <w:b/>
          <w:color w:val="auto"/>
          <w:szCs w:val="21"/>
          <w:highlight w:val="none"/>
          <w:lang w:eastAsia="zh-CN"/>
        </w:rPr>
        <w:t>.</w:t>
      </w:r>
      <w:r>
        <w:rPr>
          <w:rFonts w:hint="eastAsia" w:ascii="宋体" w:hAnsi="宋体" w:cs="宋体"/>
          <w:b/>
          <w:color w:val="auto"/>
          <w:szCs w:val="21"/>
          <w:highlight w:val="none"/>
        </w:rPr>
        <w:t>投标文件的评审、比较和否决</w:t>
      </w:r>
    </w:p>
    <w:p w14:paraId="7E39063E">
      <w:pPr>
        <w:shd w:val="clear"/>
        <w:adjustRightInd w:val="0"/>
        <w:snapToGrid w:val="0"/>
        <w:spacing w:line="460" w:lineRule="exact"/>
        <w:ind w:firstLine="420" w:firstLineChars="200"/>
        <w:rPr>
          <w:rFonts w:asci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1</w:t>
      </w:r>
      <w:r>
        <w:rPr>
          <w:rFonts w:ascii="宋体" w:hAnsi="宋体" w:cs="宋体"/>
          <w:color w:val="auto"/>
          <w:szCs w:val="21"/>
          <w:highlight w:val="none"/>
        </w:rPr>
        <w:t>.1</w:t>
      </w:r>
      <w:r>
        <w:rPr>
          <w:rFonts w:hint="eastAsia" w:ascii="宋体" w:hAnsi="宋体" w:cs="宋体"/>
          <w:color w:val="auto"/>
          <w:szCs w:val="21"/>
          <w:highlight w:val="none"/>
        </w:rPr>
        <w:t>评标小组将按照本须知规定，仅对在实质上响应招标文件要求的投标文件进行评估和比较。</w:t>
      </w:r>
    </w:p>
    <w:p w14:paraId="56802B2B">
      <w:pPr>
        <w:shd w:val="clear"/>
        <w:adjustRightInd w:val="0"/>
        <w:snapToGrid w:val="0"/>
        <w:spacing w:line="460" w:lineRule="exact"/>
        <w:ind w:firstLine="420" w:firstLineChars="200"/>
        <w:rPr>
          <w:rFonts w:asci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1</w:t>
      </w:r>
      <w:r>
        <w:rPr>
          <w:rFonts w:ascii="宋体" w:hAnsi="宋体" w:cs="宋体"/>
          <w:color w:val="auto"/>
          <w:szCs w:val="21"/>
          <w:highlight w:val="none"/>
        </w:rPr>
        <w:t>.2</w:t>
      </w:r>
      <w:r>
        <w:rPr>
          <w:rFonts w:hint="eastAsia" w:ascii="宋体" w:hAnsi="宋体" w:cs="宋体"/>
          <w:color w:val="auto"/>
          <w:szCs w:val="21"/>
          <w:highlight w:val="none"/>
        </w:rPr>
        <w:t>在评审过程后，评标小组可以以书面形式要求投标人就投标文件中含义不明确的内容进行书面说明并提供相关材料。</w:t>
      </w:r>
    </w:p>
    <w:p w14:paraId="778D3252">
      <w:pPr>
        <w:shd w:val="clear"/>
        <w:adjustRightInd w:val="0"/>
        <w:snapToGrid w:val="0"/>
        <w:spacing w:line="460" w:lineRule="exact"/>
        <w:ind w:firstLine="420" w:firstLineChars="200"/>
        <w:rPr>
          <w:rFonts w:asci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1</w:t>
      </w:r>
      <w:r>
        <w:rPr>
          <w:rFonts w:ascii="宋体" w:hAnsi="宋体" w:cs="宋体"/>
          <w:color w:val="auto"/>
          <w:szCs w:val="21"/>
          <w:highlight w:val="none"/>
        </w:rPr>
        <w:t>.3</w:t>
      </w:r>
      <w:r>
        <w:rPr>
          <w:rFonts w:hint="eastAsia" w:ascii="宋体" w:hAnsi="宋体" w:cs="宋体"/>
          <w:color w:val="auto"/>
          <w:szCs w:val="21"/>
          <w:highlight w:val="none"/>
        </w:rPr>
        <w:t>评标小组在作出任何一项无效标决定前，都应当严格遵循以下程序：</w:t>
      </w:r>
    </w:p>
    <w:p w14:paraId="223D8FA6">
      <w:pPr>
        <w:shd w:val="clear"/>
        <w:adjustRightInd w:val="0"/>
        <w:snapToGrid w:val="0"/>
        <w:spacing w:line="460" w:lineRule="exact"/>
        <w:ind w:firstLine="422" w:firstLineChars="200"/>
        <w:rPr>
          <w:rFonts w:ascii="宋体" w:hAnsi="宋体" w:eastAsia="宋体" w:cs="宋体"/>
          <w:b/>
          <w:color w:val="auto"/>
          <w:szCs w:val="21"/>
          <w:highlight w:val="none"/>
        </w:rPr>
      </w:pPr>
      <w:r>
        <w:rPr>
          <w:rFonts w:ascii="宋体" w:hAnsi="宋体" w:eastAsia="宋体" w:cs="宋体"/>
          <w:b/>
          <w:color w:val="auto"/>
          <w:szCs w:val="21"/>
          <w:highlight w:val="none"/>
        </w:rPr>
        <w:t>1</w:t>
      </w:r>
      <w:r>
        <w:rPr>
          <w:rFonts w:hint="eastAsia" w:ascii="宋体" w:hAnsi="宋体" w:eastAsia="宋体" w:cs="宋体"/>
          <w:b/>
          <w:color w:val="auto"/>
          <w:szCs w:val="21"/>
          <w:highlight w:val="none"/>
        </w:rPr>
        <w:t>1</w:t>
      </w:r>
      <w:r>
        <w:rPr>
          <w:rFonts w:ascii="宋体" w:hAnsi="宋体" w:eastAsia="宋体" w:cs="宋体"/>
          <w:b/>
          <w:color w:val="auto"/>
          <w:szCs w:val="21"/>
          <w:highlight w:val="none"/>
        </w:rPr>
        <w:t>.3.1</w:t>
      </w:r>
      <w:r>
        <w:rPr>
          <w:rFonts w:hint="eastAsia" w:ascii="宋体" w:hAnsi="宋体" w:eastAsia="宋体" w:cs="宋体"/>
          <w:b/>
          <w:color w:val="auto"/>
          <w:szCs w:val="21"/>
          <w:highlight w:val="none"/>
        </w:rPr>
        <w:t>要求当事投标人作相应的答辩；</w:t>
      </w:r>
    </w:p>
    <w:p w14:paraId="4E34816D">
      <w:pPr>
        <w:shd w:val="clear"/>
        <w:adjustRightInd w:val="0"/>
        <w:snapToGrid w:val="0"/>
        <w:spacing w:line="460" w:lineRule="exact"/>
        <w:ind w:firstLine="422" w:firstLineChars="200"/>
        <w:rPr>
          <w:rFonts w:ascii="宋体" w:hAnsi="宋体" w:eastAsia="宋体" w:cs="宋体"/>
          <w:b/>
          <w:color w:val="auto"/>
          <w:szCs w:val="21"/>
          <w:highlight w:val="none"/>
        </w:rPr>
      </w:pPr>
      <w:r>
        <w:rPr>
          <w:rFonts w:ascii="宋体" w:hAnsi="宋体" w:eastAsia="宋体" w:cs="宋体"/>
          <w:b/>
          <w:color w:val="auto"/>
          <w:szCs w:val="21"/>
          <w:highlight w:val="none"/>
        </w:rPr>
        <w:t>1</w:t>
      </w:r>
      <w:r>
        <w:rPr>
          <w:rFonts w:hint="eastAsia" w:ascii="宋体" w:hAnsi="宋体" w:eastAsia="宋体" w:cs="宋体"/>
          <w:b/>
          <w:color w:val="auto"/>
          <w:szCs w:val="21"/>
          <w:highlight w:val="none"/>
        </w:rPr>
        <w:t>1</w:t>
      </w:r>
      <w:r>
        <w:rPr>
          <w:rFonts w:ascii="宋体" w:hAnsi="宋体" w:eastAsia="宋体" w:cs="宋体"/>
          <w:b/>
          <w:color w:val="auto"/>
          <w:szCs w:val="21"/>
          <w:highlight w:val="none"/>
        </w:rPr>
        <w:t>.3.2</w:t>
      </w:r>
      <w:r>
        <w:rPr>
          <w:rFonts w:hint="eastAsia" w:ascii="宋体" w:hAnsi="宋体" w:eastAsia="宋体" w:cs="宋体"/>
          <w:b/>
          <w:color w:val="auto"/>
          <w:szCs w:val="21"/>
          <w:highlight w:val="none"/>
        </w:rPr>
        <w:t>将答辩记录送当事投标人法定代表人或其授权委托的全权代表签字确认；</w:t>
      </w:r>
    </w:p>
    <w:p w14:paraId="44822098">
      <w:pPr>
        <w:shd w:val="clear"/>
        <w:adjustRightInd w:val="0"/>
        <w:snapToGrid w:val="0"/>
        <w:spacing w:line="460" w:lineRule="exact"/>
        <w:ind w:firstLine="422" w:firstLineChars="200"/>
        <w:rPr>
          <w:rFonts w:ascii="宋体" w:hAnsi="宋体" w:eastAsia="宋体" w:cs="宋体"/>
          <w:b/>
          <w:color w:val="auto"/>
          <w:szCs w:val="21"/>
          <w:highlight w:val="none"/>
        </w:rPr>
      </w:pPr>
      <w:r>
        <w:rPr>
          <w:rFonts w:ascii="宋体" w:hAnsi="宋体" w:eastAsia="宋体" w:cs="宋体"/>
          <w:b/>
          <w:color w:val="auto"/>
          <w:szCs w:val="21"/>
          <w:highlight w:val="none"/>
        </w:rPr>
        <w:t>1</w:t>
      </w:r>
      <w:r>
        <w:rPr>
          <w:rFonts w:hint="eastAsia" w:ascii="宋体" w:hAnsi="宋体" w:eastAsia="宋体" w:cs="宋体"/>
          <w:b/>
          <w:color w:val="auto"/>
          <w:szCs w:val="21"/>
          <w:highlight w:val="none"/>
        </w:rPr>
        <w:t>1</w:t>
      </w:r>
      <w:r>
        <w:rPr>
          <w:rFonts w:ascii="宋体" w:hAnsi="宋体" w:eastAsia="宋体" w:cs="宋体"/>
          <w:b/>
          <w:color w:val="auto"/>
          <w:szCs w:val="21"/>
          <w:highlight w:val="none"/>
        </w:rPr>
        <w:t>.3.3</w:t>
      </w:r>
      <w:r>
        <w:rPr>
          <w:rFonts w:hint="eastAsia" w:ascii="宋体" w:hAnsi="宋体" w:eastAsia="宋体" w:cs="宋体"/>
          <w:b/>
          <w:color w:val="auto"/>
          <w:szCs w:val="21"/>
          <w:highlight w:val="none"/>
        </w:rPr>
        <w:t>在充分讨论的基础上集体表决；</w:t>
      </w:r>
    </w:p>
    <w:p w14:paraId="46831B0C">
      <w:pPr>
        <w:shd w:val="clear"/>
        <w:adjustRightInd w:val="0"/>
        <w:snapToGrid w:val="0"/>
        <w:spacing w:line="460" w:lineRule="exact"/>
        <w:ind w:firstLine="422" w:firstLineChars="200"/>
        <w:rPr>
          <w:rFonts w:ascii="宋体" w:hAnsi="宋体" w:eastAsia="宋体" w:cs="宋体"/>
          <w:b/>
          <w:color w:val="auto"/>
          <w:szCs w:val="21"/>
          <w:highlight w:val="none"/>
        </w:rPr>
      </w:pPr>
      <w:r>
        <w:rPr>
          <w:rFonts w:ascii="宋体" w:hAnsi="宋体" w:eastAsia="宋体" w:cs="宋体"/>
          <w:b/>
          <w:color w:val="auto"/>
          <w:szCs w:val="21"/>
          <w:highlight w:val="none"/>
        </w:rPr>
        <w:t>1</w:t>
      </w:r>
      <w:r>
        <w:rPr>
          <w:rFonts w:hint="eastAsia" w:ascii="宋体" w:hAnsi="宋体" w:eastAsia="宋体" w:cs="宋体"/>
          <w:b/>
          <w:color w:val="auto"/>
          <w:szCs w:val="21"/>
          <w:highlight w:val="none"/>
        </w:rPr>
        <w:t>1</w:t>
      </w:r>
      <w:r>
        <w:rPr>
          <w:rFonts w:ascii="宋体" w:hAnsi="宋体" w:eastAsia="宋体" w:cs="宋体"/>
          <w:b/>
          <w:color w:val="auto"/>
          <w:szCs w:val="21"/>
          <w:highlight w:val="none"/>
        </w:rPr>
        <w:t>.3.4</w:t>
      </w:r>
      <w:r>
        <w:rPr>
          <w:rFonts w:hint="eastAsia" w:ascii="宋体" w:hAnsi="宋体" w:eastAsia="宋体" w:cs="宋体"/>
          <w:b/>
          <w:color w:val="auto"/>
          <w:szCs w:val="21"/>
          <w:highlight w:val="none"/>
        </w:rPr>
        <w:t>若表决通过无效标决定，告知当事投标人，并在评标报告中详细载明废标理由、依据、答辩的情况和集体表决的情况（同意废标和不同意废标的评标小组成员均应当注明）。</w:t>
      </w:r>
    </w:p>
    <w:p w14:paraId="7C37DC39">
      <w:pPr>
        <w:pStyle w:val="18"/>
        <w:shd w:val="clear"/>
        <w:spacing w:line="460" w:lineRule="exact"/>
        <w:ind w:firstLine="420" w:firstLineChars="200"/>
        <w:rPr>
          <w:rFonts w:hAnsi="宋体" w:cs="宋体"/>
          <w:color w:val="auto"/>
          <w:highlight w:val="none"/>
        </w:rPr>
      </w:pPr>
      <w:r>
        <w:rPr>
          <w:rFonts w:hAnsi="宋体" w:cs="宋体"/>
          <w:color w:val="auto"/>
          <w:highlight w:val="none"/>
        </w:rPr>
        <w:t>1</w:t>
      </w:r>
      <w:r>
        <w:rPr>
          <w:rFonts w:hint="eastAsia" w:hAnsi="宋体" w:cs="宋体"/>
          <w:color w:val="auto"/>
          <w:highlight w:val="none"/>
        </w:rPr>
        <w:t>1</w:t>
      </w:r>
      <w:r>
        <w:rPr>
          <w:rFonts w:hAnsi="宋体" w:cs="宋体"/>
          <w:color w:val="auto"/>
          <w:highlight w:val="none"/>
        </w:rPr>
        <w:t>.4</w:t>
      </w:r>
      <w:r>
        <w:rPr>
          <w:rFonts w:hint="eastAsia" w:hAnsi="宋体" w:cs="宋体"/>
          <w:color w:val="auto"/>
          <w:highlight w:val="none"/>
        </w:rPr>
        <w:t>评标小组经评审，认为所有投标都不符合招标文件要求时，可以否决所有投标。所有投标被否决后，采购人应当依法重新招标。</w:t>
      </w:r>
    </w:p>
    <w:p w14:paraId="268FB3BE">
      <w:pPr>
        <w:pStyle w:val="18"/>
        <w:shd w:val="clear"/>
        <w:spacing w:line="460" w:lineRule="exact"/>
        <w:ind w:firstLine="406" w:firstLineChars="200"/>
        <w:rPr>
          <w:rFonts w:hAnsi="宋体" w:cs="宋体"/>
          <w:b/>
          <w:color w:val="auto"/>
          <w:spacing w:val="-4"/>
          <w:highlight w:val="none"/>
        </w:rPr>
      </w:pPr>
      <w:r>
        <w:rPr>
          <w:rFonts w:hAnsi="宋体" w:cs="宋体"/>
          <w:b/>
          <w:color w:val="auto"/>
          <w:spacing w:val="-4"/>
          <w:highlight w:val="none"/>
        </w:rPr>
        <w:t>1</w:t>
      </w:r>
      <w:r>
        <w:rPr>
          <w:rFonts w:hint="eastAsia" w:hAnsi="宋体" w:cs="宋体"/>
          <w:b/>
          <w:color w:val="auto"/>
          <w:spacing w:val="-4"/>
          <w:highlight w:val="none"/>
        </w:rPr>
        <w:t>2</w:t>
      </w:r>
      <w:r>
        <w:rPr>
          <w:rFonts w:hint="eastAsia" w:hAnsi="宋体" w:cs="宋体"/>
          <w:b/>
          <w:color w:val="auto"/>
          <w:spacing w:val="-4"/>
          <w:highlight w:val="none"/>
          <w:lang w:eastAsia="zh-CN"/>
        </w:rPr>
        <w:t>.</w:t>
      </w:r>
      <w:r>
        <w:rPr>
          <w:rFonts w:hint="eastAsia" w:hAnsi="宋体" w:cs="宋体"/>
          <w:b/>
          <w:color w:val="auto"/>
          <w:spacing w:val="-4"/>
          <w:highlight w:val="none"/>
        </w:rPr>
        <w:t>评标办法</w:t>
      </w:r>
    </w:p>
    <w:p w14:paraId="34E29F70">
      <w:pPr>
        <w:shd w:val="clear"/>
        <w:adjustRightInd w:val="0"/>
        <w:snapToGrid w:val="0"/>
        <w:spacing w:line="440" w:lineRule="exact"/>
        <w:ind w:firstLine="422" w:firstLineChars="200"/>
        <w:rPr>
          <w:rFonts w:ascii="宋体" w:cs="宋体"/>
          <w:b/>
          <w:color w:val="auto"/>
          <w:szCs w:val="21"/>
          <w:highlight w:val="none"/>
        </w:rPr>
      </w:pPr>
      <w:r>
        <w:rPr>
          <w:rFonts w:ascii="宋体" w:hAnsi="宋体" w:cs="宋体"/>
          <w:b/>
          <w:color w:val="auto"/>
          <w:szCs w:val="21"/>
          <w:highlight w:val="none"/>
        </w:rPr>
        <w:t>1</w:t>
      </w:r>
      <w:r>
        <w:rPr>
          <w:rFonts w:hint="eastAsia" w:ascii="宋体" w:hAnsi="宋体" w:cs="宋体"/>
          <w:b/>
          <w:color w:val="auto"/>
          <w:szCs w:val="21"/>
          <w:highlight w:val="none"/>
        </w:rPr>
        <w:t>2</w:t>
      </w:r>
      <w:r>
        <w:rPr>
          <w:rFonts w:ascii="宋体" w:hAnsi="宋体" w:cs="宋体"/>
          <w:b/>
          <w:color w:val="auto"/>
          <w:szCs w:val="21"/>
          <w:highlight w:val="none"/>
        </w:rPr>
        <w:t>.1</w:t>
      </w:r>
      <w:r>
        <w:rPr>
          <w:rFonts w:hint="eastAsia" w:ascii="宋体" w:hAnsi="宋体" w:cs="宋体"/>
          <w:b/>
          <w:color w:val="auto"/>
          <w:szCs w:val="21"/>
          <w:highlight w:val="none"/>
        </w:rPr>
        <w:t>采用</w:t>
      </w:r>
      <w:r>
        <w:rPr>
          <w:rFonts w:hint="eastAsia" w:ascii="宋体" w:hAnsi="宋体" w:cs="宋体"/>
          <w:b/>
          <w:color w:val="auto"/>
          <w:szCs w:val="21"/>
          <w:highlight w:val="none"/>
          <w:lang w:eastAsia="zh-CN"/>
        </w:rPr>
        <w:t>最低评标价法</w:t>
      </w:r>
      <w:r>
        <w:rPr>
          <w:rFonts w:hint="eastAsia" w:ascii="宋体" w:hAnsi="宋体" w:cs="宋体"/>
          <w:b/>
          <w:color w:val="auto"/>
          <w:szCs w:val="21"/>
          <w:highlight w:val="none"/>
        </w:rPr>
        <w:t>（具体评标办法见后）。</w:t>
      </w:r>
    </w:p>
    <w:p w14:paraId="72CCF9DC">
      <w:pPr>
        <w:shd w:val="clear"/>
        <w:adjustRightInd w:val="0"/>
        <w:snapToGrid w:val="0"/>
        <w:spacing w:line="460" w:lineRule="exact"/>
        <w:ind w:firstLine="422" w:firstLineChars="200"/>
        <w:rPr>
          <w:rFonts w:ascii="宋体" w:cs="宋体"/>
          <w:b/>
          <w:color w:val="auto"/>
          <w:szCs w:val="21"/>
          <w:highlight w:val="none"/>
        </w:rPr>
      </w:pPr>
      <w:r>
        <w:rPr>
          <w:rFonts w:ascii="宋体" w:hAnsi="宋体" w:cs="宋体"/>
          <w:b/>
          <w:color w:val="auto"/>
          <w:szCs w:val="21"/>
          <w:highlight w:val="none"/>
        </w:rPr>
        <w:t>1</w:t>
      </w:r>
      <w:r>
        <w:rPr>
          <w:rFonts w:hint="eastAsia" w:ascii="宋体" w:hAnsi="宋体" w:cs="宋体"/>
          <w:b/>
          <w:color w:val="auto"/>
          <w:szCs w:val="21"/>
          <w:highlight w:val="none"/>
        </w:rPr>
        <w:t>3</w:t>
      </w:r>
      <w:r>
        <w:rPr>
          <w:rFonts w:hint="eastAsia" w:ascii="宋体" w:hAnsi="宋体" w:cs="宋体"/>
          <w:b/>
          <w:color w:val="auto"/>
          <w:szCs w:val="21"/>
          <w:highlight w:val="none"/>
          <w:lang w:eastAsia="zh-CN"/>
        </w:rPr>
        <w:t>.</w:t>
      </w:r>
      <w:r>
        <w:rPr>
          <w:rFonts w:hint="eastAsia" w:ascii="宋体" w:hAnsi="宋体" w:cs="宋体"/>
          <w:b/>
          <w:color w:val="auto"/>
          <w:szCs w:val="21"/>
          <w:highlight w:val="none"/>
        </w:rPr>
        <w:t>决标</w:t>
      </w:r>
    </w:p>
    <w:p w14:paraId="57D53468">
      <w:pPr>
        <w:shd w:val="clear"/>
        <w:adjustRightInd w:val="0"/>
        <w:snapToGrid w:val="0"/>
        <w:spacing w:line="460" w:lineRule="exact"/>
        <w:ind w:firstLine="573"/>
        <w:rPr>
          <w:rFonts w:hint="eastAsia" w:ascii="宋体" w:hAnsi="宋体" w:cs="宋体"/>
          <w:color w:val="auto"/>
          <w:sz w:val="24"/>
          <w:highlight w:val="none"/>
        </w:rPr>
      </w:pPr>
      <w:r>
        <w:rPr>
          <w:rFonts w:hint="eastAsia" w:ascii="宋体" w:hAnsi="宋体" w:cs="宋体"/>
          <w:color w:val="auto"/>
          <w:szCs w:val="21"/>
          <w:highlight w:val="none"/>
        </w:rPr>
        <w:t>采购人也可以授权评标小组直接确定中标人</w:t>
      </w:r>
      <w:r>
        <w:rPr>
          <w:rFonts w:hint="eastAsia" w:ascii="宋体" w:hAnsi="宋体" w:cs="宋体"/>
          <w:color w:val="auto"/>
          <w:sz w:val="24"/>
          <w:highlight w:val="none"/>
        </w:rPr>
        <w:t>。</w:t>
      </w:r>
      <w:bookmarkStart w:id="52" w:name="_Toc226973003"/>
      <w:bookmarkStart w:id="53" w:name="_Toc261519848"/>
      <w:bookmarkStart w:id="54" w:name="_Toc10636"/>
      <w:bookmarkStart w:id="55" w:name="_Toc362250706"/>
      <w:bookmarkStart w:id="56" w:name="_Toc263090376"/>
      <w:bookmarkStart w:id="57" w:name="_Toc274303254"/>
      <w:bookmarkStart w:id="58" w:name="_Toc4305"/>
    </w:p>
    <w:p w14:paraId="04FBCBA2">
      <w:pPr>
        <w:pStyle w:val="5"/>
        <w:pageBreakBefore w:val="0"/>
        <w:widowControl w:val="0"/>
        <w:shd w:val="clear"/>
        <w:kinsoku/>
        <w:wordWrap/>
        <w:overflowPunct/>
        <w:topLinePunct w:val="0"/>
        <w:autoSpaceDE/>
        <w:autoSpaceDN/>
        <w:bidi w:val="0"/>
        <w:spacing w:before="120" w:after="120" w:line="360" w:lineRule="auto"/>
        <w:textAlignment w:val="auto"/>
        <w:rPr>
          <w:rFonts w:hint="eastAsia" w:ascii="宋体" w:hAnsi="宋体" w:eastAsia="宋体" w:cs="宋体"/>
          <w:color w:val="auto"/>
          <w:sz w:val="21"/>
          <w:szCs w:val="21"/>
          <w:highlight w:val="none"/>
        </w:rPr>
      </w:pPr>
      <w:bookmarkStart w:id="59" w:name="_Toc24323"/>
      <w:r>
        <w:rPr>
          <w:rFonts w:hint="eastAsia" w:ascii="宋体" w:hAnsi="宋体" w:eastAsia="宋体" w:cs="宋体"/>
          <w:color w:val="auto"/>
          <w:sz w:val="21"/>
          <w:szCs w:val="21"/>
          <w:highlight w:val="none"/>
        </w:rPr>
        <w:t>三、定标</w:t>
      </w:r>
      <w:bookmarkEnd w:id="52"/>
      <w:bookmarkEnd w:id="53"/>
      <w:bookmarkEnd w:id="54"/>
      <w:bookmarkEnd w:id="55"/>
      <w:bookmarkEnd w:id="56"/>
      <w:bookmarkEnd w:id="57"/>
      <w:bookmarkEnd w:id="58"/>
      <w:bookmarkEnd w:id="59"/>
    </w:p>
    <w:p w14:paraId="77123395">
      <w:pPr>
        <w:shd w:val="clear"/>
        <w:spacing w:line="46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14</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rPr>
        <w:t>中标通知</w:t>
      </w:r>
    </w:p>
    <w:p w14:paraId="5125AB3C">
      <w:pPr>
        <w:shd w:val="clea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14.1评标结束后，评标结果公告1个工作日，发布评标结果公告的媒体为：义乌产权交易网。</w:t>
      </w:r>
    </w:p>
    <w:p w14:paraId="150158C3">
      <w:pPr>
        <w:shd w:val="clear"/>
        <w:spacing w:line="460" w:lineRule="exact"/>
        <w:ind w:firstLine="420" w:firstLineChars="200"/>
        <w:rPr>
          <w:rFonts w:hint="eastAsia"/>
          <w:color w:val="auto"/>
          <w:highlight w:val="none"/>
        </w:rPr>
      </w:pPr>
      <w:r>
        <w:rPr>
          <w:rFonts w:hint="eastAsia" w:ascii="宋体" w:hAnsi="宋体" w:cs="宋体"/>
          <w:color w:val="auto"/>
          <w:highlight w:val="none"/>
        </w:rPr>
        <w:t>14.2</w:t>
      </w:r>
      <w:r>
        <w:rPr>
          <w:rFonts w:hint="eastAsia" w:hAnsi="宋体" w:cs="宋体"/>
          <w:color w:val="auto"/>
          <w:highlight w:val="none"/>
        </w:rPr>
        <w:t>公告期内，如无有效异议，公告期结束，由采购人和义乌产权交易所有限公司共同签发《中标通知书》，中标人凭有效证明到义乌产权交易所有限公司领取《中标通知书》。《中标通知书》一经发出即发生法律效力。</w:t>
      </w:r>
    </w:p>
    <w:p w14:paraId="7E9DE671">
      <w:pPr>
        <w:shd w:val="clea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14.3开标过程中，投标人对开标有异议的，应当在“</w:t>
      </w:r>
      <w:r>
        <w:rPr>
          <w:rFonts w:hint="eastAsia" w:ascii="宋体" w:hAnsi="宋体" w:cs="宋体"/>
          <w:color w:val="auto"/>
          <w:szCs w:val="21"/>
          <w:highlight w:val="none"/>
          <w:lang w:eastAsia="zh-CN"/>
        </w:rPr>
        <w:t>义乌市阳光招标采购平台</w:t>
      </w:r>
      <w:r>
        <w:rPr>
          <w:rFonts w:hint="eastAsia" w:ascii="宋体" w:hAnsi="宋体" w:cs="宋体"/>
          <w:color w:val="auto"/>
          <w:szCs w:val="21"/>
          <w:highlight w:val="none"/>
        </w:rPr>
        <w:t>”上及时提出，评标委员应对异常情况制作相关记录。投标人若对开评标结果提出质疑的，质疑材料可加盖单位公章后以扫描件形式通过邮箱（ywcqztb001@ywcq.com）送达。</w:t>
      </w:r>
    </w:p>
    <w:p w14:paraId="2697EF8D">
      <w:pPr>
        <w:shd w:val="clea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14.4质疑投诉的相关规定</w:t>
      </w:r>
    </w:p>
    <w:p w14:paraId="41CC2CB5">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供应商认为采购文件、采购过程和中标、成交结果使自己的权益受到损害的，可以在知道或者应知其权益受到损害之日起7个工作日内，以书面形式向采购人提出质疑。</w:t>
      </w:r>
    </w:p>
    <w:p w14:paraId="3E5EDA8F">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前款所称的供应商应知其权益受到损害之日，是指：</w:t>
      </w:r>
    </w:p>
    <w:p w14:paraId="1B3B7041">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1.对可以质疑的采购文件提出质疑的，为收到采购文件之日或者采购文件公告期限届满之日；</w:t>
      </w:r>
    </w:p>
    <w:p w14:paraId="6D21F42F">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2.对采购过程提出质疑的，为各采购程序环节结束之日；</w:t>
      </w:r>
    </w:p>
    <w:p w14:paraId="6C5C6AA3">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3.对中标或者成交结果提出质疑的，为中标或者成交结果公告期限届满之日。</w:t>
      </w:r>
    </w:p>
    <w:p w14:paraId="2A0DCD89">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采购人应当按规定在收到质疑后3个工作日内作出书面答复，但答复的内容不得涉及商业秘密。质疑供应商对采购人、采购代理机构的答复不满意或者采购人、采购代理机构未在规定的时间内作出答复的，可以在答复期满后10个工作日内向国企采购监督管理部门投诉。质疑投诉递交的资料需为书面材料。质疑投诉书面材料需法人代表人或授权代表签字并加盖公章。</w:t>
      </w:r>
    </w:p>
    <w:p w14:paraId="48D08C62">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质疑投诉属于以下情况之一的，将不予受理：1.质疑投诉人不是所投诉项目的参与者，或者与质疑投诉项目无任何利害关系。2.质疑投诉事项不具体，且未提供有效线索，难以查证。3.未提供书面质疑或者质疑未加盖公章的；投诉人为法人或者其他组织，其投诉书未经法定代表人或者主要负责人签字并加盖公章。4.已超过招标文件规定质疑投诉提出期限的事项。5.投诉事项已作出处理决定，并且投诉人没有提出新的证据。6.质疑投诉的事项已经进入行政复议或者行政诉讼程序的；投诉事项应先提出质疑而没有提出质疑的。7.不符合《政府采购质疑和投诉办法》（财政部令第94号）、《义乌市国企采购管理办法（试行）》（义政办发〔2018〕97号）和《关于印发〈浙江省政府采购供应商质疑处理办法〉的通知》（浙财采监[2012]18号）等有关规定的质疑投诉。</w:t>
      </w:r>
    </w:p>
    <w:p w14:paraId="0A9F5C77">
      <w:pPr>
        <w:pStyle w:val="18"/>
        <w:shd w:val="clear"/>
        <w:tabs>
          <w:tab w:val="left" w:pos="900"/>
        </w:tabs>
        <w:spacing w:line="360" w:lineRule="auto"/>
        <w:ind w:firstLine="422" w:firstLineChars="200"/>
        <w:rPr>
          <w:rFonts w:hint="eastAsia" w:hAnsi="宋体" w:cs="宋体"/>
          <w:b/>
          <w:color w:val="auto"/>
          <w:highlight w:val="none"/>
        </w:rPr>
      </w:pPr>
      <w:r>
        <w:rPr>
          <w:rFonts w:hint="eastAsia" w:hAnsi="宋体" w:cs="宋体"/>
          <w:b/>
          <w:color w:val="auto"/>
          <w:highlight w:val="none"/>
        </w:rPr>
        <w:t>15</w:t>
      </w:r>
      <w:r>
        <w:rPr>
          <w:rFonts w:hint="eastAsia" w:hAnsi="宋体" w:cs="宋体"/>
          <w:b/>
          <w:color w:val="auto"/>
          <w:highlight w:val="none"/>
          <w:lang w:eastAsia="zh-CN"/>
        </w:rPr>
        <w:t>.</w:t>
      </w:r>
      <w:r>
        <w:rPr>
          <w:rFonts w:hint="eastAsia" w:hAnsi="宋体" w:cs="宋体"/>
          <w:b/>
          <w:color w:val="auto"/>
          <w:highlight w:val="none"/>
        </w:rPr>
        <w:t>合同签订</w:t>
      </w:r>
    </w:p>
    <w:p w14:paraId="707D4DB5">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15.1中标人自接到《中标通知书》后应在三十天内与</w:t>
      </w:r>
      <w:r>
        <w:rPr>
          <w:rFonts w:hint="eastAsia" w:ascii="宋体" w:hAnsi="宋体" w:cs="宋体"/>
          <w:color w:val="auto"/>
          <w:szCs w:val="21"/>
          <w:highlight w:val="none"/>
          <w:lang w:val="en-US" w:eastAsia="zh-CN"/>
        </w:rPr>
        <w:t>采购人</w:t>
      </w:r>
      <w:r>
        <w:rPr>
          <w:rFonts w:hint="eastAsia" w:ascii="宋体" w:hAnsi="宋体" w:cs="宋体"/>
          <w:color w:val="auto"/>
          <w:szCs w:val="21"/>
          <w:highlight w:val="none"/>
        </w:rPr>
        <w:t>签订合同。</w:t>
      </w:r>
    </w:p>
    <w:p w14:paraId="671CC1FD">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15.2招标文件、中标人的投标文件、评标过程中投标人在询标时作出的承诺及其澄清文件等，均为签订合同的依据。</w:t>
      </w:r>
    </w:p>
    <w:p w14:paraId="0952D376">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15.3采购人与中标（成交）供应商应当在中标（成交）通知书发出之日起30日内，按照采购文件确定的合同文本以及采购标的、规格型号、采购金额、采购数量、技术和服务要求等事项签订采购合同。</w:t>
      </w:r>
    </w:p>
    <w:p w14:paraId="40B185C6">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采购人不得向中标（成交）供应商提出超出采购文件以外的任何要求作为签订合同的条件，不得与中标（成交）供应商订立背离采购文件确定的合同文本以及采购标的、规格型号、采购金额、采购数量、技术和服务要求等实质性内容的协议。</w:t>
      </w:r>
    </w:p>
    <w:p w14:paraId="5D5F7081">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15.4除不可抗力等因素外，中标（成交）通知书发出后，采购人改变中标（成交）结果，或者中标（成交）供应商拒绝签订采购合同的，应当承担相应的法律责任。</w:t>
      </w:r>
    </w:p>
    <w:p w14:paraId="30EF3DDA">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15.5中标（成交）供应商拒绝签订采购合同的，采购人应重新开展采购活动。拒绝签订采购合同的中标（成交）供应商不得参加对该项目重新开展的采购活动。</w:t>
      </w:r>
    </w:p>
    <w:p w14:paraId="16843ADB">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15.6中标人不遵守招标文件和投标文件的要约及承诺而擅自修改报价，或在接到《中标通知书》后借故拖延、拒签合同而造成超过规定时间的，取消该投标人的中标资格。在此情况下，采购人和招标代理机构重新招标，对受影响的投标人不承担任何责任。</w:t>
      </w:r>
    </w:p>
    <w:p w14:paraId="26B039EA">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15.7采购人变更数量的权利</w:t>
      </w:r>
    </w:p>
    <w:p w14:paraId="2CFE0FFB">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采购人在授予合同时有权对“技术要求及采购货物一览表”中规定的货物数量和服务予以增加或减少，但必须符合法律法规的相关规定。</w:t>
      </w:r>
    </w:p>
    <w:p w14:paraId="25F0E6DA">
      <w:pPr>
        <w:shd w:val="clear"/>
        <w:spacing w:line="420" w:lineRule="exact"/>
        <w:ind w:firstLine="480" w:firstLineChars="200"/>
        <w:rPr>
          <w:color w:val="auto"/>
          <w:sz w:val="24"/>
          <w:highlight w:val="none"/>
        </w:rPr>
      </w:pPr>
    </w:p>
    <w:p w14:paraId="7B8A576A">
      <w:pPr>
        <w:shd w:val="clear"/>
        <w:spacing w:line="420" w:lineRule="exact"/>
        <w:ind w:firstLine="480" w:firstLineChars="200"/>
        <w:rPr>
          <w:rFonts w:hint="eastAsia"/>
          <w:color w:val="auto"/>
          <w:sz w:val="24"/>
          <w:highlight w:val="none"/>
        </w:rPr>
      </w:pPr>
    </w:p>
    <w:p w14:paraId="00550B34">
      <w:pPr>
        <w:shd w:val="clear"/>
        <w:spacing w:line="420" w:lineRule="exact"/>
        <w:ind w:firstLine="480" w:firstLineChars="200"/>
        <w:rPr>
          <w:rFonts w:hint="eastAsia"/>
          <w:color w:val="auto"/>
          <w:sz w:val="24"/>
          <w:highlight w:val="none"/>
        </w:rPr>
      </w:pPr>
    </w:p>
    <w:p w14:paraId="38DA4491">
      <w:pPr>
        <w:shd w:val="clear"/>
        <w:spacing w:line="420" w:lineRule="exact"/>
        <w:ind w:firstLine="480" w:firstLineChars="200"/>
        <w:rPr>
          <w:rFonts w:hint="eastAsia"/>
          <w:color w:val="auto"/>
          <w:sz w:val="24"/>
          <w:highlight w:val="none"/>
        </w:rPr>
      </w:pPr>
    </w:p>
    <w:p w14:paraId="2FA3E775">
      <w:pPr>
        <w:pStyle w:val="4"/>
        <w:keepNext/>
        <w:keepLines/>
        <w:pageBreakBefore w:val="0"/>
        <w:widowControl w:val="0"/>
        <w:numPr>
          <w:ilvl w:val="0"/>
          <w:numId w:val="0"/>
        </w:numPr>
        <w:shd w:val="clear"/>
        <w:kinsoku/>
        <w:wordWrap/>
        <w:overflowPunct/>
        <w:topLinePunct w:val="0"/>
        <w:autoSpaceDE/>
        <w:autoSpaceDN/>
        <w:bidi w:val="0"/>
        <w:adjustRightInd/>
        <w:snapToGrid/>
        <w:spacing w:before="340" w:after="330" w:line="240" w:lineRule="exact"/>
        <w:ind w:left="0" w:leftChars="0" w:right="0" w:rightChars="0"/>
        <w:jc w:val="center"/>
        <w:textAlignment w:val="auto"/>
        <w:rPr>
          <w:rFonts w:ascii="Times New Roman" w:hAnsi="Times New Roman" w:eastAsia="宋体" w:cs="Times New Roman"/>
          <w:b/>
          <w:bCs/>
          <w:color w:val="auto"/>
          <w:kern w:val="44"/>
          <w:sz w:val="36"/>
          <w:szCs w:val="44"/>
          <w:highlight w:val="none"/>
          <w:lang w:val="en-US" w:eastAsia="zh-CN" w:bidi="ar-SA"/>
        </w:rPr>
      </w:pPr>
      <w:bookmarkStart w:id="60" w:name="_Toc23756"/>
      <w:r>
        <w:rPr>
          <w:rFonts w:hint="eastAsia" w:ascii="Times New Roman" w:hAnsi="Times New Roman" w:eastAsia="宋体" w:cs="Times New Roman"/>
          <w:b/>
          <w:bCs/>
          <w:color w:val="auto"/>
          <w:kern w:val="44"/>
          <w:sz w:val="36"/>
          <w:szCs w:val="44"/>
          <w:highlight w:val="none"/>
          <w:lang w:val="en-US" w:eastAsia="zh-CN" w:bidi="ar-SA"/>
        </w:rPr>
        <w:br w:type="page"/>
      </w:r>
      <w:bookmarkStart w:id="61" w:name="_Toc1836"/>
      <w:r>
        <w:rPr>
          <w:rFonts w:hint="eastAsia" w:ascii="Times New Roman" w:hAnsi="Times New Roman" w:eastAsia="宋体" w:cs="Times New Roman"/>
          <w:b/>
          <w:bCs/>
          <w:color w:val="auto"/>
          <w:kern w:val="44"/>
          <w:sz w:val="36"/>
          <w:szCs w:val="44"/>
          <w:highlight w:val="none"/>
          <w:lang w:val="en-US" w:eastAsia="zh-CN" w:bidi="ar-SA"/>
        </w:rPr>
        <w:t>第五章</w:t>
      </w:r>
      <w:r>
        <w:rPr>
          <w:rFonts w:ascii="Times New Roman" w:hAnsi="Times New Roman" w:eastAsia="宋体" w:cs="Times New Roman"/>
          <w:b/>
          <w:bCs/>
          <w:color w:val="auto"/>
          <w:kern w:val="44"/>
          <w:sz w:val="36"/>
          <w:szCs w:val="44"/>
          <w:highlight w:val="none"/>
          <w:lang w:val="en-US" w:eastAsia="zh-CN" w:bidi="ar-SA"/>
        </w:rPr>
        <w:t xml:space="preserve">  </w:t>
      </w:r>
      <w:r>
        <w:rPr>
          <w:rFonts w:hint="eastAsia" w:ascii="Times New Roman" w:hAnsi="Times New Roman" w:eastAsia="宋体" w:cs="Times New Roman"/>
          <w:b/>
          <w:bCs/>
          <w:color w:val="auto"/>
          <w:kern w:val="44"/>
          <w:sz w:val="36"/>
          <w:szCs w:val="44"/>
          <w:highlight w:val="none"/>
          <w:lang w:val="en-US" w:eastAsia="zh-CN" w:bidi="ar-SA"/>
        </w:rPr>
        <w:t>投标文件的有效性</w:t>
      </w:r>
      <w:bookmarkEnd w:id="60"/>
      <w:bookmarkEnd w:id="61"/>
    </w:p>
    <w:p w14:paraId="4B143A25">
      <w:pPr>
        <w:pStyle w:val="18"/>
        <w:shd w:val="clear"/>
        <w:spacing w:line="440" w:lineRule="exact"/>
        <w:ind w:firstLine="413" w:firstLineChars="196"/>
        <w:rPr>
          <w:rFonts w:ascii="新宋体" w:hAnsi="新宋体" w:eastAsia="新宋体"/>
          <w:b/>
          <w:color w:val="auto"/>
          <w:highlight w:val="none"/>
        </w:rPr>
      </w:pPr>
      <w:r>
        <w:rPr>
          <w:rFonts w:hint="eastAsia" w:ascii="新宋体" w:hAnsi="新宋体" w:eastAsia="新宋体"/>
          <w:b/>
          <w:color w:val="auto"/>
          <w:highlight w:val="none"/>
        </w:rPr>
        <w:t>1.</w:t>
      </w:r>
      <w:r>
        <w:rPr>
          <w:rFonts w:ascii="新宋体" w:hAnsi="新宋体" w:eastAsia="新宋体"/>
          <w:b/>
          <w:color w:val="auto"/>
          <w:highlight w:val="none"/>
        </w:rPr>
        <w:t>有下列情形之一的，</w:t>
      </w:r>
      <w:r>
        <w:rPr>
          <w:rFonts w:hint="eastAsia" w:ascii="新宋体" w:hAnsi="新宋体" w:eastAsia="新宋体"/>
          <w:b/>
          <w:color w:val="auto"/>
          <w:highlight w:val="none"/>
        </w:rPr>
        <w:t>招标方</w:t>
      </w:r>
      <w:r>
        <w:rPr>
          <w:rFonts w:ascii="新宋体" w:hAnsi="新宋体" w:eastAsia="新宋体"/>
          <w:b/>
          <w:color w:val="auto"/>
          <w:highlight w:val="none"/>
        </w:rPr>
        <w:t>将不予受理投标文件：</w:t>
      </w:r>
    </w:p>
    <w:p w14:paraId="639A41AE">
      <w:pPr>
        <w:shd w:val="clea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1.1逾期上传电子档投标文件至“义乌市阳光招标采购平台”平台的；</w:t>
      </w:r>
    </w:p>
    <w:p w14:paraId="42987FB0">
      <w:pPr>
        <w:shd w:val="clea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1.2电子投标文件在规定时间内解密未成功的；</w:t>
      </w:r>
    </w:p>
    <w:p w14:paraId="473C7A18">
      <w:pPr>
        <w:shd w:val="clear"/>
        <w:adjustRightInd w:val="0"/>
        <w:snapToGrid w:val="0"/>
        <w:spacing w:line="440" w:lineRule="exact"/>
        <w:ind w:firstLine="422" w:firstLineChars="200"/>
        <w:rPr>
          <w:rFonts w:hint="eastAsia" w:ascii="新宋体" w:hAnsi="新宋体" w:eastAsia="新宋体"/>
          <w:b/>
          <w:color w:val="auto"/>
          <w:szCs w:val="21"/>
          <w:highlight w:val="none"/>
        </w:rPr>
      </w:pPr>
      <w:r>
        <w:rPr>
          <w:rFonts w:hint="eastAsia" w:ascii="新宋体" w:hAnsi="新宋体" w:eastAsia="新宋体"/>
          <w:b/>
          <w:color w:val="auto"/>
          <w:szCs w:val="21"/>
          <w:highlight w:val="none"/>
          <w:shd w:val="pct10" w:color="auto" w:fill="FFFFFF"/>
        </w:rPr>
        <w:t>2.投标文件在资格或商务技术评审中出现下列情形之一的，由评标委员会审核后按无效投标文件处理：</w:t>
      </w:r>
    </w:p>
    <w:p w14:paraId="2CAF4E31">
      <w:pPr>
        <w:shd w:val="clear"/>
        <w:tabs>
          <w:tab w:val="left" w:pos="5325"/>
        </w:tabs>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2.1资格响应文件或商务技术响应文件中包含商务报价的。</w:t>
      </w:r>
    </w:p>
    <w:p w14:paraId="4FD06F88">
      <w:pPr>
        <w:shd w:val="clear"/>
        <w:tabs>
          <w:tab w:val="left" w:pos="5325"/>
        </w:tabs>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2.2招标文件关于投标文件组成内容商务技术响应文件要求中打“</w:t>
      </w:r>
      <w:r>
        <w:rPr>
          <w:rFonts w:ascii="新宋体" w:hAnsi="新宋体" w:eastAsia="新宋体"/>
          <w:color w:val="auto"/>
          <w:szCs w:val="21"/>
          <w:highlight w:val="none"/>
        </w:rPr>
        <w:t>★</w:t>
      </w:r>
      <w:r>
        <w:rPr>
          <w:rFonts w:hint="eastAsia" w:ascii="新宋体" w:hAnsi="新宋体" w:eastAsia="新宋体"/>
          <w:color w:val="auto"/>
          <w:szCs w:val="21"/>
          <w:highlight w:val="none"/>
        </w:rPr>
        <w:t>”的内容，投标人的投标文件内容未提供完整的，或关键字迹模糊、无法辨认的，或未按其规定的格式及要求填写、签字、盖章，或提供的投标文件内容不符合招标文件中有关打★号的条款的规定。</w:t>
      </w:r>
    </w:p>
    <w:p w14:paraId="6D89A7A8">
      <w:pPr>
        <w:shd w:val="clear"/>
        <w:tabs>
          <w:tab w:val="left" w:pos="5325"/>
        </w:tabs>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2.3投标人的投标资格不符合招标文件的资格要求规定。</w:t>
      </w:r>
    </w:p>
    <w:p w14:paraId="77DD1DC2">
      <w:pPr>
        <w:shd w:val="clear"/>
        <w:tabs>
          <w:tab w:val="left" w:pos="5325"/>
        </w:tabs>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2.4投标人递交两份或多份内容不同的投标文件，且未声明哪一个有效，但按招标文件规定提交备选方案的除外。</w:t>
      </w:r>
    </w:p>
    <w:p w14:paraId="64C35EB9">
      <w:pPr>
        <w:shd w:val="clea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2.5投标人所投产品的数量不符合招标文件规定的。</w:t>
      </w:r>
    </w:p>
    <w:p w14:paraId="2C24C074">
      <w:pPr>
        <w:shd w:val="clear"/>
        <w:spacing w:line="440" w:lineRule="exact"/>
        <w:ind w:firstLine="420" w:firstLineChars="200"/>
        <w:rPr>
          <w:rFonts w:hint="eastAsia" w:ascii="新宋体" w:hAnsi="新宋体" w:eastAsia="新宋体"/>
          <w:color w:val="auto"/>
          <w:kern w:val="0"/>
          <w:szCs w:val="21"/>
          <w:highlight w:val="none"/>
        </w:rPr>
      </w:pPr>
      <w:r>
        <w:rPr>
          <w:rFonts w:hint="eastAsia" w:ascii="新宋体" w:hAnsi="新宋体" w:eastAsia="新宋体"/>
          <w:color w:val="auto"/>
          <w:kern w:val="0"/>
          <w:szCs w:val="21"/>
          <w:highlight w:val="none"/>
        </w:rPr>
        <w:t>2.6投标人借用或冒用他人名义或证件，或投标人涂改证件，或投标人伪造或编造投标资料的。</w:t>
      </w:r>
    </w:p>
    <w:p w14:paraId="4107833F">
      <w:pPr>
        <w:shd w:val="clear"/>
        <w:spacing w:line="440" w:lineRule="exact"/>
        <w:ind w:firstLine="420" w:firstLineChars="200"/>
        <w:rPr>
          <w:rFonts w:hint="eastAsia" w:ascii="新宋体" w:hAnsi="新宋体" w:eastAsia="新宋体"/>
          <w:color w:val="auto"/>
          <w:kern w:val="0"/>
          <w:szCs w:val="21"/>
          <w:highlight w:val="none"/>
        </w:rPr>
      </w:pPr>
      <w:r>
        <w:rPr>
          <w:rFonts w:hint="eastAsia" w:ascii="新宋体" w:hAnsi="新宋体" w:eastAsia="新宋体"/>
          <w:color w:val="auto"/>
          <w:kern w:val="0"/>
          <w:szCs w:val="21"/>
          <w:highlight w:val="none"/>
        </w:rPr>
        <w:t>2.7投标中不同投标人的投标文件出现雷同或相似（包括部分雷同或相似），对所有雷同或相似投标人按无效标处理，招标方将保留进一步追究责任的权利；或投标人串标的。</w:t>
      </w:r>
    </w:p>
    <w:p w14:paraId="506DA1E6">
      <w:pPr>
        <w:shd w:val="clear"/>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kern w:val="0"/>
          <w:szCs w:val="21"/>
          <w:highlight w:val="none"/>
        </w:rPr>
        <w:t>2.8其</w:t>
      </w:r>
      <w:r>
        <w:rPr>
          <w:rFonts w:hint="eastAsia" w:ascii="新宋体" w:hAnsi="新宋体" w:eastAsia="新宋体"/>
          <w:color w:val="auto"/>
          <w:szCs w:val="21"/>
          <w:highlight w:val="none"/>
        </w:rPr>
        <w:t>它对本招标文件中打★号的条款未完全响应的。</w:t>
      </w:r>
    </w:p>
    <w:p w14:paraId="10B11730">
      <w:pPr>
        <w:shd w:val="clear"/>
        <w:spacing w:line="440" w:lineRule="exact"/>
        <w:ind w:firstLine="420" w:firstLineChars="200"/>
        <w:rPr>
          <w:rFonts w:hint="eastAsia" w:ascii="新宋体" w:hAnsi="新宋体" w:eastAsia="宋体"/>
          <w:color w:val="auto"/>
          <w:szCs w:val="21"/>
          <w:highlight w:val="none"/>
          <w:lang w:val="en-US" w:eastAsia="zh-CN"/>
        </w:rPr>
      </w:pPr>
      <w:r>
        <w:rPr>
          <w:rFonts w:hint="eastAsia" w:ascii="新宋体" w:hAnsi="新宋体" w:eastAsia="新宋体"/>
          <w:color w:val="auto"/>
          <w:kern w:val="0"/>
          <w:szCs w:val="21"/>
          <w:highlight w:val="none"/>
        </w:rPr>
        <w:t>2.9</w:t>
      </w:r>
      <w:r>
        <w:rPr>
          <w:rFonts w:hint="eastAsia" w:ascii="宋体" w:hAnsi="宋体" w:cs="Courier New"/>
          <w:color w:val="auto"/>
          <w:highlight w:val="none"/>
        </w:rPr>
        <w:t>义乌市水务集团履约评价等级为D级及以下或在限制期内</w:t>
      </w:r>
      <w:r>
        <w:rPr>
          <w:rFonts w:hint="eastAsia" w:ascii="宋体" w:hAnsi="宋体" w:cs="Courier New"/>
          <w:color w:val="auto"/>
          <w:highlight w:val="none"/>
          <w:lang w:eastAsia="zh-CN"/>
        </w:rPr>
        <w:t>。</w:t>
      </w:r>
    </w:p>
    <w:p w14:paraId="0E22C985">
      <w:pPr>
        <w:shd w:val="clear"/>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kern w:val="0"/>
          <w:szCs w:val="21"/>
          <w:highlight w:val="none"/>
        </w:rPr>
        <w:t>2.</w:t>
      </w:r>
      <w:r>
        <w:rPr>
          <w:rFonts w:hint="eastAsia" w:ascii="新宋体" w:hAnsi="新宋体" w:eastAsia="新宋体"/>
          <w:color w:val="auto"/>
          <w:kern w:val="0"/>
          <w:szCs w:val="21"/>
          <w:highlight w:val="none"/>
          <w:lang w:val="en-US" w:eastAsia="zh-CN"/>
        </w:rPr>
        <w:t>10</w:t>
      </w:r>
      <w:r>
        <w:rPr>
          <w:rFonts w:hint="eastAsia" w:ascii="新宋体" w:hAnsi="新宋体" w:eastAsia="新宋体"/>
          <w:color w:val="auto"/>
          <w:kern w:val="0"/>
          <w:szCs w:val="21"/>
          <w:highlight w:val="none"/>
        </w:rPr>
        <w:t>经评标委员会认定，</w:t>
      </w:r>
      <w:r>
        <w:rPr>
          <w:rFonts w:hint="eastAsia" w:ascii="新宋体" w:hAnsi="新宋体" w:eastAsia="新宋体"/>
          <w:color w:val="auto"/>
          <w:szCs w:val="21"/>
          <w:highlight w:val="none"/>
        </w:rPr>
        <w:t>投标文件附有采购人不能接受的条件。</w:t>
      </w:r>
    </w:p>
    <w:p w14:paraId="240146F4">
      <w:pPr>
        <w:shd w:val="clear"/>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2.1</w:t>
      </w:r>
      <w:r>
        <w:rPr>
          <w:rFonts w:hint="eastAsia" w:ascii="新宋体" w:hAnsi="新宋体" w:eastAsia="新宋体"/>
          <w:color w:val="auto"/>
          <w:szCs w:val="21"/>
          <w:highlight w:val="none"/>
          <w:lang w:val="en-US" w:eastAsia="zh-CN"/>
        </w:rPr>
        <w:t>1</w:t>
      </w:r>
      <w:r>
        <w:rPr>
          <w:rFonts w:hint="eastAsia" w:ascii="新宋体" w:hAnsi="新宋体" w:eastAsia="新宋体"/>
          <w:color w:val="auto"/>
          <w:szCs w:val="21"/>
          <w:highlight w:val="none"/>
        </w:rPr>
        <w:t>评标委员会要求投标人对其投标文件作出</w:t>
      </w:r>
      <w:r>
        <w:rPr>
          <w:rFonts w:hint="eastAsia" w:ascii="新宋体" w:hAnsi="新宋体" w:eastAsia="新宋体"/>
          <w:b/>
          <w:color w:val="auto"/>
          <w:szCs w:val="21"/>
          <w:highlight w:val="none"/>
        </w:rPr>
        <w:t>澄清或说明，</w:t>
      </w:r>
      <w:r>
        <w:rPr>
          <w:rFonts w:hint="eastAsia" w:ascii="新宋体" w:hAnsi="新宋体" w:eastAsia="新宋体"/>
          <w:color w:val="auto"/>
          <w:szCs w:val="21"/>
          <w:highlight w:val="none"/>
        </w:rPr>
        <w:t>如果投标人代表拒绝</w:t>
      </w:r>
      <w:r>
        <w:rPr>
          <w:rFonts w:hint="eastAsia" w:ascii="新宋体" w:hAnsi="新宋体" w:eastAsia="新宋体"/>
          <w:b/>
          <w:color w:val="auto"/>
          <w:szCs w:val="21"/>
          <w:highlight w:val="none"/>
        </w:rPr>
        <w:t>澄清或说明的，或者拒绝签字的</w:t>
      </w:r>
      <w:r>
        <w:rPr>
          <w:rFonts w:hint="eastAsia" w:ascii="新宋体" w:hAnsi="新宋体" w:eastAsia="新宋体"/>
          <w:color w:val="auto"/>
          <w:szCs w:val="21"/>
          <w:highlight w:val="none"/>
        </w:rPr>
        <w:t>。</w:t>
      </w:r>
    </w:p>
    <w:p w14:paraId="338767FB">
      <w:pPr>
        <w:shd w:val="clear"/>
        <w:adjustRightInd w:val="0"/>
        <w:snapToGrid w:val="0"/>
        <w:spacing w:line="440" w:lineRule="exact"/>
        <w:ind w:firstLine="422" w:firstLineChars="200"/>
        <w:rPr>
          <w:rFonts w:hint="eastAsia" w:ascii="新宋体" w:hAnsi="新宋体" w:eastAsia="新宋体"/>
          <w:b/>
          <w:color w:val="auto"/>
          <w:szCs w:val="21"/>
          <w:highlight w:val="none"/>
        </w:rPr>
      </w:pPr>
      <w:r>
        <w:rPr>
          <w:rFonts w:hint="eastAsia" w:ascii="新宋体" w:hAnsi="新宋体" w:eastAsia="新宋体"/>
          <w:b/>
          <w:color w:val="auto"/>
          <w:szCs w:val="21"/>
          <w:highlight w:val="none"/>
          <w:shd w:val="pct10" w:color="auto" w:fill="FFFFFF"/>
        </w:rPr>
        <w:t>3.投标文件在投标报价评审出现下列情形之一的，由评标委员会审核后按无效投标文件处理：</w:t>
      </w:r>
    </w:p>
    <w:p w14:paraId="01B5C4BC">
      <w:pPr>
        <w:shd w:val="clear"/>
        <w:adjustRightInd w:val="0"/>
        <w:snapToGrid w:val="0"/>
        <w:spacing w:line="440" w:lineRule="exact"/>
        <w:ind w:firstLine="420" w:firstLineChars="200"/>
        <w:rPr>
          <w:rFonts w:hint="eastAsia" w:ascii="新宋体" w:hAnsi="新宋体" w:eastAsia="新宋体"/>
          <w:color w:val="auto"/>
          <w:kern w:val="0"/>
          <w:szCs w:val="21"/>
          <w:highlight w:val="none"/>
        </w:rPr>
      </w:pPr>
      <w:r>
        <w:rPr>
          <w:rFonts w:hint="eastAsia" w:ascii="新宋体" w:hAnsi="新宋体" w:eastAsia="新宋体"/>
          <w:color w:val="auto"/>
          <w:szCs w:val="21"/>
          <w:highlight w:val="none"/>
        </w:rPr>
        <w:t>3.1招标文件关于投标文件组成内容报价响应文件要求中打“</w:t>
      </w:r>
      <w:r>
        <w:rPr>
          <w:rFonts w:ascii="新宋体" w:hAnsi="新宋体" w:eastAsia="新宋体"/>
          <w:color w:val="auto"/>
          <w:szCs w:val="21"/>
          <w:highlight w:val="none"/>
        </w:rPr>
        <w:t>★</w:t>
      </w:r>
      <w:r>
        <w:rPr>
          <w:rFonts w:hint="eastAsia" w:ascii="新宋体" w:hAnsi="新宋体" w:eastAsia="新宋体"/>
          <w:color w:val="auto"/>
          <w:szCs w:val="21"/>
          <w:highlight w:val="none"/>
        </w:rPr>
        <w:t>”的</w:t>
      </w:r>
      <w:r>
        <w:rPr>
          <w:rFonts w:hint="eastAsia" w:ascii="新宋体" w:hAnsi="新宋体" w:eastAsia="新宋体"/>
          <w:color w:val="auto"/>
          <w:kern w:val="0"/>
          <w:szCs w:val="21"/>
          <w:highlight w:val="none"/>
        </w:rPr>
        <w:t>内容，投标人的投标文件内容未提供完整，或关键字迹模糊、无法辨认的，或未按其规定的格式及要求填写、签字、盖章，或提供的投标文件内容不符合招标文件的中有关打★号的条款的规定。</w:t>
      </w:r>
    </w:p>
    <w:p w14:paraId="6C2D482C">
      <w:pPr>
        <w:shd w:val="clear"/>
        <w:adjustRightInd w:val="0"/>
        <w:snapToGrid w:val="0"/>
        <w:spacing w:line="440" w:lineRule="exact"/>
        <w:ind w:firstLine="420" w:firstLineChars="200"/>
        <w:rPr>
          <w:rFonts w:hint="eastAsia" w:ascii="新宋体" w:hAnsi="新宋体" w:eastAsia="新宋体"/>
          <w:color w:val="auto"/>
          <w:kern w:val="0"/>
          <w:szCs w:val="21"/>
          <w:highlight w:val="none"/>
        </w:rPr>
      </w:pPr>
      <w:r>
        <w:rPr>
          <w:rFonts w:hint="eastAsia" w:ascii="新宋体" w:hAnsi="新宋体" w:eastAsia="新宋体"/>
          <w:color w:val="auto"/>
          <w:kern w:val="0"/>
          <w:szCs w:val="21"/>
          <w:highlight w:val="none"/>
        </w:rPr>
        <w:t>3.2投标总价高于预算价（或最高限价）</w:t>
      </w:r>
      <w:r>
        <w:rPr>
          <w:rFonts w:hint="eastAsia" w:ascii="新宋体" w:hAnsi="新宋体" w:eastAsia="新宋体"/>
          <w:color w:val="auto"/>
          <w:kern w:val="0"/>
          <w:szCs w:val="21"/>
          <w:highlight w:val="none"/>
          <w:lang w:val="en-US" w:eastAsia="zh-CN"/>
        </w:rPr>
        <w:t>或投标单价高于单价最高限价</w:t>
      </w:r>
      <w:r>
        <w:rPr>
          <w:rFonts w:hint="eastAsia" w:ascii="新宋体" w:hAnsi="新宋体" w:eastAsia="新宋体"/>
          <w:color w:val="auto"/>
          <w:kern w:val="0"/>
          <w:szCs w:val="21"/>
          <w:highlight w:val="none"/>
        </w:rPr>
        <w:t>。</w:t>
      </w:r>
    </w:p>
    <w:p w14:paraId="7E959D5C">
      <w:pPr>
        <w:shd w:val="clea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3.3投标人的所投产品的数量不符合招标文件规定的。</w:t>
      </w:r>
    </w:p>
    <w:p w14:paraId="6A7A0281">
      <w:pPr>
        <w:shd w:val="clea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3.4投标人的投标报价未明确的，或者对同一采购项目提供两个或两个以上报价且未声明哪一个有效的，或者对同一采购项目提供两个或两个以上成本价且未声明哪一个有效。</w:t>
      </w:r>
    </w:p>
    <w:p w14:paraId="5C6748E0">
      <w:pPr>
        <w:shd w:val="clea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3.5经评标委员会审议认为投标文件附有采购人不能接受的条件。评标委员会认为投标人的报价明显低于其他通过符合性审查投标人的报价，有可能影响服务质量或者不能诚信履约的，要求其在评标系统合理的时间内提供书面说明，必要时提交相关证明材料；投标人不能证明其报价合理性的。</w:t>
      </w:r>
    </w:p>
    <w:p w14:paraId="37B2E2EE">
      <w:pPr>
        <w:shd w:val="clea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3.6其它对本招标文件中打★号的条款未完全响应的。</w:t>
      </w:r>
    </w:p>
    <w:p w14:paraId="53373C70">
      <w:pPr>
        <w:shd w:val="clea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3.7当投标人由于报价计算错误，投标人拒绝接受按招标文件的规定进行的修正处理（或投标人代表拒绝签名确认）。</w:t>
      </w:r>
    </w:p>
    <w:p w14:paraId="5100F847">
      <w:pPr>
        <w:shd w:val="clear"/>
        <w:adjustRightInd w:val="0"/>
        <w:snapToGrid w:val="0"/>
        <w:spacing w:line="440" w:lineRule="exact"/>
        <w:ind w:firstLine="422" w:firstLineChars="200"/>
        <w:rPr>
          <w:rFonts w:hint="eastAsia" w:ascii="新宋体" w:hAnsi="新宋体" w:eastAsia="新宋体"/>
          <w:b/>
          <w:bCs/>
          <w:color w:val="auto"/>
          <w:szCs w:val="21"/>
          <w:highlight w:val="none"/>
        </w:rPr>
      </w:pPr>
      <w:r>
        <w:rPr>
          <w:rFonts w:hint="eastAsia" w:ascii="新宋体" w:hAnsi="新宋体" w:eastAsia="新宋体"/>
          <w:b/>
          <w:bCs/>
          <w:color w:val="auto"/>
          <w:szCs w:val="21"/>
          <w:highlight w:val="none"/>
        </w:rPr>
        <w:t>4</w:t>
      </w:r>
      <w:r>
        <w:rPr>
          <w:rFonts w:hint="eastAsia" w:ascii="新宋体" w:hAnsi="新宋体" w:eastAsia="新宋体"/>
          <w:b/>
          <w:bCs/>
          <w:color w:val="auto"/>
          <w:szCs w:val="21"/>
          <w:highlight w:val="none"/>
          <w:lang w:eastAsia="zh-CN"/>
        </w:rPr>
        <w:t>.</w:t>
      </w:r>
      <w:r>
        <w:rPr>
          <w:rFonts w:hint="eastAsia" w:ascii="新宋体" w:hAnsi="新宋体" w:eastAsia="新宋体"/>
          <w:b/>
          <w:bCs/>
          <w:color w:val="auto"/>
          <w:szCs w:val="21"/>
          <w:highlight w:val="none"/>
        </w:rPr>
        <w:t>在资格审查及评审过程中，符合中华人民共和国财政部令第87号《政府采购货物和服务招标投标管理办法》第三十七条情形之一的，视为投标人串通投标，其投标无效，并移送采购监管部门：</w:t>
      </w:r>
    </w:p>
    <w:p w14:paraId="5659D112">
      <w:pPr>
        <w:shd w:val="clea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（1）不同投标人的投标文件由同一单位或者个人编制；</w:t>
      </w:r>
    </w:p>
    <w:p w14:paraId="2D00128F">
      <w:pPr>
        <w:shd w:val="clea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（2）不同投标人委托同一单位或者个人办理投标事宜；</w:t>
      </w:r>
    </w:p>
    <w:p w14:paraId="2764544E">
      <w:pPr>
        <w:shd w:val="clea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（3）不同投标人的投标文件载明的项目管理成员或者联系人员为同一人；</w:t>
      </w:r>
    </w:p>
    <w:p w14:paraId="30C222E6">
      <w:pPr>
        <w:shd w:val="clea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（4）不同投标人的投标文件异常一致或者投标报价呈规律性差异；</w:t>
      </w:r>
    </w:p>
    <w:p w14:paraId="5B31D052">
      <w:pPr>
        <w:shd w:val="clea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（5）不同投标人的投标文件相互混装。</w:t>
      </w:r>
    </w:p>
    <w:p w14:paraId="1713A863">
      <w:pPr>
        <w:shd w:val="clear"/>
        <w:spacing w:line="440" w:lineRule="exact"/>
        <w:ind w:firstLine="422" w:firstLineChars="2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5.同一个标段（包）的供应商存在下列情形之一的，其投标（响应）文件无效：</w:t>
      </w:r>
    </w:p>
    <w:p w14:paraId="2522B630">
      <w:pPr>
        <w:shd w:val="clear"/>
        <w:adjustRightInd w:val="0"/>
        <w:snapToGrid w:val="0"/>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5.1不同供应商制作电子投标（响应）文件的计算机网卡 mAc 地址相同的。</w:t>
      </w:r>
    </w:p>
    <w:p w14:paraId="0F9785F9">
      <w:pPr>
        <w:shd w:val="clear"/>
        <w:adjustRightInd w:val="0"/>
        <w:snapToGrid w:val="0"/>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5.2不同供应商制作电子投标（响应）文件的计算机硬盘序列号相同的。</w:t>
      </w:r>
    </w:p>
    <w:p w14:paraId="6E641A12">
      <w:pPr>
        <w:shd w:val="clear"/>
        <w:adjustRightInd w:val="0"/>
        <w:snapToGrid w:val="0"/>
        <w:spacing w:line="440" w:lineRule="exact"/>
        <w:ind w:firstLine="420" w:firstLineChars="200"/>
        <w:rPr>
          <w:rFonts w:hint="eastAsia" w:ascii="新宋体" w:hAnsi="新宋体" w:eastAsia="新宋体" w:cs="Times New Roman"/>
          <w:b/>
          <w:bCs/>
          <w:color w:val="auto"/>
          <w:szCs w:val="21"/>
          <w:highlight w:val="none"/>
        </w:rPr>
      </w:pPr>
      <w:r>
        <w:rPr>
          <w:rFonts w:hint="eastAsia" w:ascii="宋体" w:hAnsi="宋体" w:eastAsia="宋体" w:cs="宋体"/>
          <w:color w:val="auto"/>
          <w:szCs w:val="21"/>
          <w:highlight w:val="none"/>
        </w:rPr>
        <w:t>5.3不同供应商的投标（响应）文件的内容存在两处以上细节错误一致，且无法合理解释的。</w:t>
      </w:r>
    </w:p>
    <w:p w14:paraId="72178FDA">
      <w:pPr>
        <w:shd w:val="clear"/>
        <w:adjustRightInd w:val="0"/>
        <w:snapToGrid w:val="0"/>
        <w:spacing w:line="440" w:lineRule="exact"/>
        <w:ind w:firstLine="422" w:firstLineChars="200"/>
        <w:rPr>
          <w:rFonts w:hint="eastAsia" w:ascii="新宋体" w:hAnsi="新宋体" w:eastAsia="新宋体" w:cs="Times New Roman"/>
          <w:b/>
          <w:bCs/>
          <w:color w:val="auto"/>
          <w:szCs w:val="21"/>
          <w:highlight w:val="none"/>
        </w:rPr>
      </w:pPr>
      <w:r>
        <w:rPr>
          <w:rFonts w:hint="eastAsia" w:ascii="新宋体" w:hAnsi="新宋体" w:eastAsia="新宋体" w:cs="Times New Roman"/>
          <w:b/>
          <w:bCs/>
          <w:color w:val="auto"/>
          <w:szCs w:val="21"/>
          <w:highlight w:val="none"/>
          <w:lang w:val="en-US" w:eastAsia="zh-CN"/>
        </w:rPr>
        <w:t>6</w:t>
      </w:r>
      <w:r>
        <w:rPr>
          <w:rFonts w:hint="eastAsia" w:ascii="新宋体" w:hAnsi="新宋体" w:eastAsia="新宋体" w:cs="Times New Roman"/>
          <w:b/>
          <w:bCs/>
          <w:color w:val="auto"/>
          <w:szCs w:val="21"/>
          <w:highlight w:val="none"/>
        </w:rPr>
        <w:t>.其他违反法律法规的情况。</w:t>
      </w:r>
    </w:p>
    <w:p w14:paraId="5C224717">
      <w:pPr>
        <w:shd w:val="clear"/>
        <w:spacing w:line="460" w:lineRule="exact"/>
        <w:ind w:firstLine="422" w:firstLineChars="200"/>
        <w:rPr>
          <w:rFonts w:ascii="宋体" w:cs="宋体"/>
          <w:b/>
          <w:bCs/>
          <w:color w:val="auto"/>
          <w:kern w:val="0"/>
          <w:szCs w:val="21"/>
          <w:highlight w:val="none"/>
        </w:rPr>
      </w:pPr>
      <w:r>
        <w:rPr>
          <w:rFonts w:hint="eastAsia" w:ascii="新宋体" w:hAnsi="新宋体" w:eastAsia="新宋体"/>
          <w:b/>
          <w:color w:val="auto"/>
          <w:kern w:val="0"/>
          <w:szCs w:val="21"/>
          <w:highlight w:val="none"/>
          <w:lang w:val="en-US" w:eastAsia="zh-CN"/>
        </w:rPr>
        <w:t>7</w:t>
      </w:r>
      <w:r>
        <w:rPr>
          <w:rFonts w:hint="eastAsia" w:ascii="新宋体" w:hAnsi="新宋体" w:eastAsia="新宋体"/>
          <w:b/>
          <w:color w:val="auto"/>
          <w:kern w:val="0"/>
          <w:szCs w:val="21"/>
          <w:highlight w:val="none"/>
        </w:rPr>
        <w:t>.评标过程中，非上述所罗列的情况，不得以无效标处理</w:t>
      </w:r>
      <w:r>
        <w:rPr>
          <w:rFonts w:hint="eastAsia" w:ascii="宋体" w:hAnsi="宋体" w:cs="宋体"/>
          <w:b/>
          <w:bCs/>
          <w:color w:val="auto"/>
          <w:kern w:val="0"/>
          <w:szCs w:val="21"/>
          <w:highlight w:val="none"/>
        </w:rPr>
        <w:t>。</w:t>
      </w:r>
    </w:p>
    <w:p w14:paraId="55D88476">
      <w:pPr>
        <w:shd w:val="clear"/>
        <w:spacing w:line="460" w:lineRule="exact"/>
        <w:ind w:firstLine="422" w:firstLineChars="200"/>
        <w:rPr>
          <w:rFonts w:ascii="宋体" w:cs="宋体"/>
          <w:b/>
          <w:bCs/>
          <w:color w:val="auto"/>
          <w:kern w:val="0"/>
          <w:szCs w:val="21"/>
          <w:highlight w:val="none"/>
        </w:rPr>
      </w:pPr>
    </w:p>
    <w:p w14:paraId="0955EA08">
      <w:pPr>
        <w:shd w:val="clear"/>
        <w:spacing w:line="420" w:lineRule="exact"/>
        <w:ind w:firstLine="422" w:firstLineChars="200"/>
        <w:rPr>
          <w:rFonts w:hint="eastAsia"/>
          <w:b/>
          <w:bCs/>
          <w:color w:val="auto"/>
          <w:szCs w:val="21"/>
          <w:highlight w:val="none"/>
        </w:rPr>
      </w:pPr>
    </w:p>
    <w:p w14:paraId="2F85117E">
      <w:pPr>
        <w:shd w:val="clear"/>
        <w:spacing w:line="420" w:lineRule="exact"/>
        <w:ind w:firstLine="422" w:firstLineChars="200"/>
        <w:rPr>
          <w:rFonts w:hint="eastAsia"/>
          <w:b/>
          <w:bCs/>
          <w:color w:val="auto"/>
          <w:szCs w:val="21"/>
          <w:highlight w:val="none"/>
        </w:rPr>
      </w:pPr>
    </w:p>
    <w:p w14:paraId="793F110F">
      <w:pPr>
        <w:shd w:val="clear"/>
        <w:spacing w:line="420" w:lineRule="exact"/>
        <w:ind w:firstLine="480" w:firstLineChars="200"/>
        <w:rPr>
          <w:rFonts w:hint="eastAsia"/>
          <w:color w:val="auto"/>
          <w:sz w:val="24"/>
          <w:highlight w:val="none"/>
        </w:rPr>
      </w:pPr>
    </w:p>
    <w:p w14:paraId="5AD2D51E">
      <w:pPr>
        <w:shd w:val="clear"/>
        <w:spacing w:line="420" w:lineRule="exact"/>
        <w:rPr>
          <w:rFonts w:hint="eastAsia"/>
          <w:color w:val="auto"/>
          <w:sz w:val="24"/>
          <w:highlight w:val="none"/>
        </w:rPr>
      </w:pPr>
    </w:p>
    <w:p w14:paraId="11B1C4CF">
      <w:pPr>
        <w:shd w:val="clear"/>
        <w:spacing w:line="420" w:lineRule="exact"/>
        <w:rPr>
          <w:rFonts w:hint="eastAsia"/>
          <w:color w:val="auto"/>
          <w:sz w:val="24"/>
          <w:highlight w:val="none"/>
        </w:rPr>
      </w:pPr>
    </w:p>
    <w:p w14:paraId="6614E175">
      <w:pPr>
        <w:shd w:val="clear"/>
        <w:spacing w:line="420" w:lineRule="exact"/>
        <w:rPr>
          <w:rFonts w:hint="eastAsia"/>
          <w:color w:val="auto"/>
          <w:sz w:val="24"/>
          <w:highlight w:val="none"/>
        </w:rPr>
      </w:pPr>
    </w:p>
    <w:p w14:paraId="5D971338">
      <w:pPr>
        <w:shd w:val="clear"/>
        <w:spacing w:line="420" w:lineRule="exact"/>
        <w:rPr>
          <w:rFonts w:hint="eastAsia"/>
          <w:color w:val="auto"/>
          <w:sz w:val="24"/>
          <w:highlight w:val="none"/>
        </w:rPr>
      </w:pPr>
    </w:p>
    <w:p w14:paraId="47EF0395">
      <w:pPr>
        <w:shd w:val="clear"/>
        <w:spacing w:line="420" w:lineRule="exact"/>
        <w:rPr>
          <w:rFonts w:hint="eastAsia"/>
          <w:color w:val="auto"/>
          <w:sz w:val="24"/>
          <w:highlight w:val="none"/>
        </w:rPr>
      </w:pPr>
    </w:p>
    <w:p w14:paraId="08252DCD">
      <w:pPr>
        <w:shd w:val="clear"/>
        <w:spacing w:line="420" w:lineRule="exact"/>
        <w:rPr>
          <w:rFonts w:hint="eastAsia"/>
          <w:color w:val="auto"/>
          <w:sz w:val="24"/>
          <w:highlight w:val="none"/>
        </w:rPr>
      </w:pPr>
    </w:p>
    <w:p w14:paraId="059E40F3">
      <w:pPr>
        <w:shd w:val="clear"/>
        <w:spacing w:line="420" w:lineRule="exact"/>
        <w:rPr>
          <w:rFonts w:hint="eastAsia"/>
          <w:color w:val="auto"/>
          <w:sz w:val="24"/>
          <w:highlight w:val="none"/>
        </w:rPr>
      </w:pPr>
    </w:p>
    <w:p w14:paraId="145B0B09">
      <w:pPr>
        <w:shd w:val="clear"/>
        <w:spacing w:line="420" w:lineRule="exact"/>
        <w:rPr>
          <w:rFonts w:hint="eastAsia"/>
          <w:color w:val="auto"/>
          <w:sz w:val="24"/>
          <w:highlight w:val="none"/>
        </w:rPr>
      </w:pPr>
    </w:p>
    <w:p w14:paraId="743875F2">
      <w:pPr>
        <w:pStyle w:val="4"/>
        <w:keepNext/>
        <w:keepLines/>
        <w:pageBreakBefore w:val="0"/>
        <w:widowControl w:val="0"/>
        <w:numPr>
          <w:ilvl w:val="0"/>
          <w:numId w:val="0"/>
        </w:numPr>
        <w:shd w:val="clear"/>
        <w:kinsoku/>
        <w:wordWrap/>
        <w:overflowPunct/>
        <w:topLinePunct w:val="0"/>
        <w:autoSpaceDE/>
        <w:autoSpaceDN/>
        <w:bidi w:val="0"/>
        <w:adjustRightInd/>
        <w:snapToGrid/>
        <w:spacing w:before="340" w:after="330" w:line="240" w:lineRule="exact"/>
        <w:ind w:left="0" w:leftChars="0" w:right="0" w:rightChars="0"/>
        <w:jc w:val="center"/>
        <w:textAlignment w:val="auto"/>
        <w:rPr>
          <w:rFonts w:hint="eastAsia" w:ascii="Times New Roman" w:hAnsi="Times New Roman" w:eastAsia="宋体" w:cs="Times New Roman"/>
          <w:b/>
          <w:bCs/>
          <w:color w:val="auto"/>
          <w:kern w:val="44"/>
          <w:sz w:val="36"/>
          <w:szCs w:val="44"/>
          <w:highlight w:val="none"/>
          <w:lang w:val="en-US" w:eastAsia="zh-CN" w:bidi="ar-SA"/>
        </w:rPr>
      </w:pPr>
      <w:bookmarkStart w:id="62" w:name="_Toc274303255"/>
      <w:bookmarkStart w:id="63" w:name="_Toc19786"/>
      <w:bookmarkStart w:id="64" w:name="_Toc362250708"/>
      <w:bookmarkStart w:id="65" w:name="_Toc226973004"/>
      <w:bookmarkStart w:id="66" w:name="_Toc145992551"/>
      <w:bookmarkStart w:id="67" w:name="_Toc274303257"/>
      <w:r>
        <w:rPr>
          <w:rFonts w:hint="eastAsia" w:ascii="Times New Roman" w:hAnsi="Times New Roman" w:eastAsia="宋体" w:cs="Times New Roman"/>
          <w:b/>
          <w:bCs/>
          <w:color w:val="auto"/>
          <w:kern w:val="44"/>
          <w:sz w:val="36"/>
          <w:szCs w:val="44"/>
          <w:highlight w:val="none"/>
          <w:lang w:val="en-US" w:eastAsia="zh-CN" w:bidi="ar-SA"/>
        </w:rPr>
        <w:br w:type="page"/>
      </w:r>
      <w:bookmarkStart w:id="68" w:name="_Toc27153"/>
      <w:r>
        <w:rPr>
          <w:rFonts w:hint="eastAsia" w:ascii="Times New Roman" w:hAnsi="Times New Roman" w:eastAsia="宋体" w:cs="Times New Roman"/>
          <w:b/>
          <w:bCs/>
          <w:color w:val="auto"/>
          <w:kern w:val="44"/>
          <w:sz w:val="36"/>
          <w:szCs w:val="44"/>
          <w:highlight w:val="none"/>
          <w:lang w:val="en-US" w:eastAsia="zh-CN" w:bidi="ar-SA"/>
        </w:rPr>
        <w:t>第六章</w:t>
      </w:r>
      <w:r>
        <w:rPr>
          <w:rFonts w:ascii="Times New Roman" w:hAnsi="Times New Roman" w:eastAsia="宋体" w:cs="Times New Roman"/>
          <w:b/>
          <w:bCs/>
          <w:color w:val="auto"/>
          <w:kern w:val="44"/>
          <w:sz w:val="36"/>
          <w:szCs w:val="44"/>
          <w:highlight w:val="none"/>
          <w:lang w:val="en-US" w:eastAsia="zh-CN" w:bidi="ar-SA"/>
        </w:rPr>
        <w:t xml:space="preserve">  </w:t>
      </w:r>
      <w:r>
        <w:rPr>
          <w:rFonts w:hint="eastAsia" w:ascii="Times New Roman" w:hAnsi="Times New Roman" w:eastAsia="宋体" w:cs="Times New Roman"/>
          <w:b/>
          <w:bCs/>
          <w:color w:val="auto"/>
          <w:kern w:val="44"/>
          <w:sz w:val="36"/>
          <w:szCs w:val="44"/>
          <w:highlight w:val="none"/>
          <w:lang w:val="en-US" w:eastAsia="zh-CN" w:bidi="ar-SA"/>
        </w:rPr>
        <w:t>评标办法</w:t>
      </w:r>
      <w:bookmarkEnd w:id="62"/>
      <w:bookmarkEnd w:id="63"/>
      <w:bookmarkEnd w:id="64"/>
      <w:bookmarkEnd w:id="65"/>
      <w:bookmarkEnd w:id="66"/>
      <w:bookmarkEnd w:id="68"/>
    </w:p>
    <w:bookmarkEnd w:id="67"/>
    <w:p w14:paraId="4C61AD2E">
      <w:pPr>
        <w:pStyle w:val="64"/>
        <w:keepNext w:val="0"/>
        <w:keepLines w:val="0"/>
        <w:pageBreakBefore w:val="0"/>
        <w:widowControl w:val="0"/>
        <w:shd w:val="clear"/>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bookmarkStart w:id="69" w:name="_Toc358884475"/>
      <w:bookmarkStart w:id="70" w:name="_Toc295815145"/>
      <w:bookmarkStart w:id="71" w:name="_Toc330474791"/>
      <w:bookmarkStart w:id="72" w:name="_Toc323024194"/>
      <w:bookmarkStart w:id="73" w:name="_Toc269969080"/>
      <w:bookmarkStart w:id="74" w:name="_Toc362250710"/>
      <w:r>
        <w:rPr>
          <w:rFonts w:hint="eastAsia" w:ascii="宋体" w:hAnsi="宋体" w:eastAsia="宋体" w:cs="宋体"/>
          <w:color w:val="auto"/>
          <w:sz w:val="21"/>
          <w:szCs w:val="21"/>
          <w:highlight w:val="none"/>
        </w:rPr>
        <w:t>根据《中华人民共和国招标投标法》的有关规定，遵循“公开、公平、公正”的原则，结合本次招标的特点，特制定本评标细则。</w:t>
      </w:r>
    </w:p>
    <w:p w14:paraId="56BDDB7C">
      <w:pPr>
        <w:pStyle w:val="5"/>
        <w:pageBreakBefore w:val="0"/>
        <w:widowControl w:val="0"/>
        <w:shd w:val="clear"/>
        <w:kinsoku/>
        <w:wordWrap/>
        <w:overflowPunct/>
        <w:topLinePunct w:val="0"/>
        <w:autoSpaceDE/>
        <w:autoSpaceDN/>
        <w:bidi w:val="0"/>
        <w:spacing w:before="120" w:after="120" w:line="360" w:lineRule="auto"/>
        <w:rPr>
          <w:rFonts w:hint="eastAsia" w:ascii="宋体" w:hAnsi="宋体" w:eastAsia="宋体" w:cs="宋体"/>
          <w:color w:val="auto"/>
          <w:sz w:val="21"/>
          <w:szCs w:val="21"/>
          <w:highlight w:val="none"/>
        </w:rPr>
      </w:pPr>
      <w:bookmarkStart w:id="75" w:name="_Toc9399"/>
      <w:r>
        <w:rPr>
          <w:rFonts w:hint="eastAsia" w:ascii="宋体" w:hAnsi="宋体" w:eastAsia="宋体" w:cs="宋体"/>
          <w:color w:val="auto"/>
          <w:sz w:val="21"/>
          <w:szCs w:val="21"/>
          <w:highlight w:val="none"/>
        </w:rPr>
        <w:t>一、评审程序</w:t>
      </w:r>
      <w:bookmarkEnd w:id="75"/>
    </w:p>
    <w:p w14:paraId="35E9299D">
      <w:pPr>
        <w:pStyle w:val="18"/>
        <w:keepNext w:val="0"/>
        <w:keepLines w:val="0"/>
        <w:pageBreakBefore w:val="0"/>
        <w:widowControl w:val="0"/>
        <w:shd w:val="clear"/>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评标委员会以开标、评标、询标情况为基本依据，按照招标文件的规定，对各投标人的投标文件分资格、商务技术、投标报价三个部分按以下程序进行分析、评议： </w:t>
      </w:r>
    </w:p>
    <w:p w14:paraId="725AFCF5">
      <w:pPr>
        <w:pStyle w:val="18"/>
        <w:keepNext w:val="0"/>
        <w:keepLines w:val="0"/>
        <w:pageBreakBefore w:val="0"/>
        <w:widowControl w:val="0"/>
        <w:shd w:val="clear"/>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（一）对所有投标人的资格响应文件进行审查，并以开标当日为准，对投标人“信用中国”网站（www.creditchina.gov.cn）、中国政府采购网（www.ccgp.gov.cn）信用记录情况进行查询；</w:t>
      </w:r>
    </w:p>
    <w:p w14:paraId="2C856981">
      <w:pPr>
        <w:pStyle w:val="18"/>
        <w:keepNext w:val="0"/>
        <w:keepLines w:val="0"/>
        <w:pageBreakBefore w:val="0"/>
        <w:widowControl w:val="0"/>
        <w:shd w:val="clear"/>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（二）对通过资格性审查合格的投标标人的商务技术响应文件进行符合性审查；</w:t>
      </w:r>
    </w:p>
    <w:p w14:paraId="2373E1D9">
      <w:pPr>
        <w:pStyle w:val="18"/>
        <w:keepNext w:val="0"/>
        <w:keepLines w:val="0"/>
        <w:pageBreakBefore w:val="0"/>
        <w:widowControl w:val="0"/>
        <w:shd w:val="clear"/>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三）对通过符合性审查有效的投标人的报价文件进行评审；评标委员会认为投标人的报价明显低于其他通过符合性审查投标人的报价，有可能影响服务质量或者不能诚信履约的，应当要求其在评标现场合理的时间内提供书面说明，必要时提交相关证明材料；投标人不能证明其报价合理性的，评标委员会应当将其作为无效投标处理</w:t>
      </w:r>
      <w:r>
        <w:rPr>
          <w:rFonts w:hint="eastAsia" w:ascii="宋体" w:hAnsi="宋体" w:eastAsia="宋体" w:cs="宋体"/>
          <w:color w:val="auto"/>
          <w:sz w:val="21"/>
          <w:szCs w:val="21"/>
          <w:highlight w:val="none"/>
          <w:lang w:eastAsia="zh-CN"/>
        </w:rPr>
        <w:t>。</w:t>
      </w:r>
    </w:p>
    <w:p w14:paraId="055DFBCD">
      <w:pPr>
        <w:pStyle w:val="18"/>
        <w:keepNext w:val="0"/>
        <w:keepLines w:val="0"/>
        <w:pageBreakBefore w:val="0"/>
        <w:widowControl w:val="0"/>
        <w:shd w:val="clear"/>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（四）确定中标人</w:t>
      </w:r>
    </w:p>
    <w:p w14:paraId="258E9B78">
      <w:pPr>
        <w:keepNext w:val="0"/>
        <w:keepLines w:val="0"/>
        <w:pageBreakBefore w:val="0"/>
        <w:widowControl w:val="0"/>
        <w:shd w:val="clear"/>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kern w:val="0"/>
          <w:sz w:val="21"/>
          <w:szCs w:val="21"/>
          <w:highlight w:val="none"/>
        </w:rPr>
        <w:t>采购人授权评标委员会直接确定经评审后的供应商中评标价最低者为成交供应商。评标价相同的，按供应商报价由低到高顺序排列。如出现两家或两家以上最低评标价及供应商报价均相同的情况，则由采购人代表随机抽取确定成交供应商</w:t>
      </w:r>
      <w:r>
        <w:rPr>
          <w:rFonts w:hint="eastAsia" w:ascii="宋体" w:hAnsi="宋体" w:eastAsia="宋体" w:cs="宋体"/>
          <w:color w:val="auto"/>
          <w:sz w:val="21"/>
          <w:szCs w:val="21"/>
          <w:highlight w:val="none"/>
          <w:lang w:eastAsia="zh-CN"/>
        </w:rPr>
        <w:t>；</w:t>
      </w:r>
    </w:p>
    <w:p w14:paraId="661BAB4B">
      <w:pPr>
        <w:keepNext w:val="0"/>
        <w:keepLines w:val="0"/>
        <w:pageBreakBefore w:val="0"/>
        <w:widowControl w:val="0"/>
        <w:shd w:val="clear"/>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2.其次，评标委员会直接确定排名第一的投标人为中标单位。</w:t>
      </w:r>
    </w:p>
    <w:p w14:paraId="0AABC215">
      <w:pPr>
        <w:keepNext w:val="0"/>
        <w:keepLines w:val="0"/>
        <w:pageBreakBefore w:val="0"/>
        <w:widowControl w:val="0"/>
        <w:shd w:val="clear"/>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（五）完成评标报告</w:t>
      </w:r>
    </w:p>
    <w:p w14:paraId="0FAE6C8B">
      <w:pPr>
        <w:pStyle w:val="18"/>
        <w:keepNext w:val="0"/>
        <w:keepLines w:val="0"/>
        <w:pageBreakBefore w:val="0"/>
        <w:widowControl w:val="0"/>
        <w:shd w:val="clear"/>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评标委员会根据评审相关情况作出评标报告。 </w:t>
      </w:r>
    </w:p>
    <w:p w14:paraId="73D527D2">
      <w:pPr>
        <w:pStyle w:val="5"/>
        <w:pageBreakBefore w:val="0"/>
        <w:widowControl w:val="0"/>
        <w:shd w:val="clear"/>
        <w:kinsoku/>
        <w:wordWrap/>
        <w:overflowPunct/>
        <w:topLinePunct w:val="0"/>
        <w:autoSpaceDE/>
        <w:autoSpaceDN/>
        <w:bidi w:val="0"/>
        <w:spacing w:before="120" w:after="120" w:line="360" w:lineRule="auto"/>
        <w:rPr>
          <w:rFonts w:hint="eastAsia" w:ascii="宋体" w:hAnsi="宋体" w:eastAsia="宋体" w:cs="宋体"/>
          <w:color w:val="auto"/>
          <w:sz w:val="21"/>
          <w:szCs w:val="21"/>
          <w:highlight w:val="none"/>
        </w:rPr>
      </w:pPr>
      <w:bookmarkStart w:id="76" w:name="_Toc10871"/>
      <w:r>
        <w:rPr>
          <w:rFonts w:hint="eastAsia" w:ascii="宋体" w:hAnsi="宋体" w:eastAsia="宋体" w:cs="宋体"/>
          <w:color w:val="auto"/>
          <w:sz w:val="21"/>
          <w:szCs w:val="21"/>
          <w:highlight w:val="none"/>
        </w:rPr>
        <w:t>二、确定的中标人放弃中标等情况的处理</w:t>
      </w:r>
      <w:bookmarkEnd w:id="76"/>
    </w:p>
    <w:p w14:paraId="4E3CC99F">
      <w:pPr>
        <w:pStyle w:val="18"/>
        <w:keepNext w:val="0"/>
        <w:keepLines w:val="0"/>
        <w:pageBreakBefore w:val="0"/>
        <w:widowControl w:val="0"/>
        <w:shd w:val="clear"/>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1.</w:t>
      </w:r>
      <w:r>
        <w:rPr>
          <w:rFonts w:hint="eastAsia" w:ascii="宋体" w:hAnsi="宋体" w:eastAsia="宋体" w:cs="宋体"/>
          <w:color w:val="auto"/>
          <w:sz w:val="21"/>
          <w:szCs w:val="21"/>
          <w:highlight w:val="none"/>
        </w:rPr>
        <w:t>当确定的中标人放弃中标，因不可抗力提出不能履行合同，或者质疑投诉成立，取消中标人资格的，都不再确定其余投标人作为中标人。</w:t>
      </w:r>
    </w:p>
    <w:p w14:paraId="188ED4E0">
      <w:pPr>
        <w:pStyle w:val="18"/>
        <w:keepNext w:val="0"/>
        <w:keepLines w:val="0"/>
        <w:pageBreakBefore w:val="0"/>
        <w:widowControl w:val="0"/>
        <w:shd w:val="clear"/>
        <w:kinsoku/>
        <w:wordWrap/>
        <w:overflowPunct/>
        <w:topLinePunct w:val="0"/>
        <w:autoSpaceDE/>
        <w:autoSpaceDN/>
        <w:bidi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hAnsi="宋体" w:cs="宋体"/>
          <w:color w:val="auto"/>
          <w:highlight w:val="none"/>
        </w:rPr>
        <w:t>2.因中标人原因导致定标后无法签订合同的，中标人应按本文件服务费规定支付招标服务费。</w:t>
      </w:r>
    </w:p>
    <w:p w14:paraId="0084C5AF">
      <w:pPr>
        <w:pStyle w:val="5"/>
        <w:pageBreakBefore w:val="0"/>
        <w:widowControl w:val="0"/>
        <w:shd w:val="clear"/>
        <w:kinsoku/>
        <w:wordWrap/>
        <w:overflowPunct/>
        <w:topLinePunct w:val="0"/>
        <w:autoSpaceDE/>
        <w:autoSpaceDN/>
        <w:bidi w:val="0"/>
        <w:spacing w:before="120" w:after="120" w:line="360" w:lineRule="auto"/>
        <w:rPr>
          <w:rFonts w:hint="eastAsia" w:ascii="宋体" w:hAnsi="宋体" w:eastAsia="宋体" w:cs="宋体"/>
          <w:color w:val="auto"/>
          <w:sz w:val="21"/>
          <w:szCs w:val="21"/>
          <w:highlight w:val="none"/>
        </w:rPr>
      </w:pPr>
      <w:bookmarkStart w:id="77" w:name="_Toc6413"/>
      <w:r>
        <w:rPr>
          <w:rFonts w:hint="eastAsia" w:ascii="宋体" w:hAnsi="宋体" w:eastAsia="宋体" w:cs="宋体"/>
          <w:color w:val="auto"/>
          <w:sz w:val="21"/>
          <w:szCs w:val="21"/>
          <w:highlight w:val="none"/>
        </w:rPr>
        <w:t>三、评审办法</w:t>
      </w:r>
      <w:bookmarkEnd w:id="77"/>
    </w:p>
    <w:p w14:paraId="25836389">
      <w:pPr>
        <w:pStyle w:val="18"/>
        <w:keepNext w:val="0"/>
        <w:keepLines w:val="0"/>
        <w:pageBreakBefore w:val="0"/>
        <w:widowControl w:val="0"/>
        <w:shd w:val="clear"/>
        <w:kinsoku/>
        <w:wordWrap/>
        <w:overflowPunct/>
        <w:topLinePunct w:val="0"/>
        <w:autoSpaceDE/>
        <w:autoSpaceDN/>
        <w:bidi w:val="0"/>
        <w:spacing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w:t>
      </w:r>
      <w:r>
        <w:rPr>
          <w:rFonts w:hint="eastAsia" w:hAnsi="宋体" w:cs="宋体"/>
          <w:b/>
          <w:bCs/>
          <w:color w:val="auto"/>
          <w:sz w:val="21"/>
          <w:szCs w:val="21"/>
          <w:highlight w:val="none"/>
          <w:lang w:eastAsia="zh-CN"/>
        </w:rPr>
        <w:t>.</w:t>
      </w:r>
      <w:r>
        <w:rPr>
          <w:rFonts w:hint="eastAsia" w:ascii="宋体" w:hAnsi="宋体" w:eastAsia="宋体" w:cs="宋体"/>
          <w:b/>
          <w:bCs/>
          <w:color w:val="auto"/>
          <w:sz w:val="21"/>
          <w:szCs w:val="21"/>
          <w:highlight w:val="none"/>
        </w:rPr>
        <w:t>技术标符合性评审</w:t>
      </w:r>
    </w:p>
    <w:p w14:paraId="691D8EE1">
      <w:pPr>
        <w:pStyle w:val="18"/>
        <w:keepNext w:val="0"/>
        <w:keepLines w:val="0"/>
        <w:pageBreakBefore w:val="0"/>
        <w:widowControl w:val="0"/>
        <w:shd w:val="clear"/>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1.1 </w:t>
      </w:r>
      <w:r>
        <w:rPr>
          <w:rFonts w:hint="eastAsia" w:ascii="宋体" w:hAnsi="宋体" w:eastAsia="宋体" w:cs="宋体"/>
          <w:bCs/>
          <w:color w:val="auto"/>
          <w:sz w:val="21"/>
          <w:szCs w:val="21"/>
          <w:highlight w:val="none"/>
        </w:rPr>
        <w:t>根据招标文件第五章投标文件的有效性的规定，是否属于无效标或废标；</w:t>
      </w:r>
    </w:p>
    <w:p w14:paraId="4FADFFDA">
      <w:pPr>
        <w:pStyle w:val="18"/>
        <w:keepNext w:val="0"/>
        <w:keepLines w:val="0"/>
        <w:pageBreakBefore w:val="0"/>
        <w:widowControl w:val="0"/>
        <w:shd w:val="clear"/>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 检查投标文件的完整性，如营业执照等资信情况、履约能力；</w:t>
      </w:r>
    </w:p>
    <w:p w14:paraId="62D4FDD0">
      <w:pPr>
        <w:pStyle w:val="18"/>
        <w:keepNext w:val="0"/>
        <w:keepLines w:val="0"/>
        <w:pageBreakBefore w:val="0"/>
        <w:widowControl w:val="0"/>
        <w:shd w:val="clear"/>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 投标人提供的技术参数是否满足本招标项目要求；</w:t>
      </w:r>
    </w:p>
    <w:p w14:paraId="1D870DB1">
      <w:pPr>
        <w:pStyle w:val="18"/>
        <w:keepNext w:val="0"/>
        <w:keepLines w:val="0"/>
        <w:pageBreakBefore w:val="0"/>
        <w:widowControl w:val="0"/>
        <w:shd w:val="clear"/>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 售后服务及有关承诺是否承诺。</w:t>
      </w:r>
    </w:p>
    <w:p w14:paraId="2C326F19">
      <w:pPr>
        <w:pStyle w:val="18"/>
        <w:keepNext w:val="0"/>
        <w:keepLines w:val="0"/>
        <w:pageBreakBefore w:val="0"/>
        <w:widowControl w:val="0"/>
        <w:shd w:val="clear"/>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符合以上要求为技术标入围单位，技术标入围单位进入商务标评审。</w:t>
      </w:r>
    </w:p>
    <w:p w14:paraId="28B083C6">
      <w:pPr>
        <w:keepNext w:val="0"/>
        <w:keepLines w:val="0"/>
        <w:pageBreakBefore w:val="0"/>
        <w:widowControl w:val="0"/>
        <w:shd w:val="clear"/>
        <w:kinsoku/>
        <w:wordWrap/>
        <w:overflowPunct/>
        <w:topLinePunct w:val="0"/>
        <w:autoSpaceDE/>
        <w:autoSpaceDN/>
        <w:bidi w:val="0"/>
        <w:spacing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商务标评审</w:t>
      </w:r>
    </w:p>
    <w:p w14:paraId="7D1FD321">
      <w:pPr>
        <w:keepNext w:val="0"/>
        <w:keepLines w:val="0"/>
        <w:pageBreakBefore w:val="0"/>
        <w:widowControl w:val="0"/>
        <w:shd w:val="clear"/>
        <w:kinsoku/>
        <w:wordWrap/>
        <w:overflowPunct/>
        <w:topLinePunct w:val="0"/>
        <w:autoSpaceDE/>
        <w:autoSpaceDN/>
        <w:bidi w:val="0"/>
        <w:spacing w:line="360" w:lineRule="auto"/>
        <w:ind w:firstLine="422"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b/>
          <w:bCs/>
          <w:color w:val="auto"/>
          <w:sz w:val="21"/>
          <w:szCs w:val="21"/>
          <w:highlight w:val="none"/>
        </w:rPr>
        <w:t>2.1甄别异常报价：</w:t>
      </w:r>
      <w:r>
        <w:rPr>
          <w:rFonts w:hint="eastAsia" w:ascii="宋体" w:hAnsi="宋体" w:eastAsia="宋体" w:cs="宋体"/>
          <w:color w:val="auto"/>
          <w:sz w:val="21"/>
          <w:szCs w:val="21"/>
          <w:highlight w:val="none"/>
        </w:rPr>
        <w:t>有下列</w:t>
      </w:r>
      <w:r>
        <w:rPr>
          <w:rFonts w:hint="eastAsia" w:ascii="宋体" w:hAnsi="宋体" w:eastAsia="宋体" w:cs="宋体"/>
          <w:color w:val="auto"/>
          <w:kern w:val="0"/>
          <w:sz w:val="21"/>
          <w:szCs w:val="21"/>
          <w:highlight w:val="none"/>
        </w:rPr>
        <w:t>情况之一的投标报价不进入评标价计算环节：</w:t>
      </w:r>
    </w:p>
    <w:p w14:paraId="1F0BA2FF">
      <w:pPr>
        <w:keepNext w:val="0"/>
        <w:keepLines w:val="0"/>
        <w:pageBreakBefore w:val="0"/>
        <w:widowControl w:val="0"/>
        <w:shd w:val="clear"/>
        <w:kinsoku/>
        <w:wordWrap/>
        <w:overflowPunct/>
        <w:topLinePunct w:val="0"/>
        <w:autoSpaceDE/>
        <w:autoSpaceDN/>
        <w:bidi w:val="0"/>
        <w:spacing w:line="360" w:lineRule="auto"/>
        <w:ind w:firstLine="420" w:firstLineChars="200"/>
        <w:jc w:val="both"/>
        <w:textAlignment w:val="auto"/>
        <w:rPr>
          <w:rFonts w:hint="eastAsia" w:ascii="宋体" w:hAnsi="宋体" w:cs="宋体"/>
          <w:color w:val="auto"/>
          <w:szCs w:val="21"/>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eq \o\ac(○,1)</w:instrText>
      </w:r>
      <w:r>
        <w:rPr>
          <w:rFonts w:hint="eastAsia" w:ascii="宋体" w:hAnsi="宋体" w:cs="宋体"/>
          <w:color w:val="auto"/>
          <w:szCs w:val="21"/>
          <w:highlight w:val="none"/>
        </w:rPr>
        <w:fldChar w:fldCharType="end"/>
      </w:r>
      <w:r>
        <w:rPr>
          <w:rFonts w:hint="eastAsia" w:ascii="宋体" w:hAnsi="宋体" w:cs="宋体"/>
          <w:color w:val="auto"/>
          <w:szCs w:val="21"/>
          <w:highlight w:val="none"/>
        </w:rPr>
        <w:t>技术标未入围单位的投标报价；</w:t>
      </w:r>
    </w:p>
    <w:p w14:paraId="17A568A9">
      <w:pPr>
        <w:keepNext w:val="0"/>
        <w:keepLines w:val="0"/>
        <w:pageBreakBefore w:val="0"/>
        <w:widowControl w:val="0"/>
        <w:shd w:val="clear"/>
        <w:kinsoku/>
        <w:wordWrap/>
        <w:overflowPunct/>
        <w:topLinePunct w:val="0"/>
        <w:autoSpaceDE/>
        <w:autoSpaceDN/>
        <w:bidi w:val="0"/>
        <w:spacing w:line="360" w:lineRule="auto"/>
        <w:ind w:firstLine="420" w:firstLineChars="200"/>
        <w:jc w:val="both"/>
        <w:textAlignment w:val="auto"/>
        <w:rPr>
          <w:rFonts w:hint="eastAsia" w:ascii="宋体" w:hAnsi="宋体" w:cs="宋体"/>
          <w:color w:val="auto"/>
          <w:szCs w:val="21"/>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eq \o\ac(○,2)</w:instrText>
      </w:r>
      <w:r>
        <w:rPr>
          <w:rFonts w:hint="eastAsia" w:ascii="宋体" w:hAnsi="宋体" w:cs="宋体"/>
          <w:color w:val="auto"/>
          <w:szCs w:val="21"/>
          <w:highlight w:val="none"/>
        </w:rPr>
        <w:fldChar w:fldCharType="end"/>
      </w:r>
      <w:r>
        <w:rPr>
          <w:rFonts w:hint="eastAsia" w:ascii="宋体" w:hAnsi="宋体" w:cs="宋体"/>
          <w:color w:val="auto"/>
          <w:szCs w:val="21"/>
          <w:highlight w:val="none"/>
        </w:rPr>
        <w:t>投标报价高于预算价；</w:t>
      </w:r>
    </w:p>
    <w:p w14:paraId="7A983C06">
      <w:pPr>
        <w:keepNext w:val="0"/>
        <w:keepLines w:val="0"/>
        <w:pageBreakBefore w:val="0"/>
        <w:widowControl w:val="0"/>
        <w:shd w:val="clear"/>
        <w:kinsoku/>
        <w:wordWrap/>
        <w:overflowPunct/>
        <w:topLinePunct w:val="0"/>
        <w:autoSpaceDE/>
        <w:autoSpaceDN/>
        <w:bidi w:val="0"/>
        <w:spacing w:line="360" w:lineRule="auto"/>
        <w:ind w:firstLine="420" w:firstLineChars="200"/>
        <w:jc w:val="both"/>
        <w:textAlignment w:val="auto"/>
        <w:rPr>
          <w:rFonts w:hint="eastAsia" w:ascii="宋体" w:hAnsi="宋体" w:cs="宋体"/>
          <w:color w:val="auto"/>
          <w:szCs w:val="21"/>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eq \o\ac(○,3)</w:instrText>
      </w:r>
      <w:r>
        <w:rPr>
          <w:rFonts w:hint="eastAsia" w:ascii="宋体" w:hAnsi="宋体" w:cs="宋体"/>
          <w:color w:val="auto"/>
          <w:szCs w:val="21"/>
          <w:highlight w:val="none"/>
        </w:rPr>
        <w:fldChar w:fldCharType="end"/>
      </w:r>
      <w:r>
        <w:rPr>
          <w:rFonts w:hint="eastAsia" w:ascii="宋体" w:hAnsi="宋体" w:cs="宋体"/>
          <w:color w:val="auto"/>
          <w:szCs w:val="21"/>
          <w:highlight w:val="none"/>
        </w:rPr>
        <w:t>投标报价高于</w:t>
      </w:r>
      <w:r>
        <w:rPr>
          <w:rFonts w:hint="eastAsia" w:ascii="宋体" w:hAnsi="宋体" w:cs="宋体"/>
          <w:color w:val="auto"/>
          <w:szCs w:val="21"/>
          <w:highlight w:val="none"/>
          <w:lang w:val="en-US" w:eastAsia="zh-CN"/>
        </w:rPr>
        <w:t>单价</w:t>
      </w:r>
      <w:r>
        <w:rPr>
          <w:rFonts w:hint="eastAsia" w:ascii="宋体" w:hAnsi="宋体" w:cs="宋体"/>
          <w:color w:val="auto"/>
          <w:szCs w:val="21"/>
          <w:highlight w:val="none"/>
        </w:rPr>
        <w:t>最高限价；</w:t>
      </w:r>
    </w:p>
    <w:p w14:paraId="6938C5D6">
      <w:pPr>
        <w:keepNext w:val="0"/>
        <w:keepLines w:val="0"/>
        <w:pageBreakBefore w:val="0"/>
        <w:widowControl w:val="0"/>
        <w:shd w:val="clear"/>
        <w:kinsoku/>
        <w:wordWrap/>
        <w:overflowPunct/>
        <w:topLinePunct w:val="0"/>
        <w:autoSpaceDE/>
        <w:autoSpaceDN/>
        <w:bidi w:val="0"/>
        <w:spacing w:line="360" w:lineRule="auto"/>
        <w:ind w:firstLine="420" w:firstLineChars="200"/>
        <w:jc w:val="both"/>
        <w:textAlignment w:val="auto"/>
        <w:rPr>
          <w:rFonts w:hint="eastAsia" w:ascii="宋体" w:hAnsi="宋体" w:cs="宋体"/>
          <w:color w:val="auto"/>
          <w:szCs w:val="21"/>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eq \o\ac(○,4)</w:instrText>
      </w:r>
      <w:r>
        <w:rPr>
          <w:rFonts w:hint="eastAsia" w:ascii="宋体" w:hAnsi="宋体" w:cs="宋体"/>
          <w:color w:val="auto"/>
          <w:szCs w:val="21"/>
          <w:highlight w:val="none"/>
        </w:rPr>
        <w:fldChar w:fldCharType="end"/>
      </w:r>
      <w:r>
        <w:rPr>
          <w:rFonts w:hint="eastAsia" w:ascii="宋体" w:hAnsi="宋体" w:cs="宋体"/>
          <w:color w:val="auto"/>
          <w:szCs w:val="21"/>
          <w:highlight w:val="none"/>
        </w:rPr>
        <w:t>如评标委员会一致认为最低投标报价或某些分项明显不合理，有降低质量、不能诚信履约的可能时，评标委员会有权通知投标人限期进行解释。如投标人未在规定期限内</w:t>
      </w:r>
      <w:r>
        <w:rPr>
          <w:rFonts w:hint="eastAsia" w:ascii="宋体" w:hAnsi="宋体" w:cs="宋体"/>
          <w:color w:val="auto"/>
          <w:szCs w:val="21"/>
          <w:highlight w:val="none"/>
          <w:lang w:eastAsia="zh-CN"/>
        </w:rPr>
        <w:t>作出</w:t>
      </w:r>
      <w:r>
        <w:rPr>
          <w:rFonts w:hint="eastAsia" w:ascii="宋体" w:hAnsi="宋体" w:cs="宋体"/>
          <w:color w:val="auto"/>
          <w:szCs w:val="21"/>
          <w:highlight w:val="none"/>
        </w:rPr>
        <w:t>解释，或所作解释不合理，经评标委员会取得一致意见后，可列为异常报价，确定该投标为无效标。</w:t>
      </w:r>
    </w:p>
    <w:p w14:paraId="4B8A80F7">
      <w:pPr>
        <w:keepNext w:val="0"/>
        <w:keepLines w:val="0"/>
        <w:pageBreakBefore w:val="0"/>
        <w:widowControl w:val="0"/>
        <w:shd w:val="clear"/>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2.2评</w:t>
      </w:r>
      <w:r>
        <w:rPr>
          <w:rFonts w:hint="eastAsia" w:ascii="宋体" w:hAnsi="宋体" w:eastAsia="宋体" w:cs="宋体"/>
          <w:b/>
          <w:color w:val="auto"/>
          <w:sz w:val="21"/>
          <w:szCs w:val="21"/>
          <w:highlight w:val="none"/>
        </w:rPr>
        <w:t>标价计算</w:t>
      </w:r>
      <w:r>
        <w:rPr>
          <w:rFonts w:hint="eastAsia" w:ascii="宋体" w:hAnsi="宋体" w:eastAsia="宋体" w:cs="宋体"/>
          <w:b/>
          <w:bCs/>
          <w:color w:val="auto"/>
          <w:sz w:val="21"/>
          <w:szCs w:val="21"/>
          <w:highlight w:val="none"/>
        </w:rPr>
        <w:t>：</w:t>
      </w:r>
      <w:r>
        <w:rPr>
          <w:rFonts w:hint="eastAsia" w:hAnsi="宋体" w:cs="宋体"/>
          <w:b/>
          <w:bCs/>
          <w:color w:val="auto"/>
          <w:highlight w:val="none"/>
        </w:rPr>
        <w:t>评标价=投标</w:t>
      </w:r>
      <w:r>
        <w:rPr>
          <w:rFonts w:hint="eastAsia" w:hAnsi="宋体" w:cs="宋体"/>
          <w:b/>
          <w:bCs/>
          <w:color w:val="auto"/>
          <w:highlight w:val="none"/>
          <w:lang w:val="en-US" w:eastAsia="zh-CN"/>
        </w:rPr>
        <w:t>单</w:t>
      </w:r>
      <w:r>
        <w:rPr>
          <w:rFonts w:hint="eastAsia" w:hAnsi="宋体" w:cs="宋体"/>
          <w:b/>
          <w:bCs/>
          <w:color w:val="auto"/>
          <w:highlight w:val="none"/>
        </w:rPr>
        <w:t>价</w:t>
      </w:r>
      <w:r>
        <w:rPr>
          <w:rFonts w:hint="eastAsia" w:cs="宋体"/>
          <w:b/>
          <w:color w:val="auto"/>
          <w:szCs w:val="21"/>
          <w:highlight w:val="none"/>
          <w:lang w:eastAsia="zh-CN"/>
        </w:rPr>
        <w:t>（</w:t>
      </w:r>
      <w:r>
        <w:rPr>
          <w:rFonts w:hint="eastAsia" w:ascii="宋体" w:hAnsi="宋体" w:cs="宋体"/>
          <w:b/>
          <w:color w:val="auto"/>
          <w:szCs w:val="21"/>
          <w:highlight w:val="none"/>
        </w:rPr>
        <w:t>元/</w:t>
      </w:r>
      <w:r>
        <w:rPr>
          <w:rFonts w:hint="eastAsia" w:cs="宋体"/>
          <w:b/>
          <w:color w:val="auto"/>
          <w:szCs w:val="21"/>
          <w:highlight w:val="none"/>
          <w:lang w:eastAsia="zh-CN"/>
        </w:rPr>
        <w:t>吨）</w:t>
      </w:r>
    </w:p>
    <w:p w14:paraId="5F7184B2">
      <w:pPr>
        <w:keepNext w:val="0"/>
        <w:keepLines w:val="0"/>
        <w:pageBreakBefore w:val="0"/>
        <w:widowControl w:val="0"/>
        <w:shd w:val="clear"/>
        <w:kinsoku/>
        <w:wordWrap/>
        <w:overflowPunct/>
        <w:topLinePunct w:val="0"/>
        <w:autoSpaceDE/>
        <w:autoSpaceDN/>
        <w:bidi w:val="0"/>
        <w:spacing w:line="360" w:lineRule="auto"/>
        <w:ind w:firstLine="422"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3</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推荐中标候选人，完成评标报告</w:t>
      </w:r>
    </w:p>
    <w:p w14:paraId="6A5E0896">
      <w:pPr>
        <w:keepNext/>
        <w:keepLines/>
        <w:pageBreakBefore w:val="0"/>
        <w:widowControl w:val="0"/>
        <w:shd w:val="clear"/>
        <w:kinsoku/>
        <w:wordWrap/>
        <w:overflowPunct/>
        <w:topLinePunct w:val="0"/>
        <w:autoSpaceDE/>
        <w:autoSpaceDN/>
        <w:bidi w:val="0"/>
        <w:adjustRightInd/>
        <w:snapToGrid/>
        <w:spacing w:line="360" w:lineRule="auto"/>
        <w:ind w:firstLine="422" w:firstLineChars="200"/>
        <w:jc w:val="both"/>
        <w:textAlignment w:val="auto"/>
        <w:outlineLvl w:val="1"/>
        <w:rPr>
          <w:rFonts w:hint="eastAsia" w:ascii="宋体" w:hAnsi="宋体" w:eastAsia="宋体" w:cs="宋体"/>
          <w:b/>
          <w:bCs/>
          <w:color w:val="auto"/>
          <w:sz w:val="21"/>
          <w:szCs w:val="21"/>
          <w:highlight w:val="none"/>
        </w:rPr>
      </w:pPr>
      <w:bookmarkStart w:id="78" w:name="_Toc11003"/>
      <w:r>
        <w:rPr>
          <w:rFonts w:hint="eastAsia" w:ascii="宋体" w:hAnsi="宋体" w:eastAsia="宋体" w:cs="宋体"/>
          <w:b/>
          <w:bCs/>
          <w:color w:val="auto"/>
          <w:sz w:val="21"/>
          <w:szCs w:val="21"/>
          <w:highlight w:val="none"/>
        </w:rPr>
        <w:t>四、评标小组不向落标方解释落标原因。</w:t>
      </w:r>
      <w:bookmarkEnd w:id="78"/>
    </w:p>
    <w:p w14:paraId="2EE687A0">
      <w:pPr>
        <w:pStyle w:val="4"/>
        <w:keepNext w:val="0"/>
        <w:keepLines w:val="0"/>
        <w:pageBreakBefore/>
        <w:shd w:val="clear"/>
        <w:kinsoku/>
        <w:wordWrap/>
        <w:overflowPunct/>
        <w:topLinePunct w:val="0"/>
        <w:autoSpaceDE/>
        <w:autoSpaceDN/>
        <w:bidi w:val="0"/>
        <w:adjustRightInd/>
        <w:snapToGrid/>
        <w:spacing w:before="340" w:after="330" w:line="240" w:lineRule="exact"/>
        <w:ind w:firstLine="2891" w:firstLineChars="800"/>
        <w:jc w:val="left"/>
        <w:textAlignment w:val="auto"/>
        <w:rPr>
          <w:rFonts w:ascii="宋体" w:hAnsi="宋体"/>
          <w:color w:val="auto"/>
          <w:sz w:val="36"/>
          <w:szCs w:val="36"/>
          <w:highlight w:val="none"/>
        </w:rPr>
      </w:pPr>
      <w:bookmarkStart w:id="79" w:name="_Toc1169"/>
      <w:r>
        <w:rPr>
          <w:rFonts w:hint="eastAsia" w:ascii="宋体" w:hAnsi="宋体"/>
          <w:color w:val="auto"/>
          <w:sz w:val="36"/>
          <w:szCs w:val="36"/>
          <w:highlight w:val="none"/>
        </w:rPr>
        <w:t>第七章  合同主要条款</w:t>
      </w:r>
      <w:bookmarkEnd w:id="79"/>
    </w:p>
    <w:p w14:paraId="43448981">
      <w:pPr>
        <w:keepNext w:val="0"/>
        <w:keepLines w:val="0"/>
        <w:widowControl/>
        <w:shd w:val="clear"/>
        <w:kinsoku/>
        <w:wordWrap/>
        <w:overflowPunct/>
        <w:topLinePunct w:val="0"/>
        <w:autoSpaceDE/>
        <w:autoSpaceDN/>
        <w:bidi w:val="0"/>
        <w:adjustRightInd/>
        <w:snapToGrid/>
        <w:spacing w:before="340" w:after="330" w:line="240" w:lineRule="exact"/>
        <w:ind w:firstLine="482" w:firstLineChars="200"/>
        <w:jc w:val="center"/>
        <w:textAlignment w:val="auto"/>
        <w:rPr>
          <w:rFonts w:ascii="Verdana" w:hAnsi="Verdana" w:cs="Arial"/>
          <w:b/>
          <w:color w:val="auto"/>
          <w:kern w:val="0"/>
          <w:sz w:val="24"/>
          <w:highlight w:val="none"/>
        </w:rPr>
      </w:pPr>
      <w:r>
        <w:rPr>
          <w:rFonts w:ascii="Verdana" w:hAnsi="Verdana" w:cs="Arial"/>
          <w:b/>
          <w:color w:val="auto"/>
          <w:kern w:val="0"/>
          <w:sz w:val="24"/>
          <w:highlight w:val="none"/>
        </w:rPr>
        <w:t>（样本）</w:t>
      </w:r>
    </w:p>
    <w:p w14:paraId="5ADD304C">
      <w:pPr>
        <w:keepNext w:val="0"/>
        <w:keepLines w:val="0"/>
        <w:pageBreakBefore w:val="0"/>
        <w:widowControl/>
        <w:shd w:val="clear"/>
        <w:kinsoku/>
        <w:wordWrap/>
        <w:overflowPunct/>
        <w:topLinePunct w:val="0"/>
        <w:autoSpaceDE/>
        <w:autoSpaceDN/>
        <w:bidi w:val="0"/>
        <w:adjustRightIn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甲方</w:t>
      </w:r>
      <w:r>
        <w:rPr>
          <w:rFonts w:hint="eastAsia" w:ascii="宋体" w:hAnsi="宋体" w:eastAsia="宋体" w:cs="宋体"/>
          <w:color w:val="auto"/>
          <w:kern w:val="0"/>
          <w:sz w:val="21"/>
          <w:szCs w:val="21"/>
          <w:highlight w:val="none"/>
        </w:rPr>
        <w:t>：________________________________</w:t>
      </w:r>
    </w:p>
    <w:p w14:paraId="7D4DFC77">
      <w:pPr>
        <w:keepNext w:val="0"/>
        <w:keepLines w:val="0"/>
        <w:pageBreakBefore w:val="0"/>
        <w:widowControl/>
        <w:shd w:val="clear"/>
        <w:kinsoku/>
        <w:wordWrap/>
        <w:overflowPunct/>
        <w:topLinePunct w:val="0"/>
        <w:autoSpaceDE/>
        <w:autoSpaceDN/>
        <w:bidi w:val="0"/>
        <w:adjustRightIn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乙方</w:t>
      </w:r>
      <w:r>
        <w:rPr>
          <w:rFonts w:hint="eastAsia" w:ascii="宋体" w:hAnsi="宋体" w:eastAsia="宋体" w:cs="宋体"/>
          <w:color w:val="auto"/>
          <w:kern w:val="0"/>
          <w:sz w:val="21"/>
          <w:szCs w:val="21"/>
          <w:highlight w:val="none"/>
        </w:rPr>
        <w:t>：________________________________</w:t>
      </w:r>
    </w:p>
    <w:p w14:paraId="7C47BB97">
      <w:pPr>
        <w:keepNext w:val="0"/>
        <w:keepLines w:val="0"/>
        <w:pageBreakBefore w:val="0"/>
        <w:widowControl/>
        <w:shd w:val="clear"/>
        <w:kinsoku/>
        <w:wordWrap/>
        <w:overflowPunct/>
        <w:topLinePunct w:val="0"/>
        <w:autoSpaceDE/>
        <w:autoSpaceDN/>
        <w:bidi w:val="0"/>
        <w:adjustRightIn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甲乙</w:t>
      </w:r>
      <w:r>
        <w:rPr>
          <w:rFonts w:hint="eastAsia" w:ascii="宋体" w:hAnsi="宋体" w:eastAsia="宋体" w:cs="宋体"/>
          <w:color w:val="auto"/>
          <w:kern w:val="0"/>
          <w:sz w:val="21"/>
          <w:szCs w:val="21"/>
          <w:highlight w:val="none"/>
        </w:rPr>
        <w:t>双方根据____年____月____日浙江省义乌市国企采购</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项目成交结果和投标文件的要求，依据《中华人民共和国民法典》并经双方协调一致，订立本采购合同。</w:t>
      </w:r>
    </w:p>
    <w:p w14:paraId="7FC4A416">
      <w:pPr>
        <w:keepNext w:val="0"/>
        <w:keepLines w:val="0"/>
        <w:pageBreakBefore w:val="0"/>
        <w:widowControl/>
        <w:shd w:val="clear"/>
        <w:kinsoku/>
        <w:wordWrap/>
        <w:overflowPunct/>
        <w:topLinePunct w:val="0"/>
        <w:autoSpaceDE/>
        <w:autoSpaceDN/>
        <w:bidi w:val="0"/>
        <w:adjustRightInd/>
        <w:spacing w:line="360" w:lineRule="auto"/>
        <w:ind w:firstLine="480"/>
        <w:jc w:val="left"/>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一、合同文件组成</w:t>
      </w:r>
    </w:p>
    <w:p w14:paraId="70571360">
      <w:pPr>
        <w:keepNext w:val="0"/>
        <w:keepLines w:val="0"/>
        <w:pageBreakBefore w:val="0"/>
        <w:widowControl/>
        <w:shd w:val="clear"/>
        <w:kinsoku/>
        <w:wordWrap/>
        <w:overflowPunct/>
        <w:topLinePunct w:val="0"/>
        <w:autoSpaceDE/>
        <w:autoSpaceDN/>
        <w:bidi w:val="0"/>
        <w:adjustRightInd/>
        <w:spacing w:line="360" w:lineRule="auto"/>
        <w:ind w:firstLine="48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招标文件及其补充文件、询标承诺、询疑答复、投标响应文件、双方来函。合同文件组成的所有内容是构成合同不可分割的部分，与合同具有同等法律效力。</w:t>
      </w:r>
    </w:p>
    <w:p w14:paraId="1206B1DC">
      <w:pPr>
        <w:keepNext w:val="0"/>
        <w:keepLines w:val="0"/>
        <w:pageBreakBefore w:val="0"/>
        <w:widowControl/>
        <w:shd w:val="clear"/>
        <w:kinsoku/>
        <w:wordWrap/>
        <w:overflowPunct/>
        <w:topLinePunct w:val="0"/>
        <w:autoSpaceDE/>
        <w:autoSpaceDN/>
        <w:bidi w:val="0"/>
        <w:adjustRightInd/>
        <w:spacing w:line="360" w:lineRule="auto"/>
        <w:ind w:firstLine="480"/>
        <w:jc w:val="left"/>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lang w:eastAsia="zh-CN"/>
        </w:rPr>
        <w:t>二</w:t>
      </w:r>
      <w:r>
        <w:rPr>
          <w:rFonts w:hint="eastAsia" w:ascii="宋体" w:hAnsi="宋体" w:eastAsia="宋体" w:cs="宋体"/>
          <w:b/>
          <w:color w:val="auto"/>
          <w:kern w:val="0"/>
          <w:sz w:val="21"/>
          <w:szCs w:val="21"/>
          <w:highlight w:val="none"/>
        </w:rPr>
        <w:t>、合同期限</w:t>
      </w:r>
    </w:p>
    <w:p w14:paraId="41AE15E6">
      <w:pPr>
        <w:shd w:val="clear"/>
        <w:spacing w:line="312" w:lineRule="auto"/>
        <w:ind w:firstLine="560"/>
        <w:rPr>
          <w:rFonts w:ascii="宋体" w:hAnsi="宋体" w:cs="宋体"/>
          <w:color w:val="auto"/>
          <w:kern w:val="1"/>
          <w:szCs w:val="21"/>
          <w:highlight w:val="none"/>
        </w:rPr>
      </w:pPr>
      <w:r>
        <w:rPr>
          <w:rFonts w:ascii="宋体" w:hAnsi="宋体" w:cs="宋体"/>
          <w:color w:val="auto"/>
          <w:kern w:val="1"/>
          <w:szCs w:val="21"/>
          <w:highlight w:val="none"/>
        </w:rPr>
        <w:t>合同期自_____年_月__日起至______年_月__日止。</w:t>
      </w:r>
    </w:p>
    <w:p w14:paraId="214C7A17">
      <w:pPr>
        <w:keepNext w:val="0"/>
        <w:keepLines w:val="0"/>
        <w:pageBreakBefore w:val="0"/>
        <w:widowControl/>
        <w:shd w:val="clear"/>
        <w:kinsoku/>
        <w:wordWrap/>
        <w:overflowPunct/>
        <w:topLinePunct w:val="0"/>
        <w:autoSpaceDE/>
        <w:autoSpaceDN/>
        <w:bidi w:val="0"/>
        <w:adjustRightInd/>
        <w:spacing w:line="360" w:lineRule="auto"/>
        <w:ind w:firstLine="480"/>
        <w:jc w:val="left"/>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lang w:eastAsia="zh-CN"/>
        </w:rPr>
        <w:t>三</w:t>
      </w:r>
      <w:r>
        <w:rPr>
          <w:rFonts w:hint="eastAsia" w:ascii="宋体" w:hAnsi="宋体" w:eastAsia="宋体" w:cs="宋体"/>
          <w:b/>
          <w:color w:val="auto"/>
          <w:kern w:val="0"/>
          <w:sz w:val="21"/>
          <w:szCs w:val="21"/>
          <w:highlight w:val="none"/>
        </w:rPr>
        <w:t>、费用及结算方式</w:t>
      </w:r>
    </w:p>
    <w:p w14:paraId="1B133D8E">
      <w:pPr>
        <w:keepNext w:val="0"/>
        <w:keepLines w:val="0"/>
        <w:pageBreakBefore w:val="0"/>
        <w:widowControl/>
        <w:shd w:val="clear"/>
        <w:kinsoku/>
        <w:wordWrap/>
        <w:overflowPunct/>
        <w:topLinePunct w:val="0"/>
        <w:autoSpaceDE/>
        <w:autoSpaceDN/>
        <w:bidi w:val="0"/>
        <w:adjustRightIn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合同</w:t>
      </w:r>
      <w:r>
        <w:rPr>
          <w:rFonts w:hint="eastAsia" w:ascii="宋体" w:hAnsi="宋体" w:eastAsia="宋体" w:cs="宋体"/>
          <w:color w:val="auto"/>
          <w:kern w:val="0"/>
          <w:sz w:val="21"/>
          <w:szCs w:val="21"/>
          <w:highlight w:val="none"/>
          <w:lang w:val="en-US" w:eastAsia="zh-CN"/>
        </w:rPr>
        <w:t>单</w:t>
      </w:r>
      <w:r>
        <w:rPr>
          <w:rFonts w:hint="eastAsia" w:ascii="宋体" w:hAnsi="宋体" w:eastAsia="宋体" w:cs="宋体"/>
          <w:color w:val="auto"/>
          <w:kern w:val="0"/>
          <w:sz w:val="21"/>
          <w:szCs w:val="21"/>
          <w:highlight w:val="none"/>
        </w:rPr>
        <w:t>价中须包括</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及合同中明示或暗示的所有一般风险、责任和义务等一切应由</w:t>
      </w:r>
      <w:r>
        <w:rPr>
          <w:rFonts w:hint="eastAsia" w:ascii="宋体" w:hAnsi="宋体" w:eastAsia="宋体" w:cs="宋体"/>
          <w:color w:val="auto"/>
          <w:kern w:val="0"/>
          <w:sz w:val="21"/>
          <w:szCs w:val="21"/>
          <w:highlight w:val="none"/>
          <w:lang w:eastAsia="zh-CN"/>
        </w:rPr>
        <w:t>甲方</w:t>
      </w:r>
      <w:r>
        <w:rPr>
          <w:rFonts w:hint="eastAsia" w:ascii="宋体" w:hAnsi="宋体" w:eastAsia="宋体" w:cs="宋体"/>
          <w:color w:val="auto"/>
          <w:kern w:val="0"/>
          <w:sz w:val="21"/>
          <w:szCs w:val="21"/>
          <w:highlight w:val="none"/>
        </w:rPr>
        <w:t>支付的费用。</w:t>
      </w:r>
    </w:p>
    <w:tbl>
      <w:tblPr>
        <w:tblStyle w:val="38"/>
        <w:tblW w:w="976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74"/>
        <w:gridCol w:w="1346"/>
        <w:gridCol w:w="1305"/>
        <w:gridCol w:w="2118"/>
        <w:gridCol w:w="1918"/>
        <w:gridCol w:w="2200"/>
      </w:tblGrid>
      <w:tr w14:paraId="26D415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8" w:hRule="atLeast"/>
          <w:jc w:val="center"/>
        </w:trPr>
        <w:tc>
          <w:tcPr>
            <w:tcW w:w="874" w:type="dxa"/>
            <w:noWrap w:val="0"/>
            <w:vAlign w:val="center"/>
          </w:tcPr>
          <w:p w14:paraId="4303CC1F">
            <w:pPr>
              <w:shd w:val="clear"/>
              <w:spacing w:line="450" w:lineRule="exact"/>
              <w:jc w:val="center"/>
              <w:rPr>
                <w:rFonts w:hint="eastAsia" w:ascii="宋体" w:hAnsi="宋体"/>
                <w:color w:val="auto"/>
                <w:szCs w:val="21"/>
                <w:highlight w:val="none"/>
              </w:rPr>
            </w:pPr>
            <w:r>
              <w:rPr>
                <w:rFonts w:hint="eastAsia" w:ascii="宋体" w:hAnsi="宋体"/>
                <w:color w:val="auto"/>
                <w:szCs w:val="21"/>
                <w:highlight w:val="none"/>
              </w:rPr>
              <w:t>序号</w:t>
            </w:r>
          </w:p>
        </w:tc>
        <w:tc>
          <w:tcPr>
            <w:tcW w:w="1346" w:type="dxa"/>
            <w:noWrap w:val="0"/>
            <w:vAlign w:val="center"/>
          </w:tcPr>
          <w:p w14:paraId="2B6590CB">
            <w:pPr>
              <w:shd w:val="clear"/>
              <w:spacing w:line="450" w:lineRule="exact"/>
              <w:jc w:val="center"/>
              <w:rPr>
                <w:rFonts w:hint="eastAsia" w:ascii="宋体" w:hAnsi="宋体"/>
                <w:color w:val="auto"/>
                <w:szCs w:val="21"/>
                <w:highlight w:val="none"/>
              </w:rPr>
            </w:pPr>
            <w:r>
              <w:rPr>
                <w:rFonts w:hint="eastAsia" w:ascii="宋体" w:hAnsi="宋体"/>
                <w:color w:val="auto"/>
                <w:szCs w:val="21"/>
                <w:highlight w:val="none"/>
              </w:rPr>
              <w:t>物资名称</w:t>
            </w:r>
          </w:p>
        </w:tc>
        <w:tc>
          <w:tcPr>
            <w:tcW w:w="1305" w:type="dxa"/>
            <w:noWrap w:val="0"/>
            <w:vAlign w:val="center"/>
          </w:tcPr>
          <w:p w14:paraId="73A00897">
            <w:pPr>
              <w:shd w:val="clear"/>
              <w:spacing w:line="450" w:lineRule="exact"/>
              <w:jc w:val="center"/>
              <w:rPr>
                <w:rFonts w:hint="eastAsia" w:ascii="宋体" w:hAnsi="宋体"/>
                <w:color w:val="auto"/>
                <w:szCs w:val="21"/>
                <w:highlight w:val="none"/>
              </w:rPr>
            </w:pPr>
            <w:r>
              <w:rPr>
                <w:rFonts w:hint="eastAsia" w:ascii="宋体" w:hAnsi="宋体"/>
                <w:color w:val="auto"/>
                <w:szCs w:val="21"/>
                <w:highlight w:val="none"/>
              </w:rPr>
              <w:t>单位</w:t>
            </w:r>
          </w:p>
        </w:tc>
        <w:tc>
          <w:tcPr>
            <w:tcW w:w="2118" w:type="dxa"/>
            <w:noWrap w:val="0"/>
            <w:vAlign w:val="top"/>
          </w:tcPr>
          <w:p w14:paraId="68B00F07">
            <w:pPr>
              <w:shd w:val="clear"/>
              <w:spacing w:line="450" w:lineRule="exact"/>
              <w:jc w:val="center"/>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单价（元</w:t>
            </w:r>
            <w:r>
              <w:rPr>
                <w:rFonts w:hint="eastAsia" w:ascii="宋体" w:hAnsi="宋体"/>
                <w:color w:val="auto"/>
                <w:szCs w:val="21"/>
                <w:highlight w:val="none"/>
                <w:lang w:val="en-US" w:eastAsia="zh-CN"/>
              </w:rPr>
              <w:t>/吨</w:t>
            </w:r>
            <w:r>
              <w:rPr>
                <w:rFonts w:hint="eastAsia" w:ascii="宋体" w:hAnsi="宋体"/>
                <w:color w:val="auto"/>
                <w:szCs w:val="21"/>
                <w:highlight w:val="none"/>
                <w:lang w:eastAsia="zh-CN"/>
              </w:rPr>
              <w:t>）</w:t>
            </w:r>
          </w:p>
        </w:tc>
        <w:tc>
          <w:tcPr>
            <w:tcW w:w="1918" w:type="dxa"/>
            <w:noWrap w:val="0"/>
            <w:vAlign w:val="top"/>
          </w:tcPr>
          <w:p w14:paraId="542286D8">
            <w:pPr>
              <w:shd w:val="clear"/>
              <w:spacing w:line="450" w:lineRule="exact"/>
              <w:jc w:val="center"/>
              <w:rPr>
                <w:rFonts w:hint="eastAsia" w:ascii="宋体" w:hAnsi="宋体"/>
                <w:color w:val="auto"/>
                <w:szCs w:val="21"/>
                <w:highlight w:val="none"/>
              </w:rPr>
            </w:pPr>
            <w:r>
              <w:rPr>
                <w:rFonts w:hint="eastAsia" w:ascii="宋体" w:hAnsi="宋体"/>
                <w:color w:val="auto"/>
                <w:szCs w:val="21"/>
                <w:highlight w:val="none"/>
                <w:lang w:val="en-US" w:eastAsia="zh-CN"/>
              </w:rPr>
              <w:t>招标预算价（元）</w:t>
            </w:r>
          </w:p>
        </w:tc>
        <w:tc>
          <w:tcPr>
            <w:tcW w:w="2200" w:type="dxa"/>
            <w:noWrap w:val="0"/>
            <w:vAlign w:val="top"/>
          </w:tcPr>
          <w:p w14:paraId="77BB7480">
            <w:pPr>
              <w:shd w:val="clear"/>
              <w:spacing w:line="450" w:lineRule="exact"/>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备注</w:t>
            </w:r>
          </w:p>
        </w:tc>
      </w:tr>
      <w:tr w14:paraId="6827CF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9" w:hRule="atLeast"/>
          <w:jc w:val="center"/>
        </w:trPr>
        <w:tc>
          <w:tcPr>
            <w:tcW w:w="874" w:type="dxa"/>
            <w:noWrap w:val="0"/>
            <w:vAlign w:val="center"/>
          </w:tcPr>
          <w:p w14:paraId="49464A15">
            <w:pPr>
              <w:shd w:val="clear"/>
              <w:spacing w:line="450" w:lineRule="exact"/>
              <w:jc w:val="center"/>
              <w:rPr>
                <w:rFonts w:hint="eastAsia" w:ascii="宋体" w:hAnsi="宋体"/>
                <w:color w:val="auto"/>
                <w:szCs w:val="21"/>
                <w:highlight w:val="none"/>
              </w:rPr>
            </w:pPr>
            <w:r>
              <w:rPr>
                <w:rFonts w:hint="eastAsia" w:ascii="宋体" w:hAnsi="宋体"/>
                <w:color w:val="auto"/>
                <w:szCs w:val="21"/>
                <w:highlight w:val="none"/>
              </w:rPr>
              <w:t>1</w:t>
            </w:r>
          </w:p>
        </w:tc>
        <w:tc>
          <w:tcPr>
            <w:tcW w:w="1346" w:type="dxa"/>
            <w:noWrap w:val="0"/>
            <w:vAlign w:val="center"/>
          </w:tcPr>
          <w:p w14:paraId="75625DC3">
            <w:pPr>
              <w:shd w:val="clear"/>
              <w:spacing w:line="450" w:lineRule="exact"/>
              <w:jc w:val="center"/>
              <w:rPr>
                <w:rFonts w:hint="eastAsia" w:ascii="宋体" w:hAnsi="宋体"/>
                <w:color w:val="auto"/>
                <w:szCs w:val="21"/>
                <w:highlight w:val="none"/>
              </w:rPr>
            </w:pPr>
            <w:r>
              <w:rPr>
                <w:rFonts w:hint="eastAsia" w:ascii="宋体" w:hAnsi="宋体"/>
                <w:color w:val="auto"/>
                <w:szCs w:val="21"/>
                <w:highlight w:val="none"/>
              </w:rPr>
              <w:t>污泥</w:t>
            </w:r>
          </w:p>
        </w:tc>
        <w:tc>
          <w:tcPr>
            <w:tcW w:w="1305" w:type="dxa"/>
            <w:noWrap w:val="0"/>
            <w:vAlign w:val="center"/>
          </w:tcPr>
          <w:p w14:paraId="76EBBCDE">
            <w:pPr>
              <w:shd w:val="clear"/>
              <w:spacing w:line="450" w:lineRule="exact"/>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吨</w:t>
            </w:r>
          </w:p>
        </w:tc>
        <w:tc>
          <w:tcPr>
            <w:tcW w:w="2118" w:type="dxa"/>
            <w:noWrap w:val="0"/>
            <w:vAlign w:val="top"/>
          </w:tcPr>
          <w:p w14:paraId="64ECBD96">
            <w:pPr>
              <w:shd w:val="clear"/>
              <w:spacing w:line="450" w:lineRule="exact"/>
              <w:jc w:val="center"/>
              <w:rPr>
                <w:rFonts w:hint="default" w:ascii="宋体" w:hAnsi="宋体" w:eastAsia="宋体"/>
                <w:color w:val="auto"/>
                <w:szCs w:val="21"/>
                <w:highlight w:val="none"/>
                <w:lang w:val="en-US" w:eastAsia="zh-CN"/>
              </w:rPr>
            </w:pPr>
          </w:p>
        </w:tc>
        <w:tc>
          <w:tcPr>
            <w:tcW w:w="1918" w:type="dxa"/>
            <w:noWrap w:val="0"/>
            <w:vAlign w:val="top"/>
          </w:tcPr>
          <w:p w14:paraId="4E60352A">
            <w:pPr>
              <w:shd w:val="clear"/>
              <w:spacing w:line="450" w:lineRule="exact"/>
              <w:jc w:val="cente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3370000</w:t>
            </w:r>
          </w:p>
        </w:tc>
        <w:tc>
          <w:tcPr>
            <w:tcW w:w="2200" w:type="dxa"/>
            <w:noWrap w:val="0"/>
            <w:vAlign w:val="top"/>
          </w:tcPr>
          <w:p w14:paraId="2750A113">
            <w:pPr>
              <w:shd w:val="clear"/>
              <w:spacing w:line="450" w:lineRule="exact"/>
              <w:jc w:val="cente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运输重量按实计</w:t>
            </w:r>
          </w:p>
        </w:tc>
      </w:tr>
    </w:tbl>
    <w:p w14:paraId="407322B0">
      <w:pPr>
        <w:numPr>
          <w:ilvl w:val="0"/>
          <w:numId w:val="0"/>
        </w:numPr>
        <w:shd w:val="clear"/>
        <w:spacing w:line="312" w:lineRule="auto"/>
        <w:ind w:left="0" w:leftChars="0" w:firstLine="420" w:firstLineChars="200"/>
        <w:rPr>
          <w:rFonts w:ascii="宋体" w:hAnsi="宋体" w:cs="宋体"/>
          <w:bCs/>
          <w:color w:val="auto"/>
          <w:kern w:val="1"/>
          <w:szCs w:val="21"/>
          <w:highlight w:val="none"/>
        </w:rPr>
      </w:pPr>
      <w:r>
        <w:rPr>
          <w:rFonts w:ascii="宋体" w:hAnsi="宋体" w:cs="宋体"/>
          <w:bCs/>
          <w:color w:val="auto"/>
          <w:kern w:val="1"/>
          <w:sz w:val="21"/>
          <w:szCs w:val="21"/>
          <w:highlight w:val="none"/>
          <w:lang w:val="en-US" w:eastAsia="zh-CN" w:bidi="ar-SA"/>
        </w:rPr>
        <w:t>1.</w:t>
      </w:r>
      <w:r>
        <w:rPr>
          <w:rFonts w:hint="eastAsia" w:ascii="宋体" w:hAnsi="宋体" w:cs="宋体"/>
          <w:color w:val="auto"/>
          <w:kern w:val="1"/>
          <w:szCs w:val="21"/>
          <w:highlight w:val="none"/>
          <w:lang w:val="en-US" w:eastAsia="zh-CN"/>
        </w:rPr>
        <w:t>价格</w:t>
      </w:r>
      <w:r>
        <w:rPr>
          <w:rFonts w:hint="eastAsia" w:hAnsi="宋体" w:cs="宋体"/>
          <w:color w:val="auto"/>
          <w:highlight w:val="none"/>
        </w:rPr>
        <w:t>包</w:t>
      </w:r>
      <w:r>
        <w:rPr>
          <w:rFonts w:hint="eastAsia" w:hAnsi="宋体" w:cs="宋体"/>
          <w:color w:val="auto"/>
          <w:highlight w:val="none"/>
          <w:lang w:val="en-US" w:eastAsia="zh-CN"/>
        </w:rPr>
        <w:t>含</w:t>
      </w:r>
      <w:r>
        <w:rPr>
          <w:rFonts w:hint="eastAsia" w:ascii="宋体" w:hAnsi="宋体" w:cs="宋体"/>
          <w:b w:val="0"/>
          <w:bCs/>
          <w:color w:val="auto"/>
          <w:kern w:val="1"/>
          <w:szCs w:val="21"/>
          <w:highlight w:val="none"/>
          <w:lang w:eastAsia="zh-CN"/>
        </w:rPr>
        <w:t>铲泥费</w:t>
      </w:r>
      <w:r>
        <w:rPr>
          <w:rFonts w:hint="eastAsia" w:hAnsi="宋体"/>
          <w:bCs/>
          <w:color w:val="auto"/>
          <w:highlight w:val="none"/>
        </w:rPr>
        <w:t>、装车费、</w:t>
      </w:r>
      <w:r>
        <w:rPr>
          <w:rFonts w:hint="eastAsia" w:hAnsi="宋体"/>
          <w:bCs/>
          <w:color w:val="auto"/>
          <w:highlight w:val="none"/>
          <w:lang w:val="en-US" w:eastAsia="zh-CN"/>
        </w:rPr>
        <w:t>车辆运输费、</w:t>
      </w:r>
      <w:r>
        <w:rPr>
          <w:rFonts w:hint="eastAsia" w:hAnsi="宋体"/>
          <w:bCs/>
          <w:color w:val="auto"/>
          <w:highlight w:val="none"/>
        </w:rPr>
        <w:t>污泥的</w:t>
      </w:r>
      <w:r>
        <w:rPr>
          <w:rFonts w:hint="eastAsia" w:hAnsi="宋体"/>
          <w:bCs/>
          <w:color w:val="auto"/>
          <w:highlight w:val="none"/>
          <w:lang w:eastAsia="zh-CN"/>
        </w:rPr>
        <w:t>焚烧</w:t>
      </w:r>
      <w:r>
        <w:rPr>
          <w:rFonts w:hint="eastAsia" w:hAnsi="宋体"/>
          <w:bCs/>
          <w:color w:val="auto"/>
          <w:highlight w:val="none"/>
        </w:rPr>
        <w:t>或制砖处置、管理费</w:t>
      </w:r>
      <w:r>
        <w:rPr>
          <w:rFonts w:hint="eastAsia" w:hAnsi="宋体"/>
          <w:bCs/>
          <w:color w:val="auto"/>
          <w:highlight w:val="none"/>
          <w:lang w:eastAsia="zh-CN"/>
        </w:rPr>
        <w:t>、</w:t>
      </w:r>
      <w:r>
        <w:rPr>
          <w:rFonts w:hint="eastAsia" w:hAnsi="宋体"/>
          <w:bCs/>
          <w:color w:val="auto"/>
          <w:highlight w:val="none"/>
          <w:lang w:val="en-US" w:eastAsia="zh-CN"/>
        </w:rPr>
        <w:t>税费</w:t>
      </w:r>
      <w:r>
        <w:rPr>
          <w:rFonts w:hint="eastAsia" w:hAnsi="宋体"/>
          <w:bCs/>
          <w:color w:val="auto"/>
          <w:highlight w:val="none"/>
        </w:rPr>
        <w:t>等一切</w:t>
      </w:r>
      <w:r>
        <w:rPr>
          <w:rFonts w:hint="eastAsia" w:hAnsi="宋体"/>
          <w:bCs/>
          <w:color w:val="auto"/>
          <w:highlight w:val="none"/>
          <w:lang w:val="en-US" w:eastAsia="zh-CN"/>
        </w:rPr>
        <w:t>费用。</w:t>
      </w:r>
    </w:p>
    <w:p w14:paraId="30BD2470">
      <w:pPr>
        <w:widowControl w:val="0"/>
        <w:shd w:val="clear"/>
        <w:spacing w:line="360" w:lineRule="auto"/>
        <w:ind w:left="105" w:leftChars="50" w:firstLine="411" w:firstLineChars="196"/>
        <w:rPr>
          <w:rFonts w:hint="eastAsia" w:ascii="宋体" w:hAnsi="宋体" w:eastAsia="宋体" w:cs="宋体"/>
          <w:bCs/>
          <w:color w:val="auto"/>
          <w:sz w:val="21"/>
          <w:szCs w:val="21"/>
          <w:highlight w:val="none"/>
        </w:rPr>
      </w:pPr>
      <w:r>
        <w:rPr>
          <w:rFonts w:hint="eastAsia" w:ascii="宋体" w:hAnsi="宋体" w:cs="宋体"/>
          <w:b w:val="0"/>
          <w:bCs/>
          <w:color w:val="auto"/>
          <w:kern w:val="1"/>
          <w:szCs w:val="21"/>
          <w:highlight w:val="none"/>
          <w:lang w:val="en-US" w:eastAsia="zh-CN"/>
        </w:rPr>
        <w:t>费用</w:t>
      </w:r>
      <w:r>
        <w:rPr>
          <w:rFonts w:hint="eastAsia" w:ascii="宋体" w:hAnsi="宋体" w:eastAsia="宋体" w:cs="宋体"/>
          <w:bCs/>
          <w:color w:val="auto"/>
          <w:sz w:val="21"/>
          <w:szCs w:val="21"/>
          <w:highlight w:val="none"/>
        </w:rPr>
        <w:t>按任务支付，每月</w:t>
      </w:r>
      <w:r>
        <w:rPr>
          <w:rFonts w:hint="eastAsia" w:ascii="宋体" w:hAnsi="宋体" w:eastAsia="宋体" w:cs="宋体"/>
          <w:bCs/>
          <w:color w:val="auto"/>
          <w:sz w:val="21"/>
          <w:szCs w:val="21"/>
          <w:highlight w:val="none"/>
          <w:lang w:val="en-US" w:eastAsia="zh-CN"/>
        </w:rPr>
        <w:t>按实</w:t>
      </w:r>
      <w:r>
        <w:rPr>
          <w:rFonts w:hint="eastAsia" w:ascii="宋体" w:hAnsi="宋体" w:eastAsia="宋体" w:cs="宋体"/>
          <w:bCs/>
          <w:color w:val="auto"/>
          <w:sz w:val="21"/>
          <w:szCs w:val="21"/>
          <w:highlight w:val="none"/>
        </w:rPr>
        <w:t>结算一次</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上一月度完成处置的污泥数量</w:t>
      </w:r>
      <w:r>
        <w:rPr>
          <w:rFonts w:hint="eastAsia" w:ascii="宋体" w:hAnsi="宋体" w:eastAsia="宋体" w:cs="宋体"/>
          <w:bCs/>
          <w:color w:val="auto"/>
          <w:sz w:val="21"/>
          <w:szCs w:val="21"/>
          <w:highlight w:val="none"/>
          <w:lang w:val="en-US" w:eastAsia="zh-CN"/>
        </w:rPr>
        <w:t>经双方确认无误后，乙方凭发票、运输信息和一般固废处置系统联单进行结算</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甲方</w:t>
      </w:r>
      <w:r>
        <w:rPr>
          <w:rFonts w:hint="eastAsia" w:ascii="宋体" w:hAnsi="宋体" w:eastAsia="宋体" w:cs="宋体"/>
          <w:bCs/>
          <w:color w:val="auto"/>
          <w:sz w:val="21"/>
          <w:szCs w:val="21"/>
          <w:highlight w:val="none"/>
        </w:rPr>
        <w:t>在10日内</w:t>
      </w:r>
      <w:r>
        <w:rPr>
          <w:rFonts w:hint="eastAsia" w:ascii="宋体" w:hAnsi="宋体" w:eastAsia="宋体" w:cs="宋体"/>
          <w:bCs/>
          <w:color w:val="auto"/>
          <w:sz w:val="21"/>
          <w:szCs w:val="21"/>
          <w:highlight w:val="none"/>
          <w:lang w:val="en-US" w:eastAsia="zh-CN"/>
        </w:rPr>
        <w:t>予以</w:t>
      </w:r>
      <w:r>
        <w:rPr>
          <w:rFonts w:hint="eastAsia" w:ascii="宋体" w:hAnsi="宋体" w:eastAsia="宋体" w:cs="宋体"/>
          <w:bCs/>
          <w:color w:val="auto"/>
          <w:sz w:val="21"/>
          <w:szCs w:val="21"/>
          <w:highlight w:val="none"/>
        </w:rPr>
        <w:t>支付。</w:t>
      </w:r>
      <w:r>
        <w:rPr>
          <w:rFonts w:hint="eastAsia" w:ascii="宋体" w:hAnsi="宋体" w:eastAsia="宋体" w:cs="宋体"/>
          <w:bCs/>
          <w:color w:val="auto"/>
          <w:sz w:val="21"/>
          <w:szCs w:val="21"/>
          <w:highlight w:val="none"/>
        </w:rPr>
        <w:t>义南、城西、上溪水厂的由义乌市城西自来水有限公司付款</w:t>
      </w:r>
      <w:r>
        <w:rPr>
          <w:rFonts w:hint="eastAsia" w:ascii="宋体" w:hAnsi="宋体" w:eastAsia="宋体" w:cs="宋体"/>
          <w:bCs/>
          <w:color w:val="auto"/>
          <w:sz w:val="21"/>
          <w:szCs w:val="21"/>
          <w:highlight w:val="none"/>
          <w:lang w:eastAsia="zh-CN"/>
        </w:rPr>
        <w:t>。</w:t>
      </w:r>
    </w:p>
    <w:p w14:paraId="74B91FA2">
      <w:pPr>
        <w:widowControl/>
        <w:numPr>
          <w:ilvl w:val="0"/>
          <w:numId w:val="0"/>
        </w:numPr>
        <w:shd w:val="clear"/>
        <w:spacing w:line="312" w:lineRule="auto"/>
        <w:ind w:leftChars="0" w:firstLine="420" w:firstLineChars="200"/>
        <w:rPr>
          <w:rFonts w:hint="eastAsia" w:ascii="宋体" w:hAnsi="宋体" w:eastAsia="宋体" w:cs="宋体"/>
          <w:color w:val="auto"/>
          <w:kern w:val="1"/>
          <w:szCs w:val="21"/>
          <w:highlight w:val="none"/>
          <w:lang w:eastAsia="zh-CN"/>
        </w:rPr>
      </w:pPr>
      <w:r>
        <w:rPr>
          <w:rFonts w:hint="eastAsia"/>
          <w:color w:val="auto"/>
          <w:highlight w:val="none"/>
          <w:lang w:val="en-US" w:eastAsia="zh-CN"/>
        </w:rPr>
        <w:t xml:space="preserve">2. </w:t>
      </w:r>
      <w:r>
        <w:rPr>
          <w:rFonts w:hint="eastAsia" w:ascii="宋体" w:hAnsi="宋体" w:cs="宋体"/>
          <w:bCs/>
          <w:color w:val="auto"/>
          <w:kern w:val="1"/>
          <w:szCs w:val="21"/>
          <w:highlight w:val="none"/>
          <w:lang w:eastAsia="zh-CN"/>
        </w:rPr>
        <w:t>最终结算总额不超招标预算价。</w:t>
      </w:r>
    </w:p>
    <w:p w14:paraId="2DCEF82E">
      <w:pPr>
        <w:keepNext w:val="0"/>
        <w:keepLines w:val="0"/>
        <w:pageBreakBefore w:val="0"/>
        <w:widowControl/>
        <w:shd w:val="clear"/>
        <w:kinsoku/>
        <w:wordWrap/>
        <w:overflowPunct/>
        <w:topLinePunct w:val="0"/>
        <w:autoSpaceDE/>
        <w:autoSpaceDN/>
        <w:bidi w:val="0"/>
        <w:adjustRightInd/>
        <w:spacing w:line="360" w:lineRule="auto"/>
        <w:ind w:firstLine="480"/>
        <w:jc w:val="left"/>
        <w:textAlignment w:val="auto"/>
        <w:rPr>
          <w:rFonts w:hint="eastAsia" w:ascii="宋体" w:hAnsi="宋体" w:eastAsia="宋体" w:cs="宋体"/>
          <w:b/>
          <w:color w:val="auto"/>
          <w:kern w:val="0"/>
          <w:sz w:val="21"/>
          <w:szCs w:val="21"/>
          <w:highlight w:val="none"/>
          <w:lang w:eastAsia="zh-CN"/>
        </w:rPr>
      </w:pPr>
      <w:r>
        <w:rPr>
          <w:rFonts w:hint="eastAsia" w:ascii="宋体" w:hAnsi="宋体" w:eastAsia="宋体" w:cs="宋体"/>
          <w:b/>
          <w:color w:val="auto"/>
          <w:kern w:val="0"/>
          <w:sz w:val="21"/>
          <w:szCs w:val="21"/>
          <w:highlight w:val="none"/>
          <w:lang w:eastAsia="zh-CN"/>
        </w:rPr>
        <w:t>四、双方的权利和义务</w:t>
      </w:r>
    </w:p>
    <w:p w14:paraId="052DA268">
      <w:pPr>
        <w:shd w:val="clear"/>
        <w:spacing w:line="312" w:lineRule="auto"/>
        <w:ind w:firstLine="420"/>
        <w:rPr>
          <w:rFonts w:ascii="宋体" w:hAnsi="宋体" w:cs="宋体"/>
          <w:color w:val="auto"/>
          <w:kern w:val="1"/>
          <w:szCs w:val="21"/>
          <w:highlight w:val="none"/>
        </w:rPr>
      </w:pPr>
      <w:r>
        <w:rPr>
          <w:rFonts w:ascii="宋体" w:hAnsi="宋体" w:cs="宋体"/>
          <w:color w:val="auto"/>
          <w:kern w:val="1"/>
          <w:szCs w:val="21"/>
          <w:highlight w:val="none"/>
        </w:rPr>
        <w:t>1、</w:t>
      </w:r>
      <w:r>
        <w:rPr>
          <w:rFonts w:hint="eastAsia" w:ascii="宋体" w:hAnsi="宋体" w:cs="宋体"/>
          <w:color w:val="auto"/>
          <w:kern w:val="1"/>
          <w:szCs w:val="21"/>
          <w:highlight w:val="none"/>
          <w:lang w:eastAsia="zh-CN"/>
        </w:rPr>
        <w:t>甲方</w:t>
      </w:r>
      <w:r>
        <w:rPr>
          <w:rFonts w:ascii="宋体" w:hAnsi="宋体" w:cs="宋体"/>
          <w:color w:val="auto"/>
          <w:kern w:val="1"/>
          <w:szCs w:val="21"/>
          <w:highlight w:val="none"/>
        </w:rPr>
        <w:t>以电话</w:t>
      </w:r>
      <w:r>
        <w:rPr>
          <w:rFonts w:hint="eastAsia" w:ascii="宋体" w:hAnsi="宋体" w:cs="宋体"/>
          <w:color w:val="auto"/>
          <w:kern w:val="1"/>
          <w:szCs w:val="21"/>
          <w:highlight w:val="none"/>
          <w:lang w:eastAsia="zh-CN"/>
        </w:rPr>
        <w:t>或微信</w:t>
      </w:r>
      <w:r>
        <w:rPr>
          <w:rFonts w:ascii="宋体" w:hAnsi="宋体" w:cs="宋体"/>
          <w:color w:val="auto"/>
          <w:kern w:val="1"/>
          <w:szCs w:val="21"/>
          <w:highlight w:val="none"/>
        </w:rPr>
        <w:t>的方式发出运输通知，</w:t>
      </w:r>
      <w:r>
        <w:rPr>
          <w:rFonts w:hint="eastAsia" w:ascii="宋体" w:hAnsi="宋体" w:cs="宋体"/>
          <w:color w:val="auto"/>
          <w:kern w:val="1"/>
          <w:szCs w:val="21"/>
          <w:highlight w:val="none"/>
          <w:lang w:eastAsia="zh-CN"/>
        </w:rPr>
        <w:t>乙方</w:t>
      </w:r>
      <w:r>
        <w:rPr>
          <w:rFonts w:ascii="宋体" w:hAnsi="宋体" w:cs="宋体"/>
          <w:color w:val="auto"/>
          <w:kern w:val="1"/>
          <w:szCs w:val="21"/>
          <w:highlight w:val="none"/>
        </w:rPr>
        <w:t>接到通知后</w:t>
      </w:r>
      <w:r>
        <w:rPr>
          <w:rFonts w:hint="eastAsia" w:ascii="宋体" w:hAnsi="宋体" w:cs="宋体"/>
          <w:color w:val="auto"/>
          <w:kern w:val="1"/>
          <w:szCs w:val="21"/>
          <w:highlight w:val="none"/>
          <w:u w:val="single"/>
          <w:lang w:val="en-US" w:eastAsia="zh-CN"/>
        </w:rPr>
        <w:t>5</w:t>
      </w:r>
      <w:r>
        <w:rPr>
          <w:rFonts w:ascii="宋体" w:hAnsi="宋体" w:cs="宋体"/>
          <w:color w:val="auto"/>
          <w:kern w:val="1"/>
          <w:szCs w:val="21"/>
          <w:highlight w:val="none"/>
          <w:u w:val="single"/>
        </w:rPr>
        <w:t>天</w:t>
      </w:r>
      <w:r>
        <w:rPr>
          <w:rFonts w:ascii="宋体" w:hAnsi="宋体" w:cs="宋体"/>
          <w:color w:val="auto"/>
          <w:kern w:val="1"/>
          <w:szCs w:val="21"/>
          <w:highlight w:val="none"/>
        </w:rPr>
        <w:t>内派人派车前往。</w:t>
      </w:r>
    </w:p>
    <w:p w14:paraId="519CCDAB">
      <w:pPr>
        <w:shd w:val="clear"/>
        <w:spacing w:line="312" w:lineRule="auto"/>
        <w:ind w:left="420"/>
        <w:rPr>
          <w:rFonts w:ascii="宋体" w:hAnsi="宋体" w:cs="宋体"/>
          <w:color w:val="auto"/>
          <w:kern w:val="1"/>
          <w:szCs w:val="21"/>
          <w:highlight w:val="none"/>
        </w:rPr>
      </w:pPr>
      <w:r>
        <w:rPr>
          <w:rFonts w:ascii="宋体" w:hAnsi="宋体" w:cs="宋体"/>
          <w:color w:val="auto"/>
          <w:kern w:val="1"/>
          <w:szCs w:val="21"/>
          <w:highlight w:val="none"/>
        </w:rPr>
        <w:t>2、</w:t>
      </w:r>
      <w:r>
        <w:rPr>
          <w:rFonts w:hint="eastAsia" w:ascii="宋体" w:hAnsi="宋体" w:cs="宋体"/>
          <w:color w:val="auto"/>
          <w:kern w:val="1"/>
          <w:szCs w:val="21"/>
          <w:highlight w:val="none"/>
          <w:lang w:eastAsia="zh-CN"/>
        </w:rPr>
        <w:t>甲方</w:t>
      </w:r>
      <w:r>
        <w:rPr>
          <w:rFonts w:ascii="宋体" w:hAnsi="宋体" w:cs="宋体"/>
          <w:color w:val="auto"/>
          <w:kern w:val="1"/>
          <w:szCs w:val="21"/>
          <w:highlight w:val="none"/>
        </w:rPr>
        <w:t>按合同约定及时支付</w:t>
      </w:r>
      <w:r>
        <w:rPr>
          <w:rFonts w:hint="eastAsia" w:ascii="宋体" w:hAnsi="宋体" w:cs="宋体"/>
          <w:color w:val="auto"/>
          <w:kern w:val="1"/>
          <w:szCs w:val="21"/>
          <w:highlight w:val="none"/>
          <w:lang w:val="en-US" w:eastAsia="zh-CN"/>
        </w:rPr>
        <w:t>相关</w:t>
      </w:r>
      <w:r>
        <w:rPr>
          <w:rFonts w:ascii="宋体" w:hAnsi="宋体" w:cs="宋体"/>
          <w:color w:val="auto"/>
          <w:kern w:val="1"/>
          <w:szCs w:val="21"/>
          <w:highlight w:val="none"/>
        </w:rPr>
        <w:t>费用。</w:t>
      </w:r>
    </w:p>
    <w:p w14:paraId="2FDE9866">
      <w:pPr>
        <w:shd w:val="clear"/>
        <w:spacing w:line="312" w:lineRule="auto"/>
        <w:ind w:left="420"/>
        <w:rPr>
          <w:rFonts w:ascii="宋体" w:hAnsi="宋体" w:cs="宋体"/>
          <w:color w:val="auto"/>
          <w:kern w:val="1"/>
          <w:szCs w:val="21"/>
          <w:highlight w:val="none"/>
        </w:rPr>
      </w:pPr>
      <w:r>
        <w:rPr>
          <w:rFonts w:ascii="宋体" w:hAnsi="宋体" w:cs="宋体"/>
          <w:color w:val="auto"/>
          <w:kern w:val="1"/>
          <w:szCs w:val="21"/>
          <w:highlight w:val="none"/>
        </w:rPr>
        <w:t>3、</w:t>
      </w:r>
      <w:r>
        <w:rPr>
          <w:rFonts w:hint="eastAsia" w:ascii="宋体" w:hAnsi="宋体" w:cs="宋体"/>
          <w:color w:val="auto"/>
          <w:kern w:val="1"/>
          <w:szCs w:val="21"/>
          <w:highlight w:val="none"/>
          <w:lang w:eastAsia="zh-CN"/>
        </w:rPr>
        <w:t>甲方</w:t>
      </w:r>
      <w:r>
        <w:rPr>
          <w:rFonts w:ascii="宋体" w:hAnsi="宋体" w:cs="宋体"/>
          <w:color w:val="auto"/>
          <w:kern w:val="1"/>
          <w:szCs w:val="21"/>
          <w:highlight w:val="none"/>
        </w:rPr>
        <w:t>可以随时对</w:t>
      </w:r>
      <w:r>
        <w:rPr>
          <w:rFonts w:hint="eastAsia" w:ascii="宋体" w:hAnsi="宋体" w:cs="宋体"/>
          <w:color w:val="auto"/>
          <w:kern w:val="1"/>
          <w:szCs w:val="21"/>
          <w:highlight w:val="none"/>
          <w:lang w:eastAsia="zh-CN"/>
        </w:rPr>
        <w:t>乙方</w:t>
      </w:r>
      <w:r>
        <w:rPr>
          <w:rFonts w:ascii="宋体" w:hAnsi="宋体" w:cs="宋体"/>
          <w:color w:val="auto"/>
          <w:kern w:val="1"/>
          <w:szCs w:val="21"/>
          <w:highlight w:val="none"/>
        </w:rPr>
        <w:t>的运输行为进行监督、抽查。</w:t>
      </w:r>
    </w:p>
    <w:p w14:paraId="79B24E38">
      <w:pPr>
        <w:shd w:val="clear"/>
        <w:spacing w:line="312" w:lineRule="auto"/>
        <w:ind w:firstLine="420"/>
        <w:rPr>
          <w:rFonts w:ascii="宋体" w:hAnsi="宋体" w:cs="宋体"/>
          <w:color w:val="auto"/>
          <w:kern w:val="1"/>
          <w:szCs w:val="21"/>
          <w:highlight w:val="none"/>
        </w:rPr>
      </w:pPr>
      <w:r>
        <w:rPr>
          <w:rFonts w:ascii="宋体" w:hAnsi="宋体" w:cs="宋体"/>
          <w:color w:val="auto"/>
          <w:kern w:val="1"/>
          <w:szCs w:val="21"/>
          <w:highlight w:val="none"/>
        </w:rPr>
        <w:t>4、</w:t>
      </w:r>
      <w:r>
        <w:rPr>
          <w:rFonts w:hint="eastAsia" w:ascii="宋体" w:hAnsi="宋体" w:cs="宋体"/>
          <w:color w:val="auto"/>
          <w:kern w:val="1"/>
          <w:szCs w:val="21"/>
          <w:highlight w:val="none"/>
          <w:lang w:eastAsia="zh-CN"/>
        </w:rPr>
        <w:t>乙方</w:t>
      </w:r>
      <w:r>
        <w:rPr>
          <w:rFonts w:ascii="宋体" w:hAnsi="宋体" w:cs="宋体"/>
          <w:color w:val="auto"/>
          <w:kern w:val="1"/>
          <w:szCs w:val="21"/>
          <w:highlight w:val="none"/>
        </w:rPr>
        <w:t>应确保有足够的人力和清运车辆完成运输任务，并负责清运场地的卫生</w:t>
      </w:r>
      <w:r>
        <w:rPr>
          <w:rFonts w:hint="eastAsia" w:ascii="宋体" w:hAnsi="宋体" w:cs="宋体"/>
          <w:color w:val="auto"/>
          <w:kern w:val="1"/>
          <w:szCs w:val="21"/>
          <w:highlight w:val="none"/>
          <w:lang w:eastAsia="zh-CN"/>
        </w:rPr>
        <w:t>、</w:t>
      </w:r>
      <w:r>
        <w:rPr>
          <w:rFonts w:ascii="宋体" w:hAnsi="宋体" w:cs="宋体"/>
          <w:color w:val="auto"/>
          <w:kern w:val="1"/>
          <w:szCs w:val="21"/>
          <w:highlight w:val="none"/>
        </w:rPr>
        <w:t>整洁。</w:t>
      </w:r>
    </w:p>
    <w:p w14:paraId="2492E318">
      <w:pPr>
        <w:shd w:val="clear"/>
        <w:spacing w:line="312"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lang w:val="en-US" w:eastAsia="zh-CN"/>
        </w:rPr>
        <w:t>5、乙方应</w:t>
      </w:r>
      <w:r>
        <w:rPr>
          <w:rFonts w:hint="eastAsia" w:ascii="宋体" w:hAnsi="宋体" w:cs="宋体"/>
          <w:color w:val="auto"/>
          <w:kern w:val="1"/>
          <w:szCs w:val="21"/>
          <w:highlight w:val="none"/>
          <w:lang w:eastAsia="zh-CN"/>
        </w:rPr>
        <w:t>在</w:t>
      </w:r>
      <w:r>
        <w:rPr>
          <w:rFonts w:hint="eastAsia" w:ascii="宋体" w:hAnsi="宋体" w:cs="宋体"/>
          <w:color w:val="auto"/>
          <w:kern w:val="1"/>
          <w:szCs w:val="21"/>
          <w:highlight w:val="none"/>
          <w:lang w:val="en-US" w:eastAsia="zh-CN"/>
        </w:rPr>
        <w:t>义乌</w:t>
      </w:r>
      <w:r>
        <w:rPr>
          <w:rFonts w:hint="eastAsia" w:ascii="宋体" w:hAnsi="宋体" w:cs="宋体"/>
          <w:color w:val="auto"/>
          <w:kern w:val="1"/>
          <w:szCs w:val="21"/>
          <w:highlight w:val="none"/>
          <w:lang w:eastAsia="zh-CN"/>
        </w:rPr>
        <w:t>市范围内进行污泥处置。</w:t>
      </w:r>
    </w:p>
    <w:p w14:paraId="0A3EF3AE">
      <w:pPr>
        <w:shd w:val="clear"/>
        <w:spacing w:line="312" w:lineRule="auto"/>
        <w:ind w:left="420"/>
        <w:rPr>
          <w:rFonts w:hint="eastAsia" w:ascii="宋体" w:hAnsi="宋体" w:cs="宋体"/>
          <w:color w:val="auto"/>
          <w:kern w:val="1"/>
          <w:szCs w:val="21"/>
          <w:highlight w:val="none"/>
        </w:rPr>
      </w:pPr>
      <w:r>
        <w:rPr>
          <w:rFonts w:hint="eastAsia" w:ascii="宋体" w:hAnsi="宋体" w:cs="宋体"/>
          <w:color w:val="auto"/>
          <w:kern w:val="1"/>
          <w:szCs w:val="21"/>
          <w:highlight w:val="none"/>
          <w:lang w:val="en-US" w:eastAsia="zh-CN"/>
        </w:rPr>
        <w:t>6</w:t>
      </w:r>
      <w:r>
        <w:rPr>
          <w:rFonts w:hint="eastAsia" w:ascii="宋体" w:hAnsi="宋体" w:cs="宋体"/>
          <w:color w:val="auto"/>
          <w:kern w:val="1"/>
          <w:szCs w:val="21"/>
          <w:highlight w:val="none"/>
        </w:rPr>
        <w:t>、</w:t>
      </w:r>
      <w:r>
        <w:rPr>
          <w:rFonts w:hint="eastAsia" w:ascii="宋体" w:hAnsi="宋体" w:cs="宋体"/>
          <w:color w:val="auto"/>
          <w:kern w:val="1"/>
          <w:szCs w:val="21"/>
          <w:highlight w:val="none"/>
          <w:lang w:eastAsia="zh-CN"/>
        </w:rPr>
        <w:t>乙方按照一般固废的处置要求，开具一般固废处置系统联单</w:t>
      </w:r>
      <w:r>
        <w:rPr>
          <w:rFonts w:hint="eastAsia" w:ascii="宋体" w:hAnsi="宋体" w:cs="宋体"/>
          <w:color w:val="auto"/>
          <w:kern w:val="1"/>
          <w:szCs w:val="21"/>
          <w:highlight w:val="none"/>
        </w:rPr>
        <w:t>。</w:t>
      </w:r>
    </w:p>
    <w:p w14:paraId="230587F0">
      <w:pPr>
        <w:keepNext w:val="0"/>
        <w:keepLines w:val="0"/>
        <w:pageBreakBefore w:val="0"/>
        <w:widowControl/>
        <w:shd w:val="clear"/>
        <w:kinsoku/>
        <w:wordWrap/>
        <w:overflowPunct/>
        <w:topLinePunct w:val="0"/>
        <w:autoSpaceDE/>
        <w:autoSpaceDN/>
        <w:bidi w:val="0"/>
        <w:adjustRightInd/>
        <w:spacing w:line="360" w:lineRule="auto"/>
        <w:ind w:firstLine="480"/>
        <w:jc w:val="left"/>
        <w:textAlignment w:val="auto"/>
        <w:rPr>
          <w:rFonts w:hint="eastAsia" w:ascii="宋体" w:hAnsi="宋体" w:eastAsia="宋体" w:cs="宋体"/>
          <w:b/>
          <w:color w:val="auto"/>
          <w:kern w:val="0"/>
          <w:sz w:val="21"/>
          <w:szCs w:val="21"/>
          <w:highlight w:val="none"/>
          <w:lang w:eastAsia="zh-CN"/>
        </w:rPr>
      </w:pPr>
      <w:r>
        <w:rPr>
          <w:rFonts w:hint="eastAsia" w:ascii="宋体" w:hAnsi="宋体" w:eastAsia="宋体" w:cs="宋体"/>
          <w:b/>
          <w:color w:val="auto"/>
          <w:kern w:val="0"/>
          <w:sz w:val="21"/>
          <w:szCs w:val="21"/>
          <w:highlight w:val="none"/>
          <w:lang w:eastAsia="zh-CN"/>
        </w:rPr>
        <w:t>五、违约责任及赔偿</w:t>
      </w:r>
    </w:p>
    <w:p w14:paraId="6961CBF3">
      <w:pPr>
        <w:shd w:val="clear"/>
        <w:spacing w:line="312" w:lineRule="auto"/>
        <w:ind w:firstLine="420"/>
        <w:rPr>
          <w:rFonts w:ascii="宋体" w:hAnsi="宋体" w:cs="宋体"/>
          <w:color w:val="auto"/>
          <w:kern w:val="1"/>
          <w:szCs w:val="21"/>
          <w:highlight w:val="none"/>
        </w:rPr>
      </w:pPr>
      <w:r>
        <w:rPr>
          <w:rFonts w:ascii="宋体" w:hAnsi="宋体" w:cs="宋体"/>
          <w:color w:val="auto"/>
          <w:kern w:val="1"/>
          <w:szCs w:val="21"/>
          <w:highlight w:val="none"/>
        </w:rPr>
        <w:t>1、</w:t>
      </w:r>
      <w:r>
        <w:rPr>
          <w:rFonts w:hint="eastAsia" w:ascii="宋体" w:hAnsi="宋体" w:cs="宋体"/>
          <w:color w:val="auto"/>
          <w:kern w:val="1"/>
          <w:szCs w:val="21"/>
          <w:highlight w:val="none"/>
          <w:lang w:eastAsia="zh-CN"/>
        </w:rPr>
        <w:t>乙方</w:t>
      </w:r>
      <w:r>
        <w:rPr>
          <w:rFonts w:ascii="宋体" w:hAnsi="宋体" w:cs="宋体"/>
          <w:color w:val="auto"/>
          <w:kern w:val="1"/>
          <w:szCs w:val="21"/>
          <w:highlight w:val="none"/>
        </w:rPr>
        <w:t>运输过程中不允许有私自处置或随意倾倒等现象，在运输过程中发生私自处置或随意倾倒的，由</w:t>
      </w:r>
      <w:r>
        <w:rPr>
          <w:rFonts w:hint="eastAsia" w:ascii="宋体" w:hAnsi="宋体" w:cs="宋体"/>
          <w:color w:val="auto"/>
          <w:kern w:val="1"/>
          <w:szCs w:val="21"/>
          <w:highlight w:val="none"/>
          <w:lang w:eastAsia="zh-CN"/>
        </w:rPr>
        <w:t>乙方</w:t>
      </w:r>
      <w:r>
        <w:rPr>
          <w:rFonts w:ascii="宋体" w:hAnsi="宋体" w:cs="宋体"/>
          <w:color w:val="auto"/>
          <w:kern w:val="1"/>
          <w:szCs w:val="21"/>
          <w:highlight w:val="none"/>
        </w:rPr>
        <w:t>承担全部责任，赔偿所有损失。</w:t>
      </w:r>
    </w:p>
    <w:p w14:paraId="496D9FD9">
      <w:pPr>
        <w:shd w:val="clear"/>
        <w:spacing w:line="312" w:lineRule="auto"/>
        <w:ind w:firstLine="420"/>
        <w:rPr>
          <w:rFonts w:ascii="宋体" w:hAnsi="宋体" w:cs="宋体"/>
          <w:color w:val="auto"/>
          <w:kern w:val="1"/>
          <w:szCs w:val="21"/>
          <w:highlight w:val="none"/>
        </w:rPr>
      </w:pPr>
      <w:r>
        <w:rPr>
          <w:rFonts w:ascii="宋体" w:hAnsi="宋体" w:cs="宋体"/>
          <w:color w:val="auto"/>
          <w:kern w:val="1"/>
          <w:szCs w:val="21"/>
          <w:highlight w:val="none"/>
        </w:rPr>
        <w:t>2、</w:t>
      </w:r>
      <w:r>
        <w:rPr>
          <w:rFonts w:hint="eastAsia" w:ascii="宋体" w:hAnsi="宋体" w:cs="宋体"/>
          <w:color w:val="auto"/>
          <w:kern w:val="1"/>
          <w:szCs w:val="21"/>
          <w:highlight w:val="none"/>
          <w:lang w:eastAsia="zh-CN"/>
        </w:rPr>
        <w:t>乙方</w:t>
      </w:r>
      <w:r>
        <w:rPr>
          <w:rFonts w:ascii="宋体" w:hAnsi="宋体" w:cs="宋体"/>
          <w:color w:val="auto"/>
          <w:kern w:val="1"/>
          <w:szCs w:val="21"/>
          <w:highlight w:val="none"/>
        </w:rPr>
        <w:t>在装卸、运输过程中不允许存在污泥洒落等现象，不得造成污染事故。装卸、运输途中发生污泥洒落，由</w:t>
      </w:r>
      <w:r>
        <w:rPr>
          <w:rFonts w:hint="eastAsia" w:ascii="宋体" w:hAnsi="宋体" w:cs="宋体"/>
          <w:color w:val="auto"/>
          <w:kern w:val="1"/>
          <w:szCs w:val="21"/>
          <w:highlight w:val="none"/>
          <w:lang w:eastAsia="zh-CN"/>
        </w:rPr>
        <w:t>乙方</w:t>
      </w:r>
      <w:r>
        <w:rPr>
          <w:rFonts w:ascii="宋体" w:hAnsi="宋体" w:cs="宋体"/>
          <w:color w:val="auto"/>
          <w:kern w:val="1"/>
          <w:szCs w:val="21"/>
          <w:highlight w:val="none"/>
        </w:rPr>
        <w:t>负责清扫整理，造成污染事故的，由</w:t>
      </w:r>
      <w:r>
        <w:rPr>
          <w:rFonts w:hint="eastAsia" w:ascii="宋体" w:hAnsi="宋体" w:cs="宋体"/>
          <w:color w:val="auto"/>
          <w:kern w:val="1"/>
          <w:szCs w:val="21"/>
          <w:highlight w:val="none"/>
          <w:lang w:eastAsia="zh-CN"/>
        </w:rPr>
        <w:t>乙方</w:t>
      </w:r>
      <w:r>
        <w:rPr>
          <w:rFonts w:ascii="宋体" w:hAnsi="宋体" w:cs="宋体"/>
          <w:color w:val="auto"/>
          <w:kern w:val="1"/>
          <w:szCs w:val="21"/>
          <w:highlight w:val="none"/>
        </w:rPr>
        <w:t>承担全部责任并赔偿所有损失。</w:t>
      </w:r>
    </w:p>
    <w:p w14:paraId="3B0FB6A3">
      <w:pPr>
        <w:shd w:val="clear"/>
        <w:spacing w:line="440" w:lineRule="exact"/>
        <w:ind w:firstLine="420" w:firstLineChars="200"/>
        <w:rPr>
          <w:rFonts w:hint="eastAsia" w:ascii="宋体" w:hAnsi="宋体" w:cs="宋体"/>
          <w:color w:val="auto"/>
          <w:sz w:val="24"/>
          <w:highlight w:val="none"/>
        </w:rPr>
      </w:pPr>
      <w:r>
        <w:rPr>
          <w:rFonts w:ascii="宋体" w:hAnsi="宋体" w:eastAsia="宋体" w:cs="宋体"/>
          <w:color w:val="auto"/>
          <w:kern w:val="1"/>
          <w:szCs w:val="21"/>
          <w:highlight w:val="none"/>
        </w:rPr>
        <w:t>3、</w:t>
      </w:r>
      <w:r>
        <w:rPr>
          <w:rFonts w:hint="eastAsia" w:ascii="宋体" w:hAnsi="宋体" w:eastAsia="宋体" w:cs="宋体"/>
          <w:color w:val="auto"/>
          <w:kern w:val="1"/>
          <w:szCs w:val="21"/>
          <w:highlight w:val="none"/>
          <w:lang w:eastAsia="zh-CN"/>
        </w:rPr>
        <w:t>乙方</w:t>
      </w:r>
      <w:r>
        <w:rPr>
          <w:rFonts w:ascii="宋体" w:hAnsi="宋体" w:eastAsia="宋体" w:cs="宋体"/>
          <w:color w:val="auto"/>
          <w:kern w:val="1"/>
          <w:szCs w:val="21"/>
          <w:highlight w:val="none"/>
        </w:rPr>
        <w:t>不得</w:t>
      </w:r>
      <w:r>
        <w:rPr>
          <w:rFonts w:hint="default" w:ascii="宋体" w:hAnsi="宋体" w:eastAsia="宋体" w:cs="宋体"/>
          <w:color w:val="auto"/>
          <w:kern w:val="1"/>
          <w:sz w:val="21"/>
          <w:szCs w:val="21"/>
          <w:highlight w:val="none"/>
        </w:rPr>
        <w:t>单方面将污泥转移至第三方处置</w:t>
      </w:r>
      <w:r>
        <w:rPr>
          <w:rFonts w:ascii="宋体" w:hAnsi="宋体" w:eastAsia="宋体" w:cs="宋体"/>
          <w:color w:val="auto"/>
          <w:kern w:val="1"/>
          <w:szCs w:val="21"/>
          <w:highlight w:val="none"/>
        </w:rPr>
        <w:t>，</w:t>
      </w:r>
      <w:r>
        <w:rPr>
          <w:rFonts w:hint="eastAsia" w:ascii="宋体" w:hAnsi="宋体" w:eastAsia="宋体" w:cs="宋体"/>
          <w:color w:val="auto"/>
          <w:kern w:val="0"/>
          <w:sz w:val="21"/>
          <w:szCs w:val="21"/>
          <w:highlight w:val="none"/>
        </w:rPr>
        <w:t>或在服务期间单方面拒绝接收</w:t>
      </w:r>
      <w:r>
        <w:rPr>
          <w:rFonts w:hint="eastAsia" w:ascii="宋体" w:hAnsi="宋体" w:eastAsia="宋体" w:cs="宋体"/>
          <w:color w:val="auto"/>
          <w:kern w:val="0"/>
          <w:sz w:val="21"/>
          <w:szCs w:val="21"/>
          <w:highlight w:val="none"/>
          <w:lang w:val="en-US" w:eastAsia="zh-CN"/>
        </w:rPr>
        <w:t>甲</w:t>
      </w:r>
      <w:r>
        <w:rPr>
          <w:rFonts w:hint="eastAsia" w:ascii="宋体" w:hAnsi="宋体" w:eastAsia="宋体" w:cs="宋体"/>
          <w:color w:val="auto"/>
          <w:kern w:val="0"/>
          <w:sz w:val="21"/>
          <w:szCs w:val="21"/>
          <w:highlight w:val="none"/>
        </w:rPr>
        <w:t>方的污泥（环保局等政府部门规定的除外），否则由此造成的损失和责任均由</w:t>
      </w:r>
      <w:r>
        <w:rPr>
          <w:rFonts w:hint="eastAsia" w:ascii="宋体" w:hAnsi="宋体" w:eastAsia="宋体" w:cs="宋体"/>
          <w:color w:val="auto"/>
          <w:kern w:val="0"/>
          <w:sz w:val="21"/>
          <w:szCs w:val="21"/>
          <w:highlight w:val="none"/>
          <w:lang w:val="en-US" w:eastAsia="zh-CN"/>
        </w:rPr>
        <w:t>乙方</w:t>
      </w:r>
      <w:r>
        <w:rPr>
          <w:rFonts w:hint="eastAsia" w:ascii="宋体" w:hAnsi="宋体" w:eastAsia="宋体" w:cs="宋体"/>
          <w:color w:val="auto"/>
          <w:kern w:val="0"/>
          <w:sz w:val="21"/>
          <w:szCs w:val="21"/>
          <w:highlight w:val="none"/>
        </w:rPr>
        <w:t>承担。</w:t>
      </w:r>
    </w:p>
    <w:p w14:paraId="7CB30DEE">
      <w:pPr>
        <w:shd w:val="clear"/>
        <w:spacing w:line="312" w:lineRule="auto"/>
        <w:ind w:firstLine="420"/>
        <w:rPr>
          <w:rFonts w:hint="default" w:ascii="宋体" w:hAnsi="宋体" w:eastAsia="宋体" w:cs="宋体"/>
          <w:color w:val="auto"/>
          <w:kern w:val="1"/>
          <w:szCs w:val="21"/>
          <w:highlight w:val="none"/>
          <w:lang w:val="en-US" w:eastAsia="zh-CN"/>
        </w:rPr>
      </w:pPr>
      <w:r>
        <w:rPr>
          <w:rFonts w:hint="eastAsia" w:ascii="宋体" w:hAnsi="宋体" w:eastAsia="宋体" w:cs="宋体"/>
          <w:color w:val="auto"/>
          <w:kern w:val="1"/>
          <w:szCs w:val="21"/>
          <w:highlight w:val="none"/>
          <w:lang w:val="en-US" w:eastAsia="zh-CN"/>
        </w:rPr>
        <w:t>4、乙方在约定的时间内不能完成运输处置的，</w:t>
      </w:r>
      <w:r>
        <w:rPr>
          <w:rFonts w:hint="eastAsia" w:ascii="宋体" w:hAnsi="宋体" w:eastAsia="宋体" w:cs="宋体"/>
          <w:color w:val="auto"/>
          <w:kern w:val="0"/>
          <w:sz w:val="21"/>
          <w:szCs w:val="21"/>
          <w:highlight w:val="none"/>
          <w:lang w:eastAsia="zh-CN"/>
        </w:rPr>
        <w:t>乙方</w:t>
      </w:r>
      <w:r>
        <w:rPr>
          <w:rFonts w:hint="eastAsia" w:ascii="宋体" w:hAnsi="宋体" w:eastAsia="宋体" w:cs="宋体"/>
          <w:color w:val="auto"/>
          <w:kern w:val="0"/>
          <w:sz w:val="21"/>
          <w:szCs w:val="21"/>
          <w:highlight w:val="none"/>
        </w:rPr>
        <w:t>应按</w:t>
      </w:r>
      <w:r>
        <w:rPr>
          <w:rFonts w:hint="eastAsia" w:ascii="宋体" w:hAnsi="宋体" w:eastAsia="宋体" w:cs="宋体"/>
          <w:color w:val="auto"/>
          <w:kern w:val="0"/>
          <w:sz w:val="21"/>
          <w:szCs w:val="21"/>
          <w:highlight w:val="none"/>
          <w:lang w:eastAsia="zh-CN"/>
        </w:rPr>
        <w:t>预算价</w:t>
      </w:r>
      <w:r>
        <w:rPr>
          <w:rFonts w:hint="eastAsia" w:ascii="宋体" w:hAnsi="宋体" w:eastAsia="宋体" w:cs="宋体"/>
          <w:color w:val="auto"/>
          <w:kern w:val="0"/>
          <w:sz w:val="21"/>
          <w:szCs w:val="21"/>
          <w:highlight w:val="none"/>
        </w:rPr>
        <w:t>的</w:t>
      </w:r>
      <w:r>
        <w:rPr>
          <w:rFonts w:hint="eastAsia" w:ascii="宋体" w:hAnsi="宋体" w:eastAsia="宋体" w:cs="宋体"/>
          <w:color w:val="auto"/>
          <w:kern w:val="0"/>
          <w:sz w:val="21"/>
          <w:szCs w:val="21"/>
          <w:highlight w:val="none"/>
          <w:u w:val="single"/>
        </w:rPr>
        <w:t>每日</w:t>
      </w:r>
      <w:r>
        <w:rPr>
          <w:rFonts w:hint="eastAsia" w:ascii="宋体" w:hAnsi="宋体" w:eastAsia="宋体" w:cs="宋体"/>
          <w:color w:val="auto"/>
          <w:kern w:val="0"/>
          <w:sz w:val="21"/>
          <w:szCs w:val="21"/>
          <w:highlight w:val="none"/>
          <w:u w:val="single"/>
          <w:lang w:eastAsia="zh-CN"/>
        </w:rPr>
        <w:t>万</w:t>
      </w:r>
      <w:r>
        <w:rPr>
          <w:rFonts w:hint="eastAsia" w:ascii="宋体" w:hAnsi="宋体" w:eastAsia="宋体" w:cs="宋体"/>
          <w:color w:val="auto"/>
          <w:kern w:val="0"/>
          <w:sz w:val="21"/>
          <w:szCs w:val="21"/>
          <w:highlight w:val="none"/>
          <w:u w:val="single"/>
        </w:rPr>
        <w:t xml:space="preserve">分之 </w:t>
      </w:r>
      <w:r>
        <w:rPr>
          <w:rFonts w:hint="eastAsia" w:ascii="宋体" w:hAnsi="宋体" w:eastAsia="宋体" w:cs="宋体"/>
          <w:color w:val="auto"/>
          <w:kern w:val="0"/>
          <w:sz w:val="21"/>
          <w:szCs w:val="21"/>
          <w:highlight w:val="none"/>
          <w:u w:val="single"/>
          <w:lang w:eastAsia="zh-CN"/>
        </w:rPr>
        <w:t>二</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向</w:t>
      </w:r>
      <w:r>
        <w:rPr>
          <w:rFonts w:hint="eastAsia" w:ascii="宋体" w:hAnsi="宋体" w:eastAsia="宋体" w:cs="宋体"/>
          <w:color w:val="auto"/>
          <w:kern w:val="0"/>
          <w:sz w:val="21"/>
          <w:szCs w:val="21"/>
          <w:highlight w:val="none"/>
          <w:lang w:eastAsia="zh-CN"/>
        </w:rPr>
        <w:t>甲</w:t>
      </w:r>
      <w:r>
        <w:rPr>
          <w:rFonts w:hint="eastAsia" w:ascii="宋体" w:hAnsi="宋体" w:eastAsia="宋体" w:cs="宋体"/>
          <w:color w:val="auto"/>
          <w:kern w:val="0"/>
          <w:sz w:val="21"/>
          <w:szCs w:val="21"/>
          <w:highlight w:val="none"/>
        </w:rPr>
        <w:t>方支付违约金，由</w:t>
      </w:r>
      <w:r>
        <w:rPr>
          <w:rFonts w:hint="eastAsia" w:ascii="宋体" w:hAnsi="宋体" w:eastAsia="宋体" w:cs="宋体"/>
          <w:color w:val="auto"/>
          <w:kern w:val="0"/>
          <w:sz w:val="21"/>
          <w:szCs w:val="21"/>
          <w:highlight w:val="none"/>
          <w:lang w:eastAsia="zh-CN"/>
        </w:rPr>
        <w:t>甲</w:t>
      </w:r>
      <w:r>
        <w:rPr>
          <w:rFonts w:hint="eastAsia" w:ascii="宋体" w:hAnsi="宋体" w:eastAsia="宋体" w:cs="宋体"/>
          <w:color w:val="auto"/>
          <w:kern w:val="0"/>
          <w:sz w:val="21"/>
          <w:szCs w:val="21"/>
          <w:highlight w:val="none"/>
        </w:rPr>
        <w:t>方从待付</w:t>
      </w:r>
      <w:r>
        <w:rPr>
          <w:rFonts w:hint="eastAsia" w:ascii="宋体" w:hAnsi="宋体" w:eastAsia="宋体" w:cs="宋体"/>
          <w:color w:val="auto"/>
          <w:kern w:val="0"/>
          <w:sz w:val="21"/>
          <w:szCs w:val="21"/>
          <w:highlight w:val="none"/>
          <w:lang w:eastAsia="zh-CN"/>
        </w:rPr>
        <w:t>款项</w:t>
      </w:r>
      <w:r>
        <w:rPr>
          <w:rFonts w:hint="eastAsia" w:ascii="宋体" w:hAnsi="宋体" w:eastAsia="宋体" w:cs="宋体"/>
          <w:color w:val="auto"/>
          <w:kern w:val="0"/>
          <w:sz w:val="21"/>
          <w:szCs w:val="21"/>
          <w:highlight w:val="none"/>
        </w:rPr>
        <w:t>中扣除。</w:t>
      </w:r>
    </w:p>
    <w:p w14:paraId="64B5CAD5">
      <w:pPr>
        <w:shd w:val="clear"/>
        <w:spacing w:line="312" w:lineRule="auto"/>
        <w:ind w:firstLine="420"/>
        <w:rPr>
          <w:rFonts w:hint="eastAsia" w:ascii="宋体" w:hAnsi="宋体" w:eastAsia="宋体" w:cs="宋体"/>
          <w:b/>
          <w:color w:val="auto"/>
          <w:kern w:val="0"/>
          <w:sz w:val="21"/>
          <w:szCs w:val="21"/>
          <w:highlight w:val="none"/>
          <w:lang w:eastAsia="zh-CN"/>
        </w:rPr>
      </w:pPr>
      <w:r>
        <w:rPr>
          <w:rFonts w:hint="eastAsia" w:ascii="宋体" w:hAnsi="宋体" w:eastAsia="宋体" w:cs="宋体"/>
          <w:color w:val="auto"/>
          <w:kern w:val="1"/>
          <w:szCs w:val="21"/>
          <w:highlight w:val="none"/>
          <w:lang w:val="en-US" w:eastAsia="zh-CN"/>
        </w:rPr>
        <w:t>5</w:t>
      </w:r>
      <w:r>
        <w:rPr>
          <w:rFonts w:ascii="宋体" w:hAnsi="宋体" w:eastAsia="宋体" w:cs="宋体"/>
          <w:color w:val="auto"/>
          <w:kern w:val="1"/>
          <w:szCs w:val="21"/>
          <w:highlight w:val="none"/>
        </w:rPr>
        <w:t>、本协议未尽事宜，经甲乙双方协商可作本协议补充条款、与本协议有同等效力。</w:t>
      </w:r>
    </w:p>
    <w:p w14:paraId="16B3F010">
      <w:pPr>
        <w:keepNext w:val="0"/>
        <w:keepLines w:val="0"/>
        <w:pageBreakBefore w:val="0"/>
        <w:widowControl/>
        <w:shd w:val="clear"/>
        <w:kinsoku/>
        <w:wordWrap/>
        <w:overflowPunct/>
        <w:topLinePunct w:val="0"/>
        <w:autoSpaceDE/>
        <w:autoSpaceDN/>
        <w:bidi w:val="0"/>
        <w:adjustRightInd/>
        <w:spacing w:line="360" w:lineRule="auto"/>
        <w:ind w:firstLine="480"/>
        <w:jc w:val="left"/>
        <w:textAlignment w:val="auto"/>
        <w:rPr>
          <w:rFonts w:hint="eastAsia" w:ascii="宋体" w:hAnsi="宋体" w:eastAsia="宋体" w:cs="宋体"/>
          <w:b/>
          <w:color w:val="auto"/>
          <w:kern w:val="0"/>
          <w:sz w:val="21"/>
          <w:szCs w:val="21"/>
          <w:highlight w:val="none"/>
          <w:lang w:eastAsia="zh-CN"/>
        </w:rPr>
      </w:pPr>
      <w:r>
        <w:rPr>
          <w:rFonts w:hint="eastAsia" w:ascii="宋体" w:hAnsi="宋体" w:eastAsia="宋体" w:cs="宋体"/>
          <w:b/>
          <w:color w:val="auto"/>
          <w:kern w:val="0"/>
          <w:sz w:val="21"/>
          <w:szCs w:val="21"/>
          <w:highlight w:val="none"/>
          <w:lang w:eastAsia="zh-CN"/>
        </w:rPr>
        <w:t>六、履约保证金：无。</w:t>
      </w:r>
    </w:p>
    <w:p w14:paraId="1CF65AB8">
      <w:pPr>
        <w:keepNext w:val="0"/>
        <w:keepLines w:val="0"/>
        <w:pageBreakBefore w:val="0"/>
        <w:widowControl/>
        <w:shd w:val="clear"/>
        <w:kinsoku/>
        <w:wordWrap/>
        <w:overflowPunct/>
        <w:topLinePunct w:val="0"/>
        <w:autoSpaceDE/>
        <w:autoSpaceDN/>
        <w:bidi w:val="0"/>
        <w:adjustRightInd/>
        <w:snapToGrid w:val="0"/>
        <w:spacing w:before="120" w:after="120" w:line="360" w:lineRule="auto"/>
        <w:ind w:firstLine="480"/>
        <w:jc w:val="left"/>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七、转包或分包</w:t>
      </w:r>
    </w:p>
    <w:p w14:paraId="166E6B77">
      <w:pPr>
        <w:keepNext w:val="0"/>
        <w:keepLines w:val="0"/>
        <w:pageBreakBefore w:val="0"/>
        <w:widowControl/>
        <w:shd w:val="clear"/>
        <w:kinsoku/>
        <w:wordWrap/>
        <w:overflowPunct/>
        <w:topLinePunct w:val="0"/>
        <w:autoSpaceDE/>
        <w:autoSpaceDN/>
        <w:bidi w:val="0"/>
        <w:adjustRightInd/>
        <w:spacing w:line="360" w:lineRule="auto"/>
        <w:ind w:firstLine="48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本合同范围的货物，应由</w:t>
      </w:r>
      <w:r>
        <w:rPr>
          <w:rFonts w:hint="eastAsia" w:ascii="宋体" w:hAnsi="宋体" w:eastAsia="宋体" w:cs="宋体"/>
          <w:color w:val="auto"/>
          <w:kern w:val="0"/>
          <w:sz w:val="21"/>
          <w:szCs w:val="21"/>
          <w:highlight w:val="none"/>
          <w:lang w:eastAsia="zh-CN"/>
        </w:rPr>
        <w:t>乙方</w:t>
      </w:r>
      <w:r>
        <w:rPr>
          <w:rFonts w:hint="eastAsia" w:ascii="宋体" w:hAnsi="宋体" w:eastAsia="宋体" w:cs="宋体"/>
          <w:color w:val="auto"/>
          <w:kern w:val="0"/>
          <w:sz w:val="21"/>
          <w:szCs w:val="21"/>
          <w:highlight w:val="none"/>
        </w:rPr>
        <w:t>直接供应，不得转让他人供应；</w:t>
      </w:r>
    </w:p>
    <w:p w14:paraId="23710F5F">
      <w:pPr>
        <w:keepNext w:val="0"/>
        <w:keepLines w:val="0"/>
        <w:pageBreakBefore w:val="0"/>
        <w:widowControl/>
        <w:shd w:val="clear"/>
        <w:kinsoku/>
        <w:wordWrap/>
        <w:overflowPunct/>
        <w:topLinePunct w:val="0"/>
        <w:autoSpaceDE/>
        <w:autoSpaceDN/>
        <w:bidi w:val="0"/>
        <w:adjustRightInd/>
        <w:spacing w:line="360" w:lineRule="auto"/>
        <w:ind w:firstLine="48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非经</w:t>
      </w:r>
      <w:r>
        <w:rPr>
          <w:rFonts w:hint="eastAsia" w:ascii="宋体" w:hAnsi="宋体" w:eastAsia="宋体" w:cs="宋体"/>
          <w:color w:val="auto"/>
          <w:kern w:val="0"/>
          <w:sz w:val="21"/>
          <w:szCs w:val="21"/>
          <w:highlight w:val="none"/>
          <w:lang w:val="en-US" w:eastAsia="zh-CN"/>
        </w:rPr>
        <w:t>甲</w:t>
      </w:r>
      <w:r>
        <w:rPr>
          <w:rFonts w:hint="eastAsia" w:ascii="宋体" w:hAnsi="宋体" w:eastAsia="宋体" w:cs="宋体"/>
          <w:color w:val="auto"/>
          <w:kern w:val="0"/>
          <w:sz w:val="21"/>
          <w:szCs w:val="21"/>
          <w:highlight w:val="none"/>
        </w:rPr>
        <w:t>方同意，</w:t>
      </w:r>
      <w:r>
        <w:rPr>
          <w:rFonts w:hint="eastAsia" w:ascii="宋体" w:hAnsi="宋体" w:eastAsia="宋体" w:cs="宋体"/>
          <w:color w:val="auto"/>
          <w:kern w:val="0"/>
          <w:sz w:val="21"/>
          <w:szCs w:val="21"/>
          <w:highlight w:val="none"/>
          <w:lang w:eastAsia="zh-CN"/>
        </w:rPr>
        <w:t>乙方</w:t>
      </w:r>
      <w:r>
        <w:rPr>
          <w:rFonts w:hint="eastAsia" w:ascii="宋体" w:hAnsi="宋体" w:eastAsia="宋体" w:cs="宋体"/>
          <w:color w:val="auto"/>
          <w:kern w:val="0"/>
          <w:sz w:val="21"/>
          <w:szCs w:val="21"/>
          <w:highlight w:val="none"/>
        </w:rPr>
        <w:t>不得将本合同范围的货物全部或部分分包给他人供应；</w:t>
      </w:r>
    </w:p>
    <w:p w14:paraId="74F82A67">
      <w:pPr>
        <w:keepNext w:val="0"/>
        <w:keepLines w:val="0"/>
        <w:pageBreakBefore w:val="0"/>
        <w:widowControl/>
        <w:shd w:val="clear"/>
        <w:kinsoku/>
        <w:wordWrap/>
        <w:overflowPunct/>
        <w:topLinePunct w:val="0"/>
        <w:autoSpaceDE/>
        <w:autoSpaceDN/>
        <w:bidi w:val="0"/>
        <w:adjustRightInd/>
        <w:spacing w:line="360" w:lineRule="auto"/>
        <w:ind w:firstLine="48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如有转让和或对货物的非法分包行为，</w:t>
      </w:r>
      <w:r>
        <w:rPr>
          <w:rFonts w:hint="eastAsia" w:ascii="宋体" w:hAnsi="宋体" w:eastAsia="宋体" w:cs="宋体"/>
          <w:color w:val="auto"/>
          <w:kern w:val="0"/>
          <w:sz w:val="21"/>
          <w:szCs w:val="21"/>
          <w:highlight w:val="none"/>
          <w:lang w:val="en-US" w:eastAsia="zh-CN"/>
        </w:rPr>
        <w:t>甲</w:t>
      </w:r>
      <w:r>
        <w:rPr>
          <w:rFonts w:hint="eastAsia" w:ascii="宋体" w:hAnsi="宋体" w:eastAsia="宋体" w:cs="宋体"/>
          <w:color w:val="auto"/>
          <w:kern w:val="0"/>
          <w:sz w:val="21"/>
          <w:szCs w:val="21"/>
          <w:highlight w:val="none"/>
        </w:rPr>
        <w:t>方终止合同。</w:t>
      </w:r>
    </w:p>
    <w:p w14:paraId="292F6B82">
      <w:pPr>
        <w:keepNext w:val="0"/>
        <w:keepLines w:val="0"/>
        <w:pageBreakBefore w:val="0"/>
        <w:widowControl/>
        <w:shd w:val="clear"/>
        <w:kinsoku/>
        <w:wordWrap/>
        <w:overflowPunct/>
        <w:topLinePunct w:val="0"/>
        <w:autoSpaceDE/>
        <w:autoSpaceDN/>
        <w:bidi w:val="0"/>
        <w:adjustRightInd/>
        <w:snapToGrid w:val="0"/>
        <w:spacing w:before="156" w:beforeLines="50" w:after="156" w:afterLines="50" w:line="360" w:lineRule="auto"/>
        <w:ind w:firstLine="480"/>
        <w:jc w:val="left"/>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lang w:eastAsia="zh-CN"/>
        </w:rPr>
        <w:t>八</w:t>
      </w:r>
      <w:r>
        <w:rPr>
          <w:rFonts w:hint="eastAsia" w:ascii="宋体" w:hAnsi="宋体" w:eastAsia="宋体" w:cs="宋体"/>
          <w:b/>
          <w:color w:val="auto"/>
          <w:kern w:val="0"/>
          <w:sz w:val="21"/>
          <w:szCs w:val="21"/>
          <w:highlight w:val="none"/>
        </w:rPr>
        <w:t>、税费</w:t>
      </w:r>
    </w:p>
    <w:p w14:paraId="2A748109">
      <w:pPr>
        <w:keepNext w:val="0"/>
        <w:keepLines w:val="0"/>
        <w:pageBreakBefore w:val="0"/>
        <w:widowControl/>
        <w:shd w:val="clear"/>
        <w:kinsoku/>
        <w:wordWrap/>
        <w:overflowPunct/>
        <w:topLinePunct w:val="0"/>
        <w:autoSpaceDE/>
        <w:autoSpaceDN/>
        <w:bidi w:val="0"/>
        <w:adjustRightInd/>
        <w:snapToGrid w:val="0"/>
        <w:spacing w:before="156" w:beforeLines="50" w:after="156" w:afterLines="50"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本合同执行中相关的一切税费均由</w:t>
      </w:r>
      <w:r>
        <w:rPr>
          <w:rFonts w:hint="eastAsia" w:ascii="宋体" w:hAnsi="宋体" w:eastAsia="宋体" w:cs="宋体"/>
          <w:color w:val="auto"/>
          <w:kern w:val="0"/>
          <w:sz w:val="21"/>
          <w:szCs w:val="21"/>
          <w:highlight w:val="none"/>
          <w:lang w:eastAsia="zh-CN"/>
        </w:rPr>
        <w:t>乙方</w:t>
      </w:r>
      <w:r>
        <w:rPr>
          <w:rFonts w:hint="eastAsia" w:ascii="宋体" w:hAnsi="宋体" w:eastAsia="宋体" w:cs="宋体"/>
          <w:color w:val="auto"/>
          <w:kern w:val="0"/>
          <w:sz w:val="21"/>
          <w:szCs w:val="21"/>
          <w:highlight w:val="none"/>
        </w:rPr>
        <w:t>负担。</w:t>
      </w:r>
    </w:p>
    <w:p w14:paraId="54E61D42">
      <w:pPr>
        <w:keepNext w:val="0"/>
        <w:keepLines w:val="0"/>
        <w:pageBreakBefore w:val="0"/>
        <w:widowControl/>
        <w:shd w:val="clear"/>
        <w:kinsoku/>
        <w:wordWrap/>
        <w:overflowPunct/>
        <w:topLinePunct w:val="0"/>
        <w:autoSpaceDE/>
        <w:autoSpaceDN/>
        <w:bidi w:val="0"/>
        <w:adjustRightInd/>
        <w:snapToGrid w:val="0"/>
        <w:spacing w:before="120" w:after="120" w:line="360" w:lineRule="auto"/>
        <w:ind w:firstLine="480"/>
        <w:jc w:val="left"/>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lang w:eastAsia="zh-CN"/>
        </w:rPr>
        <w:t>九</w:t>
      </w:r>
      <w:r>
        <w:rPr>
          <w:rFonts w:hint="eastAsia" w:ascii="宋体" w:hAnsi="宋体" w:eastAsia="宋体" w:cs="宋体"/>
          <w:b/>
          <w:color w:val="auto"/>
          <w:kern w:val="0"/>
          <w:sz w:val="21"/>
          <w:szCs w:val="21"/>
          <w:highlight w:val="none"/>
        </w:rPr>
        <w:t>、诉讼</w:t>
      </w:r>
    </w:p>
    <w:p w14:paraId="2280641F">
      <w:pPr>
        <w:keepNext w:val="0"/>
        <w:keepLines w:val="0"/>
        <w:pageBreakBefore w:val="0"/>
        <w:widowControl/>
        <w:shd w:val="clear"/>
        <w:kinsoku/>
        <w:wordWrap/>
        <w:overflowPunct/>
        <w:topLinePunct w:val="0"/>
        <w:autoSpaceDE/>
        <w:autoSpaceDN/>
        <w:bidi w:val="0"/>
        <w:adjustRightInd/>
        <w:snapToGrid w:val="0"/>
        <w:spacing w:before="120" w:after="120" w:line="360" w:lineRule="auto"/>
        <w:ind w:firstLine="48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本合同项目所在地为义乌市，本合同发生争议产生的诉讼，可向项目所在地有管辖权的法院提起诉讼。</w:t>
      </w:r>
    </w:p>
    <w:p w14:paraId="46784C0F">
      <w:pPr>
        <w:keepNext w:val="0"/>
        <w:keepLines w:val="0"/>
        <w:pageBreakBefore w:val="0"/>
        <w:widowControl/>
        <w:shd w:val="clear"/>
        <w:kinsoku/>
        <w:wordWrap/>
        <w:overflowPunct/>
        <w:topLinePunct w:val="0"/>
        <w:autoSpaceDE/>
        <w:autoSpaceDN/>
        <w:bidi w:val="0"/>
        <w:adjustRightInd/>
        <w:snapToGrid w:val="0"/>
        <w:spacing w:before="120" w:after="120" w:line="360" w:lineRule="auto"/>
        <w:ind w:firstLine="480"/>
        <w:jc w:val="left"/>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十、合同双方确认，本合同及合同约定的其他文件组成部分中的各项约定都是通过法定招标过程形成的合法成果，如果中标单位的投标文件与招标文件要求不一致的，履约时应以有利于采购人的条款执行。如果不一致条款不是合同双方真实意思的表示，对合同双方不形成任何合同或法律约束力。合同双方也不存在且也不会签订任何背离合同实质性内容的其他协议或合同。如果存在或签订背离本合同实质性内容的其他协议或合同，也不是合同双方真实意思的表示，对合同双方不构成任何合同或法律约束力。</w:t>
      </w:r>
    </w:p>
    <w:p w14:paraId="26BFFB98">
      <w:pPr>
        <w:keepNext w:val="0"/>
        <w:keepLines w:val="0"/>
        <w:pageBreakBefore w:val="0"/>
        <w:widowControl/>
        <w:shd w:val="clear"/>
        <w:kinsoku/>
        <w:wordWrap/>
        <w:overflowPunct/>
        <w:topLinePunct w:val="0"/>
        <w:autoSpaceDE/>
        <w:autoSpaceDN/>
        <w:bidi w:val="0"/>
        <w:adjustRightInd/>
        <w:snapToGrid w:val="0"/>
        <w:spacing w:before="120" w:after="120" w:line="360" w:lineRule="auto"/>
        <w:ind w:firstLine="480"/>
        <w:jc w:val="left"/>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十</w:t>
      </w:r>
      <w:r>
        <w:rPr>
          <w:rFonts w:hint="eastAsia" w:ascii="宋体" w:hAnsi="宋体" w:eastAsia="宋体" w:cs="宋体"/>
          <w:b/>
          <w:color w:val="auto"/>
          <w:kern w:val="0"/>
          <w:sz w:val="21"/>
          <w:szCs w:val="21"/>
          <w:highlight w:val="none"/>
          <w:lang w:eastAsia="zh-CN"/>
        </w:rPr>
        <w:t>一</w:t>
      </w:r>
      <w:r>
        <w:rPr>
          <w:rFonts w:hint="eastAsia" w:ascii="宋体" w:hAnsi="宋体" w:eastAsia="宋体" w:cs="宋体"/>
          <w:b/>
          <w:color w:val="auto"/>
          <w:kern w:val="0"/>
          <w:sz w:val="21"/>
          <w:szCs w:val="21"/>
          <w:highlight w:val="none"/>
        </w:rPr>
        <w:t>、合同生效及其他</w:t>
      </w:r>
    </w:p>
    <w:p w14:paraId="25578253">
      <w:pPr>
        <w:keepNext w:val="0"/>
        <w:keepLines w:val="0"/>
        <w:pageBreakBefore w:val="0"/>
        <w:widowControl/>
        <w:shd w:val="clear"/>
        <w:kinsoku/>
        <w:wordWrap/>
        <w:overflowPunct/>
        <w:topLinePunct w:val="0"/>
        <w:autoSpaceDE/>
        <w:autoSpaceDN/>
        <w:bidi w:val="0"/>
        <w:adjustRightInd/>
        <w:snapToGrid w:val="0"/>
        <w:spacing w:before="120" w:after="120" w:line="360" w:lineRule="auto"/>
        <w:ind w:firstLine="48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合同经双方法定代表人或授权代表签字并加盖单位公章后生效。</w:t>
      </w:r>
    </w:p>
    <w:p w14:paraId="4851BBAB">
      <w:pPr>
        <w:keepNext w:val="0"/>
        <w:keepLines w:val="0"/>
        <w:pageBreakBefore w:val="0"/>
        <w:widowControl/>
        <w:shd w:val="clear"/>
        <w:kinsoku/>
        <w:wordWrap/>
        <w:overflowPunct/>
        <w:topLinePunct w:val="0"/>
        <w:autoSpaceDE/>
        <w:autoSpaceDN/>
        <w:bidi w:val="0"/>
        <w:adjustRightInd/>
        <w:snapToGrid w:val="0"/>
        <w:spacing w:before="120" w:after="120" w:line="360" w:lineRule="auto"/>
        <w:ind w:left="479" w:leftChars="228"/>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本合同未尽事宜，遵照《中华人民共和国民法典》有关条文执行。</w:t>
      </w:r>
    </w:p>
    <w:p w14:paraId="19A53544">
      <w:pPr>
        <w:keepNext w:val="0"/>
        <w:keepLines w:val="0"/>
        <w:pageBreakBefore w:val="0"/>
        <w:widowControl/>
        <w:shd w:val="clear"/>
        <w:kinsoku/>
        <w:wordWrap/>
        <w:overflowPunct/>
        <w:topLinePunct w:val="0"/>
        <w:autoSpaceDE/>
        <w:autoSpaceDN/>
        <w:bidi w:val="0"/>
        <w:adjustRightInd/>
        <w:spacing w:line="360" w:lineRule="auto"/>
        <w:ind w:firstLine="480"/>
        <w:jc w:val="left"/>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十</w:t>
      </w:r>
      <w:r>
        <w:rPr>
          <w:rFonts w:hint="eastAsia" w:ascii="宋体" w:hAnsi="宋体" w:eastAsia="宋体" w:cs="宋体"/>
          <w:b/>
          <w:bCs/>
          <w:color w:val="auto"/>
          <w:kern w:val="0"/>
          <w:sz w:val="21"/>
          <w:szCs w:val="21"/>
          <w:highlight w:val="none"/>
          <w:lang w:eastAsia="zh-CN"/>
        </w:rPr>
        <w:t>三</w:t>
      </w:r>
      <w:r>
        <w:rPr>
          <w:rFonts w:hint="eastAsia" w:ascii="宋体" w:hAnsi="宋体" w:eastAsia="宋体" w:cs="宋体"/>
          <w:b/>
          <w:bCs/>
          <w:color w:val="auto"/>
          <w:kern w:val="0"/>
          <w:sz w:val="21"/>
          <w:szCs w:val="21"/>
          <w:highlight w:val="none"/>
        </w:rPr>
        <w:t>、本合同一式__</w:t>
      </w:r>
      <w:r>
        <w:rPr>
          <w:rFonts w:hint="eastAsia" w:ascii="宋体" w:hAnsi="宋体" w:eastAsia="宋体" w:cs="宋体"/>
          <w:b/>
          <w:bCs/>
          <w:color w:val="auto"/>
          <w:kern w:val="0"/>
          <w:sz w:val="21"/>
          <w:szCs w:val="21"/>
          <w:highlight w:val="none"/>
          <w:lang w:eastAsia="zh-CN"/>
        </w:rPr>
        <w:t>五</w:t>
      </w:r>
      <w:r>
        <w:rPr>
          <w:rFonts w:hint="eastAsia" w:ascii="宋体" w:hAnsi="宋体" w:eastAsia="宋体" w:cs="宋体"/>
          <w:b/>
          <w:bCs/>
          <w:color w:val="auto"/>
          <w:kern w:val="0"/>
          <w:sz w:val="21"/>
          <w:szCs w:val="21"/>
          <w:highlight w:val="none"/>
        </w:rPr>
        <w:t>__份，供需双方各执_</w:t>
      </w:r>
      <w:r>
        <w:rPr>
          <w:rFonts w:hint="eastAsia" w:ascii="宋体" w:hAnsi="宋体" w:eastAsia="宋体" w:cs="宋体"/>
          <w:b/>
          <w:bCs/>
          <w:color w:val="auto"/>
          <w:kern w:val="0"/>
          <w:sz w:val="21"/>
          <w:szCs w:val="21"/>
          <w:highlight w:val="none"/>
          <w:lang w:eastAsia="zh-CN"/>
        </w:rPr>
        <w:t>二</w:t>
      </w:r>
      <w:r>
        <w:rPr>
          <w:rFonts w:hint="eastAsia" w:ascii="宋体" w:hAnsi="宋体" w:eastAsia="宋体" w:cs="宋体"/>
          <w:b/>
          <w:bCs/>
          <w:color w:val="auto"/>
          <w:kern w:val="0"/>
          <w:sz w:val="21"/>
          <w:szCs w:val="21"/>
          <w:highlight w:val="none"/>
        </w:rPr>
        <w:t>_份，义乌产权交易所有限公司执一份，均具有同等效力。</w:t>
      </w:r>
    </w:p>
    <w:p w14:paraId="3977E69E">
      <w:pPr>
        <w:keepNext w:val="0"/>
        <w:keepLines w:val="0"/>
        <w:pageBreakBefore w:val="0"/>
        <w:widowControl/>
        <w:shd w:val="clear"/>
        <w:kinsoku/>
        <w:wordWrap/>
        <w:overflowPunct/>
        <w:topLinePunct w:val="0"/>
        <w:autoSpaceDE/>
        <w:autoSpaceDN/>
        <w:bidi w:val="0"/>
        <w:adjustRightInd/>
        <w:spacing w:line="360" w:lineRule="auto"/>
        <w:ind w:firstLine="210" w:firstLineChars="1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甲</w:t>
      </w:r>
      <w:r>
        <w:rPr>
          <w:rFonts w:hint="eastAsia" w:ascii="宋体" w:hAnsi="宋体" w:eastAsia="宋体" w:cs="宋体"/>
          <w:color w:val="auto"/>
          <w:kern w:val="0"/>
          <w:sz w:val="21"/>
          <w:szCs w:val="21"/>
          <w:highlight w:val="none"/>
        </w:rPr>
        <w:t xml:space="preserve">    方：________________________ </w:t>
      </w:r>
      <w:r>
        <w:rPr>
          <w:rFonts w:hint="eastAsia" w:ascii="宋体" w:hAnsi="宋体" w:eastAsia="宋体" w:cs="宋体"/>
          <w:color w:val="auto"/>
          <w:kern w:val="0"/>
          <w:sz w:val="21"/>
          <w:szCs w:val="21"/>
          <w:highlight w:val="none"/>
          <w:lang w:val="en-US" w:eastAsia="zh-CN"/>
        </w:rPr>
        <w:t xml:space="preserve"> 乙</w:t>
      </w:r>
      <w:r>
        <w:rPr>
          <w:rFonts w:hint="eastAsia" w:ascii="宋体" w:hAnsi="宋体" w:eastAsia="宋体" w:cs="宋体"/>
          <w:color w:val="auto"/>
          <w:kern w:val="0"/>
          <w:sz w:val="21"/>
          <w:szCs w:val="21"/>
          <w:highlight w:val="none"/>
        </w:rPr>
        <w:t xml:space="preserve">    方：________________________</w:t>
      </w:r>
    </w:p>
    <w:p w14:paraId="10FA5810">
      <w:pPr>
        <w:keepNext w:val="0"/>
        <w:keepLines w:val="0"/>
        <w:pageBreakBefore w:val="0"/>
        <w:widowControl/>
        <w:shd w:val="clear"/>
        <w:kinsoku/>
        <w:wordWrap/>
        <w:overflowPunct/>
        <w:topLinePunct w:val="0"/>
        <w:autoSpaceDE/>
        <w:autoSpaceDN/>
        <w:bidi w:val="0"/>
        <w:adjustRightInd/>
        <w:spacing w:line="360" w:lineRule="auto"/>
        <w:ind w:firstLine="210" w:firstLineChars="1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地    址：________________________  地    址：________________________</w:t>
      </w:r>
    </w:p>
    <w:p w14:paraId="057EBF01">
      <w:pPr>
        <w:keepNext w:val="0"/>
        <w:keepLines w:val="0"/>
        <w:pageBreakBefore w:val="0"/>
        <w:widowControl/>
        <w:shd w:val="clear"/>
        <w:kinsoku/>
        <w:wordWrap/>
        <w:overflowPunct/>
        <w:topLinePunct w:val="0"/>
        <w:autoSpaceDE/>
        <w:autoSpaceDN/>
        <w:bidi w:val="0"/>
        <w:adjustRightInd/>
        <w:spacing w:line="360" w:lineRule="auto"/>
        <w:ind w:firstLine="210" w:firstLineChars="1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法定代表人：______________________  法定代表人：______________________</w:t>
      </w:r>
    </w:p>
    <w:p w14:paraId="2E9F9A04">
      <w:pPr>
        <w:keepNext w:val="0"/>
        <w:keepLines w:val="0"/>
        <w:pageBreakBefore w:val="0"/>
        <w:widowControl/>
        <w:shd w:val="clear"/>
        <w:kinsoku/>
        <w:wordWrap/>
        <w:overflowPunct/>
        <w:topLinePunct w:val="0"/>
        <w:autoSpaceDE/>
        <w:autoSpaceDN/>
        <w:bidi w:val="0"/>
        <w:adjustRightInd/>
        <w:spacing w:line="360" w:lineRule="auto"/>
        <w:ind w:firstLine="210" w:firstLineChars="1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授权代表：________________________  授权代表：________________________</w:t>
      </w:r>
    </w:p>
    <w:p w14:paraId="2E32C399">
      <w:pPr>
        <w:keepNext w:val="0"/>
        <w:keepLines w:val="0"/>
        <w:pageBreakBefore w:val="0"/>
        <w:widowControl/>
        <w:shd w:val="clear"/>
        <w:kinsoku/>
        <w:wordWrap/>
        <w:overflowPunct/>
        <w:topLinePunct w:val="0"/>
        <w:autoSpaceDE/>
        <w:autoSpaceDN/>
        <w:bidi w:val="0"/>
        <w:adjustRightInd/>
        <w:spacing w:line="360" w:lineRule="auto"/>
        <w:ind w:firstLine="210" w:firstLineChars="1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电    话：________________________  电    话：________________________</w:t>
      </w:r>
    </w:p>
    <w:p w14:paraId="36998176">
      <w:pPr>
        <w:keepNext w:val="0"/>
        <w:keepLines w:val="0"/>
        <w:pageBreakBefore w:val="0"/>
        <w:widowControl/>
        <w:shd w:val="clear"/>
        <w:kinsoku/>
        <w:wordWrap/>
        <w:overflowPunct/>
        <w:topLinePunct w:val="0"/>
        <w:autoSpaceDE/>
        <w:autoSpaceDN/>
        <w:bidi w:val="0"/>
        <w:adjustRightInd/>
        <w:spacing w:line="360" w:lineRule="auto"/>
        <w:ind w:firstLine="210" w:firstLineChars="1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账户名称：________________________  账户名称：________________________</w:t>
      </w:r>
    </w:p>
    <w:p w14:paraId="5B644BCE">
      <w:pPr>
        <w:keepNext w:val="0"/>
        <w:keepLines w:val="0"/>
        <w:pageBreakBefore w:val="0"/>
        <w:widowControl/>
        <w:shd w:val="clear"/>
        <w:kinsoku/>
        <w:wordWrap/>
        <w:overflowPunct/>
        <w:topLinePunct w:val="0"/>
        <w:autoSpaceDE/>
        <w:autoSpaceDN/>
        <w:bidi w:val="0"/>
        <w:adjustRightInd/>
        <w:spacing w:line="360" w:lineRule="auto"/>
        <w:ind w:firstLine="210" w:firstLineChars="1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开户银行：________________________  开户银行：________________________</w:t>
      </w:r>
    </w:p>
    <w:p w14:paraId="2B74F582">
      <w:pPr>
        <w:keepNext w:val="0"/>
        <w:keepLines w:val="0"/>
        <w:pageBreakBefore w:val="0"/>
        <w:widowControl/>
        <w:shd w:val="clear"/>
        <w:kinsoku/>
        <w:wordWrap/>
        <w:overflowPunct/>
        <w:topLinePunct w:val="0"/>
        <w:autoSpaceDE/>
        <w:autoSpaceDN/>
        <w:bidi w:val="0"/>
        <w:adjustRightInd/>
        <w:spacing w:line="360" w:lineRule="auto"/>
        <w:ind w:firstLine="210" w:firstLineChars="1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账    号：________________________  账    号：________________________</w:t>
      </w:r>
    </w:p>
    <w:p w14:paraId="584DA407">
      <w:pPr>
        <w:keepNext w:val="0"/>
        <w:keepLines w:val="0"/>
        <w:pageBreakBefore w:val="0"/>
        <w:widowControl/>
        <w:shd w:val="clear"/>
        <w:kinsoku/>
        <w:wordWrap/>
        <w:overflowPunct/>
        <w:topLinePunct w:val="0"/>
        <w:autoSpaceDE/>
        <w:autoSpaceDN/>
        <w:bidi w:val="0"/>
        <w:adjustRightInd/>
        <w:spacing w:line="360" w:lineRule="auto"/>
        <w:ind w:firstLine="210" w:firstLineChars="1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签约时间：________________________  签约地点：________________________</w:t>
      </w:r>
    </w:p>
    <w:p w14:paraId="081115BE">
      <w:pPr>
        <w:widowControl/>
        <w:shd w:val="clear"/>
        <w:spacing w:line="360" w:lineRule="auto"/>
        <w:ind w:firstLine="420" w:firstLineChars="200"/>
        <w:jc w:val="left"/>
        <w:rPr>
          <w:rFonts w:hint="eastAsia" w:ascii="宋体" w:hAnsi="宋体" w:cs="宋体"/>
          <w:b/>
          <w:color w:val="auto"/>
          <w:sz w:val="36"/>
          <w:szCs w:val="36"/>
          <w:highlight w:val="none"/>
        </w:rPr>
      </w:pP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w:t>
      </w:r>
    </w:p>
    <w:p w14:paraId="19076523">
      <w:pPr>
        <w:pStyle w:val="4"/>
        <w:keepNext w:val="0"/>
        <w:keepLines w:val="0"/>
        <w:pageBreakBefore/>
        <w:shd w:val="clear"/>
        <w:kinsoku/>
        <w:wordWrap/>
        <w:overflowPunct/>
        <w:topLinePunct w:val="0"/>
        <w:autoSpaceDE/>
        <w:autoSpaceDN/>
        <w:bidi w:val="0"/>
        <w:adjustRightInd/>
        <w:snapToGrid/>
        <w:spacing w:before="340" w:after="330" w:line="240" w:lineRule="exact"/>
        <w:ind w:firstLine="2891" w:firstLineChars="800"/>
        <w:jc w:val="left"/>
        <w:textAlignment w:val="auto"/>
        <w:rPr>
          <w:rFonts w:hint="eastAsia" w:ascii="宋体" w:hAnsi="宋体" w:eastAsia="宋体" w:cs="Times New Roman"/>
          <w:color w:val="auto"/>
          <w:sz w:val="36"/>
          <w:szCs w:val="36"/>
          <w:highlight w:val="none"/>
        </w:rPr>
      </w:pPr>
      <w:bookmarkStart w:id="80" w:name="_Toc4186"/>
      <w:r>
        <w:rPr>
          <w:rFonts w:hint="eastAsia" w:ascii="宋体" w:hAnsi="宋体" w:eastAsia="宋体" w:cs="Times New Roman"/>
          <w:color w:val="auto"/>
          <w:sz w:val="36"/>
          <w:szCs w:val="36"/>
          <w:highlight w:val="none"/>
        </w:rPr>
        <w:t>第八章  投标文件部分格式</w:t>
      </w:r>
      <w:bookmarkEnd w:id="80"/>
    </w:p>
    <w:p w14:paraId="27DD3A3D">
      <w:pPr>
        <w:pStyle w:val="5"/>
        <w:pageBreakBefore w:val="0"/>
        <w:widowControl w:val="0"/>
        <w:shd w:val="clear"/>
        <w:kinsoku/>
        <w:wordWrap/>
        <w:overflowPunct/>
        <w:topLinePunct w:val="0"/>
        <w:autoSpaceDE/>
        <w:autoSpaceDN/>
        <w:bidi w:val="0"/>
        <w:spacing w:before="120" w:after="120" w:line="360" w:lineRule="auto"/>
        <w:rPr>
          <w:rFonts w:hint="eastAsia" w:ascii="宋体" w:hAnsi="宋体" w:eastAsia="宋体" w:cs="宋体"/>
          <w:color w:val="auto"/>
          <w:sz w:val="21"/>
          <w:szCs w:val="21"/>
          <w:highlight w:val="none"/>
        </w:rPr>
      </w:pPr>
      <w:bookmarkStart w:id="81" w:name="_Toc3921"/>
      <w:r>
        <w:rPr>
          <w:rFonts w:hint="eastAsia" w:ascii="宋体" w:hAnsi="宋体" w:eastAsia="宋体" w:cs="宋体"/>
          <w:color w:val="auto"/>
          <w:sz w:val="21"/>
          <w:szCs w:val="21"/>
          <w:highlight w:val="none"/>
        </w:rPr>
        <w:t>一、资格响应文件、商务技术响应文件部分格式</w:t>
      </w:r>
      <w:bookmarkEnd w:id="81"/>
    </w:p>
    <w:p w14:paraId="597D83DA">
      <w:pPr>
        <w:shd w:val="clear"/>
        <w:tabs>
          <w:tab w:val="left" w:pos="1050"/>
        </w:tabs>
        <w:spacing w:line="520" w:lineRule="exact"/>
        <w:ind w:left="5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法定代表人授权书和被授权人身份证复印件［适用于非法定代表人参加投标的</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说明：法定代表人以营业执照载明的人员为准］</w:t>
      </w:r>
    </w:p>
    <w:p w14:paraId="2881AF6A">
      <w:pPr>
        <w:shd w:val="clear"/>
        <w:tabs>
          <w:tab w:val="left" w:pos="1050"/>
        </w:tabs>
        <w:spacing w:line="520" w:lineRule="exact"/>
        <w:ind w:left="5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义乌市国企采购项目投标承诺书</w:t>
      </w:r>
    </w:p>
    <w:p w14:paraId="2D5FFBEB">
      <w:pPr>
        <w:shd w:val="clear"/>
        <w:tabs>
          <w:tab w:val="left" w:pos="1050"/>
        </w:tabs>
        <w:spacing w:line="520" w:lineRule="exact"/>
        <w:ind w:left="5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color w:val="auto"/>
          <w:szCs w:val="21"/>
          <w:highlight w:val="none"/>
          <w:lang w:val="en-US" w:eastAsia="zh-CN"/>
        </w:rPr>
        <w:t>服务简要</w:t>
      </w:r>
      <w:r>
        <w:rPr>
          <w:rFonts w:hint="eastAsia" w:ascii="宋体" w:hAnsi="宋体"/>
          <w:color w:val="auto"/>
          <w:szCs w:val="21"/>
          <w:highlight w:val="none"/>
        </w:rPr>
        <w:t>说明一览表</w:t>
      </w:r>
    </w:p>
    <w:p w14:paraId="2FE336AD">
      <w:pPr>
        <w:shd w:val="clear"/>
        <w:tabs>
          <w:tab w:val="left" w:pos="1050"/>
        </w:tabs>
        <w:spacing w:line="520" w:lineRule="exact"/>
        <w:ind w:left="5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售后服务承诺书</w:t>
      </w:r>
    </w:p>
    <w:p w14:paraId="3164739F">
      <w:pPr>
        <w:shd w:val="clear"/>
        <w:tabs>
          <w:tab w:val="left" w:pos="1050"/>
        </w:tabs>
        <w:spacing w:line="520" w:lineRule="exact"/>
        <w:ind w:left="528"/>
        <w:rPr>
          <w:rFonts w:hint="eastAsia" w:ascii="宋体" w:hAnsi="宋体" w:eastAsia="宋体" w:cs="宋体"/>
          <w:color w:val="auto"/>
          <w:sz w:val="21"/>
          <w:szCs w:val="21"/>
          <w:highlight w:val="none"/>
        </w:rPr>
      </w:pPr>
    </w:p>
    <w:p w14:paraId="5C38EA0C">
      <w:pPr>
        <w:pStyle w:val="5"/>
        <w:pageBreakBefore w:val="0"/>
        <w:widowControl w:val="0"/>
        <w:shd w:val="clear"/>
        <w:kinsoku/>
        <w:wordWrap/>
        <w:overflowPunct/>
        <w:topLinePunct w:val="0"/>
        <w:autoSpaceDE/>
        <w:autoSpaceDN/>
        <w:bidi w:val="0"/>
        <w:spacing w:before="120" w:after="120" w:line="360" w:lineRule="auto"/>
        <w:rPr>
          <w:rFonts w:hint="eastAsia" w:ascii="宋体" w:hAnsi="宋体" w:eastAsia="宋体" w:cs="宋体"/>
          <w:color w:val="auto"/>
          <w:sz w:val="21"/>
          <w:szCs w:val="21"/>
          <w:highlight w:val="none"/>
        </w:rPr>
      </w:pPr>
      <w:bookmarkStart w:id="82" w:name="_Toc10153"/>
      <w:r>
        <w:rPr>
          <w:rFonts w:hint="eastAsia" w:ascii="宋体" w:hAnsi="宋体" w:eastAsia="宋体" w:cs="宋体"/>
          <w:color w:val="auto"/>
          <w:sz w:val="21"/>
          <w:szCs w:val="21"/>
          <w:highlight w:val="none"/>
        </w:rPr>
        <w:t>二、报价响应文件部分格式</w:t>
      </w:r>
      <w:bookmarkEnd w:id="82"/>
    </w:p>
    <w:p w14:paraId="3AA1C88B">
      <w:pPr>
        <w:shd w:val="clear"/>
        <w:tabs>
          <w:tab w:val="left" w:pos="1080"/>
        </w:tabs>
        <w:spacing w:line="520" w:lineRule="exact"/>
        <w:ind w:left="5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开标一览表格式</w:t>
      </w:r>
    </w:p>
    <w:p w14:paraId="15B3A8AE">
      <w:pPr>
        <w:shd w:val="clear"/>
        <w:spacing w:line="340" w:lineRule="exact"/>
        <w:rPr>
          <w:rFonts w:hint="eastAsia" w:ascii="宋体" w:hAnsi="宋体" w:eastAsia="宋体" w:cs="宋体"/>
          <w:color w:val="auto"/>
          <w:sz w:val="21"/>
          <w:szCs w:val="21"/>
          <w:highlight w:val="none"/>
        </w:rPr>
      </w:pPr>
    </w:p>
    <w:p w14:paraId="504C0494">
      <w:pPr>
        <w:shd w:val="clear"/>
        <w:spacing w:line="340" w:lineRule="exact"/>
        <w:rPr>
          <w:rFonts w:hint="eastAsia" w:ascii="宋体" w:hAnsi="宋体" w:eastAsia="宋体" w:cs="宋体"/>
          <w:color w:val="auto"/>
          <w:sz w:val="21"/>
          <w:szCs w:val="21"/>
          <w:highlight w:val="none"/>
        </w:rPr>
      </w:pPr>
    </w:p>
    <w:p w14:paraId="31FB97D9">
      <w:pPr>
        <w:pStyle w:val="5"/>
        <w:pageBreakBefore w:val="0"/>
        <w:widowControl w:val="0"/>
        <w:shd w:val="clear"/>
        <w:kinsoku/>
        <w:wordWrap/>
        <w:overflowPunct/>
        <w:topLinePunct w:val="0"/>
        <w:autoSpaceDE/>
        <w:autoSpaceDN/>
        <w:bidi w:val="0"/>
        <w:spacing w:before="120" w:after="120" w:line="360" w:lineRule="auto"/>
        <w:rPr>
          <w:rFonts w:hint="eastAsia" w:ascii="宋体" w:hAnsi="宋体" w:eastAsia="宋体" w:cs="宋体"/>
          <w:color w:val="auto"/>
          <w:sz w:val="21"/>
          <w:szCs w:val="21"/>
          <w:highlight w:val="none"/>
        </w:rPr>
      </w:pPr>
      <w:bookmarkStart w:id="83" w:name="_Toc27227"/>
      <w:r>
        <w:rPr>
          <w:rFonts w:hint="eastAsia" w:ascii="宋体" w:hAnsi="宋体" w:eastAsia="宋体" w:cs="宋体"/>
          <w:color w:val="auto"/>
          <w:sz w:val="21"/>
          <w:szCs w:val="21"/>
          <w:highlight w:val="none"/>
        </w:rPr>
        <w:t>三、质疑函范本</w:t>
      </w:r>
      <w:bookmarkEnd w:id="83"/>
    </w:p>
    <w:p w14:paraId="018A8D1E">
      <w:pPr>
        <w:shd w:val="clear"/>
        <w:spacing w:line="340" w:lineRule="exact"/>
        <w:rPr>
          <w:rFonts w:hint="eastAsia" w:ascii="宋体" w:hAnsi="宋体" w:eastAsia="宋体" w:cs="宋体"/>
          <w:color w:val="auto"/>
          <w:sz w:val="21"/>
          <w:szCs w:val="21"/>
          <w:highlight w:val="none"/>
        </w:rPr>
      </w:pPr>
    </w:p>
    <w:p w14:paraId="664CDD75">
      <w:pPr>
        <w:shd w:val="clear"/>
        <w:spacing w:line="340" w:lineRule="exact"/>
        <w:rPr>
          <w:rFonts w:hint="eastAsia" w:ascii="宋体" w:hAnsi="宋体" w:eastAsia="宋体" w:cs="宋体"/>
          <w:color w:val="auto"/>
          <w:sz w:val="21"/>
          <w:szCs w:val="21"/>
          <w:highlight w:val="none"/>
        </w:rPr>
      </w:pPr>
    </w:p>
    <w:p w14:paraId="6CE458BF">
      <w:pPr>
        <w:shd w:val="clear"/>
        <w:spacing w:line="340" w:lineRule="exact"/>
        <w:rPr>
          <w:rFonts w:ascii="宋体" w:cs="宋体"/>
          <w:color w:val="auto"/>
          <w:sz w:val="24"/>
          <w:highlight w:val="none"/>
        </w:rPr>
      </w:pPr>
    </w:p>
    <w:p w14:paraId="7C7CD0AF">
      <w:pPr>
        <w:shd w:val="clear"/>
        <w:spacing w:line="340" w:lineRule="exact"/>
        <w:rPr>
          <w:rFonts w:ascii="宋体" w:cs="宋体"/>
          <w:color w:val="auto"/>
          <w:sz w:val="24"/>
          <w:highlight w:val="none"/>
        </w:rPr>
      </w:pPr>
    </w:p>
    <w:p w14:paraId="73FDAFC6">
      <w:pPr>
        <w:shd w:val="clear"/>
        <w:spacing w:line="340" w:lineRule="exact"/>
        <w:rPr>
          <w:rFonts w:ascii="宋体" w:cs="宋体"/>
          <w:color w:val="auto"/>
          <w:sz w:val="24"/>
          <w:highlight w:val="none"/>
        </w:rPr>
      </w:pPr>
    </w:p>
    <w:p w14:paraId="4ED1EA0A">
      <w:pPr>
        <w:shd w:val="clear"/>
        <w:spacing w:line="340" w:lineRule="exact"/>
        <w:rPr>
          <w:rFonts w:ascii="宋体" w:cs="宋体"/>
          <w:color w:val="auto"/>
          <w:sz w:val="24"/>
          <w:highlight w:val="none"/>
        </w:rPr>
      </w:pPr>
    </w:p>
    <w:p w14:paraId="733C1756">
      <w:pPr>
        <w:shd w:val="clear"/>
        <w:spacing w:line="340" w:lineRule="exact"/>
        <w:rPr>
          <w:rFonts w:ascii="宋体" w:cs="宋体"/>
          <w:color w:val="auto"/>
          <w:sz w:val="24"/>
          <w:highlight w:val="none"/>
        </w:rPr>
      </w:pPr>
    </w:p>
    <w:p w14:paraId="410045E7">
      <w:pPr>
        <w:shd w:val="clear"/>
        <w:spacing w:line="340" w:lineRule="exact"/>
        <w:rPr>
          <w:rFonts w:ascii="宋体" w:cs="宋体"/>
          <w:color w:val="auto"/>
          <w:sz w:val="24"/>
          <w:highlight w:val="none"/>
        </w:rPr>
      </w:pPr>
    </w:p>
    <w:p w14:paraId="3EAEAD21">
      <w:pPr>
        <w:shd w:val="clear"/>
        <w:spacing w:line="340" w:lineRule="exact"/>
        <w:rPr>
          <w:rFonts w:ascii="宋体" w:cs="宋体"/>
          <w:color w:val="auto"/>
          <w:sz w:val="24"/>
          <w:highlight w:val="none"/>
        </w:rPr>
      </w:pPr>
    </w:p>
    <w:p w14:paraId="387C7E57">
      <w:pPr>
        <w:shd w:val="clear"/>
        <w:spacing w:line="340" w:lineRule="exact"/>
        <w:rPr>
          <w:rFonts w:ascii="宋体" w:cs="宋体"/>
          <w:color w:val="auto"/>
          <w:sz w:val="24"/>
          <w:highlight w:val="none"/>
        </w:rPr>
      </w:pPr>
    </w:p>
    <w:p w14:paraId="2B29F1B7">
      <w:pPr>
        <w:shd w:val="clear"/>
        <w:spacing w:line="340" w:lineRule="exact"/>
        <w:rPr>
          <w:rFonts w:ascii="宋体" w:cs="宋体"/>
          <w:color w:val="auto"/>
          <w:sz w:val="24"/>
          <w:highlight w:val="none"/>
        </w:rPr>
      </w:pPr>
    </w:p>
    <w:p w14:paraId="215D26D6">
      <w:pPr>
        <w:shd w:val="clear"/>
        <w:spacing w:line="340" w:lineRule="exact"/>
        <w:rPr>
          <w:rFonts w:ascii="宋体" w:cs="宋体"/>
          <w:color w:val="auto"/>
          <w:sz w:val="24"/>
          <w:highlight w:val="none"/>
        </w:rPr>
      </w:pPr>
    </w:p>
    <w:p w14:paraId="237B424A">
      <w:pPr>
        <w:pageBreakBefore w:val="0"/>
        <w:widowControl w:val="0"/>
        <w:shd w:val="clear"/>
        <w:kinsoku/>
        <w:wordWrap/>
        <w:overflowPunct/>
        <w:topLinePunct w:val="0"/>
        <w:autoSpaceDE/>
        <w:autoSpaceDN/>
        <w:bidi w:val="0"/>
        <w:spacing w:before="120" w:after="120" w:line="360" w:lineRule="auto"/>
        <w:outlineLvl w:val="9"/>
        <w:rPr>
          <w:rFonts w:hint="eastAsia" w:ascii="宋体" w:hAnsi="宋体" w:eastAsia="宋体" w:cs="宋体"/>
          <w:color w:val="auto"/>
          <w:sz w:val="21"/>
          <w:szCs w:val="21"/>
          <w:highlight w:val="none"/>
        </w:rPr>
      </w:pPr>
    </w:p>
    <w:p w14:paraId="2014DA75">
      <w:pPr>
        <w:shd w:val="clear"/>
        <w:rPr>
          <w:rFonts w:hint="eastAsia" w:ascii="宋体" w:hAnsi="宋体"/>
          <w:color w:val="auto"/>
          <w:sz w:val="52"/>
          <w:highlight w:val="none"/>
          <w:u w:val="single"/>
        </w:rPr>
      </w:pPr>
      <w:r>
        <w:rPr>
          <w:rFonts w:hint="eastAsia" w:ascii="宋体" w:hAnsi="宋体"/>
          <w:b/>
          <w:bCs/>
          <w:color w:val="auto"/>
          <w:sz w:val="28"/>
          <w:highlight w:val="none"/>
        </w:rPr>
        <w:br w:type="page"/>
      </w:r>
      <w:r>
        <w:rPr>
          <w:rFonts w:hint="eastAsia" w:ascii="宋体" w:hAnsi="宋体"/>
          <w:b/>
          <w:bCs/>
          <w:color w:val="auto"/>
          <w:sz w:val="28"/>
          <w:highlight w:val="none"/>
        </w:rPr>
        <w:t>封面格式</w:t>
      </w:r>
    </w:p>
    <w:p w14:paraId="10057B2B">
      <w:pPr>
        <w:shd w:val="clear"/>
        <w:jc w:val="right"/>
        <w:rPr>
          <w:rFonts w:hint="eastAsia" w:ascii="宋体" w:hAnsi="宋体"/>
          <w:b/>
          <w:color w:val="auto"/>
          <w:sz w:val="30"/>
          <w:szCs w:val="30"/>
          <w:highlight w:val="none"/>
        </w:rPr>
      </w:pPr>
      <w:r>
        <w:rPr>
          <w:rFonts w:hint="eastAsia" w:ascii="宋体" w:hAnsi="宋体"/>
          <w:b/>
          <w:color w:val="auto"/>
          <w:sz w:val="30"/>
          <w:szCs w:val="30"/>
          <w:highlight w:val="none"/>
        </w:rPr>
        <w:t>正本（副本）</w:t>
      </w:r>
    </w:p>
    <w:p w14:paraId="54F461C0">
      <w:pPr>
        <w:shd w:val="clear"/>
        <w:jc w:val="center"/>
        <w:rPr>
          <w:rFonts w:hint="eastAsia" w:ascii="宋体" w:hAnsi="宋体"/>
          <w:color w:val="auto"/>
          <w:sz w:val="24"/>
          <w:highlight w:val="none"/>
          <w:u w:val="single"/>
        </w:rPr>
      </w:pPr>
    </w:p>
    <w:p w14:paraId="56BEC97E">
      <w:pPr>
        <w:shd w:val="clear"/>
        <w:jc w:val="center"/>
        <w:rPr>
          <w:rFonts w:hint="eastAsia" w:ascii="宋体" w:hAnsi="宋体"/>
          <w:color w:val="auto"/>
          <w:sz w:val="24"/>
          <w:highlight w:val="none"/>
          <w:u w:val="single"/>
        </w:rPr>
      </w:pPr>
    </w:p>
    <w:p w14:paraId="43F59AF4">
      <w:pPr>
        <w:shd w:val="clear"/>
        <w:jc w:val="center"/>
        <w:rPr>
          <w:rFonts w:ascii="宋体" w:hAnsi="宋体"/>
          <w:color w:val="auto"/>
          <w:sz w:val="52"/>
          <w:highlight w:val="none"/>
        </w:rPr>
      </w:pPr>
      <w:r>
        <w:rPr>
          <w:rFonts w:hint="eastAsia" w:ascii="宋体" w:hAnsi="宋体"/>
          <w:color w:val="auto"/>
          <w:sz w:val="52"/>
          <w:highlight w:val="none"/>
          <w:u w:val="single"/>
        </w:rPr>
        <w:t xml:space="preserve">                        </w:t>
      </w:r>
      <w:r>
        <w:rPr>
          <w:rFonts w:hint="eastAsia" w:ascii="宋体" w:hAnsi="宋体"/>
          <w:color w:val="auto"/>
          <w:sz w:val="52"/>
          <w:highlight w:val="none"/>
        </w:rPr>
        <w:t>项目</w:t>
      </w:r>
    </w:p>
    <w:p w14:paraId="3CDB4993">
      <w:pPr>
        <w:shd w:val="clear"/>
        <w:rPr>
          <w:rFonts w:hint="eastAsia" w:ascii="宋体" w:hAnsi="宋体"/>
          <w:color w:val="auto"/>
          <w:sz w:val="52"/>
          <w:highlight w:val="none"/>
        </w:rPr>
      </w:pPr>
    </w:p>
    <w:p w14:paraId="07515D40">
      <w:pPr>
        <w:shd w:val="clear"/>
        <w:jc w:val="center"/>
        <w:rPr>
          <w:rFonts w:hint="eastAsia" w:ascii="宋体" w:hAnsi="宋体"/>
          <w:b/>
          <w:bCs/>
          <w:color w:val="auto"/>
          <w:sz w:val="72"/>
          <w:highlight w:val="none"/>
        </w:rPr>
      </w:pPr>
      <w:r>
        <w:rPr>
          <w:rFonts w:hint="eastAsia" w:ascii="宋体" w:hAnsi="宋体"/>
          <w:b/>
          <w:bCs/>
          <w:color w:val="auto"/>
          <w:sz w:val="72"/>
          <w:highlight w:val="none"/>
        </w:rPr>
        <w:t>投标文件</w:t>
      </w:r>
    </w:p>
    <w:p w14:paraId="48E88C9F">
      <w:pPr>
        <w:shd w:val="clear"/>
        <w:jc w:val="center"/>
        <w:rPr>
          <w:rFonts w:hint="eastAsia" w:ascii="宋体" w:hAnsi="宋体"/>
          <w:b/>
          <w:bCs/>
          <w:color w:val="auto"/>
          <w:sz w:val="28"/>
          <w:highlight w:val="none"/>
        </w:rPr>
      </w:pPr>
      <w:r>
        <w:rPr>
          <w:rFonts w:hint="eastAsia" w:ascii="宋体" w:hAnsi="宋体"/>
          <w:b/>
          <w:bCs/>
          <w:color w:val="auto"/>
          <w:sz w:val="28"/>
          <w:highlight w:val="none"/>
        </w:rPr>
        <w:t>（采购编号）</w:t>
      </w:r>
    </w:p>
    <w:p w14:paraId="00E16B3A">
      <w:pPr>
        <w:shd w:val="clear"/>
        <w:jc w:val="center"/>
        <w:rPr>
          <w:rFonts w:hint="eastAsia" w:ascii="宋体" w:hAnsi="宋体"/>
          <w:b/>
          <w:bCs/>
          <w:color w:val="auto"/>
          <w:sz w:val="28"/>
          <w:highlight w:val="none"/>
        </w:rPr>
      </w:pPr>
    </w:p>
    <w:p w14:paraId="771A6EB2">
      <w:pPr>
        <w:shd w:val="clear"/>
        <w:jc w:val="center"/>
        <w:rPr>
          <w:rFonts w:hint="eastAsia" w:ascii="宋体" w:hAnsi="宋体"/>
          <w:b/>
          <w:bCs/>
          <w:color w:val="auto"/>
          <w:sz w:val="28"/>
          <w:highlight w:val="none"/>
        </w:rPr>
      </w:pPr>
    </w:p>
    <w:p w14:paraId="60DED310">
      <w:pPr>
        <w:shd w:val="clear"/>
        <w:jc w:val="center"/>
        <w:rPr>
          <w:rFonts w:hint="eastAsia" w:ascii="宋体" w:hAnsi="宋体"/>
          <w:b/>
          <w:bCs/>
          <w:color w:val="auto"/>
          <w:sz w:val="28"/>
          <w:highlight w:val="none"/>
        </w:rPr>
      </w:pPr>
    </w:p>
    <w:p w14:paraId="4B421FF6">
      <w:pPr>
        <w:shd w:val="clear"/>
        <w:jc w:val="center"/>
        <w:rPr>
          <w:rFonts w:hint="eastAsia" w:ascii="宋体" w:hAnsi="宋体"/>
          <w:b/>
          <w:bCs/>
          <w:color w:val="auto"/>
          <w:sz w:val="28"/>
          <w:highlight w:val="none"/>
        </w:rPr>
      </w:pPr>
    </w:p>
    <w:p w14:paraId="3B37C927">
      <w:pPr>
        <w:shd w:val="clear"/>
        <w:rPr>
          <w:rFonts w:hint="eastAsia" w:ascii="宋体" w:hAnsi="宋体"/>
          <w:b/>
          <w:bCs/>
          <w:color w:val="auto"/>
          <w:sz w:val="28"/>
          <w:highlight w:val="none"/>
        </w:rPr>
      </w:pPr>
    </w:p>
    <w:p w14:paraId="67F1E7AC">
      <w:pPr>
        <w:shd w:val="clear"/>
        <w:jc w:val="center"/>
        <w:rPr>
          <w:rFonts w:hint="eastAsia" w:ascii="宋体" w:hAnsi="宋体"/>
          <w:b/>
          <w:bCs/>
          <w:color w:val="auto"/>
          <w:sz w:val="28"/>
          <w:highlight w:val="none"/>
        </w:rPr>
      </w:pPr>
    </w:p>
    <w:p w14:paraId="7A2AD96A">
      <w:pPr>
        <w:shd w:val="clear"/>
        <w:spacing w:line="900" w:lineRule="exact"/>
        <w:ind w:firstLine="320" w:firstLineChars="100"/>
        <w:rPr>
          <w:rFonts w:hint="eastAsia" w:ascii="宋体" w:hAnsi="宋体"/>
          <w:color w:val="auto"/>
          <w:sz w:val="32"/>
          <w:highlight w:val="none"/>
          <w:u w:val="single"/>
        </w:rPr>
      </w:pPr>
      <w:r>
        <w:rPr>
          <w:rFonts w:hint="eastAsia" w:ascii="宋体" w:hAnsi="宋体"/>
          <w:color w:val="auto"/>
          <w:sz w:val="32"/>
          <w:highlight w:val="none"/>
        </w:rPr>
        <w:t>投标文件内容：</w:t>
      </w:r>
      <w:r>
        <w:rPr>
          <w:rFonts w:hint="eastAsia" w:ascii="宋体" w:hAnsi="宋体"/>
          <w:color w:val="auto"/>
          <w:sz w:val="32"/>
          <w:highlight w:val="none"/>
          <w:u w:val="single"/>
        </w:rPr>
        <w:t xml:space="preserve">           （资格、商务技术或报价响应文件）                    </w:t>
      </w:r>
    </w:p>
    <w:p w14:paraId="760BA861">
      <w:pPr>
        <w:shd w:val="clear"/>
        <w:spacing w:line="900" w:lineRule="exact"/>
        <w:ind w:firstLine="313" w:firstLineChars="98"/>
        <w:rPr>
          <w:rFonts w:hint="eastAsia" w:ascii="宋体" w:hAnsi="宋体"/>
          <w:color w:val="auto"/>
          <w:sz w:val="32"/>
          <w:highlight w:val="none"/>
          <w:u w:val="single"/>
        </w:rPr>
      </w:pPr>
      <w:r>
        <w:rPr>
          <w:rFonts w:hint="eastAsia" w:ascii="宋体" w:hAnsi="宋体"/>
          <w:color w:val="auto"/>
          <w:sz w:val="32"/>
          <w:highlight w:val="none"/>
        </w:rPr>
        <w:t>投   标   人：</w:t>
      </w:r>
      <w:r>
        <w:rPr>
          <w:rFonts w:hint="eastAsia" w:ascii="宋体" w:hAnsi="宋体"/>
          <w:color w:val="auto"/>
          <w:sz w:val="32"/>
          <w:highlight w:val="none"/>
          <w:u w:val="single"/>
        </w:rPr>
        <w:t xml:space="preserve">                              （电子签章）  </w:t>
      </w:r>
    </w:p>
    <w:p w14:paraId="5E46D025">
      <w:pPr>
        <w:shd w:val="clear"/>
        <w:spacing w:line="900" w:lineRule="exact"/>
        <w:ind w:left="-4" w:leftChars="-2" w:firstLine="320" w:firstLineChars="100"/>
        <w:rPr>
          <w:rFonts w:hint="eastAsia" w:ascii="宋体" w:hAnsi="宋体"/>
          <w:color w:val="auto"/>
          <w:sz w:val="32"/>
          <w:highlight w:val="none"/>
          <w:u w:val="single"/>
        </w:rPr>
      </w:pPr>
      <w:r>
        <w:rPr>
          <w:rFonts w:hint="eastAsia" w:ascii="宋体" w:hAnsi="宋体"/>
          <w:color w:val="auto"/>
          <w:sz w:val="32"/>
          <w:highlight w:val="none"/>
        </w:rPr>
        <w:t>法定代表人或其委托代理人：</w:t>
      </w:r>
      <w:r>
        <w:rPr>
          <w:rFonts w:hint="eastAsia" w:ascii="宋体" w:hAnsi="宋体"/>
          <w:color w:val="auto"/>
          <w:sz w:val="32"/>
          <w:highlight w:val="none"/>
          <w:u w:val="single"/>
        </w:rPr>
        <w:t xml:space="preserve">                （签字或盖章） </w:t>
      </w:r>
    </w:p>
    <w:p w14:paraId="3FDEFD51">
      <w:pPr>
        <w:shd w:val="clear"/>
        <w:spacing w:line="900" w:lineRule="exact"/>
        <w:ind w:firstLine="160" w:firstLineChars="50"/>
        <w:rPr>
          <w:rFonts w:hint="eastAsia" w:ascii="宋体" w:hAnsi="宋体"/>
          <w:color w:val="auto"/>
          <w:sz w:val="32"/>
          <w:highlight w:val="none"/>
        </w:rPr>
      </w:pPr>
      <w:r>
        <w:rPr>
          <w:rFonts w:hint="eastAsia" w:ascii="宋体" w:hAnsi="宋体"/>
          <w:color w:val="auto"/>
          <w:sz w:val="32"/>
          <w:highlight w:val="none"/>
        </w:rPr>
        <w:t xml:space="preserve"> 日 期：</w:t>
      </w:r>
      <w:r>
        <w:rPr>
          <w:rFonts w:hint="eastAsia" w:ascii="宋体" w:hAnsi="宋体"/>
          <w:color w:val="auto"/>
          <w:sz w:val="32"/>
          <w:highlight w:val="none"/>
          <w:u w:val="single"/>
        </w:rPr>
        <w:t xml:space="preserve">            </w:t>
      </w:r>
      <w:r>
        <w:rPr>
          <w:rFonts w:hint="eastAsia" w:ascii="宋体" w:hAnsi="宋体"/>
          <w:color w:val="auto"/>
          <w:sz w:val="32"/>
          <w:highlight w:val="none"/>
        </w:rPr>
        <w:t>年</w:t>
      </w:r>
      <w:r>
        <w:rPr>
          <w:rFonts w:hint="eastAsia" w:ascii="宋体" w:hAnsi="宋体"/>
          <w:color w:val="auto"/>
          <w:sz w:val="32"/>
          <w:highlight w:val="none"/>
          <w:u w:val="single"/>
        </w:rPr>
        <w:t xml:space="preserve">            </w:t>
      </w:r>
      <w:r>
        <w:rPr>
          <w:rFonts w:hint="eastAsia" w:ascii="宋体" w:hAnsi="宋体"/>
          <w:color w:val="auto"/>
          <w:sz w:val="32"/>
          <w:highlight w:val="none"/>
        </w:rPr>
        <w:t>月</w:t>
      </w:r>
      <w:r>
        <w:rPr>
          <w:rFonts w:hint="eastAsia" w:ascii="宋体" w:hAnsi="宋体"/>
          <w:color w:val="auto"/>
          <w:sz w:val="32"/>
          <w:highlight w:val="none"/>
          <w:u w:val="single"/>
        </w:rPr>
        <w:t xml:space="preserve">               </w:t>
      </w:r>
      <w:r>
        <w:rPr>
          <w:rFonts w:hint="eastAsia" w:ascii="宋体" w:hAnsi="宋体"/>
          <w:color w:val="auto"/>
          <w:sz w:val="32"/>
          <w:highlight w:val="none"/>
        </w:rPr>
        <w:t>日</w:t>
      </w:r>
    </w:p>
    <w:p w14:paraId="66AED5E4">
      <w:pPr>
        <w:shd w:val="clear"/>
        <w:spacing w:line="360" w:lineRule="auto"/>
        <w:jc w:val="center"/>
        <w:outlineLvl w:val="2"/>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br w:type="page"/>
      </w:r>
      <w:r>
        <w:rPr>
          <w:rFonts w:hint="eastAsia" w:ascii="宋体" w:hAnsi="宋体" w:eastAsia="宋体" w:cs="宋体"/>
          <w:b/>
          <w:bCs/>
          <w:color w:val="auto"/>
          <w:sz w:val="36"/>
          <w:szCs w:val="36"/>
          <w:highlight w:val="none"/>
        </w:rPr>
        <w:t>法定代表人授权书（格式）</w:t>
      </w:r>
    </w:p>
    <w:p w14:paraId="3F0D0DAF">
      <w:pPr>
        <w:shd w:val="clear"/>
        <w:spacing w:line="360" w:lineRule="auto"/>
        <w:rPr>
          <w:rFonts w:hint="eastAsia" w:ascii="宋体" w:hAnsi="宋体" w:cs="宋体"/>
          <w:color w:val="auto"/>
          <w:sz w:val="24"/>
          <w:highlight w:val="none"/>
        </w:rPr>
      </w:pPr>
    </w:p>
    <w:p w14:paraId="759898DF">
      <w:pPr>
        <w:shd w:val="clea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p>
    <w:p w14:paraId="08DF70DB">
      <w:pPr>
        <w:shd w:val="clea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日    期：</w:t>
      </w:r>
      <w:r>
        <w:rPr>
          <w:rFonts w:hint="eastAsia" w:ascii="宋体" w:hAnsi="宋体" w:cs="宋体"/>
          <w:color w:val="auto"/>
          <w:sz w:val="24"/>
          <w:highlight w:val="none"/>
          <w:u w:val="single"/>
        </w:rPr>
        <w:t xml:space="preserve">               </w:t>
      </w:r>
    </w:p>
    <w:p w14:paraId="2C86D5AD">
      <w:pPr>
        <w:shd w:val="clea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采购人名称）                </w:t>
      </w:r>
    </w:p>
    <w:p w14:paraId="156EFD26">
      <w:pPr>
        <w:shd w:val="clea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招标代理机构名称）         </w:t>
      </w:r>
      <w:r>
        <w:rPr>
          <w:rFonts w:hint="eastAsia" w:ascii="宋体" w:hAnsi="宋体" w:cs="宋体"/>
          <w:color w:val="auto"/>
          <w:sz w:val="24"/>
          <w:highlight w:val="none"/>
        </w:rPr>
        <w:t xml:space="preserve">    </w:t>
      </w:r>
    </w:p>
    <w:p w14:paraId="23C0632F">
      <w:pPr>
        <w:shd w:val="clear"/>
        <w:spacing w:line="360" w:lineRule="auto"/>
        <w:ind w:firstLine="480" w:firstLineChars="200"/>
        <w:jc w:val="left"/>
        <w:rPr>
          <w:rFonts w:hint="eastAsia" w:ascii="宋体" w:hAnsi="宋体" w:cs="宋体"/>
          <w:color w:val="auto"/>
          <w:sz w:val="24"/>
          <w:highlight w:val="none"/>
          <w:u w:val="single"/>
        </w:rPr>
      </w:pPr>
      <w:r>
        <w:rPr>
          <w:rFonts w:hint="eastAsia" w:ascii="宋体" w:hAnsi="宋体" w:cs="宋体"/>
          <w:color w:val="auto"/>
          <w:sz w:val="24"/>
          <w:highlight w:val="none"/>
        </w:rPr>
        <w:t>注册于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（注册地址）的</w:t>
      </w:r>
      <w:r>
        <w:rPr>
          <w:rFonts w:hint="eastAsia" w:ascii="宋体" w:hAnsi="宋体" w:cs="宋体"/>
          <w:color w:val="auto"/>
          <w:sz w:val="24"/>
          <w:highlight w:val="none"/>
          <w:u w:val="single"/>
        </w:rPr>
        <w:t xml:space="preserve">                                         </w:t>
      </w:r>
    </w:p>
    <w:p w14:paraId="68848B14">
      <w:pPr>
        <w:shd w:val="clea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（投标人名称），系中华人民共和国合法企业；本人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授权人姓名）  系该公司的法定代表人（或负责人）。现特授权本单位的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（被授权人姓名）（</w:t>
      </w:r>
      <w:r>
        <w:rPr>
          <w:rFonts w:hint="eastAsia" w:ascii="宋体" w:hAnsi="宋体" w:cs="宋体"/>
          <w:color w:val="auto"/>
          <w:sz w:val="24"/>
          <w:highlight w:val="none"/>
          <w:u w:val="single"/>
        </w:rPr>
        <w:t>身份证号码：         ）</w:t>
      </w:r>
      <w:r>
        <w:rPr>
          <w:rFonts w:hint="eastAsia" w:ascii="宋体" w:hAnsi="宋体" w:cs="宋体"/>
          <w:color w:val="auto"/>
          <w:sz w:val="24"/>
          <w:highlight w:val="none"/>
        </w:rPr>
        <w:t>为我公司合法代理人，全权代表我公司办理就</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项目的投标、开标、签约等具体工作，并签署全部有关的文件、协议及合同。</w:t>
      </w:r>
    </w:p>
    <w:p w14:paraId="63AF14E1">
      <w:pPr>
        <w:shd w:val="clea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我公司对被授权人的签名负全部责任。</w:t>
      </w:r>
    </w:p>
    <w:p w14:paraId="5EDBFA83">
      <w:pPr>
        <w:shd w:val="clea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在撤销授权的书面通知以前，本授权书一直有效。被授权人签署的所有文件（在授权书有效期内签署的）不因授权的撤销而失效。被授权人无转委托。特此声明。</w:t>
      </w:r>
    </w:p>
    <w:p w14:paraId="2ABB6FA4">
      <w:pPr>
        <w:shd w:val="clear"/>
        <w:spacing w:line="360" w:lineRule="auto"/>
        <w:rPr>
          <w:rFonts w:hint="eastAsia" w:ascii="宋体" w:hAnsi="宋体" w:cs="宋体"/>
          <w:color w:val="auto"/>
          <w:sz w:val="24"/>
          <w:highlight w:val="none"/>
        </w:rPr>
      </w:pPr>
      <w:r>
        <w:rPr>
          <w:rFonts w:hint="eastAsia" w:ascii="宋体" w:hAnsi="宋体" w:cs="宋体"/>
          <w:color w:val="auto"/>
          <w:sz w:val="24"/>
          <w:highlight w:val="none"/>
        </w:rPr>
        <w:t>被授权人身份证复印件：</w:t>
      </w:r>
    </w:p>
    <w:p w14:paraId="0B87E5BD">
      <w:pPr>
        <w:shd w:val="clear"/>
        <w:spacing w:line="360" w:lineRule="auto"/>
        <w:rPr>
          <w:rFonts w:hint="eastAsia" w:ascii="宋体" w:hAnsi="宋体" w:cs="宋体"/>
          <w:color w:val="auto"/>
          <w:sz w:val="24"/>
          <w:highlight w:val="none"/>
        </w:rPr>
      </w:pPr>
    </w:p>
    <w:p w14:paraId="4CF3EC37">
      <w:pPr>
        <w:shd w:val="clear"/>
        <w:spacing w:line="800" w:lineRule="exact"/>
        <w:rPr>
          <w:rFonts w:hint="eastAsia" w:ascii="宋体" w:hAnsi="宋体" w:cs="宋体"/>
          <w:color w:val="auto"/>
          <w:sz w:val="24"/>
          <w:highlight w:val="none"/>
        </w:rPr>
      </w:pPr>
      <w:r>
        <w:rPr>
          <w:rFonts w:hint="eastAsia" w:ascii="宋体" w:hAnsi="宋体" w:cs="宋体"/>
          <w:color w:val="auto"/>
          <w:sz w:val="24"/>
          <w:highlight w:val="none"/>
        </w:rPr>
        <w:t>投标人（盖</w:t>
      </w:r>
      <w:r>
        <w:rPr>
          <w:rFonts w:hint="eastAsia" w:ascii="宋体" w:hAnsi="宋体" w:cs="宋体"/>
          <w:color w:val="auto"/>
          <w:sz w:val="24"/>
          <w:highlight w:val="none"/>
          <w:lang w:val="en-US" w:eastAsia="zh-CN"/>
        </w:rPr>
        <w:t>电子签章</w:t>
      </w:r>
      <w:r>
        <w:rPr>
          <w:rFonts w:hint="eastAsia" w:ascii="宋体" w:hAnsi="宋体" w:cs="宋体"/>
          <w:color w:val="auto"/>
          <w:sz w:val="24"/>
          <w:highlight w:val="none"/>
        </w:rPr>
        <w:t>）：</w:t>
      </w:r>
    </w:p>
    <w:p w14:paraId="5049A3ED">
      <w:pPr>
        <w:shd w:val="clear"/>
        <w:spacing w:line="800" w:lineRule="exact"/>
        <w:rPr>
          <w:rFonts w:hint="eastAsia" w:ascii="宋体" w:hAnsi="宋体" w:cs="宋体"/>
          <w:color w:val="auto"/>
          <w:sz w:val="24"/>
          <w:highlight w:val="none"/>
          <w:u w:val="single"/>
        </w:rPr>
      </w:pPr>
      <w:r>
        <w:rPr>
          <w:rFonts w:hint="eastAsia" w:ascii="宋体" w:hAnsi="宋体" w:cs="宋体"/>
          <w:color w:val="auto"/>
          <w:sz w:val="24"/>
          <w:highlight w:val="none"/>
        </w:rPr>
        <w:t>授权人签名：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职        务：</w:t>
      </w:r>
      <w:r>
        <w:rPr>
          <w:rFonts w:hint="eastAsia" w:ascii="宋体" w:hAnsi="宋体" w:cs="宋体"/>
          <w:color w:val="auto"/>
          <w:sz w:val="24"/>
          <w:highlight w:val="none"/>
          <w:u w:val="single"/>
        </w:rPr>
        <w:t xml:space="preserve">                </w:t>
      </w:r>
    </w:p>
    <w:p w14:paraId="149CC70F">
      <w:pPr>
        <w:shd w:val="clear"/>
        <w:spacing w:line="800" w:lineRule="exact"/>
        <w:rPr>
          <w:rFonts w:hint="eastAsia" w:ascii="宋体" w:hAnsi="宋体" w:cs="宋体"/>
          <w:color w:val="auto"/>
          <w:sz w:val="24"/>
          <w:highlight w:val="none"/>
        </w:rPr>
      </w:pPr>
      <w:r>
        <w:rPr>
          <w:rFonts w:hint="eastAsia" w:ascii="宋体" w:hAnsi="宋体" w:cs="宋体"/>
          <w:color w:val="auto"/>
          <w:sz w:val="24"/>
          <w:highlight w:val="none"/>
        </w:rPr>
        <w:t>被授权人签名：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2E4F9BC9">
      <w:pPr>
        <w:shd w:val="clear"/>
        <w:spacing w:line="360" w:lineRule="auto"/>
        <w:jc w:val="both"/>
        <w:rPr>
          <w:rFonts w:hint="eastAsia" w:ascii="宋体" w:hAnsi="宋体" w:cs="宋体"/>
          <w:color w:val="auto"/>
          <w:sz w:val="24"/>
          <w:highlight w:val="none"/>
          <w:lang w:eastAsia="zh-CN"/>
        </w:rPr>
      </w:pPr>
      <w:r>
        <w:rPr>
          <w:rFonts w:hint="eastAsia" w:ascii="宋体" w:hAnsi="宋体" w:cs="宋体"/>
          <w:color w:val="auto"/>
          <w:sz w:val="24"/>
          <w:highlight w:val="none"/>
        </w:rPr>
        <w:t>注：该表格适用于非法定代表人作为投标方代表参加投标的</w:t>
      </w:r>
      <w:r>
        <w:rPr>
          <w:rFonts w:hint="eastAsia" w:ascii="宋体" w:hAnsi="宋体" w:cs="宋体"/>
          <w:color w:val="auto"/>
          <w:sz w:val="24"/>
          <w:highlight w:val="none"/>
          <w:lang w:eastAsia="zh-CN"/>
        </w:rPr>
        <w:t>。</w:t>
      </w:r>
    </w:p>
    <w:p w14:paraId="7C89662B">
      <w:pPr>
        <w:shd w:val="clear"/>
        <w:spacing w:line="360" w:lineRule="auto"/>
        <w:jc w:val="center"/>
        <w:outlineLvl w:val="2"/>
        <w:rPr>
          <w:rFonts w:ascii="宋体" w:hAnsi="宋体" w:cs="宋体"/>
          <w:b/>
          <w:color w:val="auto"/>
          <w:sz w:val="32"/>
          <w:szCs w:val="32"/>
          <w:highlight w:val="none"/>
        </w:rPr>
      </w:pPr>
      <w:r>
        <w:rPr>
          <w:rFonts w:hint="eastAsia" w:ascii="宋体" w:hAnsi="宋体" w:cs="宋体"/>
          <w:b/>
          <w:bCs/>
          <w:color w:val="auto"/>
          <w:sz w:val="36"/>
          <w:szCs w:val="36"/>
          <w:highlight w:val="none"/>
        </w:rPr>
        <w:br w:type="page"/>
      </w:r>
      <w:r>
        <w:rPr>
          <w:rFonts w:hint="eastAsia" w:ascii="宋体" w:hAnsi="宋体" w:cs="宋体"/>
          <w:b/>
          <w:color w:val="auto"/>
          <w:sz w:val="32"/>
          <w:szCs w:val="32"/>
          <w:highlight w:val="none"/>
        </w:rPr>
        <w:t>义乌市国企采购项目投标承诺书</w:t>
      </w:r>
    </w:p>
    <w:p w14:paraId="2DF05475">
      <w:pPr>
        <w:pStyle w:val="18"/>
        <w:shd w:val="clear"/>
        <w:spacing w:line="3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1.我单位已认真阅读了本项目的招标公告、招标文件、技术要求、图纸、招标补充（答疑）文件及相关资料，对其全部内容和要求有实质性了解，并对这些内容表示理解且无任何异议，接受其全部内容及要求，承诺本单位的投标文件已经完全响应并符合其全部条件和要求，愿意参加投标并愿意中标；</w:t>
      </w:r>
    </w:p>
    <w:p w14:paraId="0DE5515A">
      <w:pPr>
        <w:pStyle w:val="18"/>
        <w:shd w:val="clear"/>
        <w:spacing w:line="3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2.自愿接受义乌市财政局（以下简称市财政局）的管理，并严格遵守市财政局制定的招投标管理制度、规范和纪律。</w:t>
      </w:r>
    </w:p>
    <w:p w14:paraId="33000196">
      <w:pPr>
        <w:pStyle w:val="18"/>
        <w:shd w:val="clear"/>
        <w:spacing w:line="360" w:lineRule="exact"/>
        <w:ind w:firstLine="464" w:firstLineChars="200"/>
        <w:rPr>
          <w:rFonts w:hint="eastAsia" w:hAnsi="宋体" w:cs="宋体"/>
          <w:color w:val="auto"/>
          <w:w w:val="97"/>
          <w:sz w:val="24"/>
          <w:szCs w:val="24"/>
          <w:highlight w:val="none"/>
        </w:rPr>
      </w:pPr>
      <w:r>
        <w:rPr>
          <w:rFonts w:hint="eastAsia" w:hAnsi="宋体" w:cs="宋体"/>
          <w:color w:val="auto"/>
          <w:w w:val="97"/>
          <w:sz w:val="24"/>
          <w:szCs w:val="24"/>
          <w:highlight w:val="none"/>
        </w:rPr>
        <w:t>3.我单位承诺参与本次投标的资格符合《义乌市国有企业采购管理办法（试行）》的规定，并承诺近三年内，在经营活动中没有重大违法记录，承诺财务状况良好，并已依法按时缴纳税收和社会保障资金。我单位承诺具备履行本项目合同所必需的设备和专业技术能力。</w:t>
      </w:r>
    </w:p>
    <w:p w14:paraId="0478E4C4">
      <w:pPr>
        <w:pStyle w:val="18"/>
        <w:shd w:val="clear"/>
        <w:spacing w:line="3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4.积极主动配合市财政局的调查。及时、如实、全面地回答市财政局提出的问题，并在调查笔录中签字确认。如拒绝签字确认的，则视为我单位及有关工作人员认可调查笔录中的全部内容，并对最终的调查结果无任何异议，且自愿放弃一切救济途径。</w:t>
      </w:r>
    </w:p>
    <w:p w14:paraId="294D97C9">
      <w:pPr>
        <w:pStyle w:val="18"/>
        <w:shd w:val="clear"/>
        <w:spacing w:line="3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5.不转让、出借、涂改、伪造资质（资格）证书或者以其他方式允许其他单位（个人）以我单位（本人）名义承接业务。</w:t>
      </w:r>
    </w:p>
    <w:p w14:paraId="45573C2B">
      <w:pPr>
        <w:pStyle w:val="18"/>
        <w:shd w:val="clear"/>
        <w:spacing w:line="3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6.不与采购人或者其他投标人相互串通投标，围标，不以行贿等不正当手段谋取中标。</w:t>
      </w:r>
    </w:p>
    <w:p w14:paraId="4E25BFCF">
      <w:pPr>
        <w:pStyle w:val="18"/>
        <w:shd w:val="clear"/>
        <w:spacing w:line="3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7.在备案、招标、投标、报名、开标、评标、询标、中标、签订合同、合同备案等招投标预备和进行的全过程中提供的资料均真实、有效，不弄虚作假。</w:t>
      </w:r>
    </w:p>
    <w:p w14:paraId="01DC4A8D">
      <w:pPr>
        <w:pStyle w:val="18"/>
        <w:shd w:val="clear"/>
        <w:spacing w:line="3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8.我方已详细审核全部招标文件，包括修改文件(如果有的话)，及有关附件，我方同意放弃提出含糊不清或误解的权力。 </w:t>
      </w:r>
    </w:p>
    <w:p w14:paraId="7AC7D742">
      <w:pPr>
        <w:pStyle w:val="18"/>
        <w:shd w:val="clear"/>
        <w:spacing w:line="3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9.投标文件中未明确的内容按招标文件执行。</w:t>
      </w:r>
    </w:p>
    <w:p w14:paraId="6C4F9BC5">
      <w:pPr>
        <w:pStyle w:val="18"/>
        <w:shd w:val="clear"/>
        <w:spacing w:line="3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10.我方同意所递交的投标文件在招标期内有效，在此期间内我方有可能中标，我方将受此约束。</w:t>
      </w:r>
    </w:p>
    <w:p w14:paraId="39BCE977">
      <w:pPr>
        <w:pStyle w:val="18"/>
        <w:shd w:val="clear"/>
        <w:spacing w:line="3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11.我方相信贵方的招标结果是公正、合法的，无论我方中标还是落标，我方将接受这一结果。 </w:t>
      </w:r>
    </w:p>
    <w:p w14:paraId="75DF69F9">
      <w:pPr>
        <w:pStyle w:val="18"/>
        <w:shd w:val="clear"/>
        <w:spacing w:line="3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12.一旦我方中标，我方将严格依照招标文件中的相关规定与招标方签订合同。</w:t>
      </w:r>
    </w:p>
    <w:p w14:paraId="68DF60C4">
      <w:pPr>
        <w:pStyle w:val="18"/>
        <w:shd w:val="clear"/>
        <w:spacing w:line="3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13.不低于企业成本价投标，不恶意过高报价，不扰乱招投标的正常秩序。</w:t>
      </w:r>
    </w:p>
    <w:p w14:paraId="7C9ACA85">
      <w:pPr>
        <w:pStyle w:val="18"/>
        <w:shd w:val="clear"/>
        <w:spacing w:line="3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14.严格遵守开标会议纪律，不在开标会场吵闹、滋事，服从工作人员指挥。</w:t>
      </w:r>
    </w:p>
    <w:p w14:paraId="11F23354">
      <w:pPr>
        <w:pStyle w:val="18"/>
        <w:shd w:val="clear"/>
        <w:spacing w:line="3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15.按照法律法规和本项目招标文件规定的程序和方式进行异议和投诉，不越级投诉，不无理投诉。如捏造事实、伪造材料或者以非法手段取得证明材料进行投诉，给他人造成损失的，依法承担赔偿责任。</w:t>
      </w:r>
    </w:p>
    <w:p w14:paraId="698A2832">
      <w:pPr>
        <w:pStyle w:val="18"/>
        <w:shd w:val="clear"/>
        <w:spacing w:line="3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上述承诺事项已认真逐项核对，均表达我单位真实意见，愿承担任何责任。若有任何弄虚作假内容或未遵守上述约定的，经查实后，愿意放弃投标及中标资格。如我单位违反上述承诺事项，无条件接受义乌市财政局或相关监管部门作出的任何管理和处理决定，并自愿承担一切不利的后果。</w:t>
      </w:r>
    </w:p>
    <w:p w14:paraId="5BA8A08C">
      <w:pPr>
        <w:shd w:val="clear"/>
        <w:rPr>
          <w:rFonts w:hint="eastAsia"/>
          <w:color w:val="auto"/>
          <w:szCs w:val="20"/>
          <w:highlight w:val="none"/>
        </w:rPr>
      </w:pPr>
    </w:p>
    <w:p w14:paraId="50FEB505">
      <w:pPr>
        <w:pStyle w:val="18"/>
        <w:shd w:val="clear"/>
        <w:spacing w:line="380" w:lineRule="exact"/>
        <w:rPr>
          <w:rFonts w:hint="eastAsia" w:hAnsi="宋体" w:cs="宋体"/>
          <w:color w:val="auto"/>
          <w:sz w:val="24"/>
          <w:szCs w:val="24"/>
          <w:highlight w:val="none"/>
        </w:rPr>
      </w:pPr>
      <w:r>
        <w:rPr>
          <w:rFonts w:hint="eastAsia" w:hAnsi="宋体" w:cs="宋体"/>
          <w:color w:val="auto"/>
          <w:sz w:val="24"/>
          <w:szCs w:val="24"/>
          <w:highlight w:val="none"/>
        </w:rPr>
        <w:t>投标人（电子签章）：</w:t>
      </w:r>
    </w:p>
    <w:p w14:paraId="2F1F55F2">
      <w:pPr>
        <w:pStyle w:val="18"/>
        <w:shd w:val="clear"/>
        <w:spacing w:line="380" w:lineRule="exact"/>
        <w:rPr>
          <w:rFonts w:hint="eastAsia" w:hAnsi="宋体" w:cs="宋体"/>
          <w:color w:val="auto"/>
          <w:sz w:val="24"/>
          <w:szCs w:val="24"/>
          <w:highlight w:val="none"/>
        </w:rPr>
      </w:pPr>
      <w:r>
        <w:rPr>
          <w:rFonts w:hint="eastAsia" w:hAnsi="宋体" w:cs="宋体"/>
          <w:color w:val="auto"/>
          <w:sz w:val="24"/>
          <w:szCs w:val="24"/>
          <w:highlight w:val="none"/>
        </w:rPr>
        <w:t>法定代表人或其授权的委托代理人（签字或盖章）：   年   月   日</w:t>
      </w:r>
    </w:p>
    <w:p w14:paraId="47DABB8D">
      <w:pPr>
        <w:shd w:val="clear"/>
        <w:spacing w:line="360" w:lineRule="auto"/>
        <w:jc w:val="center"/>
        <w:outlineLvl w:val="2"/>
        <w:rPr>
          <w:rFonts w:hint="eastAsia" w:ascii="宋体" w:hAnsi="宋体" w:cs="宋体"/>
          <w:b/>
          <w:bCs/>
          <w:color w:val="auto"/>
          <w:sz w:val="36"/>
          <w:szCs w:val="36"/>
          <w:highlight w:val="none"/>
        </w:rPr>
      </w:pPr>
      <w:r>
        <w:rPr>
          <w:rFonts w:hint="eastAsia" w:ascii="宋体" w:hAnsi="宋体" w:eastAsia="宋体" w:cs="宋体"/>
          <w:b/>
          <w:bCs/>
          <w:color w:val="auto"/>
          <w:sz w:val="36"/>
          <w:szCs w:val="36"/>
          <w:highlight w:val="none"/>
        </w:rPr>
        <w:br w:type="page"/>
      </w:r>
      <w:r>
        <w:rPr>
          <w:rFonts w:hint="eastAsia" w:ascii="宋体" w:hAnsi="宋体" w:cs="宋体"/>
          <w:b/>
          <w:bCs/>
          <w:color w:val="auto"/>
          <w:sz w:val="36"/>
          <w:szCs w:val="36"/>
          <w:highlight w:val="none"/>
          <w:lang w:val="en-US" w:eastAsia="zh-CN"/>
        </w:rPr>
        <w:t>服务简要</w:t>
      </w:r>
      <w:r>
        <w:rPr>
          <w:rFonts w:hint="eastAsia" w:ascii="宋体" w:hAnsi="宋体" w:cs="宋体"/>
          <w:b/>
          <w:bCs/>
          <w:color w:val="auto"/>
          <w:sz w:val="36"/>
          <w:szCs w:val="36"/>
          <w:highlight w:val="none"/>
        </w:rPr>
        <w:t>说明一览表</w:t>
      </w:r>
    </w:p>
    <w:p w14:paraId="74CABD84">
      <w:pPr>
        <w:shd w:val="clear"/>
        <w:spacing w:before="156" w:beforeLines="50" w:after="156" w:afterLines="50"/>
        <w:rPr>
          <w:rFonts w:hint="eastAsia" w:ascii="宋体" w:hAnsi="宋体" w:cs="宋体"/>
          <w:color w:val="auto"/>
          <w:sz w:val="24"/>
          <w:highlight w:val="none"/>
        </w:rPr>
      </w:pPr>
      <w:r>
        <w:rPr>
          <w:rFonts w:hint="eastAsia" w:ascii="宋体" w:hAnsi="宋体" w:cs="宋体"/>
          <w:color w:val="auto"/>
          <w:sz w:val="24"/>
          <w:highlight w:val="none"/>
        </w:rPr>
        <w:t>投标方名称（</w:t>
      </w:r>
      <w:r>
        <w:rPr>
          <w:rFonts w:hint="eastAsia" w:ascii="宋体" w:hAnsi="宋体" w:cs="宋体"/>
          <w:color w:val="auto"/>
          <w:sz w:val="24"/>
          <w:highlight w:val="none"/>
          <w:lang w:val="en-US" w:eastAsia="zh-CN"/>
        </w:rPr>
        <w:t>电子签章</w:t>
      </w:r>
      <w:r>
        <w:rPr>
          <w:rFonts w:hint="eastAsia" w:ascii="宋体" w:hAnsi="宋体" w:cs="宋体"/>
          <w:color w:val="auto"/>
          <w:sz w:val="24"/>
          <w:highlight w:val="none"/>
        </w:rPr>
        <w:t xml:space="preserve">）：___________________    </w:t>
      </w:r>
      <w:r>
        <w:rPr>
          <w:rFonts w:hint="eastAsia" w:ascii="宋体" w:hAnsi="宋体" w:cs="宋体"/>
          <w:bCs/>
          <w:color w:val="auto"/>
          <w:sz w:val="24"/>
          <w:highlight w:val="none"/>
        </w:rPr>
        <w:t>采购</w:t>
      </w:r>
      <w:r>
        <w:rPr>
          <w:rFonts w:hint="eastAsia" w:ascii="宋体" w:hAnsi="宋体" w:cs="宋体"/>
          <w:color w:val="auto"/>
          <w:sz w:val="24"/>
          <w:highlight w:val="none"/>
        </w:rPr>
        <w:t>编号：_____________</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260"/>
        <w:gridCol w:w="855"/>
        <w:gridCol w:w="2745"/>
        <w:gridCol w:w="825"/>
        <w:gridCol w:w="2955"/>
      </w:tblGrid>
      <w:tr w14:paraId="4A9A4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14:paraId="72D486EA">
            <w:pPr>
              <w:shd w:val="clear"/>
              <w:spacing w:line="360" w:lineRule="auto"/>
              <w:jc w:val="center"/>
              <w:rPr>
                <w:rFonts w:hint="eastAsia" w:ascii="宋体" w:hAnsi="宋体" w:cs="宋体"/>
                <w:b/>
                <w:bCs/>
                <w:color w:val="auto"/>
                <w:sz w:val="24"/>
                <w:highlight w:val="none"/>
              </w:rPr>
            </w:pPr>
            <w:r>
              <w:rPr>
                <w:rFonts w:hint="eastAsia" w:ascii="宋体" w:hAnsi="宋体" w:cs="宋体"/>
                <w:b/>
                <w:bCs/>
                <w:color w:val="auto"/>
                <w:sz w:val="24"/>
                <w:highlight w:val="none"/>
              </w:rPr>
              <w:t>序号</w:t>
            </w:r>
          </w:p>
        </w:tc>
        <w:tc>
          <w:tcPr>
            <w:tcW w:w="1260" w:type="dxa"/>
            <w:noWrap w:val="0"/>
            <w:vAlign w:val="top"/>
          </w:tcPr>
          <w:p w14:paraId="01F16F4D">
            <w:pPr>
              <w:shd w:val="clear"/>
              <w:spacing w:line="360" w:lineRule="auto"/>
              <w:jc w:val="center"/>
              <w:rPr>
                <w:rFonts w:hint="eastAsia" w:ascii="宋体" w:hAnsi="宋体" w:cs="宋体"/>
                <w:b/>
                <w:bCs/>
                <w:color w:val="auto"/>
                <w:sz w:val="24"/>
                <w:highlight w:val="none"/>
              </w:rPr>
            </w:pPr>
            <w:r>
              <w:rPr>
                <w:rFonts w:hint="eastAsia" w:ascii="宋体" w:hAnsi="宋体" w:cs="宋体"/>
                <w:b/>
                <w:bCs/>
                <w:color w:val="auto"/>
                <w:sz w:val="24"/>
                <w:highlight w:val="none"/>
              </w:rPr>
              <w:t>名称</w:t>
            </w:r>
          </w:p>
        </w:tc>
        <w:tc>
          <w:tcPr>
            <w:tcW w:w="855" w:type="dxa"/>
            <w:noWrap w:val="0"/>
            <w:vAlign w:val="center"/>
          </w:tcPr>
          <w:p w14:paraId="6498ED20">
            <w:pPr>
              <w:shd w:val="clear"/>
              <w:spacing w:line="360" w:lineRule="auto"/>
              <w:jc w:val="center"/>
              <w:rPr>
                <w:rFonts w:hint="eastAsia" w:ascii="宋体" w:hAnsi="宋体" w:cs="宋体"/>
                <w:b/>
                <w:bCs/>
                <w:color w:val="auto"/>
                <w:sz w:val="24"/>
                <w:highlight w:val="none"/>
              </w:rPr>
            </w:pPr>
          </w:p>
        </w:tc>
        <w:tc>
          <w:tcPr>
            <w:tcW w:w="2745" w:type="dxa"/>
            <w:noWrap w:val="0"/>
            <w:vAlign w:val="center"/>
          </w:tcPr>
          <w:p w14:paraId="673095EE">
            <w:pPr>
              <w:shd w:val="clear"/>
              <w:spacing w:line="360" w:lineRule="auto"/>
              <w:jc w:val="center"/>
              <w:rPr>
                <w:rFonts w:hint="eastAsia" w:ascii="宋体" w:hAnsi="宋体" w:cs="宋体"/>
                <w:b/>
                <w:bCs/>
                <w:color w:val="auto"/>
                <w:sz w:val="24"/>
                <w:highlight w:val="none"/>
              </w:rPr>
            </w:pPr>
          </w:p>
        </w:tc>
        <w:tc>
          <w:tcPr>
            <w:tcW w:w="825" w:type="dxa"/>
            <w:noWrap w:val="0"/>
            <w:vAlign w:val="center"/>
          </w:tcPr>
          <w:p w14:paraId="2D4C4746">
            <w:pPr>
              <w:shd w:val="clear"/>
              <w:spacing w:line="360" w:lineRule="auto"/>
              <w:jc w:val="center"/>
              <w:rPr>
                <w:rFonts w:hint="eastAsia" w:ascii="宋体" w:hAnsi="宋体" w:cs="宋体"/>
                <w:b/>
                <w:bCs/>
                <w:color w:val="auto"/>
                <w:sz w:val="24"/>
                <w:highlight w:val="none"/>
              </w:rPr>
            </w:pPr>
            <w:r>
              <w:rPr>
                <w:rFonts w:hint="eastAsia" w:ascii="宋体" w:hAnsi="宋体" w:cs="宋体"/>
                <w:b/>
                <w:bCs/>
                <w:color w:val="auto"/>
                <w:sz w:val="24"/>
                <w:highlight w:val="none"/>
              </w:rPr>
              <w:t>数量</w:t>
            </w:r>
          </w:p>
        </w:tc>
        <w:tc>
          <w:tcPr>
            <w:tcW w:w="2955" w:type="dxa"/>
            <w:noWrap w:val="0"/>
            <w:vAlign w:val="center"/>
          </w:tcPr>
          <w:p w14:paraId="5943D1DB">
            <w:pPr>
              <w:shd w:val="clear"/>
              <w:jc w:val="center"/>
              <w:rPr>
                <w:rFonts w:hint="eastAsia" w:ascii="宋体" w:hAnsi="宋体" w:cs="宋体"/>
                <w:b/>
                <w:bCs/>
                <w:color w:val="auto"/>
                <w:sz w:val="24"/>
                <w:highlight w:val="none"/>
              </w:rPr>
            </w:pPr>
          </w:p>
        </w:tc>
      </w:tr>
      <w:tr w14:paraId="28344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14:paraId="3DFE4175">
            <w:pPr>
              <w:shd w:val="clear"/>
              <w:spacing w:line="360" w:lineRule="auto"/>
              <w:jc w:val="center"/>
              <w:rPr>
                <w:rFonts w:hint="eastAsia" w:ascii="宋体" w:hAnsi="宋体" w:cs="宋体"/>
                <w:b/>
                <w:bCs/>
                <w:color w:val="auto"/>
                <w:sz w:val="24"/>
                <w:highlight w:val="none"/>
              </w:rPr>
            </w:pPr>
          </w:p>
        </w:tc>
        <w:tc>
          <w:tcPr>
            <w:tcW w:w="1260" w:type="dxa"/>
            <w:noWrap w:val="0"/>
            <w:vAlign w:val="top"/>
          </w:tcPr>
          <w:p w14:paraId="42E0844F">
            <w:pPr>
              <w:shd w:val="clear"/>
              <w:spacing w:line="360" w:lineRule="auto"/>
              <w:jc w:val="center"/>
              <w:rPr>
                <w:rFonts w:hint="eastAsia" w:ascii="宋体" w:hAnsi="宋体" w:cs="宋体"/>
                <w:b/>
                <w:bCs/>
                <w:color w:val="auto"/>
                <w:sz w:val="24"/>
                <w:highlight w:val="none"/>
              </w:rPr>
            </w:pPr>
          </w:p>
        </w:tc>
        <w:tc>
          <w:tcPr>
            <w:tcW w:w="855" w:type="dxa"/>
            <w:noWrap w:val="0"/>
            <w:vAlign w:val="center"/>
          </w:tcPr>
          <w:p w14:paraId="07FD00C9">
            <w:pPr>
              <w:shd w:val="clear"/>
              <w:spacing w:line="360" w:lineRule="auto"/>
              <w:jc w:val="center"/>
              <w:rPr>
                <w:rFonts w:hint="eastAsia" w:ascii="宋体" w:hAnsi="宋体" w:cs="宋体"/>
                <w:b/>
                <w:bCs/>
                <w:color w:val="auto"/>
                <w:sz w:val="24"/>
                <w:highlight w:val="none"/>
              </w:rPr>
            </w:pPr>
          </w:p>
        </w:tc>
        <w:tc>
          <w:tcPr>
            <w:tcW w:w="2745" w:type="dxa"/>
            <w:noWrap w:val="0"/>
            <w:vAlign w:val="center"/>
          </w:tcPr>
          <w:p w14:paraId="185EAF71">
            <w:pPr>
              <w:shd w:val="clear"/>
              <w:spacing w:line="360" w:lineRule="auto"/>
              <w:jc w:val="center"/>
              <w:rPr>
                <w:rFonts w:hint="eastAsia" w:ascii="宋体" w:hAnsi="宋体" w:cs="宋体"/>
                <w:b/>
                <w:bCs/>
                <w:color w:val="auto"/>
                <w:sz w:val="24"/>
                <w:highlight w:val="none"/>
              </w:rPr>
            </w:pPr>
          </w:p>
        </w:tc>
        <w:tc>
          <w:tcPr>
            <w:tcW w:w="825" w:type="dxa"/>
            <w:noWrap w:val="0"/>
            <w:vAlign w:val="center"/>
          </w:tcPr>
          <w:p w14:paraId="01DE6DD2">
            <w:pPr>
              <w:shd w:val="clear"/>
              <w:spacing w:line="360" w:lineRule="auto"/>
              <w:jc w:val="center"/>
              <w:rPr>
                <w:rFonts w:hint="eastAsia" w:ascii="宋体" w:hAnsi="宋体" w:cs="宋体"/>
                <w:b/>
                <w:bCs/>
                <w:color w:val="auto"/>
                <w:sz w:val="24"/>
                <w:highlight w:val="none"/>
              </w:rPr>
            </w:pPr>
          </w:p>
        </w:tc>
        <w:tc>
          <w:tcPr>
            <w:tcW w:w="2955" w:type="dxa"/>
            <w:noWrap w:val="0"/>
            <w:vAlign w:val="top"/>
          </w:tcPr>
          <w:p w14:paraId="094FBC78">
            <w:pPr>
              <w:shd w:val="clear"/>
              <w:rPr>
                <w:rFonts w:hint="eastAsia" w:ascii="宋体" w:hAnsi="宋体" w:cs="宋体"/>
                <w:color w:val="auto"/>
                <w:sz w:val="24"/>
                <w:highlight w:val="none"/>
              </w:rPr>
            </w:pPr>
          </w:p>
        </w:tc>
      </w:tr>
      <w:tr w14:paraId="2381B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14:paraId="6179C6B9">
            <w:pPr>
              <w:shd w:val="clear"/>
              <w:spacing w:line="360" w:lineRule="auto"/>
              <w:jc w:val="center"/>
              <w:rPr>
                <w:rFonts w:hint="eastAsia" w:ascii="宋体" w:hAnsi="宋体" w:cs="宋体"/>
                <w:b/>
                <w:bCs/>
                <w:color w:val="auto"/>
                <w:sz w:val="24"/>
                <w:highlight w:val="none"/>
              </w:rPr>
            </w:pPr>
          </w:p>
        </w:tc>
        <w:tc>
          <w:tcPr>
            <w:tcW w:w="1260" w:type="dxa"/>
            <w:noWrap w:val="0"/>
            <w:vAlign w:val="top"/>
          </w:tcPr>
          <w:p w14:paraId="774F7A13">
            <w:pPr>
              <w:shd w:val="clear"/>
              <w:spacing w:line="360" w:lineRule="auto"/>
              <w:jc w:val="center"/>
              <w:rPr>
                <w:rFonts w:hint="eastAsia" w:ascii="宋体" w:hAnsi="宋体" w:cs="宋体"/>
                <w:b/>
                <w:bCs/>
                <w:color w:val="auto"/>
                <w:sz w:val="24"/>
                <w:highlight w:val="none"/>
              </w:rPr>
            </w:pPr>
          </w:p>
        </w:tc>
        <w:tc>
          <w:tcPr>
            <w:tcW w:w="855" w:type="dxa"/>
            <w:noWrap w:val="0"/>
            <w:vAlign w:val="center"/>
          </w:tcPr>
          <w:p w14:paraId="104A2CC0">
            <w:pPr>
              <w:shd w:val="clear"/>
              <w:spacing w:line="360" w:lineRule="auto"/>
              <w:jc w:val="center"/>
              <w:rPr>
                <w:rFonts w:hint="eastAsia" w:ascii="宋体" w:hAnsi="宋体" w:cs="宋体"/>
                <w:b/>
                <w:bCs/>
                <w:color w:val="auto"/>
                <w:sz w:val="24"/>
                <w:highlight w:val="none"/>
              </w:rPr>
            </w:pPr>
          </w:p>
        </w:tc>
        <w:tc>
          <w:tcPr>
            <w:tcW w:w="2745" w:type="dxa"/>
            <w:noWrap w:val="0"/>
            <w:vAlign w:val="center"/>
          </w:tcPr>
          <w:p w14:paraId="20C67507">
            <w:pPr>
              <w:shd w:val="clear"/>
              <w:spacing w:line="360" w:lineRule="auto"/>
              <w:jc w:val="center"/>
              <w:rPr>
                <w:rFonts w:hint="eastAsia" w:ascii="宋体" w:hAnsi="宋体" w:cs="宋体"/>
                <w:b/>
                <w:bCs/>
                <w:color w:val="auto"/>
                <w:sz w:val="24"/>
                <w:highlight w:val="none"/>
              </w:rPr>
            </w:pPr>
          </w:p>
        </w:tc>
        <w:tc>
          <w:tcPr>
            <w:tcW w:w="825" w:type="dxa"/>
            <w:noWrap w:val="0"/>
            <w:vAlign w:val="center"/>
          </w:tcPr>
          <w:p w14:paraId="0957B85A">
            <w:pPr>
              <w:shd w:val="clear"/>
              <w:spacing w:line="360" w:lineRule="auto"/>
              <w:jc w:val="center"/>
              <w:rPr>
                <w:rFonts w:hint="eastAsia" w:ascii="宋体" w:hAnsi="宋体" w:cs="宋体"/>
                <w:b/>
                <w:bCs/>
                <w:color w:val="auto"/>
                <w:sz w:val="24"/>
                <w:highlight w:val="none"/>
              </w:rPr>
            </w:pPr>
          </w:p>
        </w:tc>
        <w:tc>
          <w:tcPr>
            <w:tcW w:w="2955" w:type="dxa"/>
            <w:noWrap w:val="0"/>
            <w:vAlign w:val="top"/>
          </w:tcPr>
          <w:p w14:paraId="7CA35D54">
            <w:pPr>
              <w:shd w:val="clear"/>
              <w:rPr>
                <w:rFonts w:hint="eastAsia" w:ascii="宋体" w:hAnsi="宋体" w:cs="宋体"/>
                <w:color w:val="auto"/>
                <w:sz w:val="24"/>
                <w:highlight w:val="none"/>
              </w:rPr>
            </w:pPr>
          </w:p>
        </w:tc>
      </w:tr>
      <w:tr w14:paraId="3A704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14:paraId="138E1BA6">
            <w:pPr>
              <w:shd w:val="clear"/>
              <w:spacing w:line="360" w:lineRule="auto"/>
              <w:jc w:val="center"/>
              <w:rPr>
                <w:rFonts w:hint="eastAsia" w:ascii="宋体" w:hAnsi="宋体" w:cs="宋体"/>
                <w:b/>
                <w:bCs/>
                <w:color w:val="auto"/>
                <w:sz w:val="24"/>
                <w:highlight w:val="none"/>
              </w:rPr>
            </w:pPr>
          </w:p>
        </w:tc>
        <w:tc>
          <w:tcPr>
            <w:tcW w:w="1260" w:type="dxa"/>
            <w:noWrap w:val="0"/>
            <w:vAlign w:val="top"/>
          </w:tcPr>
          <w:p w14:paraId="0715A26F">
            <w:pPr>
              <w:shd w:val="clear"/>
              <w:spacing w:line="360" w:lineRule="auto"/>
              <w:jc w:val="center"/>
              <w:rPr>
                <w:rFonts w:hint="eastAsia" w:ascii="宋体" w:hAnsi="宋体" w:cs="宋体"/>
                <w:b/>
                <w:bCs/>
                <w:color w:val="auto"/>
                <w:sz w:val="24"/>
                <w:highlight w:val="none"/>
              </w:rPr>
            </w:pPr>
          </w:p>
        </w:tc>
        <w:tc>
          <w:tcPr>
            <w:tcW w:w="855" w:type="dxa"/>
            <w:noWrap w:val="0"/>
            <w:vAlign w:val="center"/>
          </w:tcPr>
          <w:p w14:paraId="272C6FBB">
            <w:pPr>
              <w:shd w:val="clear"/>
              <w:spacing w:line="360" w:lineRule="auto"/>
              <w:jc w:val="center"/>
              <w:rPr>
                <w:rFonts w:hint="eastAsia" w:ascii="宋体" w:hAnsi="宋体" w:cs="宋体"/>
                <w:b/>
                <w:bCs/>
                <w:color w:val="auto"/>
                <w:sz w:val="24"/>
                <w:highlight w:val="none"/>
              </w:rPr>
            </w:pPr>
          </w:p>
        </w:tc>
        <w:tc>
          <w:tcPr>
            <w:tcW w:w="2745" w:type="dxa"/>
            <w:noWrap w:val="0"/>
            <w:vAlign w:val="center"/>
          </w:tcPr>
          <w:p w14:paraId="5E39DF60">
            <w:pPr>
              <w:shd w:val="clear"/>
              <w:spacing w:line="360" w:lineRule="auto"/>
              <w:jc w:val="center"/>
              <w:rPr>
                <w:rFonts w:hint="eastAsia" w:ascii="宋体" w:hAnsi="宋体" w:cs="宋体"/>
                <w:b/>
                <w:bCs/>
                <w:color w:val="auto"/>
                <w:sz w:val="24"/>
                <w:highlight w:val="none"/>
              </w:rPr>
            </w:pPr>
          </w:p>
        </w:tc>
        <w:tc>
          <w:tcPr>
            <w:tcW w:w="825" w:type="dxa"/>
            <w:noWrap w:val="0"/>
            <w:vAlign w:val="center"/>
          </w:tcPr>
          <w:p w14:paraId="39EC3E9B">
            <w:pPr>
              <w:shd w:val="clear"/>
              <w:spacing w:line="360" w:lineRule="auto"/>
              <w:jc w:val="center"/>
              <w:rPr>
                <w:rFonts w:hint="eastAsia" w:ascii="宋体" w:hAnsi="宋体" w:cs="宋体"/>
                <w:b/>
                <w:bCs/>
                <w:color w:val="auto"/>
                <w:sz w:val="24"/>
                <w:highlight w:val="none"/>
              </w:rPr>
            </w:pPr>
          </w:p>
        </w:tc>
        <w:tc>
          <w:tcPr>
            <w:tcW w:w="2955" w:type="dxa"/>
            <w:noWrap w:val="0"/>
            <w:vAlign w:val="top"/>
          </w:tcPr>
          <w:p w14:paraId="19DF3472">
            <w:pPr>
              <w:shd w:val="clear"/>
              <w:rPr>
                <w:rFonts w:hint="eastAsia" w:ascii="宋体" w:hAnsi="宋体" w:cs="宋体"/>
                <w:color w:val="auto"/>
                <w:sz w:val="24"/>
                <w:highlight w:val="none"/>
              </w:rPr>
            </w:pPr>
          </w:p>
        </w:tc>
      </w:tr>
      <w:tr w14:paraId="26462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14:paraId="693DFBC9">
            <w:pPr>
              <w:shd w:val="clear"/>
              <w:spacing w:line="360" w:lineRule="auto"/>
              <w:jc w:val="center"/>
              <w:rPr>
                <w:rFonts w:hint="eastAsia" w:ascii="宋体" w:hAnsi="宋体" w:cs="宋体"/>
                <w:b/>
                <w:bCs/>
                <w:color w:val="auto"/>
                <w:sz w:val="24"/>
                <w:highlight w:val="none"/>
              </w:rPr>
            </w:pPr>
          </w:p>
        </w:tc>
        <w:tc>
          <w:tcPr>
            <w:tcW w:w="1260" w:type="dxa"/>
            <w:noWrap w:val="0"/>
            <w:vAlign w:val="top"/>
          </w:tcPr>
          <w:p w14:paraId="5799157C">
            <w:pPr>
              <w:shd w:val="clear"/>
              <w:spacing w:line="360" w:lineRule="auto"/>
              <w:jc w:val="center"/>
              <w:rPr>
                <w:rFonts w:hint="eastAsia" w:ascii="宋体" w:hAnsi="宋体" w:cs="宋体"/>
                <w:b/>
                <w:bCs/>
                <w:color w:val="auto"/>
                <w:sz w:val="24"/>
                <w:highlight w:val="none"/>
              </w:rPr>
            </w:pPr>
          </w:p>
        </w:tc>
        <w:tc>
          <w:tcPr>
            <w:tcW w:w="855" w:type="dxa"/>
            <w:noWrap w:val="0"/>
            <w:vAlign w:val="center"/>
          </w:tcPr>
          <w:p w14:paraId="737D1F0B">
            <w:pPr>
              <w:shd w:val="clear"/>
              <w:spacing w:line="360" w:lineRule="auto"/>
              <w:jc w:val="center"/>
              <w:rPr>
                <w:rFonts w:hint="eastAsia" w:ascii="宋体" w:hAnsi="宋体" w:cs="宋体"/>
                <w:b/>
                <w:bCs/>
                <w:color w:val="auto"/>
                <w:sz w:val="24"/>
                <w:highlight w:val="none"/>
              </w:rPr>
            </w:pPr>
          </w:p>
        </w:tc>
        <w:tc>
          <w:tcPr>
            <w:tcW w:w="2745" w:type="dxa"/>
            <w:noWrap w:val="0"/>
            <w:vAlign w:val="center"/>
          </w:tcPr>
          <w:p w14:paraId="76CC0B9C">
            <w:pPr>
              <w:shd w:val="clear"/>
              <w:spacing w:line="360" w:lineRule="auto"/>
              <w:jc w:val="center"/>
              <w:rPr>
                <w:rFonts w:hint="eastAsia" w:ascii="宋体" w:hAnsi="宋体" w:cs="宋体"/>
                <w:b/>
                <w:bCs/>
                <w:color w:val="auto"/>
                <w:sz w:val="24"/>
                <w:highlight w:val="none"/>
              </w:rPr>
            </w:pPr>
          </w:p>
        </w:tc>
        <w:tc>
          <w:tcPr>
            <w:tcW w:w="825" w:type="dxa"/>
            <w:noWrap w:val="0"/>
            <w:vAlign w:val="center"/>
          </w:tcPr>
          <w:p w14:paraId="2274A986">
            <w:pPr>
              <w:shd w:val="clear"/>
              <w:spacing w:line="360" w:lineRule="auto"/>
              <w:jc w:val="center"/>
              <w:rPr>
                <w:rFonts w:hint="eastAsia" w:ascii="宋体" w:hAnsi="宋体" w:cs="宋体"/>
                <w:b/>
                <w:bCs/>
                <w:color w:val="auto"/>
                <w:sz w:val="24"/>
                <w:highlight w:val="none"/>
              </w:rPr>
            </w:pPr>
          </w:p>
        </w:tc>
        <w:tc>
          <w:tcPr>
            <w:tcW w:w="2955" w:type="dxa"/>
            <w:noWrap w:val="0"/>
            <w:vAlign w:val="top"/>
          </w:tcPr>
          <w:p w14:paraId="2A594228">
            <w:pPr>
              <w:shd w:val="clear"/>
              <w:rPr>
                <w:rFonts w:hint="eastAsia" w:ascii="宋体" w:hAnsi="宋体" w:cs="宋体"/>
                <w:color w:val="auto"/>
                <w:sz w:val="24"/>
                <w:highlight w:val="none"/>
              </w:rPr>
            </w:pPr>
          </w:p>
        </w:tc>
      </w:tr>
      <w:tr w14:paraId="08D73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14:paraId="4BE0FE2A">
            <w:pPr>
              <w:shd w:val="clear"/>
              <w:spacing w:line="360" w:lineRule="auto"/>
              <w:jc w:val="center"/>
              <w:rPr>
                <w:rFonts w:hint="eastAsia" w:ascii="宋体" w:hAnsi="宋体" w:cs="宋体"/>
                <w:b/>
                <w:bCs/>
                <w:color w:val="auto"/>
                <w:sz w:val="24"/>
                <w:highlight w:val="none"/>
              </w:rPr>
            </w:pPr>
          </w:p>
        </w:tc>
        <w:tc>
          <w:tcPr>
            <w:tcW w:w="1260" w:type="dxa"/>
            <w:noWrap w:val="0"/>
            <w:vAlign w:val="top"/>
          </w:tcPr>
          <w:p w14:paraId="2F474220">
            <w:pPr>
              <w:shd w:val="clear"/>
              <w:spacing w:line="360" w:lineRule="auto"/>
              <w:jc w:val="center"/>
              <w:rPr>
                <w:rFonts w:hint="eastAsia" w:ascii="宋体" w:hAnsi="宋体" w:cs="宋体"/>
                <w:b/>
                <w:bCs/>
                <w:color w:val="auto"/>
                <w:sz w:val="24"/>
                <w:highlight w:val="none"/>
              </w:rPr>
            </w:pPr>
          </w:p>
        </w:tc>
        <w:tc>
          <w:tcPr>
            <w:tcW w:w="855" w:type="dxa"/>
            <w:noWrap w:val="0"/>
            <w:vAlign w:val="center"/>
          </w:tcPr>
          <w:p w14:paraId="6345547A">
            <w:pPr>
              <w:shd w:val="clear"/>
              <w:spacing w:line="360" w:lineRule="auto"/>
              <w:jc w:val="center"/>
              <w:rPr>
                <w:rFonts w:hint="eastAsia" w:ascii="宋体" w:hAnsi="宋体" w:cs="宋体"/>
                <w:b/>
                <w:bCs/>
                <w:color w:val="auto"/>
                <w:sz w:val="24"/>
                <w:highlight w:val="none"/>
              </w:rPr>
            </w:pPr>
          </w:p>
        </w:tc>
        <w:tc>
          <w:tcPr>
            <w:tcW w:w="2745" w:type="dxa"/>
            <w:noWrap w:val="0"/>
            <w:vAlign w:val="center"/>
          </w:tcPr>
          <w:p w14:paraId="79272F1A">
            <w:pPr>
              <w:shd w:val="clear"/>
              <w:spacing w:line="360" w:lineRule="auto"/>
              <w:jc w:val="center"/>
              <w:rPr>
                <w:rFonts w:hint="eastAsia" w:ascii="宋体" w:hAnsi="宋体" w:cs="宋体"/>
                <w:b/>
                <w:bCs/>
                <w:color w:val="auto"/>
                <w:sz w:val="24"/>
                <w:highlight w:val="none"/>
              </w:rPr>
            </w:pPr>
          </w:p>
        </w:tc>
        <w:tc>
          <w:tcPr>
            <w:tcW w:w="825" w:type="dxa"/>
            <w:noWrap w:val="0"/>
            <w:vAlign w:val="center"/>
          </w:tcPr>
          <w:p w14:paraId="1D011589">
            <w:pPr>
              <w:shd w:val="clear"/>
              <w:spacing w:line="360" w:lineRule="auto"/>
              <w:jc w:val="center"/>
              <w:rPr>
                <w:rFonts w:hint="eastAsia" w:ascii="宋体" w:hAnsi="宋体" w:cs="宋体"/>
                <w:b/>
                <w:bCs/>
                <w:color w:val="auto"/>
                <w:sz w:val="24"/>
                <w:highlight w:val="none"/>
              </w:rPr>
            </w:pPr>
          </w:p>
        </w:tc>
        <w:tc>
          <w:tcPr>
            <w:tcW w:w="2955" w:type="dxa"/>
            <w:noWrap w:val="0"/>
            <w:vAlign w:val="top"/>
          </w:tcPr>
          <w:p w14:paraId="5926C04B">
            <w:pPr>
              <w:shd w:val="clear"/>
              <w:rPr>
                <w:rFonts w:hint="eastAsia" w:ascii="宋体" w:hAnsi="宋体" w:cs="宋体"/>
                <w:color w:val="auto"/>
                <w:sz w:val="24"/>
                <w:highlight w:val="none"/>
              </w:rPr>
            </w:pPr>
          </w:p>
        </w:tc>
      </w:tr>
      <w:tr w14:paraId="113B6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14:paraId="50EEC71F">
            <w:pPr>
              <w:shd w:val="clear"/>
              <w:spacing w:line="360" w:lineRule="auto"/>
              <w:jc w:val="center"/>
              <w:rPr>
                <w:rFonts w:hint="eastAsia" w:ascii="宋体" w:hAnsi="宋体" w:cs="宋体"/>
                <w:b/>
                <w:bCs/>
                <w:color w:val="auto"/>
                <w:sz w:val="24"/>
                <w:highlight w:val="none"/>
              </w:rPr>
            </w:pPr>
          </w:p>
        </w:tc>
        <w:tc>
          <w:tcPr>
            <w:tcW w:w="1260" w:type="dxa"/>
            <w:noWrap w:val="0"/>
            <w:vAlign w:val="top"/>
          </w:tcPr>
          <w:p w14:paraId="405D1AC5">
            <w:pPr>
              <w:shd w:val="clear"/>
              <w:spacing w:line="360" w:lineRule="auto"/>
              <w:jc w:val="center"/>
              <w:rPr>
                <w:rFonts w:hint="eastAsia" w:ascii="宋体" w:hAnsi="宋体" w:cs="宋体"/>
                <w:b/>
                <w:bCs/>
                <w:color w:val="auto"/>
                <w:sz w:val="24"/>
                <w:highlight w:val="none"/>
              </w:rPr>
            </w:pPr>
          </w:p>
        </w:tc>
        <w:tc>
          <w:tcPr>
            <w:tcW w:w="855" w:type="dxa"/>
            <w:noWrap w:val="0"/>
            <w:vAlign w:val="center"/>
          </w:tcPr>
          <w:p w14:paraId="229DD725">
            <w:pPr>
              <w:shd w:val="clear"/>
              <w:spacing w:line="360" w:lineRule="auto"/>
              <w:jc w:val="center"/>
              <w:rPr>
                <w:rFonts w:hint="eastAsia" w:ascii="宋体" w:hAnsi="宋体" w:cs="宋体"/>
                <w:b/>
                <w:bCs/>
                <w:color w:val="auto"/>
                <w:sz w:val="24"/>
                <w:highlight w:val="none"/>
              </w:rPr>
            </w:pPr>
          </w:p>
        </w:tc>
        <w:tc>
          <w:tcPr>
            <w:tcW w:w="2745" w:type="dxa"/>
            <w:noWrap w:val="0"/>
            <w:vAlign w:val="center"/>
          </w:tcPr>
          <w:p w14:paraId="48ADF687">
            <w:pPr>
              <w:shd w:val="clear"/>
              <w:spacing w:line="360" w:lineRule="auto"/>
              <w:jc w:val="center"/>
              <w:rPr>
                <w:rFonts w:hint="eastAsia" w:ascii="宋体" w:hAnsi="宋体" w:cs="宋体"/>
                <w:b/>
                <w:bCs/>
                <w:color w:val="auto"/>
                <w:sz w:val="24"/>
                <w:highlight w:val="none"/>
              </w:rPr>
            </w:pPr>
          </w:p>
        </w:tc>
        <w:tc>
          <w:tcPr>
            <w:tcW w:w="825" w:type="dxa"/>
            <w:noWrap w:val="0"/>
            <w:vAlign w:val="center"/>
          </w:tcPr>
          <w:p w14:paraId="1EC1A01A">
            <w:pPr>
              <w:shd w:val="clear"/>
              <w:spacing w:line="360" w:lineRule="auto"/>
              <w:jc w:val="center"/>
              <w:rPr>
                <w:rFonts w:hint="eastAsia" w:ascii="宋体" w:hAnsi="宋体" w:cs="宋体"/>
                <w:b/>
                <w:bCs/>
                <w:color w:val="auto"/>
                <w:sz w:val="24"/>
                <w:highlight w:val="none"/>
              </w:rPr>
            </w:pPr>
          </w:p>
        </w:tc>
        <w:tc>
          <w:tcPr>
            <w:tcW w:w="2955" w:type="dxa"/>
            <w:noWrap w:val="0"/>
            <w:vAlign w:val="top"/>
          </w:tcPr>
          <w:p w14:paraId="3069E9DD">
            <w:pPr>
              <w:shd w:val="clear"/>
              <w:rPr>
                <w:rFonts w:hint="eastAsia" w:ascii="宋体" w:hAnsi="宋体" w:cs="宋体"/>
                <w:color w:val="auto"/>
                <w:sz w:val="24"/>
                <w:highlight w:val="none"/>
              </w:rPr>
            </w:pPr>
          </w:p>
        </w:tc>
      </w:tr>
      <w:tr w14:paraId="6AD74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14:paraId="42DA18E2">
            <w:pPr>
              <w:shd w:val="clear"/>
              <w:spacing w:line="360" w:lineRule="auto"/>
              <w:jc w:val="center"/>
              <w:rPr>
                <w:rFonts w:hint="eastAsia" w:ascii="宋体" w:hAnsi="宋体" w:cs="宋体"/>
                <w:b/>
                <w:bCs/>
                <w:color w:val="auto"/>
                <w:sz w:val="24"/>
                <w:highlight w:val="none"/>
              </w:rPr>
            </w:pPr>
          </w:p>
        </w:tc>
        <w:tc>
          <w:tcPr>
            <w:tcW w:w="1260" w:type="dxa"/>
            <w:noWrap w:val="0"/>
            <w:vAlign w:val="top"/>
          </w:tcPr>
          <w:p w14:paraId="204474AE">
            <w:pPr>
              <w:shd w:val="clear"/>
              <w:spacing w:line="360" w:lineRule="auto"/>
              <w:jc w:val="center"/>
              <w:rPr>
                <w:rFonts w:hint="eastAsia" w:ascii="宋体" w:hAnsi="宋体" w:cs="宋体"/>
                <w:b/>
                <w:bCs/>
                <w:color w:val="auto"/>
                <w:sz w:val="24"/>
                <w:highlight w:val="none"/>
              </w:rPr>
            </w:pPr>
          </w:p>
        </w:tc>
        <w:tc>
          <w:tcPr>
            <w:tcW w:w="855" w:type="dxa"/>
            <w:noWrap w:val="0"/>
            <w:vAlign w:val="center"/>
          </w:tcPr>
          <w:p w14:paraId="1F6C4D31">
            <w:pPr>
              <w:shd w:val="clear"/>
              <w:spacing w:line="360" w:lineRule="auto"/>
              <w:jc w:val="center"/>
              <w:rPr>
                <w:rFonts w:hint="eastAsia" w:ascii="宋体" w:hAnsi="宋体" w:cs="宋体"/>
                <w:b/>
                <w:bCs/>
                <w:color w:val="auto"/>
                <w:sz w:val="24"/>
                <w:highlight w:val="none"/>
              </w:rPr>
            </w:pPr>
          </w:p>
        </w:tc>
        <w:tc>
          <w:tcPr>
            <w:tcW w:w="2745" w:type="dxa"/>
            <w:noWrap w:val="0"/>
            <w:vAlign w:val="center"/>
          </w:tcPr>
          <w:p w14:paraId="7E524444">
            <w:pPr>
              <w:shd w:val="clear"/>
              <w:spacing w:line="360" w:lineRule="auto"/>
              <w:jc w:val="center"/>
              <w:rPr>
                <w:rFonts w:hint="eastAsia" w:ascii="宋体" w:hAnsi="宋体" w:cs="宋体"/>
                <w:b/>
                <w:bCs/>
                <w:color w:val="auto"/>
                <w:sz w:val="24"/>
                <w:highlight w:val="none"/>
              </w:rPr>
            </w:pPr>
          </w:p>
        </w:tc>
        <w:tc>
          <w:tcPr>
            <w:tcW w:w="825" w:type="dxa"/>
            <w:noWrap w:val="0"/>
            <w:vAlign w:val="center"/>
          </w:tcPr>
          <w:p w14:paraId="3C7979DF">
            <w:pPr>
              <w:shd w:val="clear"/>
              <w:spacing w:line="360" w:lineRule="auto"/>
              <w:jc w:val="center"/>
              <w:rPr>
                <w:rFonts w:hint="eastAsia" w:ascii="宋体" w:hAnsi="宋体" w:cs="宋体"/>
                <w:b/>
                <w:bCs/>
                <w:color w:val="auto"/>
                <w:sz w:val="24"/>
                <w:highlight w:val="none"/>
              </w:rPr>
            </w:pPr>
          </w:p>
        </w:tc>
        <w:tc>
          <w:tcPr>
            <w:tcW w:w="2955" w:type="dxa"/>
            <w:noWrap w:val="0"/>
            <w:vAlign w:val="top"/>
          </w:tcPr>
          <w:p w14:paraId="19CE75F8">
            <w:pPr>
              <w:shd w:val="clear"/>
              <w:rPr>
                <w:rFonts w:hint="eastAsia" w:ascii="宋体" w:hAnsi="宋体" w:cs="宋体"/>
                <w:color w:val="auto"/>
                <w:sz w:val="24"/>
                <w:highlight w:val="none"/>
              </w:rPr>
            </w:pPr>
          </w:p>
        </w:tc>
      </w:tr>
      <w:tr w14:paraId="62849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14:paraId="6B5550ED">
            <w:pPr>
              <w:shd w:val="clear"/>
              <w:spacing w:line="360" w:lineRule="auto"/>
              <w:jc w:val="center"/>
              <w:rPr>
                <w:rFonts w:hint="eastAsia" w:ascii="宋体" w:hAnsi="宋体" w:cs="宋体"/>
                <w:b/>
                <w:bCs/>
                <w:color w:val="auto"/>
                <w:sz w:val="24"/>
                <w:highlight w:val="none"/>
              </w:rPr>
            </w:pPr>
          </w:p>
        </w:tc>
        <w:tc>
          <w:tcPr>
            <w:tcW w:w="1260" w:type="dxa"/>
            <w:noWrap w:val="0"/>
            <w:vAlign w:val="top"/>
          </w:tcPr>
          <w:p w14:paraId="45577EDF">
            <w:pPr>
              <w:shd w:val="clear"/>
              <w:spacing w:line="360" w:lineRule="auto"/>
              <w:jc w:val="center"/>
              <w:rPr>
                <w:rFonts w:hint="eastAsia" w:ascii="宋体" w:hAnsi="宋体" w:cs="宋体"/>
                <w:b/>
                <w:bCs/>
                <w:color w:val="auto"/>
                <w:sz w:val="24"/>
                <w:highlight w:val="none"/>
              </w:rPr>
            </w:pPr>
          </w:p>
        </w:tc>
        <w:tc>
          <w:tcPr>
            <w:tcW w:w="855" w:type="dxa"/>
            <w:noWrap w:val="0"/>
            <w:vAlign w:val="center"/>
          </w:tcPr>
          <w:p w14:paraId="72311CBB">
            <w:pPr>
              <w:shd w:val="clear"/>
              <w:spacing w:line="360" w:lineRule="auto"/>
              <w:jc w:val="center"/>
              <w:rPr>
                <w:rFonts w:hint="eastAsia" w:ascii="宋体" w:hAnsi="宋体" w:cs="宋体"/>
                <w:b/>
                <w:bCs/>
                <w:color w:val="auto"/>
                <w:sz w:val="24"/>
                <w:highlight w:val="none"/>
              </w:rPr>
            </w:pPr>
          </w:p>
        </w:tc>
        <w:tc>
          <w:tcPr>
            <w:tcW w:w="2745" w:type="dxa"/>
            <w:noWrap w:val="0"/>
            <w:vAlign w:val="center"/>
          </w:tcPr>
          <w:p w14:paraId="56329C21">
            <w:pPr>
              <w:shd w:val="clear"/>
              <w:spacing w:line="360" w:lineRule="auto"/>
              <w:jc w:val="center"/>
              <w:rPr>
                <w:rFonts w:hint="eastAsia" w:ascii="宋体" w:hAnsi="宋体" w:cs="宋体"/>
                <w:b/>
                <w:bCs/>
                <w:color w:val="auto"/>
                <w:sz w:val="24"/>
                <w:highlight w:val="none"/>
              </w:rPr>
            </w:pPr>
          </w:p>
        </w:tc>
        <w:tc>
          <w:tcPr>
            <w:tcW w:w="825" w:type="dxa"/>
            <w:noWrap w:val="0"/>
            <w:vAlign w:val="center"/>
          </w:tcPr>
          <w:p w14:paraId="59FD285B">
            <w:pPr>
              <w:shd w:val="clear"/>
              <w:spacing w:line="360" w:lineRule="auto"/>
              <w:jc w:val="center"/>
              <w:rPr>
                <w:rFonts w:hint="eastAsia" w:ascii="宋体" w:hAnsi="宋体" w:cs="宋体"/>
                <w:b/>
                <w:bCs/>
                <w:color w:val="auto"/>
                <w:sz w:val="24"/>
                <w:highlight w:val="none"/>
              </w:rPr>
            </w:pPr>
          </w:p>
        </w:tc>
        <w:tc>
          <w:tcPr>
            <w:tcW w:w="2955" w:type="dxa"/>
            <w:noWrap w:val="0"/>
            <w:vAlign w:val="top"/>
          </w:tcPr>
          <w:p w14:paraId="4EEC6782">
            <w:pPr>
              <w:shd w:val="clear"/>
              <w:rPr>
                <w:rFonts w:hint="eastAsia" w:ascii="宋体" w:hAnsi="宋体" w:cs="宋体"/>
                <w:color w:val="auto"/>
                <w:sz w:val="24"/>
                <w:highlight w:val="none"/>
              </w:rPr>
            </w:pPr>
          </w:p>
        </w:tc>
      </w:tr>
      <w:tr w14:paraId="0BFC9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14:paraId="75A120D5">
            <w:pPr>
              <w:shd w:val="clear"/>
              <w:spacing w:line="360" w:lineRule="auto"/>
              <w:jc w:val="center"/>
              <w:rPr>
                <w:rFonts w:hint="eastAsia" w:ascii="宋体" w:hAnsi="宋体" w:cs="宋体"/>
                <w:b/>
                <w:bCs/>
                <w:color w:val="auto"/>
                <w:sz w:val="24"/>
                <w:highlight w:val="none"/>
              </w:rPr>
            </w:pPr>
          </w:p>
        </w:tc>
        <w:tc>
          <w:tcPr>
            <w:tcW w:w="1260" w:type="dxa"/>
            <w:noWrap w:val="0"/>
            <w:vAlign w:val="top"/>
          </w:tcPr>
          <w:p w14:paraId="19E2F7CD">
            <w:pPr>
              <w:shd w:val="clear"/>
              <w:spacing w:line="360" w:lineRule="auto"/>
              <w:jc w:val="center"/>
              <w:rPr>
                <w:rFonts w:hint="eastAsia" w:ascii="宋体" w:hAnsi="宋体" w:cs="宋体"/>
                <w:b/>
                <w:bCs/>
                <w:color w:val="auto"/>
                <w:sz w:val="24"/>
                <w:highlight w:val="none"/>
              </w:rPr>
            </w:pPr>
          </w:p>
        </w:tc>
        <w:tc>
          <w:tcPr>
            <w:tcW w:w="855" w:type="dxa"/>
            <w:noWrap w:val="0"/>
            <w:vAlign w:val="center"/>
          </w:tcPr>
          <w:p w14:paraId="5D9D7F73">
            <w:pPr>
              <w:shd w:val="clear"/>
              <w:spacing w:line="360" w:lineRule="auto"/>
              <w:jc w:val="center"/>
              <w:rPr>
                <w:rFonts w:hint="eastAsia" w:ascii="宋体" w:hAnsi="宋体" w:cs="宋体"/>
                <w:b/>
                <w:bCs/>
                <w:color w:val="auto"/>
                <w:sz w:val="24"/>
                <w:highlight w:val="none"/>
              </w:rPr>
            </w:pPr>
          </w:p>
        </w:tc>
        <w:tc>
          <w:tcPr>
            <w:tcW w:w="2745" w:type="dxa"/>
            <w:noWrap w:val="0"/>
            <w:vAlign w:val="center"/>
          </w:tcPr>
          <w:p w14:paraId="57E20C66">
            <w:pPr>
              <w:shd w:val="clear"/>
              <w:spacing w:line="360" w:lineRule="auto"/>
              <w:jc w:val="center"/>
              <w:rPr>
                <w:rFonts w:hint="eastAsia" w:ascii="宋体" w:hAnsi="宋体" w:cs="宋体"/>
                <w:b/>
                <w:bCs/>
                <w:color w:val="auto"/>
                <w:sz w:val="24"/>
                <w:highlight w:val="none"/>
              </w:rPr>
            </w:pPr>
          </w:p>
        </w:tc>
        <w:tc>
          <w:tcPr>
            <w:tcW w:w="825" w:type="dxa"/>
            <w:noWrap w:val="0"/>
            <w:vAlign w:val="center"/>
          </w:tcPr>
          <w:p w14:paraId="13109E94">
            <w:pPr>
              <w:shd w:val="clear"/>
              <w:spacing w:line="360" w:lineRule="auto"/>
              <w:jc w:val="center"/>
              <w:rPr>
                <w:rFonts w:hint="eastAsia" w:ascii="宋体" w:hAnsi="宋体" w:cs="宋体"/>
                <w:b/>
                <w:bCs/>
                <w:color w:val="auto"/>
                <w:sz w:val="24"/>
                <w:highlight w:val="none"/>
              </w:rPr>
            </w:pPr>
          </w:p>
        </w:tc>
        <w:tc>
          <w:tcPr>
            <w:tcW w:w="2955" w:type="dxa"/>
            <w:noWrap w:val="0"/>
            <w:vAlign w:val="top"/>
          </w:tcPr>
          <w:p w14:paraId="025A0FD7">
            <w:pPr>
              <w:shd w:val="clear"/>
              <w:rPr>
                <w:rFonts w:hint="eastAsia" w:ascii="宋体" w:hAnsi="宋体" w:cs="宋体"/>
                <w:color w:val="auto"/>
                <w:sz w:val="24"/>
                <w:highlight w:val="none"/>
              </w:rPr>
            </w:pPr>
          </w:p>
        </w:tc>
      </w:tr>
      <w:tr w14:paraId="4D735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14:paraId="10EB698B">
            <w:pPr>
              <w:shd w:val="clear"/>
              <w:spacing w:line="360" w:lineRule="auto"/>
              <w:jc w:val="center"/>
              <w:rPr>
                <w:rFonts w:hint="eastAsia" w:ascii="宋体" w:hAnsi="宋体" w:cs="宋体"/>
                <w:b/>
                <w:bCs/>
                <w:color w:val="auto"/>
                <w:sz w:val="24"/>
                <w:highlight w:val="none"/>
              </w:rPr>
            </w:pPr>
          </w:p>
        </w:tc>
        <w:tc>
          <w:tcPr>
            <w:tcW w:w="1260" w:type="dxa"/>
            <w:noWrap w:val="0"/>
            <w:vAlign w:val="top"/>
          </w:tcPr>
          <w:p w14:paraId="1B83D8E7">
            <w:pPr>
              <w:shd w:val="clear"/>
              <w:spacing w:line="360" w:lineRule="auto"/>
              <w:jc w:val="center"/>
              <w:rPr>
                <w:rFonts w:hint="eastAsia" w:ascii="宋体" w:hAnsi="宋体" w:cs="宋体"/>
                <w:b/>
                <w:bCs/>
                <w:color w:val="auto"/>
                <w:sz w:val="24"/>
                <w:highlight w:val="none"/>
              </w:rPr>
            </w:pPr>
          </w:p>
        </w:tc>
        <w:tc>
          <w:tcPr>
            <w:tcW w:w="855" w:type="dxa"/>
            <w:noWrap w:val="0"/>
            <w:vAlign w:val="center"/>
          </w:tcPr>
          <w:p w14:paraId="7A6A5F74">
            <w:pPr>
              <w:shd w:val="clear"/>
              <w:spacing w:line="360" w:lineRule="auto"/>
              <w:jc w:val="center"/>
              <w:rPr>
                <w:rFonts w:hint="eastAsia" w:ascii="宋体" w:hAnsi="宋体" w:cs="宋体"/>
                <w:b/>
                <w:bCs/>
                <w:color w:val="auto"/>
                <w:sz w:val="24"/>
                <w:highlight w:val="none"/>
              </w:rPr>
            </w:pPr>
          </w:p>
        </w:tc>
        <w:tc>
          <w:tcPr>
            <w:tcW w:w="2745" w:type="dxa"/>
            <w:noWrap w:val="0"/>
            <w:vAlign w:val="center"/>
          </w:tcPr>
          <w:p w14:paraId="73110B86">
            <w:pPr>
              <w:shd w:val="clear"/>
              <w:spacing w:line="360" w:lineRule="auto"/>
              <w:jc w:val="center"/>
              <w:rPr>
                <w:rFonts w:hint="eastAsia" w:ascii="宋体" w:hAnsi="宋体" w:cs="宋体"/>
                <w:b/>
                <w:bCs/>
                <w:color w:val="auto"/>
                <w:sz w:val="24"/>
                <w:highlight w:val="none"/>
              </w:rPr>
            </w:pPr>
          </w:p>
        </w:tc>
        <w:tc>
          <w:tcPr>
            <w:tcW w:w="825" w:type="dxa"/>
            <w:noWrap w:val="0"/>
            <w:vAlign w:val="center"/>
          </w:tcPr>
          <w:p w14:paraId="20DE6BFE">
            <w:pPr>
              <w:shd w:val="clear"/>
              <w:spacing w:line="360" w:lineRule="auto"/>
              <w:jc w:val="center"/>
              <w:rPr>
                <w:rFonts w:hint="eastAsia" w:ascii="宋体" w:hAnsi="宋体" w:cs="宋体"/>
                <w:b/>
                <w:bCs/>
                <w:color w:val="auto"/>
                <w:sz w:val="24"/>
                <w:highlight w:val="none"/>
              </w:rPr>
            </w:pPr>
          </w:p>
        </w:tc>
        <w:tc>
          <w:tcPr>
            <w:tcW w:w="2955" w:type="dxa"/>
            <w:noWrap w:val="0"/>
            <w:vAlign w:val="top"/>
          </w:tcPr>
          <w:p w14:paraId="72228ACC">
            <w:pPr>
              <w:shd w:val="clear"/>
              <w:rPr>
                <w:rFonts w:hint="eastAsia" w:ascii="宋体" w:hAnsi="宋体" w:cs="宋体"/>
                <w:color w:val="auto"/>
                <w:sz w:val="24"/>
                <w:highlight w:val="none"/>
              </w:rPr>
            </w:pPr>
          </w:p>
        </w:tc>
      </w:tr>
    </w:tbl>
    <w:p w14:paraId="6B0BA1C8">
      <w:pPr>
        <w:shd w:val="clear"/>
        <w:spacing w:line="360" w:lineRule="auto"/>
        <w:rPr>
          <w:rFonts w:hint="eastAsia" w:ascii="宋体" w:hAnsi="宋体" w:cs="宋体"/>
          <w:b/>
          <w:bCs/>
          <w:color w:val="auto"/>
          <w:szCs w:val="21"/>
          <w:highlight w:val="none"/>
        </w:rPr>
      </w:pPr>
    </w:p>
    <w:p w14:paraId="623F810F">
      <w:pPr>
        <w:shd w:val="clear"/>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rPr>
        <w:t xml:space="preserve">投标人名称（盖电子签章）：                      </w:t>
      </w:r>
    </w:p>
    <w:p w14:paraId="38E08827">
      <w:pPr>
        <w:shd w:val="clear"/>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lang w:val="en-US" w:eastAsia="zh-CN"/>
        </w:rPr>
        <w:t>投标方代表</w:t>
      </w:r>
      <w:r>
        <w:rPr>
          <w:rFonts w:hint="eastAsia" w:ascii="宋体" w:hAnsi="宋体" w:cs="宋体"/>
          <w:b/>
          <w:bCs/>
          <w:color w:val="auto"/>
          <w:szCs w:val="21"/>
          <w:highlight w:val="none"/>
        </w:rPr>
        <w:t xml:space="preserve">签字：                   </w:t>
      </w:r>
    </w:p>
    <w:p w14:paraId="670E1C4B">
      <w:pPr>
        <w:shd w:val="clear"/>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rPr>
        <w:t>日 期：      年    月      日</w:t>
      </w:r>
    </w:p>
    <w:p w14:paraId="57B03ABE">
      <w:pPr>
        <w:shd w:val="clear"/>
        <w:spacing w:line="360" w:lineRule="auto"/>
        <w:rPr>
          <w:rFonts w:hint="eastAsia" w:ascii="宋体" w:hAnsi="宋体" w:cs="宋体"/>
          <w:b/>
          <w:bCs/>
          <w:color w:val="auto"/>
          <w:szCs w:val="21"/>
          <w:highlight w:val="none"/>
        </w:rPr>
      </w:pPr>
    </w:p>
    <w:p w14:paraId="454F909A">
      <w:pPr>
        <w:shd w:val="clear"/>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rPr>
        <w:t>备注：</w:t>
      </w:r>
    </w:p>
    <w:p w14:paraId="64413CAA">
      <w:pPr>
        <w:shd w:val="clear"/>
        <w:spacing w:line="360" w:lineRule="auto"/>
        <w:rPr>
          <w:rFonts w:hint="eastAsia" w:ascii="宋体" w:hAnsi="宋体" w:eastAsia="宋体" w:cs="宋体"/>
          <w:b/>
          <w:bCs/>
          <w:color w:val="auto"/>
          <w:szCs w:val="21"/>
          <w:highlight w:val="none"/>
          <w:lang w:eastAsia="zh-CN"/>
        </w:rPr>
      </w:pPr>
      <w:r>
        <w:rPr>
          <w:rFonts w:hint="eastAsia" w:ascii="宋体" w:hAnsi="宋体" w:cs="宋体"/>
          <w:b/>
          <w:bCs/>
          <w:color w:val="auto"/>
          <w:szCs w:val="21"/>
          <w:highlight w:val="none"/>
        </w:rPr>
        <w:t>1、此表可在不改变格式的情况下自行制作</w:t>
      </w:r>
      <w:r>
        <w:rPr>
          <w:rFonts w:hint="eastAsia" w:ascii="宋体" w:hAnsi="宋体" w:cs="宋体"/>
          <w:b/>
          <w:bCs/>
          <w:color w:val="auto"/>
          <w:szCs w:val="21"/>
          <w:highlight w:val="none"/>
          <w:lang w:eastAsia="zh-CN"/>
        </w:rPr>
        <w:t>。</w:t>
      </w:r>
    </w:p>
    <w:p w14:paraId="466F5DAB">
      <w:pPr>
        <w:shd w:val="clear"/>
        <w:spacing w:line="360" w:lineRule="auto"/>
        <w:jc w:val="center"/>
        <w:outlineLvl w:val="2"/>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br w:type="page"/>
      </w:r>
      <w:r>
        <w:rPr>
          <w:rFonts w:hint="eastAsia" w:ascii="宋体" w:hAnsi="宋体" w:eastAsia="宋体" w:cs="宋体"/>
          <w:b/>
          <w:bCs/>
          <w:color w:val="auto"/>
          <w:sz w:val="36"/>
          <w:szCs w:val="36"/>
          <w:highlight w:val="none"/>
        </w:rPr>
        <w:t>售后服务承诺书</w:t>
      </w:r>
    </w:p>
    <w:p w14:paraId="69F3B5C2">
      <w:pPr>
        <w:shd w:val="clear"/>
        <w:spacing w:line="360" w:lineRule="auto"/>
        <w:rPr>
          <w:rFonts w:ascii="宋体"/>
          <w:color w:val="auto"/>
          <w:sz w:val="24"/>
          <w:highlight w:val="none"/>
        </w:rPr>
      </w:pPr>
    </w:p>
    <w:p w14:paraId="7A2ECBFC">
      <w:pPr>
        <w:shd w:val="clear"/>
        <w:spacing w:line="360" w:lineRule="auto"/>
        <w:rPr>
          <w:rFonts w:ascii="宋体"/>
          <w:color w:val="auto"/>
          <w:sz w:val="24"/>
          <w:highlight w:val="none"/>
        </w:rPr>
      </w:pPr>
      <w:r>
        <w:rPr>
          <w:rFonts w:ascii="宋体"/>
          <w:color w:val="auto"/>
          <w:sz w:val="24"/>
          <w:highlight w:val="none"/>
        </w:rPr>
        <w:t>1</w:t>
      </w:r>
      <w:r>
        <w:rPr>
          <w:rFonts w:hint="eastAsia" w:ascii="宋体"/>
          <w:color w:val="auto"/>
          <w:sz w:val="24"/>
          <w:highlight w:val="none"/>
        </w:rPr>
        <w:t>、保修年限、范围、保修条件</w:t>
      </w:r>
    </w:p>
    <w:p w14:paraId="75675E3F">
      <w:pPr>
        <w:shd w:val="clear"/>
        <w:spacing w:line="360" w:lineRule="auto"/>
        <w:rPr>
          <w:rFonts w:ascii="宋体"/>
          <w:color w:val="auto"/>
          <w:sz w:val="24"/>
          <w:highlight w:val="none"/>
        </w:rPr>
      </w:pPr>
    </w:p>
    <w:p w14:paraId="436342B2">
      <w:pPr>
        <w:shd w:val="clear"/>
        <w:spacing w:line="360" w:lineRule="auto"/>
        <w:rPr>
          <w:rFonts w:ascii="宋体"/>
          <w:color w:val="auto"/>
          <w:sz w:val="24"/>
          <w:highlight w:val="none"/>
        </w:rPr>
      </w:pPr>
    </w:p>
    <w:p w14:paraId="19655244">
      <w:pPr>
        <w:shd w:val="clear"/>
        <w:spacing w:line="360" w:lineRule="auto"/>
        <w:rPr>
          <w:rFonts w:ascii="宋体"/>
          <w:color w:val="auto"/>
          <w:sz w:val="24"/>
          <w:highlight w:val="none"/>
        </w:rPr>
      </w:pPr>
      <w:r>
        <w:rPr>
          <w:rFonts w:hint="eastAsia" w:ascii="宋体"/>
          <w:color w:val="auto"/>
          <w:sz w:val="24"/>
          <w:highlight w:val="none"/>
        </w:rPr>
        <w:t>2、解决问题、排除故障的速度</w:t>
      </w:r>
    </w:p>
    <w:p w14:paraId="6A85047B">
      <w:pPr>
        <w:shd w:val="clear"/>
        <w:spacing w:line="360" w:lineRule="auto"/>
        <w:rPr>
          <w:rFonts w:ascii="宋体"/>
          <w:color w:val="auto"/>
          <w:sz w:val="24"/>
          <w:highlight w:val="none"/>
        </w:rPr>
      </w:pPr>
    </w:p>
    <w:p w14:paraId="24930950">
      <w:pPr>
        <w:shd w:val="clear"/>
        <w:spacing w:line="360" w:lineRule="auto"/>
        <w:rPr>
          <w:rFonts w:ascii="宋体"/>
          <w:color w:val="auto"/>
          <w:sz w:val="24"/>
          <w:highlight w:val="none"/>
        </w:rPr>
      </w:pPr>
    </w:p>
    <w:p w14:paraId="6D576D38">
      <w:pPr>
        <w:shd w:val="clear"/>
        <w:spacing w:line="360" w:lineRule="auto"/>
        <w:rPr>
          <w:rFonts w:ascii="宋体"/>
          <w:color w:val="auto"/>
          <w:sz w:val="24"/>
          <w:highlight w:val="none"/>
        </w:rPr>
      </w:pPr>
      <w:r>
        <w:rPr>
          <w:rFonts w:hint="eastAsia" w:ascii="宋体"/>
          <w:color w:val="auto"/>
          <w:sz w:val="24"/>
          <w:highlight w:val="none"/>
        </w:rPr>
        <w:t>3、设备使用的培训、指导</w:t>
      </w:r>
    </w:p>
    <w:p w14:paraId="2C319252">
      <w:pPr>
        <w:shd w:val="clear"/>
        <w:spacing w:line="360" w:lineRule="auto"/>
        <w:rPr>
          <w:rFonts w:ascii="宋体"/>
          <w:color w:val="auto"/>
          <w:sz w:val="24"/>
          <w:highlight w:val="none"/>
        </w:rPr>
      </w:pPr>
    </w:p>
    <w:p w14:paraId="7736E4D4">
      <w:pPr>
        <w:shd w:val="clear"/>
        <w:spacing w:line="360" w:lineRule="auto"/>
        <w:rPr>
          <w:rFonts w:ascii="宋体"/>
          <w:color w:val="auto"/>
          <w:sz w:val="24"/>
          <w:highlight w:val="none"/>
        </w:rPr>
      </w:pPr>
    </w:p>
    <w:p w14:paraId="55CF52B3">
      <w:pPr>
        <w:shd w:val="clear"/>
        <w:spacing w:line="360" w:lineRule="auto"/>
        <w:rPr>
          <w:rFonts w:ascii="宋体"/>
          <w:color w:val="auto"/>
          <w:sz w:val="24"/>
          <w:highlight w:val="none"/>
        </w:rPr>
      </w:pPr>
      <w:r>
        <w:rPr>
          <w:rFonts w:hint="eastAsia" w:ascii="宋体"/>
          <w:color w:val="auto"/>
          <w:sz w:val="24"/>
          <w:highlight w:val="none"/>
        </w:rPr>
        <w:t>4、售后服务方面的其他承诺（安装、定期巡检等）</w:t>
      </w:r>
    </w:p>
    <w:p w14:paraId="1E887F65">
      <w:pPr>
        <w:shd w:val="clear"/>
        <w:spacing w:line="360" w:lineRule="auto"/>
        <w:rPr>
          <w:rFonts w:ascii="宋体"/>
          <w:color w:val="auto"/>
          <w:sz w:val="24"/>
          <w:highlight w:val="none"/>
        </w:rPr>
      </w:pPr>
    </w:p>
    <w:p w14:paraId="17EAD324">
      <w:pPr>
        <w:shd w:val="clear"/>
        <w:spacing w:line="360" w:lineRule="auto"/>
        <w:rPr>
          <w:rFonts w:ascii="宋体"/>
          <w:color w:val="auto"/>
          <w:sz w:val="24"/>
          <w:highlight w:val="none"/>
        </w:rPr>
      </w:pPr>
    </w:p>
    <w:p w14:paraId="330083F6">
      <w:pPr>
        <w:shd w:val="clear"/>
        <w:spacing w:line="360" w:lineRule="auto"/>
        <w:rPr>
          <w:rFonts w:ascii="宋体"/>
          <w:color w:val="auto"/>
          <w:sz w:val="24"/>
          <w:highlight w:val="none"/>
        </w:rPr>
      </w:pPr>
      <w:r>
        <w:rPr>
          <w:rFonts w:hint="eastAsia" w:ascii="宋体"/>
          <w:color w:val="auto"/>
          <w:sz w:val="24"/>
          <w:highlight w:val="none"/>
        </w:rPr>
        <w:t>5、售后服务联系方式（联系人、联系电话、维修点等）</w:t>
      </w:r>
    </w:p>
    <w:p w14:paraId="57139850">
      <w:pPr>
        <w:shd w:val="clear"/>
        <w:spacing w:line="360" w:lineRule="auto"/>
        <w:rPr>
          <w:rFonts w:ascii="宋体"/>
          <w:color w:val="auto"/>
          <w:sz w:val="24"/>
          <w:highlight w:val="none"/>
        </w:rPr>
      </w:pPr>
    </w:p>
    <w:p w14:paraId="7012BF2F">
      <w:pPr>
        <w:shd w:val="clear"/>
        <w:spacing w:line="360" w:lineRule="auto"/>
        <w:rPr>
          <w:rFonts w:ascii="宋体"/>
          <w:color w:val="auto"/>
          <w:sz w:val="24"/>
          <w:highlight w:val="none"/>
        </w:rPr>
      </w:pPr>
    </w:p>
    <w:p w14:paraId="1D8E5134">
      <w:pPr>
        <w:shd w:val="clear"/>
        <w:spacing w:line="360" w:lineRule="auto"/>
        <w:rPr>
          <w:rFonts w:ascii="宋体"/>
          <w:color w:val="auto"/>
          <w:sz w:val="24"/>
          <w:highlight w:val="none"/>
        </w:rPr>
      </w:pPr>
      <w:r>
        <w:rPr>
          <w:rFonts w:hint="eastAsia" w:ascii="宋体"/>
          <w:color w:val="auto"/>
          <w:sz w:val="24"/>
          <w:highlight w:val="none"/>
        </w:rPr>
        <w:t>6、其他优惠条件</w:t>
      </w:r>
    </w:p>
    <w:p w14:paraId="5CEF7777">
      <w:pPr>
        <w:shd w:val="clear"/>
        <w:spacing w:line="360" w:lineRule="auto"/>
        <w:rPr>
          <w:rFonts w:ascii="宋体"/>
          <w:color w:val="auto"/>
          <w:sz w:val="24"/>
          <w:highlight w:val="none"/>
        </w:rPr>
      </w:pPr>
    </w:p>
    <w:p w14:paraId="1D3DED36">
      <w:pPr>
        <w:shd w:val="clear"/>
        <w:spacing w:line="360" w:lineRule="auto"/>
        <w:jc w:val="center"/>
        <w:rPr>
          <w:rFonts w:ascii="宋体"/>
          <w:color w:val="auto"/>
          <w:sz w:val="24"/>
          <w:highlight w:val="none"/>
          <w:u w:val="single"/>
        </w:rPr>
      </w:pPr>
      <w:r>
        <w:rPr>
          <w:rFonts w:hint="eastAsia" w:ascii="宋体"/>
          <w:color w:val="auto"/>
          <w:sz w:val="24"/>
          <w:highlight w:val="none"/>
        </w:rPr>
        <w:t>企业名称（盖电子签章）：</w:t>
      </w:r>
      <w:r>
        <w:rPr>
          <w:rFonts w:ascii="宋体"/>
          <w:color w:val="auto"/>
          <w:sz w:val="24"/>
          <w:highlight w:val="none"/>
          <w:u w:val="single"/>
        </w:rPr>
        <w:t xml:space="preserve">                           </w:t>
      </w:r>
    </w:p>
    <w:p w14:paraId="73D8B8C7">
      <w:pPr>
        <w:shd w:val="clear"/>
        <w:spacing w:line="360" w:lineRule="auto"/>
        <w:jc w:val="center"/>
        <w:rPr>
          <w:rFonts w:ascii="宋体"/>
          <w:color w:val="auto"/>
          <w:sz w:val="24"/>
          <w:highlight w:val="none"/>
        </w:rPr>
      </w:pPr>
      <w:r>
        <w:rPr>
          <w:rFonts w:hint="eastAsia" w:ascii="宋体"/>
          <w:color w:val="auto"/>
          <w:sz w:val="24"/>
          <w:highlight w:val="none"/>
          <w:lang w:val="en-US" w:eastAsia="zh-CN"/>
        </w:rPr>
        <w:t xml:space="preserve">             </w:t>
      </w:r>
      <w:r>
        <w:rPr>
          <w:rFonts w:hint="eastAsia" w:ascii="宋体"/>
          <w:color w:val="auto"/>
          <w:sz w:val="24"/>
          <w:highlight w:val="none"/>
        </w:rPr>
        <w:t>签字代表</w:t>
      </w:r>
      <w:r>
        <w:rPr>
          <w:rFonts w:ascii="宋体"/>
          <w:color w:val="auto"/>
          <w:sz w:val="24"/>
          <w:highlight w:val="none"/>
        </w:rPr>
        <w:t xml:space="preserve"> </w:t>
      </w:r>
      <w:r>
        <w:rPr>
          <w:rFonts w:hint="eastAsia" w:ascii="宋体"/>
          <w:color w:val="auto"/>
          <w:sz w:val="24"/>
          <w:highlight w:val="none"/>
        </w:rPr>
        <w:t>：</w:t>
      </w:r>
      <w:r>
        <w:rPr>
          <w:rFonts w:ascii="宋体"/>
          <w:color w:val="auto"/>
          <w:sz w:val="24"/>
          <w:highlight w:val="none"/>
          <w:u w:val="single"/>
        </w:rPr>
        <w:t xml:space="preserve">                            </w:t>
      </w:r>
      <w:r>
        <w:rPr>
          <w:rFonts w:ascii="宋体"/>
          <w:color w:val="auto"/>
          <w:sz w:val="24"/>
          <w:highlight w:val="none"/>
        </w:rPr>
        <w:t xml:space="preserve">           </w:t>
      </w:r>
    </w:p>
    <w:p w14:paraId="5ED4154F">
      <w:pPr>
        <w:shd w:val="clear"/>
        <w:spacing w:line="360" w:lineRule="auto"/>
        <w:jc w:val="right"/>
        <w:rPr>
          <w:rFonts w:hint="eastAsia" w:ascii="宋体" w:hAnsi="宋体" w:cs="宋体"/>
          <w:color w:val="auto"/>
          <w:sz w:val="24"/>
          <w:highlight w:val="none"/>
        </w:rPr>
      </w:pPr>
      <w:r>
        <w:rPr>
          <w:rFonts w:hint="eastAsia" w:ascii="宋体"/>
          <w:color w:val="auto"/>
          <w:sz w:val="24"/>
          <w:highlight w:val="none"/>
        </w:rPr>
        <w:t>年</w:t>
      </w:r>
      <w:r>
        <w:rPr>
          <w:rFonts w:ascii="宋体"/>
          <w:color w:val="auto"/>
          <w:sz w:val="24"/>
          <w:highlight w:val="none"/>
        </w:rPr>
        <w:t xml:space="preserve">      </w:t>
      </w:r>
      <w:r>
        <w:rPr>
          <w:rFonts w:hint="eastAsia" w:ascii="宋体"/>
          <w:color w:val="auto"/>
          <w:sz w:val="24"/>
          <w:highlight w:val="none"/>
        </w:rPr>
        <w:t>月</w:t>
      </w:r>
      <w:r>
        <w:rPr>
          <w:rFonts w:ascii="宋体"/>
          <w:color w:val="auto"/>
          <w:sz w:val="24"/>
          <w:highlight w:val="none"/>
        </w:rPr>
        <w:t xml:space="preserve">      </w:t>
      </w:r>
      <w:r>
        <w:rPr>
          <w:rFonts w:hint="eastAsia" w:ascii="宋体"/>
          <w:color w:val="auto"/>
          <w:sz w:val="24"/>
          <w:highlight w:val="none"/>
        </w:rPr>
        <w:t>日</w:t>
      </w:r>
    </w:p>
    <w:p w14:paraId="20E8CE4A">
      <w:pPr>
        <w:shd w:val="clear"/>
        <w:spacing w:line="360" w:lineRule="auto"/>
        <w:jc w:val="center"/>
        <w:outlineLvl w:val="2"/>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br w:type="page"/>
      </w:r>
      <w:r>
        <w:rPr>
          <w:rFonts w:hint="eastAsia" w:ascii="宋体" w:hAnsi="宋体" w:eastAsia="宋体" w:cs="宋体"/>
          <w:b/>
          <w:bCs/>
          <w:color w:val="auto"/>
          <w:sz w:val="36"/>
          <w:szCs w:val="36"/>
          <w:highlight w:val="none"/>
        </w:rPr>
        <w:t>开标一览表</w:t>
      </w:r>
    </w:p>
    <w:p w14:paraId="301E1797">
      <w:pPr>
        <w:shd w:val="clear"/>
        <w:rPr>
          <w:rFonts w:hint="eastAsia" w:ascii="宋体" w:hAnsi="宋体" w:cs="宋体"/>
          <w:color w:val="auto"/>
          <w:szCs w:val="21"/>
          <w:highlight w:val="none"/>
          <w:u w:val="single"/>
        </w:rPr>
      </w:pPr>
      <w:r>
        <w:rPr>
          <w:rFonts w:hint="eastAsia" w:ascii="仿宋_GB2312" w:eastAsia="仿宋_GB2312"/>
          <w:color w:val="auto"/>
          <w:sz w:val="24"/>
          <w:highlight w:val="none"/>
        </w:rPr>
        <w:t xml:space="preserve">                                          </w:t>
      </w:r>
    </w:p>
    <w:p w14:paraId="406CB6B5">
      <w:pPr>
        <w:shd w:val="clear"/>
        <w:spacing w:line="480" w:lineRule="exact"/>
        <w:ind w:firstLine="210" w:firstLineChars="100"/>
        <w:rPr>
          <w:rFonts w:ascii="宋体" w:hAnsi="宋体"/>
          <w:color w:val="auto"/>
          <w:szCs w:val="21"/>
          <w:highlight w:val="none"/>
        </w:rPr>
      </w:pPr>
      <w:r>
        <w:rPr>
          <w:rFonts w:hint="eastAsia" w:ascii="宋体" w:hAnsi="宋体"/>
          <w:color w:val="auto"/>
          <w:szCs w:val="21"/>
          <w:highlight w:val="none"/>
        </w:rPr>
        <w:t>投标人名称（电子签章）：</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22C39A58">
      <w:pPr>
        <w:shd w:val="clear"/>
        <w:spacing w:line="480" w:lineRule="exact"/>
        <w:ind w:firstLine="210" w:firstLineChars="100"/>
        <w:rPr>
          <w:rFonts w:ascii="宋体" w:hAnsi="宋体"/>
          <w:color w:val="auto"/>
          <w:szCs w:val="21"/>
          <w:highlight w:val="none"/>
          <w:u w:val="single"/>
        </w:rPr>
      </w:pPr>
      <w:r>
        <w:rPr>
          <w:rFonts w:hint="eastAsia" w:ascii="宋体" w:hAnsi="宋体"/>
          <w:color w:val="auto"/>
          <w:szCs w:val="21"/>
          <w:highlight w:val="none"/>
        </w:rPr>
        <w:t>招标编号：</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tbl>
      <w:tblPr>
        <w:tblStyle w:val="38"/>
        <w:tblpPr w:leftFromText="180" w:rightFromText="180" w:vertAnchor="text" w:horzAnchor="page" w:tblpX="1790" w:tblpY="39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
        <w:gridCol w:w="1733"/>
        <w:gridCol w:w="5451"/>
        <w:gridCol w:w="1481"/>
      </w:tblGrid>
      <w:tr w14:paraId="2B378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99" w:type="dxa"/>
            <w:noWrap w:val="0"/>
            <w:vAlign w:val="center"/>
          </w:tcPr>
          <w:p w14:paraId="3621FFC5">
            <w:pPr>
              <w:shd w:val="clear"/>
              <w:spacing w:line="480" w:lineRule="exact"/>
              <w:jc w:val="center"/>
              <w:rPr>
                <w:rFonts w:ascii="宋体" w:hAnsi="宋体"/>
                <w:b/>
                <w:bCs/>
                <w:color w:val="auto"/>
                <w:szCs w:val="21"/>
                <w:highlight w:val="none"/>
              </w:rPr>
            </w:pPr>
            <w:r>
              <w:rPr>
                <w:rFonts w:hint="eastAsia" w:ascii="宋体" w:hAnsi="宋体"/>
                <w:b/>
                <w:bCs/>
                <w:color w:val="auto"/>
                <w:szCs w:val="21"/>
                <w:highlight w:val="none"/>
              </w:rPr>
              <w:t>序号</w:t>
            </w:r>
          </w:p>
        </w:tc>
        <w:tc>
          <w:tcPr>
            <w:tcW w:w="1733" w:type="dxa"/>
            <w:noWrap w:val="0"/>
            <w:vAlign w:val="center"/>
          </w:tcPr>
          <w:p w14:paraId="7F89982B">
            <w:pPr>
              <w:shd w:val="clear"/>
              <w:spacing w:line="480" w:lineRule="exact"/>
              <w:jc w:val="center"/>
              <w:rPr>
                <w:rFonts w:hint="eastAsia" w:ascii="宋体" w:hAnsi="宋体"/>
                <w:b/>
                <w:bCs/>
                <w:color w:val="auto"/>
                <w:szCs w:val="21"/>
                <w:highlight w:val="none"/>
              </w:rPr>
            </w:pPr>
            <w:r>
              <w:rPr>
                <w:rFonts w:hint="eastAsia" w:ascii="宋体" w:hAnsi="宋体"/>
                <w:b/>
                <w:bCs/>
                <w:color w:val="auto"/>
                <w:szCs w:val="21"/>
                <w:highlight w:val="none"/>
              </w:rPr>
              <w:t>名称</w:t>
            </w:r>
          </w:p>
        </w:tc>
        <w:tc>
          <w:tcPr>
            <w:tcW w:w="5451" w:type="dxa"/>
            <w:noWrap w:val="0"/>
            <w:vAlign w:val="center"/>
          </w:tcPr>
          <w:p w14:paraId="25034F7F">
            <w:pPr>
              <w:shd w:val="clear"/>
              <w:spacing w:line="480" w:lineRule="exact"/>
              <w:jc w:val="center"/>
              <w:rPr>
                <w:rFonts w:ascii="宋体" w:hAnsi="宋体"/>
                <w:b/>
                <w:bCs/>
                <w:color w:val="auto"/>
                <w:szCs w:val="21"/>
                <w:highlight w:val="none"/>
              </w:rPr>
            </w:pPr>
            <w:r>
              <w:rPr>
                <w:rFonts w:hint="eastAsia" w:ascii="宋体" w:hAnsi="宋体"/>
                <w:b/>
                <w:bCs/>
                <w:color w:val="auto"/>
                <w:szCs w:val="21"/>
                <w:highlight w:val="none"/>
              </w:rPr>
              <w:t>单价（元/</w:t>
            </w:r>
            <w:r>
              <w:rPr>
                <w:rFonts w:hint="eastAsia" w:ascii="宋体" w:hAnsi="宋体"/>
                <w:b/>
                <w:bCs/>
                <w:color w:val="auto"/>
                <w:szCs w:val="21"/>
                <w:highlight w:val="none"/>
                <w:lang w:eastAsia="zh-CN"/>
              </w:rPr>
              <w:t>吨</w:t>
            </w:r>
            <w:r>
              <w:rPr>
                <w:rFonts w:hint="eastAsia" w:ascii="宋体" w:hAnsi="宋体"/>
                <w:b/>
                <w:bCs/>
                <w:color w:val="auto"/>
                <w:szCs w:val="21"/>
                <w:highlight w:val="none"/>
              </w:rPr>
              <w:t>）</w:t>
            </w:r>
          </w:p>
        </w:tc>
        <w:tc>
          <w:tcPr>
            <w:tcW w:w="1481" w:type="dxa"/>
            <w:noWrap w:val="0"/>
            <w:vAlign w:val="center"/>
          </w:tcPr>
          <w:p w14:paraId="49A0FBF5">
            <w:pPr>
              <w:shd w:val="clear"/>
              <w:spacing w:line="480" w:lineRule="exact"/>
              <w:jc w:val="center"/>
              <w:rPr>
                <w:rFonts w:ascii="宋体" w:hAnsi="宋体"/>
                <w:b/>
                <w:bCs/>
                <w:color w:val="auto"/>
                <w:szCs w:val="21"/>
                <w:highlight w:val="none"/>
              </w:rPr>
            </w:pPr>
            <w:r>
              <w:rPr>
                <w:rFonts w:hint="eastAsia" w:ascii="宋体" w:hAnsi="宋体"/>
                <w:b/>
                <w:bCs/>
                <w:color w:val="auto"/>
                <w:szCs w:val="21"/>
                <w:highlight w:val="none"/>
              </w:rPr>
              <w:t>备注</w:t>
            </w:r>
          </w:p>
        </w:tc>
      </w:tr>
      <w:tr w14:paraId="08C1F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99" w:type="dxa"/>
            <w:noWrap w:val="0"/>
            <w:vAlign w:val="center"/>
          </w:tcPr>
          <w:p w14:paraId="1334CE0E">
            <w:pPr>
              <w:shd w:val="clear"/>
              <w:spacing w:line="480" w:lineRule="exact"/>
              <w:jc w:val="center"/>
              <w:rPr>
                <w:rFonts w:ascii="宋体" w:hAnsi="宋体"/>
                <w:color w:val="auto"/>
                <w:szCs w:val="21"/>
                <w:highlight w:val="none"/>
              </w:rPr>
            </w:pPr>
            <w:r>
              <w:rPr>
                <w:rFonts w:hint="eastAsia" w:ascii="宋体" w:hAnsi="宋体"/>
                <w:color w:val="auto"/>
                <w:szCs w:val="21"/>
                <w:highlight w:val="none"/>
              </w:rPr>
              <w:t>1</w:t>
            </w:r>
          </w:p>
        </w:tc>
        <w:tc>
          <w:tcPr>
            <w:tcW w:w="1733" w:type="dxa"/>
            <w:noWrap w:val="0"/>
            <w:vAlign w:val="center"/>
          </w:tcPr>
          <w:p w14:paraId="631AA607">
            <w:pPr>
              <w:shd w:val="clear"/>
              <w:jc w:val="center"/>
              <w:rPr>
                <w:rFonts w:hint="eastAsia" w:ascii="宋体" w:hAnsi="宋体" w:cs="宋体"/>
                <w:color w:val="auto"/>
                <w:szCs w:val="21"/>
                <w:highlight w:val="none"/>
              </w:rPr>
            </w:pPr>
            <w:r>
              <w:rPr>
                <w:rFonts w:hint="eastAsia" w:ascii="宋体" w:hAnsi="宋体" w:cs="宋体"/>
                <w:color w:val="auto"/>
                <w:szCs w:val="21"/>
                <w:highlight w:val="none"/>
              </w:rPr>
              <w:t>污泥</w:t>
            </w:r>
          </w:p>
        </w:tc>
        <w:tc>
          <w:tcPr>
            <w:tcW w:w="5451" w:type="dxa"/>
            <w:noWrap w:val="0"/>
            <w:vAlign w:val="center"/>
          </w:tcPr>
          <w:p w14:paraId="4621E5B3">
            <w:pPr>
              <w:shd w:val="clear"/>
              <w:spacing w:line="480" w:lineRule="exact"/>
              <w:jc w:val="center"/>
              <w:rPr>
                <w:rFonts w:ascii="宋体" w:hAnsi="宋体"/>
                <w:color w:val="auto"/>
                <w:szCs w:val="21"/>
                <w:highlight w:val="none"/>
              </w:rPr>
            </w:pPr>
          </w:p>
        </w:tc>
        <w:tc>
          <w:tcPr>
            <w:tcW w:w="1481" w:type="dxa"/>
            <w:noWrap w:val="0"/>
            <w:vAlign w:val="center"/>
          </w:tcPr>
          <w:p w14:paraId="1F14804C">
            <w:pPr>
              <w:shd w:val="clear"/>
              <w:spacing w:line="480" w:lineRule="exact"/>
              <w:jc w:val="center"/>
              <w:rPr>
                <w:rFonts w:ascii="宋体" w:hAnsi="宋体"/>
                <w:color w:val="auto"/>
                <w:szCs w:val="21"/>
                <w:highlight w:val="none"/>
              </w:rPr>
            </w:pPr>
            <w:r>
              <w:rPr>
                <w:rFonts w:hint="eastAsia" w:ascii="宋体" w:hAnsi="宋体"/>
                <w:color w:val="auto"/>
                <w:szCs w:val="21"/>
                <w:highlight w:val="none"/>
              </w:rPr>
              <w:t>单价最高限价337元/吨</w:t>
            </w:r>
          </w:p>
        </w:tc>
      </w:tr>
      <w:tr w14:paraId="499B0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0" w:hRule="atLeast"/>
        </w:trPr>
        <w:tc>
          <w:tcPr>
            <w:tcW w:w="799" w:type="dxa"/>
            <w:noWrap w:val="0"/>
            <w:vAlign w:val="top"/>
          </w:tcPr>
          <w:p w14:paraId="2059B5C0">
            <w:pPr>
              <w:shd w:val="clear"/>
              <w:spacing w:line="480" w:lineRule="exact"/>
              <w:jc w:val="center"/>
              <w:rPr>
                <w:rFonts w:ascii="宋体" w:hAnsi="宋体"/>
                <w:color w:val="auto"/>
                <w:szCs w:val="21"/>
                <w:highlight w:val="none"/>
              </w:rPr>
            </w:pPr>
          </w:p>
          <w:p w14:paraId="00346066">
            <w:pPr>
              <w:shd w:val="clear"/>
              <w:spacing w:line="480" w:lineRule="exact"/>
              <w:jc w:val="center"/>
              <w:rPr>
                <w:rFonts w:hint="eastAsia" w:ascii="宋体" w:hAnsi="宋体"/>
                <w:color w:val="auto"/>
                <w:szCs w:val="21"/>
                <w:highlight w:val="none"/>
              </w:rPr>
            </w:pPr>
            <w:r>
              <w:rPr>
                <w:rFonts w:hint="eastAsia" w:ascii="宋体" w:hAnsi="宋体"/>
                <w:color w:val="auto"/>
                <w:szCs w:val="21"/>
                <w:highlight w:val="none"/>
              </w:rPr>
              <w:t>2</w:t>
            </w:r>
          </w:p>
        </w:tc>
        <w:tc>
          <w:tcPr>
            <w:tcW w:w="1733" w:type="dxa"/>
            <w:noWrap w:val="0"/>
            <w:vAlign w:val="top"/>
          </w:tcPr>
          <w:p w14:paraId="6C2242C2">
            <w:pPr>
              <w:shd w:val="clear"/>
              <w:spacing w:line="480" w:lineRule="exact"/>
              <w:jc w:val="center"/>
              <w:rPr>
                <w:rFonts w:ascii="宋体" w:hAnsi="宋体"/>
                <w:color w:val="auto"/>
                <w:szCs w:val="21"/>
                <w:highlight w:val="none"/>
              </w:rPr>
            </w:pPr>
          </w:p>
          <w:p w14:paraId="41FF0BAD">
            <w:pPr>
              <w:shd w:val="clear"/>
              <w:spacing w:line="480" w:lineRule="exact"/>
              <w:jc w:val="center"/>
              <w:rPr>
                <w:rFonts w:ascii="宋体" w:hAnsi="宋体"/>
                <w:color w:val="auto"/>
                <w:szCs w:val="21"/>
                <w:highlight w:val="none"/>
              </w:rPr>
            </w:pPr>
            <w:r>
              <w:rPr>
                <w:rFonts w:hint="eastAsia" w:ascii="宋体" w:hAnsi="宋体"/>
                <w:color w:val="auto"/>
                <w:szCs w:val="21"/>
                <w:highlight w:val="none"/>
              </w:rPr>
              <w:t>合计</w:t>
            </w:r>
          </w:p>
        </w:tc>
        <w:tc>
          <w:tcPr>
            <w:tcW w:w="6932" w:type="dxa"/>
            <w:gridSpan w:val="2"/>
            <w:noWrap w:val="0"/>
            <w:vAlign w:val="top"/>
          </w:tcPr>
          <w:p w14:paraId="706457A5">
            <w:pPr>
              <w:shd w:val="clear"/>
              <w:spacing w:line="480" w:lineRule="exact"/>
              <w:rPr>
                <w:rFonts w:ascii="宋体" w:hAnsi="宋体"/>
                <w:color w:val="auto"/>
                <w:szCs w:val="21"/>
                <w:highlight w:val="none"/>
              </w:rPr>
            </w:pPr>
          </w:p>
          <w:p w14:paraId="1FCEB830">
            <w:pPr>
              <w:shd w:val="clear"/>
              <w:spacing w:line="480" w:lineRule="exact"/>
              <w:rPr>
                <w:rFonts w:ascii="宋体" w:hAnsi="宋体"/>
                <w:color w:val="auto"/>
                <w:szCs w:val="21"/>
                <w:highlight w:val="none"/>
                <w:u w:val="single"/>
              </w:rPr>
            </w:pPr>
            <w:r>
              <w:rPr>
                <w:rFonts w:hint="eastAsia" w:ascii="宋体" w:hAnsi="宋体"/>
                <w:color w:val="auto"/>
                <w:szCs w:val="21"/>
                <w:highlight w:val="none"/>
              </w:rPr>
              <w:t>大写：</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p>
          <w:p w14:paraId="6D63E794">
            <w:pPr>
              <w:shd w:val="clear"/>
              <w:spacing w:line="480" w:lineRule="exact"/>
              <w:rPr>
                <w:rFonts w:ascii="宋体" w:hAnsi="宋体"/>
                <w:color w:val="auto"/>
                <w:szCs w:val="21"/>
                <w:highlight w:val="none"/>
              </w:rPr>
            </w:pPr>
            <w:r>
              <w:rPr>
                <w:rFonts w:hint="eastAsia" w:ascii="宋体" w:hAnsi="宋体"/>
                <w:color w:val="auto"/>
                <w:szCs w:val="21"/>
                <w:highlight w:val="none"/>
              </w:rPr>
              <w:t>（小写：</w:t>
            </w:r>
            <w:r>
              <w:rPr>
                <w:rFonts w:hint="eastAsia" w:ascii="宋体" w:hAnsi="宋体"/>
                <w:color w:val="auto"/>
                <w:szCs w:val="21"/>
                <w:highlight w:val="none"/>
                <w:u w:val="single"/>
              </w:rPr>
              <w:t xml:space="preserve">              。</w:t>
            </w:r>
            <w:r>
              <w:rPr>
                <w:rFonts w:hint="eastAsia" w:ascii="宋体" w:hAnsi="宋体"/>
                <w:color w:val="auto"/>
                <w:szCs w:val="21"/>
                <w:highlight w:val="none"/>
              </w:rPr>
              <w:t>）</w:t>
            </w:r>
          </w:p>
        </w:tc>
      </w:tr>
    </w:tbl>
    <w:p w14:paraId="678EC43C">
      <w:pPr>
        <w:shd w:val="clear"/>
        <w:spacing w:line="480" w:lineRule="exact"/>
        <w:ind w:firstLine="210" w:firstLineChars="100"/>
        <w:rPr>
          <w:rFonts w:hint="eastAsia" w:ascii="宋体" w:hAnsi="宋体"/>
          <w:color w:val="auto"/>
          <w:szCs w:val="21"/>
          <w:highlight w:val="none"/>
        </w:rPr>
      </w:pPr>
    </w:p>
    <w:p w14:paraId="5CD50299">
      <w:pPr>
        <w:shd w:val="clear"/>
        <w:spacing w:line="480" w:lineRule="exact"/>
        <w:ind w:firstLine="210" w:firstLineChars="100"/>
        <w:rPr>
          <w:rFonts w:ascii="宋体" w:hAnsi="宋体"/>
          <w:color w:val="auto"/>
          <w:szCs w:val="21"/>
          <w:highlight w:val="none"/>
        </w:rPr>
      </w:pPr>
      <w:r>
        <w:rPr>
          <w:rFonts w:hint="eastAsia" w:ascii="宋体" w:hAnsi="宋体"/>
          <w:color w:val="auto"/>
          <w:szCs w:val="21"/>
          <w:highlight w:val="none"/>
        </w:rPr>
        <w:t xml:space="preserve">全权代表签字：                   </w:t>
      </w:r>
    </w:p>
    <w:p w14:paraId="05B40CEE">
      <w:pPr>
        <w:shd w:val="clear"/>
        <w:spacing w:line="480" w:lineRule="exact"/>
        <w:ind w:firstLine="210" w:firstLineChars="100"/>
        <w:rPr>
          <w:rFonts w:hint="eastAsia" w:ascii="宋体" w:hAnsi="宋体"/>
          <w:color w:val="auto"/>
          <w:szCs w:val="21"/>
          <w:highlight w:val="none"/>
        </w:rPr>
      </w:pPr>
      <w:r>
        <w:rPr>
          <w:rFonts w:hint="eastAsia" w:ascii="宋体" w:hAnsi="宋体"/>
          <w:color w:val="auto"/>
          <w:szCs w:val="21"/>
          <w:highlight w:val="none"/>
        </w:rPr>
        <w:t xml:space="preserve">日 期：           </w:t>
      </w:r>
    </w:p>
    <w:p w14:paraId="04B91C67">
      <w:pPr>
        <w:shd w:val="clear"/>
        <w:rPr>
          <w:rFonts w:hint="eastAsia" w:ascii="宋体" w:hAnsi="宋体"/>
          <w:color w:val="auto"/>
          <w:szCs w:val="21"/>
          <w:highlight w:val="none"/>
        </w:rPr>
      </w:pPr>
      <w:r>
        <w:rPr>
          <w:rFonts w:hint="eastAsia" w:ascii="宋体" w:hAnsi="宋体"/>
          <w:color w:val="auto"/>
          <w:szCs w:val="21"/>
          <w:highlight w:val="none"/>
        </w:rPr>
        <w:t>备注：</w:t>
      </w:r>
    </w:p>
    <w:p w14:paraId="3396E9AC">
      <w:pPr>
        <w:shd w:val="clear"/>
        <w:rPr>
          <w:rFonts w:hint="eastAsia" w:ascii="宋体" w:hAnsi="宋体"/>
          <w:color w:val="auto"/>
          <w:szCs w:val="21"/>
          <w:highlight w:val="none"/>
        </w:rPr>
      </w:pPr>
      <w:r>
        <w:rPr>
          <w:rFonts w:hint="eastAsia" w:ascii="宋体" w:hAnsi="宋体"/>
          <w:color w:val="auto"/>
          <w:szCs w:val="21"/>
          <w:highlight w:val="none"/>
        </w:rPr>
        <w:t>1.投标人应根据国家的有关规定和实际情况并结合企业的实际情况进行投标报价。投标报价为投标人所能承受的最低、最终一次性报价。</w:t>
      </w:r>
    </w:p>
    <w:p w14:paraId="4FD154CF">
      <w:pPr>
        <w:shd w:val="clear"/>
        <w:rPr>
          <w:rFonts w:hint="eastAsia" w:ascii="宋体" w:hAnsi="宋体" w:eastAsia="宋体"/>
          <w:color w:val="auto"/>
          <w:szCs w:val="21"/>
          <w:highlight w:val="none"/>
          <w:lang w:eastAsia="zh-CN"/>
        </w:rPr>
      </w:pPr>
      <w:r>
        <w:rPr>
          <w:rFonts w:hint="eastAsia" w:ascii="宋体" w:hAnsi="宋体"/>
          <w:color w:val="auto"/>
          <w:szCs w:val="21"/>
          <w:highlight w:val="none"/>
        </w:rPr>
        <w:t>2.此表在不改变表式内容的情况下，可自行制作</w:t>
      </w:r>
      <w:r>
        <w:rPr>
          <w:rFonts w:hint="eastAsia" w:ascii="宋体" w:hAnsi="宋体"/>
          <w:color w:val="auto"/>
          <w:szCs w:val="21"/>
          <w:highlight w:val="none"/>
          <w:lang w:eastAsia="zh-CN"/>
        </w:rPr>
        <w:t>。</w:t>
      </w:r>
    </w:p>
    <w:p w14:paraId="0FB3F1A3">
      <w:pPr>
        <w:shd w:val="clear"/>
        <w:spacing w:line="360" w:lineRule="auto"/>
        <w:jc w:val="center"/>
        <w:outlineLvl w:val="2"/>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br w:type="page"/>
      </w:r>
      <w:r>
        <w:rPr>
          <w:rFonts w:hint="eastAsia" w:ascii="宋体" w:hAnsi="宋体" w:eastAsia="宋体" w:cs="宋体"/>
          <w:b/>
          <w:bCs/>
          <w:color w:val="auto"/>
          <w:sz w:val="36"/>
          <w:szCs w:val="36"/>
          <w:highlight w:val="none"/>
        </w:rPr>
        <w:t>质 疑 函 范 本（供参考）</w:t>
      </w:r>
    </w:p>
    <w:p w14:paraId="5DF57719">
      <w:pPr>
        <w:shd w:val="clear"/>
        <w:adjustRightInd w:val="0"/>
        <w:snapToGrid w:val="0"/>
        <w:spacing w:before="312" w:beforeLines="100" w:line="360" w:lineRule="auto"/>
        <w:rPr>
          <w:rFonts w:ascii="宋体" w:hAnsi="宋体" w:cs="宋体"/>
          <w:bCs/>
          <w:color w:val="auto"/>
          <w:highlight w:val="none"/>
        </w:rPr>
      </w:pPr>
      <w:r>
        <w:rPr>
          <w:rFonts w:hint="eastAsia" w:ascii="宋体" w:hAnsi="宋体" w:cs="宋体"/>
          <w:bCs/>
          <w:color w:val="auto"/>
          <w:highlight w:val="none"/>
        </w:rPr>
        <w:t>一、质疑供应商基本信息</w:t>
      </w:r>
    </w:p>
    <w:p w14:paraId="587A6FBE">
      <w:pPr>
        <w:shd w:val="clear"/>
        <w:adjustRightInd w:val="0"/>
        <w:snapToGrid w:val="0"/>
        <w:spacing w:line="360" w:lineRule="auto"/>
        <w:rPr>
          <w:rFonts w:ascii="宋体" w:hAnsi="宋体" w:cs="宋体"/>
          <w:color w:val="auto"/>
          <w:highlight w:val="none"/>
          <w:u w:val="dotted"/>
        </w:rPr>
      </w:pPr>
      <w:r>
        <w:rPr>
          <w:rFonts w:hint="eastAsia" w:ascii="宋体" w:hAnsi="宋体" w:cs="宋体"/>
          <w:color w:val="auto"/>
          <w:highlight w:val="none"/>
        </w:rPr>
        <w:t>质疑供应商：</w:t>
      </w:r>
    </w:p>
    <w:p w14:paraId="3ED5A4A1">
      <w:pPr>
        <w:shd w:val="clear"/>
        <w:adjustRightInd w:val="0"/>
        <w:snapToGrid w:val="0"/>
        <w:spacing w:line="360" w:lineRule="auto"/>
        <w:rPr>
          <w:rFonts w:ascii="宋体" w:hAnsi="宋体" w:cs="宋体"/>
          <w:color w:val="auto"/>
          <w:highlight w:val="none"/>
        </w:rPr>
      </w:pPr>
      <w:r>
        <w:rPr>
          <w:rFonts w:hint="eastAsia" w:ascii="宋体" w:hAnsi="宋体" w:cs="宋体"/>
          <w:color w:val="auto"/>
          <w:highlight w:val="none"/>
        </w:rPr>
        <w:t>地址：邮编：</w:t>
      </w:r>
    </w:p>
    <w:p w14:paraId="472AD5F6">
      <w:pPr>
        <w:shd w:val="clear"/>
        <w:adjustRightInd w:val="0"/>
        <w:snapToGrid w:val="0"/>
        <w:spacing w:line="360" w:lineRule="auto"/>
        <w:rPr>
          <w:rFonts w:ascii="宋体" w:hAnsi="宋体" w:cs="宋体"/>
          <w:color w:val="auto"/>
          <w:highlight w:val="none"/>
        </w:rPr>
      </w:pPr>
      <w:r>
        <w:rPr>
          <w:rFonts w:hint="eastAsia" w:ascii="宋体" w:hAnsi="宋体" w:cs="宋体"/>
          <w:color w:val="auto"/>
          <w:highlight w:val="none"/>
        </w:rPr>
        <w:t>联系人：联系电话：</w:t>
      </w:r>
    </w:p>
    <w:p w14:paraId="1B47655E">
      <w:pPr>
        <w:shd w:val="clear"/>
        <w:adjustRightInd w:val="0"/>
        <w:snapToGrid w:val="0"/>
        <w:spacing w:line="360" w:lineRule="auto"/>
        <w:rPr>
          <w:rFonts w:ascii="宋体" w:hAnsi="宋体" w:cs="宋体"/>
          <w:color w:val="auto"/>
          <w:highlight w:val="none"/>
          <w:u w:val="dotted"/>
        </w:rPr>
      </w:pPr>
      <w:r>
        <w:rPr>
          <w:rFonts w:hint="eastAsia" w:ascii="宋体" w:hAnsi="宋体" w:cs="宋体"/>
          <w:color w:val="auto"/>
          <w:highlight w:val="none"/>
        </w:rPr>
        <w:t>授权代表：</w:t>
      </w:r>
    </w:p>
    <w:p w14:paraId="0901B665">
      <w:pPr>
        <w:shd w:val="clear"/>
        <w:adjustRightInd w:val="0"/>
        <w:snapToGrid w:val="0"/>
        <w:spacing w:line="360" w:lineRule="auto"/>
        <w:rPr>
          <w:rFonts w:ascii="宋体" w:hAnsi="宋体" w:cs="宋体"/>
          <w:color w:val="auto"/>
          <w:highlight w:val="none"/>
        </w:rPr>
      </w:pPr>
      <w:r>
        <w:rPr>
          <w:rFonts w:hint="eastAsia" w:ascii="宋体" w:hAnsi="宋体" w:cs="宋体"/>
          <w:color w:val="auto"/>
          <w:highlight w:val="none"/>
        </w:rPr>
        <w:t>联系电话：</w:t>
      </w:r>
    </w:p>
    <w:p w14:paraId="5576738D">
      <w:pPr>
        <w:shd w:val="clear"/>
        <w:adjustRightInd w:val="0"/>
        <w:snapToGrid w:val="0"/>
        <w:spacing w:line="360" w:lineRule="auto"/>
        <w:rPr>
          <w:rFonts w:ascii="宋体" w:hAnsi="宋体" w:cs="宋体"/>
          <w:color w:val="auto"/>
          <w:highlight w:val="none"/>
        </w:rPr>
      </w:pPr>
      <w:r>
        <w:rPr>
          <w:rFonts w:hint="eastAsia" w:ascii="宋体" w:hAnsi="宋体" w:cs="宋体"/>
          <w:color w:val="auto"/>
          <w:highlight w:val="none"/>
        </w:rPr>
        <w:t>地址： 邮编：</w:t>
      </w:r>
    </w:p>
    <w:p w14:paraId="0F73C9C2">
      <w:pPr>
        <w:shd w:val="clear"/>
        <w:adjustRightInd w:val="0"/>
        <w:snapToGrid w:val="0"/>
        <w:spacing w:line="360" w:lineRule="auto"/>
        <w:rPr>
          <w:rFonts w:ascii="宋体" w:hAnsi="宋体" w:cs="宋体"/>
          <w:bCs/>
          <w:color w:val="auto"/>
          <w:highlight w:val="none"/>
        </w:rPr>
      </w:pPr>
      <w:r>
        <w:rPr>
          <w:rFonts w:hint="eastAsia" w:ascii="宋体" w:hAnsi="宋体" w:cs="宋体"/>
          <w:bCs/>
          <w:color w:val="auto"/>
          <w:highlight w:val="none"/>
        </w:rPr>
        <w:t>二、质疑项目基本情况</w:t>
      </w:r>
    </w:p>
    <w:p w14:paraId="4FAC36E6">
      <w:pPr>
        <w:shd w:val="clear"/>
        <w:adjustRightInd w:val="0"/>
        <w:snapToGrid w:val="0"/>
        <w:spacing w:line="360" w:lineRule="auto"/>
        <w:rPr>
          <w:rFonts w:ascii="宋体" w:hAnsi="宋体" w:cs="宋体"/>
          <w:color w:val="auto"/>
          <w:highlight w:val="none"/>
        </w:rPr>
      </w:pPr>
      <w:r>
        <w:rPr>
          <w:rFonts w:hint="eastAsia" w:ascii="宋体" w:hAnsi="宋体" w:cs="宋体"/>
          <w:color w:val="auto"/>
          <w:highlight w:val="none"/>
        </w:rPr>
        <w:t>质疑项目的名称：</w:t>
      </w:r>
    </w:p>
    <w:p w14:paraId="2E6A39C6">
      <w:pPr>
        <w:shd w:val="clear"/>
        <w:adjustRightInd w:val="0"/>
        <w:snapToGrid w:val="0"/>
        <w:spacing w:line="360" w:lineRule="auto"/>
        <w:rPr>
          <w:rFonts w:ascii="宋体" w:hAnsi="宋体" w:cs="宋体"/>
          <w:color w:val="auto"/>
          <w:highlight w:val="none"/>
        </w:rPr>
      </w:pPr>
      <w:r>
        <w:rPr>
          <w:rFonts w:hint="eastAsia" w:ascii="宋体" w:hAnsi="宋体" w:cs="宋体"/>
          <w:color w:val="auto"/>
          <w:highlight w:val="none"/>
        </w:rPr>
        <w:t>质疑项目的编号：包号（如有请填写）：</w:t>
      </w:r>
    </w:p>
    <w:p w14:paraId="4A7932BF">
      <w:pPr>
        <w:shd w:val="clear"/>
        <w:adjustRightInd w:val="0"/>
        <w:snapToGrid w:val="0"/>
        <w:spacing w:line="360" w:lineRule="auto"/>
        <w:rPr>
          <w:rFonts w:ascii="宋体" w:hAnsi="宋体" w:cs="宋体"/>
          <w:color w:val="auto"/>
          <w:highlight w:val="none"/>
          <w:u w:val="dotted"/>
        </w:rPr>
      </w:pPr>
      <w:r>
        <w:rPr>
          <w:rFonts w:hint="eastAsia" w:ascii="宋体" w:hAnsi="宋体" w:cs="宋体"/>
          <w:color w:val="auto"/>
          <w:highlight w:val="none"/>
        </w:rPr>
        <w:t>采购人名称：</w:t>
      </w:r>
    </w:p>
    <w:p w14:paraId="68BDE7BC">
      <w:pPr>
        <w:shd w:val="clear"/>
        <w:adjustRightInd w:val="0"/>
        <w:snapToGrid w:val="0"/>
        <w:spacing w:line="360" w:lineRule="auto"/>
        <w:rPr>
          <w:rFonts w:ascii="宋体" w:hAnsi="宋体" w:cs="宋体"/>
          <w:color w:val="auto"/>
          <w:highlight w:val="none"/>
        </w:rPr>
      </w:pPr>
      <w:r>
        <w:rPr>
          <w:rFonts w:hint="eastAsia" w:ascii="宋体" w:hAnsi="宋体" w:cs="宋体"/>
          <w:color w:val="auto"/>
          <w:highlight w:val="none"/>
        </w:rPr>
        <w:t>采购文件获取日期：</w:t>
      </w:r>
    </w:p>
    <w:p w14:paraId="014810A4">
      <w:pPr>
        <w:shd w:val="clear"/>
        <w:adjustRightInd w:val="0"/>
        <w:snapToGrid w:val="0"/>
        <w:spacing w:line="360" w:lineRule="auto"/>
        <w:rPr>
          <w:rFonts w:ascii="宋体" w:hAnsi="宋体" w:cs="宋体"/>
          <w:bCs/>
          <w:color w:val="auto"/>
          <w:highlight w:val="none"/>
        </w:rPr>
      </w:pPr>
      <w:r>
        <w:rPr>
          <w:rFonts w:hint="eastAsia" w:ascii="宋体" w:hAnsi="宋体" w:cs="宋体"/>
          <w:bCs/>
          <w:color w:val="auto"/>
          <w:highlight w:val="none"/>
        </w:rPr>
        <w:t>三、质疑事项具体内容</w:t>
      </w:r>
    </w:p>
    <w:p w14:paraId="18F8343E">
      <w:pPr>
        <w:shd w:val="clear"/>
        <w:adjustRightInd w:val="0"/>
        <w:snapToGrid w:val="0"/>
        <w:spacing w:line="360" w:lineRule="auto"/>
        <w:rPr>
          <w:rFonts w:ascii="宋体" w:hAnsi="宋体" w:cs="宋体"/>
          <w:color w:val="auto"/>
          <w:highlight w:val="none"/>
          <w:u w:val="dotted"/>
        </w:rPr>
      </w:pPr>
      <w:r>
        <w:rPr>
          <w:rFonts w:hint="eastAsia" w:ascii="宋体" w:hAnsi="宋体" w:cs="宋体"/>
          <w:color w:val="auto"/>
          <w:highlight w:val="none"/>
        </w:rPr>
        <w:t>质疑事项1：</w:t>
      </w:r>
    </w:p>
    <w:p w14:paraId="061AADEC">
      <w:pPr>
        <w:shd w:val="clear"/>
        <w:adjustRightInd w:val="0"/>
        <w:snapToGrid w:val="0"/>
        <w:spacing w:line="360" w:lineRule="auto"/>
        <w:rPr>
          <w:rFonts w:ascii="宋体" w:hAnsi="宋体" w:cs="宋体"/>
          <w:color w:val="auto"/>
          <w:highlight w:val="none"/>
          <w:u w:val="dotted"/>
        </w:rPr>
      </w:pPr>
      <w:r>
        <w:rPr>
          <w:rFonts w:hint="eastAsia" w:ascii="宋体" w:hAnsi="宋体" w:cs="宋体"/>
          <w:color w:val="auto"/>
          <w:highlight w:val="none"/>
        </w:rPr>
        <w:t>事实依据：</w:t>
      </w:r>
    </w:p>
    <w:p w14:paraId="559EF5E8">
      <w:pPr>
        <w:shd w:val="clear"/>
        <w:adjustRightInd w:val="0"/>
        <w:snapToGrid w:val="0"/>
        <w:spacing w:line="360" w:lineRule="auto"/>
        <w:rPr>
          <w:rFonts w:ascii="宋体" w:hAnsi="宋体" w:cs="宋体"/>
          <w:color w:val="auto"/>
          <w:highlight w:val="none"/>
        </w:rPr>
      </w:pPr>
    </w:p>
    <w:p w14:paraId="6FDE0342">
      <w:pPr>
        <w:shd w:val="clear"/>
        <w:adjustRightInd w:val="0"/>
        <w:snapToGrid w:val="0"/>
        <w:spacing w:line="360" w:lineRule="auto"/>
        <w:rPr>
          <w:rFonts w:ascii="宋体" w:hAnsi="宋体" w:cs="宋体"/>
          <w:color w:val="auto"/>
          <w:highlight w:val="none"/>
          <w:u w:val="dotted"/>
        </w:rPr>
      </w:pPr>
      <w:r>
        <w:rPr>
          <w:rFonts w:hint="eastAsia" w:ascii="宋体" w:hAnsi="宋体" w:cs="宋体"/>
          <w:color w:val="auto"/>
          <w:highlight w:val="none"/>
        </w:rPr>
        <w:t>法律依据：</w:t>
      </w:r>
    </w:p>
    <w:p w14:paraId="06ACC6C3">
      <w:pPr>
        <w:shd w:val="clear"/>
        <w:adjustRightInd w:val="0"/>
        <w:snapToGrid w:val="0"/>
        <w:spacing w:line="360" w:lineRule="auto"/>
        <w:rPr>
          <w:rFonts w:ascii="宋体" w:hAnsi="宋体" w:cs="宋体"/>
          <w:color w:val="auto"/>
          <w:highlight w:val="none"/>
          <w:u w:val="dotted"/>
        </w:rPr>
      </w:pPr>
    </w:p>
    <w:p w14:paraId="6D190AA9">
      <w:pPr>
        <w:shd w:val="clear"/>
        <w:adjustRightInd w:val="0"/>
        <w:snapToGrid w:val="0"/>
        <w:spacing w:line="360" w:lineRule="auto"/>
        <w:rPr>
          <w:rFonts w:ascii="宋体" w:hAnsi="宋体" w:cs="宋体"/>
          <w:color w:val="auto"/>
          <w:highlight w:val="none"/>
          <w:u w:val="dotted"/>
        </w:rPr>
      </w:pPr>
      <w:r>
        <w:rPr>
          <w:rFonts w:hint="eastAsia" w:ascii="宋体" w:hAnsi="宋体" w:cs="宋体"/>
          <w:color w:val="auto"/>
          <w:highlight w:val="none"/>
        </w:rPr>
        <w:t>质疑事项2</w:t>
      </w:r>
    </w:p>
    <w:p w14:paraId="5EBAD7DB">
      <w:pPr>
        <w:shd w:val="clear"/>
        <w:adjustRightInd w:val="0"/>
        <w:snapToGrid w:val="0"/>
        <w:spacing w:line="360" w:lineRule="auto"/>
        <w:rPr>
          <w:rFonts w:ascii="宋体" w:hAnsi="宋体" w:cs="宋体"/>
          <w:color w:val="auto"/>
          <w:highlight w:val="none"/>
        </w:rPr>
      </w:pPr>
      <w:r>
        <w:rPr>
          <w:rFonts w:hint="eastAsia" w:ascii="宋体" w:hAnsi="宋体" w:cs="宋体"/>
          <w:color w:val="auto"/>
          <w:highlight w:val="none"/>
        </w:rPr>
        <w:t>……</w:t>
      </w:r>
    </w:p>
    <w:p w14:paraId="05479571">
      <w:pPr>
        <w:shd w:val="clear"/>
        <w:adjustRightInd w:val="0"/>
        <w:snapToGrid w:val="0"/>
        <w:spacing w:line="360" w:lineRule="auto"/>
        <w:rPr>
          <w:rFonts w:ascii="宋体" w:hAnsi="宋体" w:cs="宋体"/>
          <w:bCs/>
          <w:color w:val="auto"/>
          <w:highlight w:val="none"/>
        </w:rPr>
      </w:pPr>
      <w:r>
        <w:rPr>
          <w:rFonts w:hint="eastAsia" w:ascii="宋体" w:hAnsi="宋体" w:cs="宋体"/>
          <w:bCs/>
          <w:color w:val="auto"/>
          <w:highlight w:val="none"/>
        </w:rPr>
        <w:t>四、与质疑事项相关的质疑请求</w:t>
      </w:r>
    </w:p>
    <w:p w14:paraId="3BCB0125">
      <w:pPr>
        <w:shd w:val="clear"/>
        <w:adjustRightInd w:val="0"/>
        <w:snapToGrid w:val="0"/>
        <w:spacing w:line="360" w:lineRule="auto"/>
        <w:rPr>
          <w:rFonts w:ascii="宋体" w:hAnsi="宋体" w:cs="宋体"/>
          <w:color w:val="auto"/>
          <w:highlight w:val="none"/>
          <w:u w:val="dotted"/>
        </w:rPr>
      </w:pPr>
      <w:r>
        <w:rPr>
          <w:rFonts w:hint="eastAsia" w:ascii="宋体" w:hAnsi="宋体" w:cs="宋体"/>
          <w:color w:val="auto"/>
          <w:highlight w:val="none"/>
        </w:rPr>
        <w:t>请求：</w:t>
      </w:r>
    </w:p>
    <w:p w14:paraId="14D3F455">
      <w:pPr>
        <w:shd w:val="clear"/>
        <w:spacing w:line="360" w:lineRule="auto"/>
        <w:rPr>
          <w:rFonts w:ascii="宋体" w:hAnsi="宋体" w:cs="宋体"/>
          <w:color w:val="auto"/>
          <w:highlight w:val="none"/>
        </w:rPr>
      </w:pPr>
      <w:r>
        <w:rPr>
          <w:rFonts w:hint="eastAsia" w:ascii="宋体" w:hAnsi="宋体" w:cs="宋体"/>
          <w:color w:val="auto"/>
          <w:highlight w:val="none"/>
        </w:rPr>
        <w:t xml:space="preserve">签字（签章）：                   公章：                      </w:t>
      </w:r>
    </w:p>
    <w:p w14:paraId="7D14C80B">
      <w:pPr>
        <w:shd w:val="clear"/>
        <w:spacing w:line="360" w:lineRule="auto"/>
        <w:rPr>
          <w:rFonts w:ascii="宋体" w:hAnsi="宋体" w:cs="宋体"/>
          <w:color w:val="auto"/>
          <w:highlight w:val="none"/>
        </w:rPr>
      </w:pPr>
      <w:r>
        <w:rPr>
          <w:rFonts w:hint="eastAsia" w:ascii="宋体" w:hAnsi="宋体" w:cs="宋体"/>
          <w:color w:val="auto"/>
          <w:highlight w:val="none"/>
        </w:rPr>
        <w:t xml:space="preserve">日期：    </w:t>
      </w:r>
    </w:p>
    <w:p w14:paraId="42A1FC36">
      <w:pPr>
        <w:shd w:val="clear"/>
        <w:spacing w:line="360" w:lineRule="auto"/>
        <w:rPr>
          <w:rFonts w:ascii="宋体" w:hAnsi="宋体" w:cs="宋体"/>
          <w:color w:val="auto"/>
          <w:highlight w:val="none"/>
        </w:rPr>
      </w:pPr>
    </w:p>
    <w:p w14:paraId="4FB39EE0">
      <w:pPr>
        <w:shd w:val="clear"/>
        <w:spacing w:line="360" w:lineRule="auto"/>
        <w:rPr>
          <w:rFonts w:ascii="宋体" w:hAnsi="宋体" w:cs="宋体"/>
          <w:b/>
          <w:color w:val="auto"/>
          <w:highlight w:val="none"/>
        </w:rPr>
      </w:pPr>
      <w:r>
        <w:rPr>
          <w:rFonts w:hint="eastAsia" w:ascii="宋体" w:hAnsi="宋体" w:cs="宋体"/>
          <w:b/>
          <w:color w:val="auto"/>
          <w:highlight w:val="none"/>
        </w:rPr>
        <w:t>质疑函制作说明：</w:t>
      </w:r>
    </w:p>
    <w:p w14:paraId="5794616F">
      <w:pPr>
        <w:widowControl/>
        <w:shd w:val="clea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1.供应商提出质疑时，应提交质疑函和必要的证明材料。</w:t>
      </w:r>
    </w:p>
    <w:p w14:paraId="672DCD16">
      <w:pPr>
        <w:widowControl/>
        <w:shd w:val="clea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2.质疑供应商若委托代理人进行质疑的，质疑函应按要求列明“授权代表”的有关内容，并在附件中提交由质疑</w:t>
      </w:r>
      <w:r>
        <w:rPr>
          <w:rFonts w:hint="eastAsia" w:ascii="宋体" w:hAnsi="宋体" w:cs="宋体"/>
          <w:color w:val="auto"/>
          <w:kern w:val="0"/>
          <w:highlight w:val="none"/>
        </w:rPr>
        <w:t>供应商签署的授权委托书。授权委托书应载明代理人的姓名或者名称、代理事项、具体权限、期限和相关事项。</w:t>
      </w:r>
    </w:p>
    <w:p w14:paraId="7ECF774C">
      <w:pPr>
        <w:widowControl/>
        <w:shd w:val="clea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3.质疑供应商若对项目的某一分包进行质疑，质疑函中应列明具体分包号。</w:t>
      </w:r>
    </w:p>
    <w:p w14:paraId="55837C96">
      <w:pPr>
        <w:widowControl/>
        <w:shd w:val="clea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4.质疑函的质疑事项应具体、明确，并有必要的事实依据和法律依据。</w:t>
      </w:r>
    </w:p>
    <w:p w14:paraId="5B4E1421">
      <w:pPr>
        <w:widowControl/>
        <w:shd w:val="clea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5.质疑函的质疑请求应与质疑事项相关。</w:t>
      </w:r>
    </w:p>
    <w:p w14:paraId="72E6D2A8">
      <w:pPr>
        <w:widowControl/>
        <w:shd w:val="clea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6.质疑供应商为自然人的，质疑函应由本人签字；质疑供应商为法人或者其他组织的，质疑函应由法定代表人、主要负责人，或者其授权代表签字或者盖章，并加盖公章。</w:t>
      </w:r>
    </w:p>
    <w:p w14:paraId="73CCA595">
      <w:pPr>
        <w:pStyle w:val="64"/>
        <w:shd w:val="clear"/>
        <w:rPr>
          <w:color w:val="auto"/>
          <w:highlight w:val="none"/>
        </w:rPr>
      </w:pPr>
    </w:p>
    <w:p w14:paraId="648B5F36">
      <w:pPr>
        <w:pStyle w:val="18"/>
        <w:shd w:val="clear"/>
        <w:spacing w:line="460" w:lineRule="exact"/>
        <w:rPr>
          <w:rFonts w:cs="Times New Roman"/>
          <w:color w:val="auto"/>
          <w:highlight w:val="none"/>
        </w:rPr>
      </w:pPr>
    </w:p>
    <w:p w14:paraId="5AA3032E">
      <w:pPr>
        <w:shd w:val="clear"/>
        <w:rPr>
          <w:color w:val="auto"/>
          <w:highlight w:val="none"/>
        </w:rPr>
      </w:pPr>
    </w:p>
    <w:p w14:paraId="0A790ECE">
      <w:pPr>
        <w:shd w:val="clear"/>
        <w:rPr>
          <w:color w:val="auto"/>
          <w:highlight w:val="none"/>
        </w:rPr>
      </w:pPr>
    </w:p>
    <w:p w14:paraId="5FD4E5E5">
      <w:pPr>
        <w:shd w:val="clear"/>
        <w:rPr>
          <w:color w:val="auto"/>
          <w:highlight w:val="none"/>
        </w:rPr>
      </w:pPr>
    </w:p>
    <w:p w14:paraId="68D900AF">
      <w:pPr>
        <w:shd w:val="clear"/>
        <w:jc w:val="center"/>
        <w:rPr>
          <w:rFonts w:hint="eastAsia" w:ascii="宋体" w:hAnsi="宋体"/>
          <w:b/>
          <w:color w:val="auto"/>
          <w:sz w:val="36"/>
          <w:szCs w:val="36"/>
          <w:highlight w:val="none"/>
        </w:rPr>
      </w:pPr>
    </w:p>
    <w:p w14:paraId="7B2777E3">
      <w:pPr>
        <w:shd w:val="clear"/>
        <w:jc w:val="center"/>
        <w:rPr>
          <w:rFonts w:hint="eastAsia" w:ascii="宋体" w:hAnsi="宋体"/>
          <w:b/>
          <w:color w:val="auto"/>
          <w:sz w:val="36"/>
          <w:szCs w:val="36"/>
          <w:highlight w:val="none"/>
        </w:rPr>
      </w:pPr>
    </w:p>
    <w:bookmarkEnd w:id="69"/>
    <w:bookmarkEnd w:id="70"/>
    <w:bookmarkEnd w:id="71"/>
    <w:bookmarkEnd w:id="72"/>
    <w:bookmarkEnd w:id="73"/>
    <w:bookmarkEnd w:id="74"/>
    <w:p w14:paraId="0E7E5698">
      <w:pPr>
        <w:shd w:val="clear"/>
        <w:rPr>
          <w:color w:val="auto"/>
          <w:highlight w:val="none"/>
        </w:rPr>
      </w:pPr>
    </w:p>
    <w:sectPr>
      <w:footerReference r:id="rId6" w:type="first"/>
      <w:headerReference r:id="rId4" w:type="default"/>
      <w:footerReference r:id="rId5" w:type="default"/>
      <w:pgSz w:w="11906" w:h="16838"/>
      <w:pgMar w:top="1246" w:right="1134" w:bottom="1440" w:left="1418" w:header="851" w:footer="992" w:gutter="0"/>
      <w:pgBorders>
        <w:top w:val="none" w:sz="0" w:space="0"/>
        <w:left w:val="none" w:sz="0" w:space="0"/>
        <w:bottom w:val="none" w:sz="0" w:space="0"/>
        <w:right w:val="none" w:sz="0" w:space="0"/>
      </w:pgBorders>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新宋体">
    <w:panose1 w:val="02010609030101010101"/>
    <w:charset w:val="86"/>
    <w:family w:val="modern"/>
    <w:pitch w:val="default"/>
    <w:sig w:usb0="00000283" w:usb1="288F0000" w:usb2="00000006" w:usb3="00000000" w:csb0="00040001" w:csb1="0000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隶书">
    <w:altName w:val="微软雅黑"/>
    <w:panose1 w:val="02010509060101010101"/>
    <w:charset w:val="86"/>
    <w:family w:val="modern"/>
    <w:pitch w:val="default"/>
    <w:sig w:usb0="00000001" w:usb1="080E0000" w:usb2="00000000" w:usb3="00000000" w:csb0="00040000" w:csb1="00000000"/>
  </w:font>
  <w:font w:name="Arial Narrow">
    <w:altName w:val="Arial"/>
    <w:panose1 w:val="020B0606020202030204"/>
    <w:charset w:val="00"/>
    <w:family w:val="swiss"/>
    <w:pitch w:val="default"/>
    <w:sig w:usb0="00000287" w:usb1="00000800" w:usb2="00000000" w:usb3="00000000" w:csb0="2000009F" w:csb1="DFD70000"/>
  </w:font>
  <w:font w:name="PMingLiU">
    <w:altName w:val="PMingLiU-ExtB"/>
    <w:panose1 w:val="02020500000000000000"/>
    <w:charset w:val="00"/>
    <w:family w:val="roman"/>
    <w:pitch w:val="default"/>
    <w:sig w:usb0="A00002FF" w:usb1="28CFFCFA"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auto"/>
    <w:pitch w:val="default"/>
    <w:sig w:usb0="80000287" w:usb1="2ACF3C50" w:usb2="00000016" w:usb3="00000000" w:csb0="0004001F" w:csb1="00000000"/>
  </w:font>
  <w:font w:name="ModIcon">
    <w:altName w:val="Segoe Print"/>
    <w:panose1 w:val="00000000000000000000"/>
    <w:charset w:val="00"/>
    <w:family w:val="auto"/>
    <w:pitch w:val="default"/>
    <w:sig w:usb0="00000000" w:usb1="00000000" w:usb2="00000000" w:usb3="00000000" w:csb0="00000000" w:csb1="00000000"/>
  </w:font>
  <w:font w:name="ActionIcon">
    <w:altName w:val="Segoe Print"/>
    <w:panose1 w:val="00000000000000000000"/>
    <w:charset w:val="00"/>
    <w:family w:val="auto"/>
    <w:pitch w:val="default"/>
    <w:sig w:usb0="00000000" w:usb1="00000000" w:usb2="00000000" w:usb3="00000000" w:csb0="0000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5E4E0E">
    <w:pPr>
      <w:pStyle w:val="2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49D1312">
                          <w:pPr>
                            <w:pStyle w:val="2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149D1312">
                    <w:pPr>
                      <w:pStyle w:val="2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A9C01">
    <w:pPr>
      <w:pStyle w:val="22"/>
      <w:tabs>
        <w:tab w:val="center" w:pos="4153"/>
        <w:tab w:val="right" w:pos="8306"/>
      </w:tabs>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B629D8B">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lang/>
                            </w:rPr>
                            <w:t>37</w:t>
                          </w:r>
                          <w:r>
                            <w:rPr>
                              <w:rFonts w:hint="eastAsia"/>
                              <w:sz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14:paraId="6B629D8B">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lang/>
                      </w:rPr>
                      <w:t>37</w:t>
                    </w:r>
                    <w:r>
                      <w:rPr>
                        <w:rFonts w:hint="eastAsia"/>
                        <w:sz w:val="18"/>
                      </w:rPr>
                      <w:fldChar w:fldCharType="end"/>
                    </w:r>
                  </w:p>
                </w:txbxContent>
              </v:textbox>
            </v:shape>
          </w:pict>
        </mc:Fallback>
      </mc:AlternateContent>
    </w:r>
    <w:r>
      <w:rPr>
        <w:rFonts w:hint="eastAsia"/>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F0049E">
    <w:pPr>
      <w:pStyle w:val="22"/>
      <w:tabs>
        <w:tab w:val="center" w:pos="4153"/>
        <w:tab w:val="right" w:pos="8306"/>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A955C7">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lang/>
                            </w:rPr>
                            <w:t>15</w:t>
                          </w:r>
                          <w:r>
                            <w:rPr>
                              <w:rFonts w:hint="eastAsia"/>
                              <w:sz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3ViRyQEAAJkDAAAOAAAAAAAAAAEAIAAAAB4BAABkcnMvZTJvRG9j&#10;LnhtbFBLBQYAAAAABgAGAFkBAABZBQAAAAA=&#10;">
              <v:fill on="f" focussize="0,0"/>
              <v:stroke on="f"/>
              <v:imagedata o:title=""/>
              <o:lock v:ext="edit" aspectratio="f"/>
              <v:textbox inset="0mm,0mm,0mm,0mm" style="mso-fit-shape-to-text:t;">
                <w:txbxContent>
                  <w:p w14:paraId="07A955C7">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lang/>
                      </w:rPr>
                      <w:t>15</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F4223F">
    <w:pPr>
      <w:pStyle w:val="23"/>
      <w:tabs>
        <w:tab w:val="center" w:pos="4153"/>
        <w:tab w:val="right" w:pos="8306"/>
      </w:tabs>
      <w:ind w:firstLine="90" w:firstLineChars="50"/>
      <w:jc w:val="both"/>
    </w:pPr>
    <w:r>
      <w:rPr>
        <w:rFonts w:hint="eastAsia" w:eastAsia="PMingLiU"/>
        <w:lang w:eastAsia="zh-TW"/>
      </w:rPr>
      <w:t>　</w:t>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4"/>
      <w:numFmt w:val="japaneseCounting"/>
      <w:pStyle w:val="13"/>
      <w:lvlText w:val="第%1章"/>
      <w:lvlJc w:val="left"/>
      <w:pPr>
        <w:tabs>
          <w:tab w:val="left" w:pos="1455"/>
        </w:tabs>
        <w:ind w:left="1455" w:hanging="1455"/>
      </w:pPr>
      <w:rPr>
        <w:rFonts w:hint="default" w:hAnsi="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0000006"/>
    <w:multiLevelType w:val="multilevel"/>
    <w:tmpl w:val="00000006"/>
    <w:lvl w:ilvl="0" w:tentative="0">
      <w:start w:val="1"/>
      <w:numFmt w:val="chineseCountingThousand"/>
      <w:suff w:val="nothing"/>
      <w:lvlText w:val="第%1章"/>
      <w:lvlJc w:val="left"/>
      <w:pPr>
        <w:ind w:left="210" w:firstLine="0"/>
      </w:pPr>
    </w:lvl>
    <w:lvl w:ilvl="1" w:tentative="0">
      <w:start w:val="1"/>
      <w:numFmt w:val="none"/>
      <w:suff w:val="nothing"/>
      <w:lvlText w:val=""/>
      <w:lvlJc w:val="left"/>
      <w:pPr>
        <w:ind w:left="0" w:firstLine="0"/>
      </w:pPr>
    </w:lvl>
    <w:lvl w:ilvl="2" w:tentative="0">
      <w:start w:val="1"/>
      <w:numFmt w:val="none"/>
      <w:pStyle w:val="6"/>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pStyle w:val="8"/>
      <w:suff w:val="nothing"/>
      <w:lvlText w:val=""/>
      <w:lvlJc w:val="left"/>
      <w:pPr>
        <w:ind w:left="0" w:firstLine="0"/>
      </w:pPr>
    </w:lvl>
    <w:lvl w:ilvl="5" w:tentative="0">
      <w:start w:val="1"/>
      <w:numFmt w:val="none"/>
      <w:pStyle w:val="9"/>
      <w:suff w:val="nothing"/>
      <w:lvlText w:val=""/>
      <w:lvlJc w:val="left"/>
      <w:pPr>
        <w:ind w:left="0" w:firstLine="0"/>
      </w:pPr>
    </w:lvl>
    <w:lvl w:ilvl="6" w:tentative="0">
      <w:start w:val="1"/>
      <w:numFmt w:val="none"/>
      <w:pStyle w:val="10"/>
      <w:suff w:val="nothing"/>
      <w:lvlText w:val=""/>
      <w:lvlJc w:val="left"/>
      <w:pPr>
        <w:ind w:left="0" w:firstLine="0"/>
      </w:pPr>
    </w:lvl>
    <w:lvl w:ilvl="7" w:tentative="0">
      <w:start w:val="1"/>
      <w:numFmt w:val="none"/>
      <w:pStyle w:val="11"/>
      <w:suff w:val="nothing"/>
      <w:lvlText w:val=""/>
      <w:lvlJc w:val="left"/>
      <w:pPr>
        <w:ind w:left="0" w:firstLine="0"/>
      </w:pPr>
    </w:lvl>
    <w:lvl w:ilvl="8" w:tentative="0">
      <w:start w:val="1"/>
      <w:numFmt w:val="none"/>
      <w:pStyle w:val="12"/>
      <w:suff w:val="nothing"/>
      <w:lvlText w:val=""/>
      <w:lvlJc w:val="left"/>
      <w:pPr>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6"/>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wNGVmYjI2MThkY2UwNzE2NjY4MTNjOTE0MTU1MmYifQ=="/>
  </w:docVars>
  <w:rsids>
    <w:rsidRoot w:val="00172A27"/>
    <w:rsid w:val="00003500"/>
    <w:rsid w:val="000036B1"/>
    <w:rsid w:val="00004783"/>
    <w:rsid w:val="00004B2C"/>
    <w:rsid w:val="000105BB"/>
    <w:rsid w:val="0001067D"/>
    <w:rsid w:val="00011392"/>
    <w:rsid w:val="000165B9"/>
    <w:rsid w:val="00023741"/>
    <w:rsid w:val="00032B60"/>
    <w:rsid w:val="00036E93"/>
    <w:rsid w:val="000372EE"/>
    <w:rsid w:val="000443E6"/>
    <w:rsid w:val="00044457"/>
    <w:rsid w:val="00050C0D"/>
    <w:rsid w:val="000510D3"/>
    <w:rsid w:val="00052B22"/>
    <w:rsid w:val="00053E69"/>
    <w:rsid w:val="00062DFF"/>
    <w:rsid w:val="00065DC9"/>
    <w:rsid w:val="000732A8"/>
    <w:rsid w:val="000739BD"/>
    <w:rsid w:val="00074F6D"/>
    <w:rsid w:val="0007677A"/>
    <w:rsid w:val="000845AF"/>
    <w:rsid w:val="0009215F"/>
    <w:rsid w:val="000947DA"/>
    <w:rsid w:val="000A3F07"/>
    <w:rsid w:val="000A63AC"/>
    <w:rsid w:val="000A6894"/>
    <w:rsid w:val="000B019A"/>
    <w:rsid w:val="000B0C0D"/>
    <w:rsid w:val="000B14B6"/>
    <w:rsid w:val="000B3C5F"/>
    <w:rsid w:val="000B4975"/>
    <w:rsid w:val="000B49EF"/>
    <w:rsid w:val="000B5546"/>
    <w:rsid w:val="000C14D2"/>
    <w:rsid w:val="000D0C09"/>
    <w:rsid w:val="000D1232"/>
    <w:rsid w:val="000D2F75"/>
    <w:rsid w:val="000D4B39"/>
    <w:rsid w:val="000D4B53"/>
    <w:rsid w:val="000D67AA"/>
    <w:rsid w:val="000E0D29"/>
    <w:rsid w:val="000E344A"/>
    <w:rsid w:val="000F386C"/>
    <w:rsid w:val="00106F56"/>
    <w:rsid w:val="001072E8"/>
    <w:rsid w:val="001075D4"/>
    <w:rsid w:val="00107E77"/>
    <w:rsid w:val="001133F6"/>
    <w:rsid w:val="001172EF"/>
    <w:rsid w:val="00133F83"/>
    <w:rsid w:val="00134620"/>
    <w:rsid w:val="001365CB"/>
    <w:rsid w:val="00137B4D"/>
    <w:rsid w:val="00140ED2"/>
    <w:rsid w:val="001444D5"/>
    <w:rsid w:val="0015006B"/>
    <w:rsid w:val="00151659"/>
    <w:rsid w:val="00152E5A"/>
    <w:rsid w:val="00155D6C"/>
    <w:rsid w:val="001567CE"/>
    <w:rsid w:val="00156C49"/>
    <w:rsid w:val="00157253"/>
    <w:rsid w:val="00165311"/>
    <w:rsid w:val="00167E62"/>
    <w:rsid w:val="00175E75"/>
    <w:rsid w:val="0017760F"/>
    <w:rsid w:val="00181DDD"/>
    <w:rsid w:val="001871A9"/>
    <w:rsid w:val="00193F26"/>
    <w:rsid w:val="001A2FC7"/>
    <w:rsid w:val="001A50FF"/>
    <w:rsid w:val="001B0384"/>
    <w:rsid w:val="001B344C"/>
    <w:rsid w:val="001B3F82"/>
    <w:rsid w:val="001B3FF3"/>
    <w:rsid w:val="001B4597"/>
    <w:rsid w:val="001B46E6"/>
    <w:rsid w:val="001B63A4"/>
    <w:rsid w:val="001B7446"/>
    <w:rsid w:val="001C183E"/>
    <w:rsid w:val="001C5B91"/>
    <w:rsid w:val="001C772E"/>
    <w:rsid w:val="001D0CCF"/>
    <w:rsid w:val="001D5022"/>
    <w:rsid w:val="001D6FB5"/>
    <w:rsid w:val="001F5569"/>
    <w:rsid w:val="001F629C"/>
    <w:rsid w:val="00203D37"/>
    <w:rsid w:val="0020613C"/>
    <w:rsid w:val="00207FA5"/>
    <w:rsid w:val="00210A6A"/>
    <w:rsid w:val="002126B6"/>
    <w:rsid w:val="0022119E"/>
    <w:rsid w:val="00224D79"/>
    <w:rsid w:val="002270E9"/>
    <w:rsid w:val="0023142B"/>
    <w:rsid w:val="00233C02"/>
    <w:rsid w:val="00242ED7"/>
    <w:rsid w:val="00245AAB"/>
    <w:rsid w:val="00246C30"/>
    <w:rsid w:val="002472D2"/>
    <w:rsid w:val="00251A6B"/>
    <w:rsid w:val="00256A72"/>
    <w:rsid w:val="00263701"/>
    <w:rsid w:val="00266FDD"/>
    <w:rsid w:val="00271124"/>
    <w:rsid w:val="00271BB8"/>
    <w:rsid w:val="002732A0"/>
    <w:rsid w:val="002740AF"/>
    <w:rsid w:val="0027667D"/>
    <w:rsid w:val="0027668D"/>
    <w:rsid w:val="00285D09"/>
    <w:rsid w:val="002862E1"/>
    <w:rsid w:val="00292231"/>
    <w:rsid w:val="002947A9"/>
    <w:rsid w:val="00295091"/>
    <w:rsid w:val="0029671B"/>
    <w:rsid w:val="002A00CA"/>
    <w:rsid w:val="002A3A57"/>
    <w:rsid w:val="002B3162"/>
    <w:rsid w:val="002D4A46"/>
    <w:rsid w:val="002D5E12"/>
    <w:rsid w:val="002E6238"/>
    <w:rsid w:val="002F1CF0"/>
    <w:rsid w:val="002F21DC"/>
    <w:rsid w:val="002F26F6"/>
    <w:rsid w:val="00304750"/>
    <w:rsid w:val="00304883"/>
    <w:rsid w:val="00304CE2"/>
    <w:rsid w:val="00312ED4"/>
    <w:rsid w:val="0031403E"/>
    <w:rsid w:val="00315163"/>
    <w:rsid w:val="00315F55"/>
    <w:rsid w:val="003353BF"/>
    <w:rsid w:val="0034388B"/>
    <w:rsid w:val="00347265"/>
    <w:rsid w:val="00353582"/>
    <w:rsid w:val="00360832"/>
    <w:rsid w:val="00360C7B"/>
    <w:rsid w:val="00361878"/>
    <w:rsid w:val="0036405A"/>
    <w:rsid w:val="00364866"/>
    <w:rsid w:val="003706E2"/>
    <w:rsid w:val="00371413"/>
    <w:rsid w:val="00376CB2"/>
    <w:rsid w:val="00377018"/>
    <w:rsid w:val="00386E8F"/>
    <w:rsid w:val="003874A1"/>
    <w:rsid w:val="00391908"/>
    <w:rsid w:val="00393824"/>
    <w:rsid w:val="00395FE0"/>
    <w:rsid w:val="003A29A8"/>
    <w:rsid w:val="003A4F61"/>
    <w:rsid w:val="003A60E3"/>
    <w:rsid w:val="003A66D8"/>
    <w:rsid w:val="003B0C4D"/>
    <w:rsid w:val="003B17C5"/>
    <w:rsid w:val="003B2756"/>
    <w:rsid w:val="003B4C34"/>
    <w:rsid w:val="003C507D"/>
    <w:rsid w:val="003E5C69"/>
    <w:rsid w:val="003E7A34"/>
    <w:rsid w:val="003F1805"/>
    <w:rsid w:val="003F2839"/>
    <w:rsid w:val="003F4135"/>
    <w:rsid w:val="00401846"/>
    <w:rsid w:val="00406C51"/>
    <w:rsid w:val="004130D9"/>
    <w:rsid w:val="00414FB6"/>
    <w:rsid w:val="00415BE9"/>
    <w:rsid w:val="00420EF7"/>
    <w:rsid w:val="00421B0B"/>
    <w:rsid w:val="00425CA6"/>
    <w:rsid w:val="004332F0"/>
    <w:rsid w:val="00442184"/>
    <w:rsid w:val="00445E8D"/>
    <w:rsid w:val="004564D9"/>
    <w:rsid w:val="004616F6"/>
    <w:rsid w:val="004662A4"/>
    <w:rsid w:val="00466F20"/>
    <w:rsid w:val="0047153A"/>
    <w:rsid w:val="004859BA"/>
    <w:rsid w:val="0049073F"/>
    <w:rsid w:val="00491EB5"/>
    <w:rsid w:val="004956BD"/>
    <w:rsid w:val="004A08F1"/>
    <w:rsid w:val="004B2597"/>
    <w:rsid w:val="004B4041"/>
    <w:rsid w:val="004B50AE"/>
    <w:rsid w:val="004C0102"/>
    <w:rsid w:val="004C0719"/>
    <w:rsid w:val="004C5012"/>
    <w:rsid w:val="004C5840"/>
    <w:rsid w:val="004C7FC4"/>
    <w:rsid w:val="004D0A67"/>
    <w:rsid w:val="004E4054"/>
    <w:rsid w:val="004E73B7"/>
    <w:rsid w:val="004F21E7"/>
    <w:rsid w:val="004F372D"/>
    <w:rsid w:val="004F4C1D"/>
    <w:rsid w:val="00502F31"/>
    <w:rsid w:val="00503992"/>
    <w:rsid w:val="00503B4C"/>
    <w:rsid w:val="005049A2"/>
    <w:rsid w:val="00505431"/>
    <w:rsid w:val="0050795E"/>
    <w:rsid w:val="00511565"/>
    <w:rsid w:val="0051396A"/>
    <w:rsid w:val="00516073"/>
    <w:rsid w:val="00517C89"/>
    <w:rsid w:val="00524FBA"/>
    <w:rsid w:val="00526B56"/>
    <w:rsid w:val="00533411"/>
    <w:rsid w:val="005466E2"/>
    <w:rsid w:val="00546845"/>
    <w:rsid w:val="00557EB9"/>
    <w:rsid w:val="0056233D"/>
    <w:rsid w:val="005644E4"/>
    <w:rsid w:val="00567A1B"/>
    <w:rsid w:val="00584926"/>
    <w:rsid w:val="00591E04"/>
    <w:rsid w:val="005A0FAD"/>
    <w:rsid w:val="005A7C8B"/>
    <w:rsid w:val="005B4B40"/>
    <w:rsid w:val="005B4EB0"/>
    <w:rsid w:val="005B5690"/>
    <w:rsid w:val="005C0B53"/>
    <w:rsid w:val="005C2BFC"/>
    <w:rsid w:val="005C49CC"/>
    <w:rsid w:val="005C6942"/>
    <w:rsid w:val="005D2825"/>
    <w:rsid w:val="005E3DF9"/>
    <w:rsid w:val="005E5939"/>
    <w:rsid w:val="005F08BB"/>
    <w:rsid w:val="005F0AA4"/>
    <w:rsid w:val="005F1305"/>
    <w:rsid w:val="005F2B9B"/>
    <w:rsid w:val="005F6309"/>
    <w:rsid w:val="005F6F1C"/>
    <w:rsid w:val="005F6FCD"/>
    <w:rsid w:val="00601E3A"/>
    <w:rsid w:val="00607381"/>
    <w:rsid w:val="006073EC"/>
    <w:rsid w:val="00617A7A"/>
    <w:rsid w:val="00620DA7"/>
    <w:rsid w:val="00622B29"/>
    <w:rsid w:val="00622C61"/>
    <w:rsid w:val="0063172C"/>
    <w:rsid w:val="00635D77"/>
    <w:rsid w:val="00641EC1"/>
    <w:rsid w:val="006427E2"/>
    <w:rsid w:val="00654646"/>
    <w:rsid w:val="00656F05"/>
    <w:rsid w:val="00670B0E"/>
    <w:rsid w:val="0067395D"/>
    <w:rsid w:val="00675198"/>
    <w:rsid w:val="006762BD"/>
    <w:rsid w:val="00680B00"/>
    <w:rsid w:val="006829FE"/>
    <w:rsid w:val="0068743F"/>
    <w:rsid w:val="006A2149"/>
    <w:rsid w:val="006A7C1D"/>
    <w:rsid w:val="006B2C9E"/>
    <w:rsid w:val="006B639F"/>
    <w:rsid w:val="006B7FC9"/>
    <w:rsid w:val="006C0F26"/>
    <w:rsid w:val="006C23A2"/>
    <w:rsid w:val="006C5D85"/>
    <w:rsid w:val="006C6A66"/>
    <w:rsid w:val="006D0D49"/>
    <w:rsid w:val="006D4AC5"/>
    <w:rsid w:val="006D5248"/>
    <w:rsid w:val="006D572F"/>
    <w:rsid w:val="006D6E51"/>
    <w:rsid w:val="006E6D04"/>
    <w:rsid w:val="00701CC3"/>
    <w:rsid w:val="00702224"/>
    <w:rsid w:val="00705C5C"/>
    <w:rsid w:val="00705DCF"/>
    <w:rsid w:val="0071434C"/>
    <w:rsid w:val="00734AB5"/>
    <w:rsid w:val="007508BE"/>
    <w:rsid w:val="0075476C"/>
    <w:rsid w:val="00755970"/>
    <w:rsid w:val="00757273"/>
    <w:rsid w:val="007605DB"/>
    <w:rsid w:val="0076594B"/>
    <w:rsid w:val="00780BEF"/>
    <w:rsid w:val="00781A5C"/>
    <w:rsid w:val="007839BC"/>
    <w:rsid w:val="00792FAB"/>
    <w:rsid w:val="00793630"/>
    <w:rsid w:val="00795A76"/>
    <w:rsid w:val="00795F33"/>
    <w:rsid w:val="00796974"/>
    <w:rsid w:val="007A1E64"/>
    <w:rsid w:val="007A3B5A"/>
    <w:rsid w:val="007A47AE"/>
    <w:rsid w:val="007B2139"/>
    <w:rsid w:val="007B364D"/>
    <w:rsid w:val="007B4A78"/>
    <w:rsid w:val="007B7B1F"/>
    <w:rsid w:val="007B7D28"/>
    <w:rsid w:val="007C76AA"/>
    <w:rsid w:val="007D015E"/>
    <w:rsid w:val="007D0AB5"/>
    <w:rsid w:val="007D25BE"/>
    <w:rsid w:val="007D3523"/>
    <w:rsid w:val="007D3C76"/>
    <w:rsid w:val="007E2B20"/>
    <w:rsid w:val="007E3556"/>
    <w:rsid w:val="007F49B9"/>
    <w:rsid w:val="007F7D62"/>
    <w:rsid w:val="008257E5"/>
    <w:rsid w:val="008363D4"/>
    <w:rsid w:val="008374CF"/>
    <w:rsid w:val="00837AE4"/>
    <w:rsid w:val="00842EE8"/>
    <w:rsid w:val="00847622"/>
    <w:rsid w:val="00851286"/>
    <w:rsid w:val="00854331"/>
    <w:rsid w:val="00870FB8"/>
    <w:rsid w:val="0087139A"/>
    <w:rsid w:val="00872149"/>
    <w:rsid w:val="0087251F"/>
    <w:rsid w:val="0088000B"/>
    <w:rsid w:val="00882363"/>
    <w:rsid w:val="00895206"/>
    <w:rsid w:val="00897259"/>
    <w:rsid w:val="008A005F"/>
    <w:rsid w:val="008A1974"/>
    <w:rsid w:val="008B1065"/>
    <w:rsid w:val="008B44E2"/>
    <w:rsid w:val="008B4C94"/>
    <w:rsid w:val="008B4F07"/>
    <w:rsid w:val="008C15D6"/>
    <w:rsid w:val="008C4CB9"/>
    <w:rsid w:val="008C6B0B"/>
    <w:rsid w:val="008C73F8"/>
    <w:rsid w:val="008C7935"/>
    <w:rsid w:val="008D5A40"/>
    <w:rsid w:val="008D5F9B"/>
    <w:rsid w:val="008E00B1"/>
    <w:rsid w:val="008E1131"/>
    <w:rsid w:val="008E3FB3"/>
    <w:rsid w:val="008E5CF6"/>
    <w:rsid w:val="008F0E5D"/>
    <w:rsid w:val="008F356C"/>
    <w:rsid w:val="008F431F"/>
    <w:rsid w:val="008F6194"/>
    <w:rsid w:val="0090034F"/>
    <w:rsid w:val="00905E20"/>
    <w:rsid w:val="0091552A"/>
    <w:rsid w:val="0092047B"/>
    <w:rsid w:val="009209BC"/>
    <w:rsid w:val="00922C0F"/>
    <w:rsid w:val="00923BAF"/>
    <w:rsid w:val="00925F01"/>
    <w:rsid w:val="00926ECF"/>
    <w:rsid w:val="009271CE"/>
    <w:rsid w:val="0093095F"/>
    <w:rsid w:val="00930DDB"/>
    <w:rsid w:val="00930ED8"/>
    <w:rsid w:val="009374BB"/>
    <w:rsid w:val="009423DF"/>
    <w:rsid w:val="00942AA5"/>
    <w:rsid w:val="00943142"/>
    <w:rsid w:val="00945F1C"/>
    <w:rsid w:val="00946762"/>
    <w:rsid w:val="009468A8"/>
    <w:rsid w:val="00957249"/>
    <w:rsid w:val="009630C0"/>
    <w:rsid w:val="00963B13"/>
    <w:rsid w:val="00972E46"/>
    <w:rsid w:val="0097351D"/>
    <w:rsid w:val="00982EBE"/>
    <w:rsid w:val="00985500"/>
    <w:rsid w:val="009864F8"/>
    <w:rsid w:val="0099233F"/>
    <w:rsid w:val="00996FCC"/>
    <w:rsid w:val="009A2F84"/>
    <w:rsid w:val="009A4505"/>
    <w:rsid w:val="009A4831"/>
    <w:rsid w:val="009A5CBC"/>
    <w:rsid w:val="009B49B9"/>
    <w:rsid w:val="009B6E0A"/>
    <w:rsid w:val="009C329A"/>
    <w:rsid w:val="009C5297"/>
    <w:rsid w:val="009D5033"/>
    <w:rsid w:val="009D639A"/>
    <w:rsid w:val="009E04B8"/>
    <w:rsid w:val="009E07EB"/>
    <w:rsid w:val="009E25C2"/>
    <w:rsid w:val="009E6431"/>
    <w:rsid w:val="009E6E97"/>
    <w:rsid w:val="009F0B6C"/>
    <w:rsid w:val="009F5412"/>
    <w:rsid w:val="00A00F8A"/>
    <w:rsid w:val="00A04A42"/>
    <w:rsid w:val="00A06D79"/>
    <w:rsid w:val="00A10306"/>
    <w:rsid w:val="00A12079"/>
    <w:rsid w:val="00A156E9"/>
    <w:rsid w:val="00A20EF0"/>
    <w:rsid w:val="00A2301F"/>
    <w:rsid w:val="00A23576"/>
    <w:rsid w:val="00A24ACF"/>
    <w:rsid w:val="00A27215"/>
    <w:rsid w:val="00A36323"/>
    <w:rsid w:val="00A37C17"/>
    <w:rsid w:val="00A37E78"/>
    <w:rsid w:val="00A40385"/>
    <w:rsid w:val="00A524B5"/>
    <w:rsid w:val="00A5279B"/>
    <w:rsid w:val="00A561E3"/>
    <w:rsid w:val="00A573DF"/>
    <w:rsid w:val="00A60DF2"/>
    <w:rsid w:val="00A64326"/>
    <w:rsid w:val="00A64A2F"/>
    <w:rsid w:val="00A812F2"/>
    <w:rsid w:val="00A8240B"/>
    <w:rsid w:val="00A83AD2"/>
    <w:rsid w:val="00A8439F"/>
    <w:rsid w:val="00A85002"/>
    <w:rsid w:val="00A873A4"/>
    <w:rsid w:val="00A905D6"/>
    <w:rsid w:val="00AA2769"/>
    <w:rsid w:val="00AA66C9"/>
    <w:rsid w:val="00AB67CB"/>
    <w:rsid w:val="00AB69CC"/>
    <w:rsid w:val="00AB6BFA"/>
    <w:rsid w:val="00AB7019"/>
    <w:rsid w:val="00AC1C04"/>
    <w:rsid w:val="00AC3CEA"/>
    <w:rsid w:val="00AC3E8F"/>
    <w:rsid w:val="00AC4302"/>
    <w:rsid w:val="00AC458F"/>
    <w:rsid w:val="00AC4CAF"/>
    <w:rsid w:val="00AC4F58"/>
    <w:rsid w:val="00AC7C76"/>
    <w:rsid w:val="00AD5DD6"/>
    <w:rsid w:val="00AE1728"/>
    <w:rsid w:val="00AE5F0A"/>
    <w:rsid w:val="00AF301B"/>
    <w:rsid w:val="00AF32A3"/>
    <w:rsid w:val="00AF3943"/>
    <w:rsid w:val="00AF440F"/>
    <w:rsid w:val="00B01E66"/>
    <w:rsid w:val="00B04DBD"/>
    <w:rsid w:val="00B07B4E"/>
    <w:rsid w:val="00B1281C"/>
    <w:rsid w:val="00B14B9D"/>
    <w:rsid w:val="00B24CF1"/>
    <w:rsid w:val="00B33B57"/>
    <w:rsid w:val="00B33E01"/>
    <w:rsid w:val="00B35FA3"/>
    <w:rsid w:val="00B36755"/>
    <w:rsid w:val="00B37811"/>
    <w:rsid w:val="00B41A83"/>
    <w:rsid w:val="00B43817"/>
    <w:rsid w:val="00B51F81"/>
    <w:rsid w:val="00B52001"/>
    <w:rsid w:val="00B541BA"/>
    <w:rsid w:val="00B54FDF"/>
    <w:rsid w:val="00B55827"/>
    <w:rsid w:val="00B55D54"/>
    <w:rsid w:val="00B57434"/>
    <w:rsid w:val="00B62455"/>
    <w:rsid w:val="00B65B8B"/>
    <w:rsid w:val="00B842C4"/>
    <w:rsid w:val="00B91F0A"/>
    <w:rsid w:val="00B92F99"/>
    <w:rsid w:val="00B9576E"/>
    <w:rsid w:val="00B96A52"/>
    <w:rsid w:val="00BA0CA6"/>
    <w:rsid w:val="00BA48F7"/>
    <w:rsid w:val="00BA49F1"/>
    <w:rsid w:val="00BA4F29"/>
    <w:rsid w:val="00BA594D"/>
    <w:rsid w:val="00BB0944"/>
    <w:rsid w:val="00BB2B5A"/>
    <w:rsid w:val="00BB404A"/>
    <w:rsid w:val="00BB5382"/>
    <w:rsid w:val="00BB611C"/>
    <w:rsid w:val="00BD151E"/>
    <w:rsid w:val="00BD4257"/>
    <w:rsid w:val="00BE29DB"/>
    <w:rsid w:val="00BE512E"/>
    <w:rsid w:val="00BF3CAD"/>
    <w:rsid w:val="00BF6934"/>
    <w:rsid w:val="00C00491"/>
    <w:rsid w:val="00C026B9"/>
    <w:rsid w:val="00C03AA9"/>
    <w:rsid w:val="00C03EC5"/>
    <w:rsid w:val="00C07669"/>
    <w:rsid w:val="00C1383C"/>
    <w:rsid w:val="00C138B5"/>
    <w:rsid w:val="00C1421C"/>
    <w:rsid w:val="00C24B57"/>
    <w:rsid w:val="00C40BE2"/>
    <w:rsid w:val="00C430EF"/>
    <w:rsid w:val="00C43B12"/>
    <w:rsid w:val="00C5209E"/>
    <w:rsid w:val="00C5411F"/>
    <w:rsid w:val="00C54177"/>
    <w:rsid w:val="00C548BB"/>
    <w:rsid w:val="00C55352"/>
    <w:rsid w:val="00C720B4"/>
    <w:rsid w:val="00C80E91"/>
    <w:rsid w:val="00C817F1"/>
    <w:rsid w:val="00C839D2"/>
    <w:rsid w:val="00C84847"/>
    <w:rsid w:val="00C8514C"/>
    <w:rsid w:val="00C85CF7"/>
    <w:rsid w:val="00C90B47"/>
    <w:rsid w:val="00C91CEF"/>
    <w:rsid w:val="00C95A03"/>
    <w:rsid w:val="00CA5A60"/>
    <w:rsid w:val="00CB5065"/>
    <w:rsid w:val="00CB59E2"/>
    <w:rsid w:val="00CC349B"/>
    <w:rsid w:val="00CF0111"/>
    <w:rsid w:val="00CF2483"/>
    <w:rsid w:val="00CF40E5"/>
    <w:rsid w:val="00D01030"/>
    <w:rsid w:val="00D105A1"/>
    <w:rsid w:val="00D17B46"/>
    <w:rsid w:val="00D21774"/>
    <w:rsid w:val="00D23A8A"/>
    <w:rsid w:val="00D25923"/>
    <w:rsid w:val="00D32DBE"/>
    <w:rsid w:val="00D379C2"/>
    <w:rsid w:val="00D42C5D"/>
    <w:rsid w:val="00D45D88"/>
    <w:rsid w:val="00D466B0"/>
    <w:rsid w:val="00D47690"/>
    <w:rsid w:val="00D478D9"/>
    <w:rsid w:val="00D50150"/>
    <w:rsid w:val="00D53073"/>
    <w:rsid w:val="00D560DC"/>
    <w:rsid w:val="00D56F7D"/>
    <w:rsid w:val="00D578D2"/>
    <w:rsid w:val="00D60F9D"/>
    <w:rsid w:val="00D62DA5"/>
    <w:rsid w:val="00D70890"/>
    <w:rsid w:val="00D73F15"/>
    <w:rsid w:val="00D75245"/>
    <w:rsid w:val="00D9387A"/>
    <w:rsid w:val="00D94B1D"/>
    <w:rsid w:val="00DA352E"/>
    <w:rsid w:val="00DA490A"/>
    <w:rsid w:val="00DA767A"/>
    <w:rsid w:val="00DB0C1C"/>
    <w:rsid w:val="00DB10BF"/>
    <w:rsid w:val="00DC4ACA"/>
    <w:rsid w:val="00DC5845"/>
    <w:rsid w:val="00DC5AD4"/>
    <w:rsid w:val="00DC6DF2"/>
    <w:rsid w:val="00DE25F8"/>
    <w:rsid w:val="00DE76BC"/>
    <w:rsid w:val="00DF5774"/>
    <w:rsid w:val="00DF6493"/>
    <w:rsid w:val="00E04F06"/>
    <w:rsid w:val="00E0778D"/>
    <w:rsid w:val="00E145CA"/>
    <w:rsid w:val="00E21DE1"/>
    <w:rsid w:val="00E21FD7"/>
    <w:rsid w:val="00E25100"/>
    <w:rsid w:val="00E2518C"/>
    <w:rsid w:val="00E2555E"/>
    <w:rsid w:val="00E25BB6"/>
    <w:rsid w:val="00E26FEB"/>
    <w:rsid w:val="00E4024C"/>
    <w:rsid w:val="00E42A72"/>
    <w:rsid w:val="00E64388"/>
    <w:rsid w:val="00E724CF"/>
    <w:rsid w:val="00E75FDF"/>
    <w:rsid w:val="00E9157D"/>
    <w:rsid w:val="00EA06CD"/>
    <w:rsid w:val="00EA5C81"/>
    <w:rsid w:val="00EB3DE7"/>
    <w:rsid w:val="00EB7BC9"/>
    <w:rsid w:val="00EC171D"/>
    <w:rsid w:val="00EC6F04"/>
    <w:rsid w:val="00ED016E"/>
    <w:rsid w:val="00ED3D4D"/>
    <w:rsid w:val="00ED4275"/>
    <w:rsid w:val="00ED5161"/>
    <w:rsid w:val="00ED7FC9"/>
    <w:rsid w:val="00EE524E"/>
    <w:rsid w:val="00EF5F30"/>
    <w:rsid w:val="00F010BC"/>
    <w:rsid w:val="00F059BD"/>
    <w:rsid w:val="00F05CA3"/>
    <w:rsid w:val="00F07370"/>
    <w:rsid w:val="00F10102"/>
    <w:rsid w:val="00F1150D"/>
    <w:rsid w:val="00F13FAD"/>
    <w:rsid w:val="00F14C66"/>
    <w:rsid w:val="00F14FE1"/>
    <w:rsid w:val="00F20EFD"/>
    <w:rsid w:val="00F22DC4"/>
    <w:rsid w:val="00F24A46"/>
    <w:rsid w:val="00F2592F"/>
    <w:rsid w:val="00F3089E"/>
    <w:rsid w:val="00F41B56"/>
    <w:rsid w:val="00F50EEF"/>
    <w:rsid w:val="00F52A5C"/>
    <w:rsid w:val="00F5713F"/>
    <w:rsid w:val="00F577B8"/>
    <w:rsid w:val="00F62035"/>
    <w:rsid w:val="00F662C9"/>
    <w:rsid w:val="00F6665B"/>
    <w:rsid w:val="00F703F8"/>
    <w:rsid w:val="00F71311"/>
    <w:rsid w:val="00F71A56"/>
    <w:rsid w:val="00F72360"/>
    <w:rsid w:val="00F73D61"/>
    <w:rsid w:val="00F766FF"/>
    <w:rsid w:val="00F81051"/>
    <w:rsid w:val="00F978C2"/>
    <w:rsid w:val="00FA033B"/>
    <w:rsid w:val="00FA578A"/>
    <w:rsid w:val="00FA67F2"/>
    <w:rsid w:val="00FA6BFC"/>
    <w:rsid w:val="00FA7195"/>
    <w:rsid w:val="00FB4246"/>
    <w:rsid w:val="00FC33A9"/>
    <w:rsid w:val="00FD0F42"/>
    <w:rsid w:val="00FD12C7"/>
    <w:rsid w:val="00FD160F"/>
    <w:rsid w:val="00FD758B"/>
    <w:rsid w:val="00FE3931"/>
    <w:rsid w:val="00FF00E7"/>
    <w:rsid w:val="00FF39FD"/>
    <w:rsid w:val="00FF5296"/>
    <w:rsid w:val="00FF5605"/>
    <w:rsid w:val="01050F22"/>
    <w:rsid w:val="014A4B87"/>
    <w:rsid w:val="01653299"/>
    <w:rsid w:val="01826A17"/>
    <w:rsid w:val="01931BB8"/>
    <w:rsid w:val="0224362A"/>
    <w:rsid w:val="02510BDC"/>
    <w:rsid w:val="02565064"/>
    <w:rsid w:val="02CB7559"/>
    <w:rsid w:val="035E700F"/>
    <w:rsid w:val="036068E4"/>
    <w:rsid w:val="049F51EA"/>
    <w:rsid w:val="04F05330"/>
    <w:rsid w:val="053E1658"/>
    <w:rsid w:val="055A7363"/>
    <w:rsid w:val="05755D10"/>
    <w:rsid w:val="05A35726"/>
    <w:rsid w:val="05FE4192"/>
    <w:rsid w:val="05FE5C3A"/>
    <w:rsid w:val="060F6696"/>
    <w:rsid w:val="06622973"/>
    <w:rsid w:val="069A035E"/>
    <w:rsid w:val="06C4362D"/>
    <w:rsid w:val="073D7647"/>
    <w:rsid w:val="07862691"/>
    <w:rsid w:val="07A86A6C"/>
    <w:rsid w:val="07FE7AC6"/>
    <w:rsid w:val="08002443"/>
    <w:rsid w:val="08135DD7"/>
    <w:rsid w:val="08151FE1"/>
    <w:rsid w:val="085C6899"/>
    <w:rsid w:val="08E104C7"/>
    <w:rsid w:val="096207EF"/>
    <w:rsid w:val="09694018"/>
    <w:rsid w:val="0A287A2F"/>
    <w:rsid w:val="0A3D172D"/>
    <w:rsid w:val="0AD578D7"/>
    <w:rsid w:val="0C19141A"/>
    <w:rsid w:val="0C937D2A"/>
    <w:rsid w:val="0C945850"/>
    <w:rsid w:val="0CA27F6D"/>
    <w:rsid w:val="0CCC2DBE"/>
    <w:rsid w:val="0D35493D"/>
    <w:rsid w:val="0D847E39"/>
    <w:rsid w:val="0DAB561C"/>
    <w:rsid w:val="0DDE75AF"/>
    <w:rsid w:val="0DEB4982"/>
    <w:rsid w:val="0E177DB4"/>
    <w:rsid w:val="0E3A7EF6"/>
    <w:rsid w:val="0E7771D7"/>
    <w:rsid w:val="0E9D4E90"/>
    <w:rsid w:val="0ECE329B"/>
    <w:rsid w:val="0F0E19B1"/>
    <w:rsid w:val="0F756041"/>
    <w:rsid w:val="0F984E8D"/>
    <w:rsid w:val="0FAE6C29"/>
    <w:rsid w:val="0FE268D2"/>
    <w:rsid w:val="0FF02D9D"/>
    <w:rsid w:val="0FF76461"/>
    <w:rsid w:val="10C0356C"/>
    <w:rsid w:val="10C466DE"/>
    <w:rsid w:val="10E5667A"/>
    <w:rsid w:val="10EA0134"/>
    <w:rsid w:val="117C68F9"/>
    <w:rsid w:val="11DE03FE"/>
    <w:rsid w:val="11DE5F31"/>
    <w:rsid w:val="12375B71"/>
    <w:rsid w:val="1264721B"/>
    <w:rsid w:val="12855BBF"/>
    <w:rsid w:val="130D1EB8"/>
    <w:rsid w:val="132B0DA2"/>
    <w:rsid w:val="13301948"/>
    <w:rsid w:val="133B22A1"/>
    <w:rsid w:val="134E57BA"/>
    <w:rsid w:val="135E44C2"/>
    <w:rsid w:val="137849AA"/>
    <w:rsid w:val="13CD0840"/>
    <w:rsid w:val="13CE1647"/>
    <w:rsid w:val="13E04B4D"/>
    <w:rsid w:val="13E84795"/>
    <w:rsid w:val="13EFC08E"/>
    <w:rsid w:val="13F90EA8"/>
    <w:rsid w:val="14B22D17"/>
    <w:rsid w:val="14ED4C91"/>
    <w:rsid w:val="15215E1A"/>
    <w:rsid w:val="15590B5F"/>
    <w:rsid w:val="157955E3"/>
    <w:rsid w:val="158721E5"/>
    <w:rsid w:val="16CA3CE6"/>
    <w:rsid w:val="17571954"/>
    <w:rsid w:val="1772485E"/>
    <w:rsid w:val="177D4EC7"/>
    <w:rsid w:val="17986848"/>
    <w:rsid w:val="17B03764"/>
    <w:rsid w:val="17F536DC"/>
    <w:rsid w:val="18185587"/>
    <w:rsid w:val="182E5B97"/>
    <w:rsid w:val="185417F0"/>
    <w:rsid w:val="187B0A12"/>
    <w:rsid w:val="18B359C5"/>
    <w:rsid w:val="19551E2D"/>
    <w:rsid w:val="19D5497B"/>
    <w:rsid w:val="1A2C1388"/>
    <w:rsid w:val="1B06199E"/>
    <w:rsid w:val="1B860A99"/>
    <w:rsid w:val="1BD619E1"/>
    <w:rsid w:val="1BFB0B3D"/>
    <w:rsid w:val="1C1F4874"/>
    <w:rsid w:val="1C3E3F31"/>
    <w:rsid w:val="1C532879"/>
    <w:rsid w:val="1C676ADD"/>
    <w:rsid w:val="1C860AE7"/>
    <w:rsid w:val="1D1D0F4A"/>
    <w:rsid w:val="1D1E7F1C"/>
    <w:rsid w:val="1D230C56"/>
    <w:rsid w:val="1D554B87"/>
    <w:rsid w:val="1D604AE7"/>
    <w:rsid w:val="1DF95513"/>
    <w:rsid w:val="1E65586D"/>
    <w:rsid w:val="1E853BEA"/>
    <w:rsid w:val="1E960FB4"/>
    <w:rsid w:val="1F0F41F0"/>
    <w:rsid w:val="1F5C726C"/>
    <w:rsid w:val="1F5F3A9B"/>
    <w:rsid w:val="1F7233D5"/>
    <w:rsid w:val="20F06820"/>
    <w:rsid w:val="211909AC"/>
    <w:rsid w:val="2131530E"/>
    <w:rsid w:val="21E62252"/>
    <w:rsid w:val="21F73D68"/>
    <w:rsid w:val="2216237D"/>
    <w:rsid w:val="22ED4B08"/>
    <w:rsid w:val="233C481F"/>
    <w:rsid w:val="23B10496"/>
    <w:rsid w:val="23FA4290"/>
    <w:rsid w:val="248046D8"/>
    <w:rsid w:val="24BD16AB"/>
    <w:rsid w:val="24D32F62"/>
    <w:rsid w:val="24E11174"/>
    <w:rsid w:val="255816B9"/>
    <w:rsid w:val="26240F85"/>
    <w:rsid w:val="26325A66"/>
    <w:rsid w:val="27785933"/>
    <w:rsid w:val="277924A6"/>
    <w:rsid w:val="2791259C"/>
    <w:rsid w:val="27BD3F01"/>
    <w:rsid w:val="28235FAE"/>
    <w:rsid w:val="283E5914"/>
    <w:rsid w:val="28672083"/>
    <w:rsid w:val="2868430C"/>
    <w:rsid w:val="28B906C0"/>
    <w:rsid w:val="28C9682E"/>
    <w:rsid w:val="28D42E04"/>
    <w:rsid w:val="28D870B1"/>
    <w:rsid w:val="28ED3EC6"/>
    <w:rsid w:val="29A45E3F"/>
    <w:rsid w:val="29D46E34"/>
    <w:rsid w:val="29F54CD2"/>
    <w:rsid w:val="2A04596B"/>
    <w:rsid w:val="2A06146B"/>
    <w:rsid w:val="2A0D15E4"/>
    <w:rsid w:val="2AEF03C9"/>
    <w:rsid w:val="2B1C4262"/>
    <w:rsid w:val="2B746468"/>
    <w:rsid w:val="2BA32F62"/>
    <w:rsid w:val="2BD4136D"/>
    <w:rsid w:val="2BD63337"/>
    <w:rsid w:val="2C424529"/>
    <w:rsid w:val="2C6D0CF3"/>
    <w:rsid w:val="2C923702"/>
    <w:rsid w:val="2CAE1BBE"/>
    <w:rsid w:val="2CB35427"/>
    <w:rsid w:val="2CF63CCC"/>
    <w:rsid w:val="2D0422A3"/>
    <w:rsid w:val="2D7928B5"/>
    <w:rsid w:val="2DB31B82"/>
    <w:rsid w:val="2DD613CD"/>
    <w:rsid w:val="2DFF6B75"/>
    <w:rsid w:val="2E0B376C"/>
    <w:rsid w:val="2E19750B"/>
    <w:rsid w:val="2E2D0A6B"/>
    <w:rsid w:val="2E5D564A"/>
    <w:rsid w:val="2E78505A"/>
    <w:rsid w:val="2EAC23F6"/>
    <w:rsid w:val="2ED32D39"/>
    <w:rsid w:val="2EFC3AB9"/>
    <w:rsid w:val="2F312F92"/>
    <w:rsid w:val="2F5268C1"/>
    <w:rsid w:val="30550CCF"/>
    <w:rsid w:val="309801ED"/>
    <w:rsid w:val="30F73331"/>
    <w:rsid w:val="31655E3B"/>
    <w:rsid w:val="316867E0"/>
    <w:rsid w:val="31853836"/>
    <w:rsid w:val="318A49A8"/>
    <w:rsid w:val="3192385D"/>
    <w:rsid w:val="31D64091"/>
    <w:rsid w:val="32096215"/>
    <w:rsid w:val="32292413"/>
    <w:rsid w:val="325E7BE3"/>
    <w:rsid w:val="32881945"/>
    <w:rsid w:val="32CE5341"/>
    <w:rsid w:val="33030382"/>
    <w:rsid w:val="33353039"/>
    <w:rsid w:val="335164FE"/>
    <w:rsid w:val="3431735D"/>
    <w:rsid w:val="345762FD"/>
    <w:rsid w:val="34672DC0"/>
    <w:rsid w:val="34F265FD"/>
    <w:rsid w:val="352073D1"/>
    <w:rsid w:val="357E2A76"/>
    <w:rsid w:val="35B05222"/>
    <w:rsid w:val="35B75BBE"/>
    <w:rsid w:val="364041CF"/>
    <w:rsid w:val="3647730B"/>
    <w:rsid w:val="36D263C4"/>
    <w:rsid w:val="36D609F1"/>
    <w:rsid w:val="36FD5560"/>
    <w:rsid w:val="3702284F"/>
    <w:rsid w:val="37517D16"/>
    <w:rsid w:val="37B47EBD"/>
    <w:rsid w:val="37D72DA0"/>
    <w:rsid w:val="37EE37B7"/>
    <w:rsid w:val="37F60FE9"/>
    <w:rsid w:val="382D0232"/>
    <w:rsid w:val="38784230"/>
    <w:rsid w:val="387B504A"/>
    <w:rsid w:val="388859B9"/>
    <w:rsid w:val="38BC1624"/>
    <w:rsid w:val="38EA2C77"/>
    <w:rsid w:val="39643D30"/>
    <w:rsid w:val="3A274C17"/>
    <w:rsid w:val="3A5356E1"/>
    <w:rsid w:val="3A617662"/>
    <w:rsid w:val="3AA40859"/>
    <w:rsid w:val="3AB43149"/>
    <w:rsid w:val="3B8D190D"/>
    <w:rsid w:val="3BC1546A"/>
    <w:rsid w:val="3D073351"/>
    <w:rsid w:val="3DC36E61"/>
    <w:rsid w:val="3DFF1B6D"/>
    <w:rsid w:val="3E674220"/>
    <w:rsid w:val="3E8502AB"/>
    <w:rsid w:val="3F555260"/>
    <w:rsid w:val="3F5C5A01"/>
    <w:rsid w:val="3FBB0422"/>
    <w:rsid w:val="3FE518BE"/>
    <w:rsid w:val="406C7558"/>
    <w:rsid w:val="40C95C12"/>
    <w:rsid w:val="40EB606D"/>
    <w:rsid w:val="41AA4BF2"/>
    <w:rsid w:val="41DF37FE"/>
    <w:rsid w:val="41F93484"/>
    <w:rsid w:val="42D94C4F"/>
    <w:rsid w:val="42E934F8"/>
    <w:rsid w:val="434F5A51"/>
    <w:rsid w:val="4413082D"/>
    <w:rsid w:val="44906321"/>
    <w:rsid w:val="44BA339E"/>
    <w:rsid w:val="44DB12E8"/>
    <w:rsid w:val="4515296F"/>
    <w:rsid w:val="452D591E"/>
    <w:rsid w:val="45EF49AA"/>
    <w:rsid w:val="47024B89"/>
    <w:rsid w:val="4714323A"/>
    <w:rsid w:val="47D85691"/>
    <w:rsid w:val="481568D9"/>
    <w:rsid w:val="484C04E7"/>
    <w:rsid w:val="48502504"/>
    <w:rsid w:val="4851401A"/>
    <w:rsid w:val="48A85B47"/>
    <w:rsid w:val="48B9571B"/>
    <w:rsid w:val="48E649B1"/>
    <w:rsid w:val="494C40CD"/>
    <w:rsid w:val="496935E7"/>
    <w:rsid w:val="49D4280C"/>
    <w:rsid w:val="49E669E4"/>
    <w:rsid w:val="4A74435E"/>
    <w:rsid w:val="4B133808"/>
    <w:rsid w:val="4BA426B2"/>
    <w:rsid w:val="4BE13907"/>
    <w:rsid w:val="4C6F4AF2"/>
    <w:rsid w:val="4CEB0640"/>
    <w:rsid w:val="4CFA7D7E"/>
    <w:rsid w:val="4D114108"/>
    <w:rsid w:val="4D203020"/>
    <w:rsid w:val="4D260EFB"/>
    <w:rsid w:val="4D5B25F7"/>
    <w:rsid w:val="4D775534"/>
    <w:rsid w:val="4D875DE8"/>
    <w:rsid w:val="4DA900E3"/>
    <w:rsid w:val="4EBA13D7"/>
    <w:rsid w:val="4EFC1636"/>
    <w:rsid w:val="4F0C47F7"/>
    <w:rsid w:val="4F126690"/>
    <w:rsid w:val="4F231986"/>
    <w:rsid w:val="4F6C0DB8"/>
    <w:rsid w:val="4F7D4CA2"/>
    <w:rsid w:val="4FA709C3"/>
    <w:rsid w:val="4FA99C33"/>
    <w:rsid w:val="4FB87CE8"/>
    <w:rsid w:val="4FDF7658"/>
    <w:rsid w:val="4FE37716"/>
    <w:rsid w:val="506B7C43"/>
    <w:rsid w:val="50974594"/>
    <w:rsid w:val="50B9275C"/>
    <w:rsid w:val="50D41344"/>
    <w:rsid w:val="5119769F"/>
    <w:rsid w:val="514364CA"/>
    <w:rsid w:val="516A3A56"/>
    <w:rsid w:val="517D7C2E"/>
    <w:rsid w:val="518666E1"/>
    <w:rsid w:val="52952D55"/>
    <w:rsid w:val="52BEBF94"/>
    <w:rsid w:val="53306393"/>
    <w:rsid w:val="533662E6"/>
    <w:rsid w:val="53381D95"/>
    <w:rsid w:val="53A616BE"/>
    <w:rsid w:val="54063AF9"/>
    <w:rsid w:val="5407449D"/>
    <w:rsid w:val="5411465D"/>
    <w:rsid w:val="543A049B"/>
    <w:rsid w:val="549758D6"/>
    <w:rsid w:val="5498646D"/>
    <w:rsid w:val="54AD4386"/>
    <w:rsid w:val="554950DA"/>
    <w:rsid w:val="55610682"/>
    <w:rsid w:val="5563713A"/>
    <w:rsid w:val="556829A3"/>
    <w:rsid w:val="557430F6"/>
    <w:rsid w:val="55EC5382"/>
    <w:rsid w:val="562C39D0"/>
    <w:rsid w:val="56AA2565"/>
    <w:rsid w:val="56E9340F"/>
    <w:rsid w:val="574D281E"/>
    <w:rsid w:val="5792138F"/>
    <w:rsid w:val="57BF29E4"/>
    <w:rsid w:val="581942AD"/>
    <w:rsid w:val="58894E62"/>
    <w:rsid w:val="58B70EBC"/>
    <w:rsid w:val="58BA3146"/>
    <w:rsid w:val="58CE0D6F"/>
    <w:rsid w:val="58CF4005"/>
    <w:rsid w:val="58DC4843"/>
    <w:rsid w:val="58FC3B2E"/>
    <w:rsid w:val="594415A8"/>
    <w:rsid w:val="59961EAF"/>
    <w:rsid w:val="5A250E62"/>
    <w:rsid w:val="5A26728B"/>
    <w:rsid w:val="5AC3040C"/>
    <w:rsid w:val="5ADA1C4D"/>
    <w:rsid w:val="5B06072A"/>
    <w:rsid w:val="5B3550D5"/>
    <w:rsid w:val="5B405245"/>
    <w:rsid w:val="5B745BFD"/>
    <w:rsid w:val="5BB16D24"/>
    <w:rsid w:val="5C0F7357"/>
    <w:rsid w:val="5C2E0916"/>
    <w:rsid w:val="5C447CC6"/>
    <w:rsid w:val="5C5D4718"/>
    <w:rsid w:val="5C715907"/>
    <w:rsid w:val="5CDF3C0D"/>
    <w:rsid w:val="5D0631CD"/>
    <w:rsid w:val="5DF2592E"/>
    <w:rsid w:val="5E173D9B"/>
    <w:rsid w:val="5E3EC4E5"/>
    <w:rsid w:val="5EC7073A"/>
    <w:rsid w:val="5FCFB320"/>
    <w:rsid w:val="5FF217E7"/>
    <w:rsid w:val="5FFD942D"/>
    <w:rsid w:val="5FFE018B"/>
    <w:rsid w:val="5FFFF0AC"/>
    <w:rsid w:val="6099330B"/>
    <w:rsid w:val="60C82547"/>
    <w:rsid w:val="60E07891"/>
    <w:rsid w:val="60E94998"/>
    <w:rsid w:val="610A47B8"/>
    <w:rsid w:val="61314591"/>
    <w:rsid w:val="614F54D2"/>
    <w:rsid w:val="61750921"/>
    <w:rsid w:val="618B5A4F"/>
    <w:rsid w:val="624C1682"/>
    <w:rsid w:val="626E28A7"/>
    <w:rsid w:val="628543B1"/>
    <w:rsid w:val="635822A8"/>
    <w:rsid w:val="636F4ADC"/>
    <w:rsid w:val="63A92B04"/>
    <w:rsid w:val="63B379DE"/>
    <w:rsid w:val="63CF5B8B"/>
    <w:rsid w:val="64041AE8"/>
    <w:rsid w:val="64136A11"/>
    <w:rsid w:val="644F5459"/>
    <w:rsid w:val="648B0FAA"/>
    <w:rsid w:val="64B96D77"/>
    <w:rsid w:val="65120EC6"/>
    <w:rsid w:val="653603C7"/>
    <w:rsid w:val="65622F6B"/>
    <w:rsid w:val="658C1FA6"/>
    <w:rsid w:val="65D44CCA"/>
    <w:rsid w:val="66D24F47"/>
    <w:rsid w:val="66D460EA"/>
    <w:rsid w:val="671D5367"/>
    <w:rsid w:val="677925CA"/>
    <w:rsid w:val="67917B37"/>
    <w:rsid w:val="67CA7195"/>
    <w:rsid w:val="684B23DC"/>
    <w:rsid w:val="689D1A3B"/>
    <w:rsid w:val="68B25FB7"/>
    <w:rsid w:val="68B910F3"/>
    <w:rsid w:val="68C9702B"/>
    <w:rsid w:val="698E1A1B"/>
    <w:rsid w:val="698E2580"/>
    <w:rsid w:val="69901D8C"/>
    <w:rsid w:val="69982374"/>
    <w:rsid w:val="69E7596B"/>
    <w:rsid w:val="6A1A3E14"/>
    <w:rsid w:val="6A96200E"/>
    <w:rsid w:val="6B3D24B0"/>
    <w:rsid w:val="6B6932A5"/>
    <w:rsid w:val="6BAE515B"/>
    <w:rsid w:val="6BC04E8F"/>
    <w:rsid w:val="6C360CAD"/>
    <w:rsid w:val="6CBD37F6"/>
    <w:rsid w:val="6DAD4F9F"/>
    <w:rsid w:val="6DD62748"/>
    <w:rsid w:val="6DD7112A"/>
    <w:rsid w:val="6E216668"/>
    <w:rsid w:val="6E2F6C77"/>
    <w:rsid w:val="6E324618"/>
    <w:rsid w:val="6E6B7334"/>
    <w:rsid w:val="6E781A51"/>
    <w:rsid w:val="6EBA6930"/>
    <w:rsid w:val="6F103A37"/>
    <w:rsid w:val="6F4417EA"/>
    <w:rsid w:val="6F460345"/>
    <w:rsid w:val="6F6D22A6"/>
    <w:rsid w:val="6FB26B0B"/>
    <w:rsid w:val="6FB77904"/>
    <w:rsid w:val="6FB865A9"/>
    <w:rsid w:val="6FCBD965"/>
    <w:rsid w:val="6FD9207B"/>
    <w:rsid w:val="6FFFCA68"/>
    <w:rsid w:val="70231548"/>
    <w:rsid w:val="704735F8"/>
    <w:rsid w:val="70490BA1"/>
    <w:rsid w:val="704C669B"/>
    <w:rsid w:val="7063448F"/>
    <w:rsid w:val="707F2C23"/>
    <w:rsid w:val="70F25AEA"/>
    <w:rsid w:val="710F307D"/>
    <w:rsid w:val="71B76065"/>
    <w:rsid w:val="71C06754"/>
    <w:rsid w:val="72646574"/>
    <w:rsid w:val="7271076B"/>
    <w:rsid w:val="72A44BC2"/>
    <w:rsid w:val="72CC236B"/>
    <w:rsid w:val="72DA6836"/>
    <w:rsid w:val="73533EAF"/>
    <w:rsid w:val="7376394C"/>
    <w:rsid w:val="7393108B"/>
    <w:rsid w:val="73993FFB"/>
    <w:rsid w:val="74A76BEC"/>
    <w:rsid w:val="75474E11"/>
    <w:rsid w:val="75556648"/>
    <w:rsid w:val="75865DEE"/>
    <w:rsid w:val="75A7EDF1"/>
    <w:rsid w:val="75A8474E"/>
    <w:rsid w:val="75B3511C"/>
    <w:rsid w:val="75C35625"/>
    <w:rsid w:val="76E556A0"/>
    <w:rsid w:val="76F7DF63"/>
    <w:rsid w:val="77574135"/>
    <w:rsid w:val="775766A7"/>
    <w:rsid w:val="77B05DB7"/>
    <w:rsid w:val="77F84F7A"/>
    <w:rsid w:val="77FC0C22"/>
    <w:rsid w:val="77FDF8B4"/>
    <w:rsid w:val="7811525D"/>
    <w:rsid w:val="781A76D5"/>
    <w:rsid w:val="785D43B4"/>
    <w:rsid w:val="7883527A"/>
    <w:rsid w:val="789E4501"/>
    <w:rsid w:val="790243F1"/>
    <w:rsid w:val="793C2330"/>
    <w:rsid w:val="798C63B0"/>
    <w:rsid w:val="7A326409"/>
    <w:rsid w:val="7A684727"/>
    <w:rsid w:val="7A693667"/>
    <w:rsid w:val="7A6D1FE3"/>
    <w:rsid w:val="7A792DD8"/>
    <w:rsid w:val="7ADE01B6"/>
    <w:rsid w:val="7AFF434E"/>
    <w:rsid w:val="7B137099"/>
    <w:rsid w:val="7B221334"/>
    <w:rsid w:val="7B821819"/>
    <w:rsid w:val="7BBD3CEF"/>
    <w:rsid w:val="7BE5BFFC"/>
    <w:rsid w:val="7C1F350C"/>
    <w:rsid w:val="7C310E84"/>
    <w:rsid w:val="7C5E6574"/>
    <w:rsid w:val="7C776EA4"/>
    <w:rsid w:val="7CAFCFF7"/>
    <w:rsid w:val="7CB263ED"/>
    <w:rsid w:val="7CB2717C"/>
    <w:rsid w:val="7CB35F23"/>
    <w:rsid w:val="7CCC3693"/>
    <w:rsid w:val="7D1058BF"/>
    <w:rsid w:val="7D35010E"/>
    <w:rsid w:val="7D360B0D"/>
    <w:rsid w:val="7D8FC37D"/>
    <w:rsid w:val="7DA147E1"/>
    <w:rsid w:val="7DCF629C"/>
    <w:rsid w:val="7EA93DB1"/>
    <w:rsid w:val="7ED625A7"/>
    <w:rsid w:val="7F2B2865"/>
    <w:rsid w:val="7F77652C"/>
    <w:rsid w:val="7F778460"/>
    <w:rsid w:val="7F7A6AB9"/>
    <w:rsid w:val="7F7D607C"/>
    <w:rsid w:val="7FA82B99"/>
    <w:rsid w:val="7FFB88D0"/>
    <w:rsid w:val="7FFF7CEE"/>
    <w:rsid w:val="7FFF86ED"/>
    <w:rsid w:val="91EC69C0"/>
    <w:rsid w:val="95CA3791"/>
    <w:rsid w:val="BDF68233"/>
    <w:rsid w:val="BFF9C791"/>
    <w:rsid w:val="C4FD7E9F"/>
    <w:rsid w:val="C63694D1"/>
    <w:rsid w:val="D9DF135F"/>
    <w:rsid w:val="DDF554C1"/>
    <w:rsid w:val="E69AAD8A"/>
    <w:rsid w:val="E7F52EB8"/>
    <w:rsid w:val="EC3F3F99"/>
    <w:rsid w:val="EE35FB0D"/>
    <w:rsid w:val="EFF78342"/>
    <w:rsid w:val="F0AFABF9"/>
    <w:rsid w:val="F796BEE7"/>
    <w:rsid w:val="F7D810AB"/>
    <w:rsid w:val="FB7FEAFF"/>
    <w:rsid w:val="FBAFC777"/>
    <w:rsid w:val="FBF38AB5"/>
    <w:rsid w:val="FCFB9AF7"/>
    <w:rsid w:val="FE7750AA"/>
    <w:rsid w:val="FEDE25CA"/>
    <w:rsid w:val="FF552364"/>
    <w:rsid w:val="FF7FD886"/>
    <w:rsid w:val="FF8C90F5"/>
    <w:rsid w:val="FF9FDD64"/>
    <w:rsid w:val="FFDEF0C6"/>
    <w:rsid w:val="FFE1CBD8"/>
    <w:rsid w:val="FFF74BF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paragraph" w:styleId="4">
    <w:name w:val="heading 1"/>
    <w:basedOn w:val="1"/>
    <w:next w:val="1"/>
    <w:qFormat/>
    <w:uiPriority w:val="0"/>
    <w:pPr>
      <w:keepNext/>
      <w:keepLines/>
      <w:widowControl w:val="0"/>
      <w:spacing w:before="340" w:after="330" w:line="578" w:lineRule="auto"/>
      <w:ind w:left="0" w:right="0"/>
      <w:jc w:val="both"/>
      <w:outlineLvl w:val="0"/>
    </w:pPr>
    <w:rPr>
      <w:rFonts w:ascii="Times New Roman" w:hAnsi="Times New Roman" w:eastAsia="宋体" w:cs="Times New Roman"/>
      <w:b/>
      <w:bCs/>
      <w:kern w:val="44"/>
      <w:sz w:val="44"/>
      <w:szCs w:val="44"/>
      <w:lang w:val="en-US" w:eastAsia="zh-CN" w:bidi="ar-SA"/>
    </w:rPr>
  </w:style>
  <w:style w:type="paragraph" w:styleId="5">
    <w:name w:val="heading 2"/>
    <w:basedOn w:val="1"/>
    <w:next w:val="1"/>
    <w:qFormat/>
    <w:uiPriority w:val="0"/>
    <w:pPr>
      <w:keepNext/>
      <w:keepLines/>
      <w:widowControl w:val="0"/>
      <w:spacing w:before="260" w:after="260" w:line="415" w:lineRule="auto"/>
      <w:ind w:left="0" w:right="0"/>
      <w:jc w:val="both"/>
      <w:outlineLvl w:val="1"/>
    </w:pPr>
    <w:rPr>
      <w:rFonts w:ascii="Arial" w:hAnsi="Arial" w:eastAsia="黑体" w:cs="Arial"/>
      <w:b/>
      <w:bCs/>
      <w:kern w:val="2"/>
      <w:sz w:val="32"/>
      <w:szCs w:val="32"/>
      <w:lang w:val="en-US" w:eastAsia="zh-CN" w:bidi="ar-SA"/>
    </w:rPr>
  </w:style>
  <w:style w:type="paragraph" w:styleId="6">
    <w:name w:val="heading 3"/>
    <w:basedOn w:val="1"/>
    <w:next w:val="1"/>
    <w:qFormat/>
    <w:uiPriority w:val="0"/>
    <w:pPr>
      <w:keepNext/>
      <w:keepLines/>
      <w:numPr>
        <w:ilvl w:val="2"/>
        <w:numId w:val="1"/>
      </w:numPr>
      <w:spacing w:before="260" w:beforeLines="0" w:after="260" w:afterLines="0" w:line="416" w:lineRule="auto"/>
      <w:outlineLvl w:val="2"/>
    </w:pPr>
    <w:rPr>
      <w:rFonts w:ascii="Times New Roman" w:hAnsi="Times New Roman" w:eastAsia="宋体" w:cs="Times New Roman"/>
      <w:b/>
      <w:bCs/>
      <w:sz w:val="32"/>
      <w:szCs w:val="32"/>
    </w:rPr>
  </w:style>
  <w:style w:type="paragraph" w:styleId="7">
    <w:name w:val="heading 4"/>
    <w:basedOn w:val="1"/>
    <w:qFormat/>
    <w:uiPriority w:val="0"/>
    <w:pPr>
      <w:keepNext/>
      <w:keepLines/>
      <w:widowControl w:val="0"/>
      <w:spacing w:after="0" w:line="540" w:lineRule="atLeast"/>
      <w:jc w:val="both"/>
      <w:outlineLvl w:val="3"/>
    </w:pPr>
    <w:rPr>
      <w:rFonts w:ascii="Times New Roman" w:hAnsi="Times New Roman" w:eastAsia="宋体" w:cs="Times New Roman"/>
      <w:kern w:val="2"/>
      <w:sz w:val="28"/>
      <w:szCs w:val="28"/>
      <w:lang w:val="en-US" w:eastAsia="zh-CN" w:bidi="ar-SA"/>
    </w:rPr>
  </w:style>
  <w:style w:type="paragraph" w:styleId="8">
    <w:name w:val="heading 5"/>
    <w:basedOn w:val="1"/>
    <w:next w:val="1"/>
    <w:qFormat/>
    <w:uiPriority w:val="0"/>
    <w:pPr>
      <w:keepNext/>
      <w:keepLines/>
      <w:numPr>
        <w:ilvl w:val="4"/>
        <w:numId w:val="1"/>
      </w:numPr>
      <w:spacing w:before="280" w:beforeLines="0" w:after="290" w:afterLines="0" w:line="376" w:lineRule="auto"/>
      <w:outlineLvl w:val="4"/>
    </w:pPr>
    <w:rPr>
      <w:rFonts w:ascii="Times New Roman" w:hAnsi="Times New Roman" w:eastAsia="宋体" w:cs="Times New Roman"/>
      <w:b/>
      <w:bCs/>
      <w:sz w:val="28"/>
      <w:szCs w:val="28"/>
    </w:rPr>
  </w:style>
  <w:style w:type="paragraph" w:styleId="9">
    <w:name w:val="heading 6"/>
    <w:basedOn w:val="1"/>
    <w:next w:val="1"/>
    <w:qFormat/>
    <w:uiPriority w:val="0"/>
    <w:pPr>
      <w:keepNext/>
      <w:keepLines/>
      <w:numPr>
        <w:ilvl w:val="5"/>
        <w:numId w:val="1"/>
      </w:numPr>
      <w:spacing w:before="240" w:beforeLines="0" w:after="64" w:afterLines="0" w:line="320" w:lineRule="auto"/>
      <w:outlineLvl w:val="5"/>
    </w:pPr>
    <w:rPr>
      <w:rFonts w:ascii="Arial" w:hAnsi="Arial" w:eastAsia="黑体" w:cs="Times New Roman"/>
      <w:b/>
      <w:bCs/>
      <w:sz w:val="24"/>
    </w:rPr>
  </w:style>
  <w:style w:type="paragraph" w:styleId="10">
    <w:name w:val="heading 7"/>
    <w:basedOn w:val="1"/>
    <w:next w:val="1"/>
    <w:qFormat/>
    <w:uiPriority w:val="0"/>
    <w:pPr>
      <w:keepNext/>
      <w:keepLines/>
      <w:numPr>
        <w:ilvl w:val="6"/>
        <w:numId w:val="1"/>
      </w:numPr>
      <w:spacing w:before="240" w:beforeLines="0" w:after="64" w:afterLines="0" w:line="320" w:lineRule="auto"/>
      <w:outlineLvl w:val="6"/>
    </w:pPr>
    <w:rPr>
      <w:rFonts w:ascii="Times New Roman" w:hAnsi="Times New Roman" w:eastAsia="宋体" w:cs="Times New Roman"/>
      <w:b/>
      <w:bCs/>
      <w:sz w:val="24"/>
    </w:rPr>
  </w:style>
  <w:style w:type="paragraph" w:styleId="11">
    <w:name w:val="heading 8"/>
    <w:basedOn w:val="1"/>
    <w:next w:val="1"/>
    <w:qFormat/>
    <w:uiPriority w:val="0"/>
    <w:pPr>
      <w:keepNext/>
      <w:keepLines/>
      <w:numPr>
        <w:ilvl w:val="7"/>
        <w:numId w:val="1"/>
      </w:numPr>
      <w:spacing w:before="240" w:beforeLines="0" w:after="64" w:afterLines="0" w:line="320" w:lineRule="auto"/>
      <w:outlineLvl w:val="7"/>
    </w:pPr>
    <w:rPr>
      <w:rFonts w:ascii="Arial" w:hAnsi="Arial" w:eastAsia="黑体" w:cs="Times New Roman"/>
      <w:sz w:val="24"/>
    </w:rPr>
  </w:style>
  <w:style w:type="paragraph" w:styleId="12">
    <w:name w:val="heading 9"/>
    <w:basedOn w:val="1"/>
    <w:next w:val="1"/>
    <w:qFormat/>
    <w:uiPriority w:val="0"/>
    <w:pPr>
      <w:keepNext/>
      <w:keepLines/>
      <w:numPr>
        <w:ilvl w:val="8"/>
        <w:numId w:val="1"/>
      </w:numPr>
      <w:spacing w:before="240" w:beforeLines="0" w:after="64" w:afterLines="0" w:line="320" w:lineRule="auto"/>
      <w:outlineLvl w:val="8"/>
    </w:pPr>
    <w:rPr>
      <w:rFonts w:ascii="Arial" w:hAnsi="Arial" w:eastAsia="黑体" w:cs="Times New Roman"/>
      <w:szCs w:val="21"/>
    </w:rPr>
  </w:style>
  <w:style w:type="character" w:default="1" w:styleId="40">
    <w:name w:val="Default Paragraph Font"/>
    <w:uiPriority w:val="0"/>
    <w:rPr>
      <w:rFonts w:ascii="Times New Roman" w:hAnsi="Times New Roman" w:eastAsia="宋体" w:cs="Times New Roman"/>
    </w:rPr>
  </w:style>
  <w:style w:type="table" w:default="1" w:styleId="38">
    <w:name w:val="Normal Table"/>
    <w:uiPriority w:val="0"/>
    <w:rPr>
      <w:rFonts w:ascii="Times New Roman" w:hAnsi="Times New Roman" w:eastAsia="宋体" w:cs="Times New Roman"/>
    </w:rPr>
    <w:tblPr>
      <w:tblStyle w:val="38"/>
      <w:tblCellMar>
        <w:top w:w="0" w:type="dxa"/>
        <w:left w:w="108" w:type="dxa"/>
        <w:bottom w:w="0" w:type="dxa"/>
        <w:right w:w="108" w:type="dxa"/>
      </w:tblCellMar>
    </w:tblPr>
  </w:style>
  <w:style w:type="paragraph" w:styleId="2">
    <w:name w:val="Body Text First Indent"/>
    <w:basedOn w:val="3"/>
    <w:uiPriority w:val="0"/>
    <w:pPr>
      <w:widowControl w:val="0"/>
      <w:spacing w:before="0" w:after="120"/>
      <w:ind w:left="0" w:right="0" w:firstLine="420" w:firstLineChars="100"/>
      <w:jc w:val="both"/>
    </w:pPr>
    <w:rPr>
      <w:rFonts w:ascii="Times New Roman" w:hAnsi="Times New Roman" w:eastAsia="宋体" w:cs="Times New Roman"/>
      <w:kern w:val="2"/>
      <w:sz w:val="21"/>
      <w:szCs w:val="24"/>
      <w:lang w:val="en-US" w:eastAsia="zh-CN" w:bidi="ar-SA"/>
    </w:rPr>
  </w:style>
  <w:style w:type="paragraph" w:styleId="3">
    <w:name w:val="Body Text"/>
    <w:basedOn w:val="1"/>
    <w:next w:val="2"/>
    <w:uiPriority w:val="0"/>
    <w:pPr>
      <w:widowControl w:val="0"/>
      <w:spacing w:after="0"/>
      <w:jc w:val="both"/>
    </w:pPr>
    <w:rPr>
      <w:rFonts w:ascii="Times New Roman" w:hAnsi="Times New Roman" w:eastAsia="宋体" w:cs="Times New Roman"/>
      <w:kern w:val="2"/>
      <w:sz w:val="24"/>
      <w:szCs w:val="24"/>
      <w:lang w:val="en-US" w:eastAsia="zh-CN" w:bidi="ar-SA"/>
    </w:rPr>
  </w:style>
  <w:style w:type="paragraph" w:styleId="13">
    <w:name w:val="List Number"/>
    <w:basedOn w:val="1"/>
    <w:uiPriority w:val="0"/>
    <w:pPr>
      <w:numPr>
        <w:ilvl w:val="0"/>
        <w:numId w:val="2"/>
      </w:numPr>
      <w:tabs>
        <w:tab w:val="left" w:pos="360"/>
        <w:tab w:val="clear" w:pos="1455"/>
      </w:tabs>
    </w:pPr>
    <w:rPr>
      <w:rFonts w:ascii="Times New Roman" w:hAnsi="Times New Roman" w:eastAsia="宋体" w:cs="Times New Roman"/>
    </w:rPr>
  </w:style>
  <w:style w:type="paragraph" w:styleId="14">
    <w:name w:val="Normal Indent"/>
    <w:basedOn w:val="1"/>
    <w:next w:val="15"/>
    <w:uiPriority w:val="0"/>
    <w:pPr>
      <w:widowControl w:val="0"/>
      <w:spacing w:after="0"/>
      <w:ind w:firstLine="420"/>
      <w:jc w:val="both"/>
    </w:pPr>
    <w:rPr>
      <w:rFonts w:ascii="Times New Roman" w:hAnsi="Times New Roman" w:eastAsia="宋体" w:cs="Times New Roman"/>
      <w:kern w:val="2"/>
      <w:sz w:val="21"/>
      <w:szCs w:val="20"/>
      <w:lang w:val="en-US" w:eastAsia="zh-CN" w:bidi="ar-SA"/>
    </w:rPr>
  </w:style>
  <w:style w:type="paragraph" w:styleId="15">
    <w:name w:val="Body Text Indent"/>
    <w:basedOn w:val="1"/>
    <w:next w:val="14"/>
    <w:uiPriority w:val="0"/>
    <w:pPr>
      <w:spacing w:line="460" w:lineRule="exact"/>
      <w:ind w:firstLine="482" w:firstLineChars="200"/>
    </w:pPr>
    <w:rPr>
      <w:rFonts w:ascii="Times New Roman" w:hAnsi="Times New Roman" w:eastAsia="宋体" w:cs="Times New Roman"/>
      <w:b/>
      <w:bCs/>
      <w:sz w:val="24"/>
      <w:shd w:val="clear" w:color="auto" w:fill="CCCCCC"/>
    </w:rPr>
  </w:style>
  <w:style w:type="paragraph" w:styleId="16">
    <w:name w:val="caption"/>
    <w:basedOn w:val="1"/>
    <w:next w:val="1"/>
    <w:qFormat/>
    <w:uiPriority w:val="0"/>
    <w:pPr>
      <w:widowControl/>
      <w:adjustRightInd w:val="0"/>
      <w:spacing w:before="120" w:beforeLines="50" w:line="260" w:lineRule="exact"/>
      <w:ind w:left="200"/>
      <w:jc w:val="center"/>
      <w:textAlignment w:val="baseline"/>
      <w:outlineLvl w:val="3"/>
    </w:pPr>
    <w:rPr>
      <w:rFonts w:ascii="Arial" w:hAnsi="Arial" w:eastAsia="仿宋" w:cs="Arial"/>
      <w:kern w:val="0"/>
      <w:szCs w:val="20"/>
    </w:rPr>
  </w:style>
  <w:style w:type="paragraph" w:styleId="17">
    <w:name w:val="annotation text"/>
    <w:basedOn w:val="1"/>
    <w:uiPriority w:val="0"/>
    <w:pPr>
      <w:jc w:val="left"/>
    </w:pPr>
    <w:rPr>
      <w:rFonts w:ascii="Times New Roman" w:hAnsi="Times New Roman" w:eastAsia="宋体" w:cs="Times New Roman"/>
    </w:rPr>
  </w:style>
  <w:style w:type="paragraph" w:styleId="18">
    <w:name w:val="Plain Text"/>
    <w:basedOn w:val="1"/>
    <w:next w:val="1"/>
    <w:link w:val="56"/>
    <w:uiPriority w:val="0"/>
    <w:rPr>
      <w:rFonts w:ascii="宋体" w:hAnsi="Courier New" w:eastAsia="宋体" w:cs="Courier New"/>
      <w:szCs w:val="21"/>
    </w:rPr>
  </w:style>
  <w:style w:type="paragraph" w:styleId="19">
    <w:name w:val="Date"/>
    <w:basedOn w:val="1"/>
    <w:next w:val="1"/>
    <w:uiPriority w:val="0"/>
    <w:rPr>
      <w:rFonts w:ascii="Times New Roman" w:hAnsi="Times New Roman" w:eastAsia="宋体" w:cs="Times New Roman"/>
      <w:sz w:val="28"/>
      <w:szCs w:val="20"/>
    </w:rPr>
  </w:style>
  <w:style w:type="paragraph" w:styleId="20">
    <w:name w:val="Body Text Indent 2"/>
    <w:basedOn w:val="1"/>
    <w:uiPriority w:val="0"/>
    <w:pPr>
      <w:widowControl w:val="0"/>
      <w:spacing w:after="0" w:line="360" w:lineRule="auto"/>
      <w:ind w:firstLine="480"/>
      <w:jc w:val="both"/>
    </w:pPr>
    <w:rPr>
      <w:rFonts w:ascii="宋体" w:hAnsi="Times New Roman" w:eastAsia="新宋体" w:cs="宋体"/>
      <w:kern w:val="2"/>
      <w:sz w:val="24"/>
      <w:szCs w:val="20"/>
      <w:lang w:val="en-US" w:eastAsia="zh-CN" w:bidi="ar-SA"/>
    </w:rPr>
  </w:style>
  <w:style w:type="paragraph" w:styleId="21">
    <w:name w:val="Balloon Text"/>
    <w:basedOn w:val="1"/>
    <w:uiPriority w:val="0"/>
    <w:rPr>
      <w:rFonts w:ascii="Times New Roman" w:hAnsi="Times New Roman" w:eastAsia="宋体" w:cs="Times New Roman"/>
      <w:sz w:val="18"/>
      <w:szCs w:val="18"/>
    </w:rPr>
  </w:style>
  <w:style w:type="paragraph" w:styleId="22">
    <w:name w:val="footer"/>
    <w:basedOn w:val="1"/>
    <w:uiPriority w:val="0"/>
    <w:pPr>
      <w:widowControl w:val="0"/>
      <w:tabs>
        <w:tab w:val="center" w:pos="4140"/>
        <w:tab w:val="right" w:pos="8300"/>
      </w:tabs>
      <w:snapToGrid w:val="0"/>
      <w:spacing w:after="0"/>
      <w:jc w:val="left"/>
    </w:pPr>
    <w:rPr>
      <w:rFonts w:ascii="Times New Roman" w:hAnsi="Times New Roman" w:eastAsia="宋体" w:cs="Times New Roman"/>
      <w:kern w:val="2"/>
      <w:sz w:val="18"/>
      <w:szCs w:val="18"/>
      <w:lang w:val="en-US" w:eastAsia="zh-CN" w:bidi="ar-SA"/>
    </w:rPr>
  </w:style>
  <w:style w:type="paragraph" w:styleId="23">
    <w:name w:val="header"/>
    <w:basedOn w:val="1"/>
    <w:uiPriority w:val="0"/>
    <w:pPr>
      <w:widowControl w:val="0"/>
      <w:pBdr>
        <w:bottom w:val="single" w:color="auto" w:sz="6" w:space="1"/>
      </w:pBdr>
      <w:tabs>
        <w:tab w:val="center" w:pos="4140"/>
        <w:tab w:val="right" w:pos="8300"/>
      </w:tabs>
      <w:snapToGrid w:val="0"/>
      <w:spacing w:after="0"/>
      <w:jc w:val="center"/>
    </w:pPr>
    <w:rPr>
      <w:rFonts w:ascii="Times New Roman" w:hAnsi="Times New Roman" w:eastAsia="宋体" w:cs="Times New Roman"/>
      <w:kern w:val="2"/>
      <w:sz w:val="18"/>
      <w:szCs w:val="18"/>
      <w:lang w:val="en-US" w:eastAsia="zh-CN" w:bidi="ar-SA"/>
    </w:rPr>
  </w:style>
  <w:style w:type="paragraph" w:styleId="24">
    <w:name w:val="toc 1"/>
    <w:basedOn w:val="1"/>
    <w:uiPriority w:val="0"/>
    <w:pPr>
      <w:widowControl w:val="0"/>
      <w:spacing w:after="0" w:line="460" w:lineRule="exact"/>
      <w:jc w:val="both"/>
    </w:pPr>
    <w:rPr>
      <w:rFonts w:ascii="Times New Roman" w:hAnsi="Times New Roman" w:eastAsia="宋体" w:cs="Times New Roman"/>
      <w:b/>
      <w:bCs/>
      <w:kern w:val="2"/>
      <w:sz w:val="28"/>
      <w:szCs w:val="30"/>
      <w:lang w:val="en-US" w:eastAsia="zh-CN" w:bidi="ar-SA"/>
    </w:rPr>
  </w:style>
  <w:style w:type="paragraph" w:styleId="25">
    <w:name w:val="toc 4"/>
    <w:basedOn w:val="1"/>
    <w:next w:val="1"/>
    <w:qFormat/>
    <w:uiPriority w:val="0"/>
    <w:pPr>
      <w:ind w:left="1260"/>
    </w:pPr>
    <w:rPr>
      <w:rFonts w:ascii="Times New Roman" w:hAnsi="Times New Roman" w:eastAsia="宋体" w:cs="Times New Roman"/>
      <w:kern w:val="1"/>
    </w:rPr>
  </w:style>
  <w:style w:type="paragraph" w:styleId="26">
    <w:name w:val="footnote text"/>
    <w:basedOn w:val="1"/>
    <w:link w:val="57"/>
    <w:uiPriority w:val="0"/>
    <w:pPr>
      <w:snapToGrid w:val="0"/>
      <w:jc w:val="left"/>
    </w:pPr>
    <w:rPr>
      <w:rFonts w:ascii="Times New Roman" w:hAnsi="Times New Roman" w:eastAsia="宋体" w:cs="Times New Roman"/>
      <w:sz w:val="18"/>
      <w:szCs w:val="18"/>
    </w:rPr>
  </w:style>
  <w:style w:type="paragraph" w:styleId="27">
    <w:name w:val="toc 6"/>
    <w:basedOn w:val="1"/>
    <w:next w:val="1"/>
    <w:uiPriority w:val="0"/>
    <w:pPr>
      <w:widowControl w:val="0"/>
      <w:spacing w:before="0" w:after="0"/>
      <w:ind w:left="1000" w:leftChars="1000" w:right="0"/>
      <w:jc w:val="both"/>
    </w:pPr>
    <w:rPr>
      <w:rFonts w:ascii="Times New Roman" w:hAnsi="Times New Roman" w:eastAsia="宋体" w:cs="Times New Roman"/>
      <w:kern w:val="2"/>
      <w:sz w:val="21"/>
      <w:szCs w:val="24"/>
      <w:lang w:val="en-US" w:eastAsia="zh-CN" w:bidi="ar-SA"/>
    </w:rPr>
  </w:style>
  <w:style w:type="paragraph" w:styleId="28">
    <w:name w:val="Body Text Indent 3"/>
    <w:basedOn w:val="1"/>
    <w:uiPriority w:val="0"/>
    <w:pPr>
      <w:spacing w:after="120" w:afterLines="0"/>
      <w:ind w:left="420" w:leftChars="200"/>
    </w:pPr>
    <w:rPr>
      <w:rFonts w:ascii="Times New Roman" w:hAnsi="Times New Roman" w:eastAsia="宋体" w:cs="Times New Roman"/>
      <w:sz w:val="16"/>
      <w:szCs w:val="16"/>
    </w:rPr>
  </w:style>
  <w:style w:type="paragraph" w:styleId="29">
    <w:name w:val="toc 2"/>
    <w:basedOn w:val="1"/>
    <w:next w:val="1"/>
    <w:uiPriority w:val="0"/>
    <w:pPr>
      <w:ind w:left="420" w:leftChars="200"/>
    </w:pPr>
    <w:rPr>
      <w:rFonts w:ascii="Times New Roman" w:hAnsi="Times New Roman" w:eastAsia="宋体" w:cs="Times New Roman"/>
    </w:rPr>
  </w:style>
  <w:style w:type="paragraph" w:styleId="30">
    <w:name w:val="toc 9"/>
    <w:basedOn w:val="1"/>
    <w:next w:val="1"/>
    <w:uiPriority w:val="0"/>
    <w:pPr>
      <w:ind w:left="3360" w:leftChars="1600"/>
    </w:pPr>
    <w:rPr>
      <w:rFonts w:ascii="Calibri" w:hAnsi="Calibri" w:eastAsia="宋体" w:cs="Times New Roman"/>
    </w:rPr>
  </w:style>
  <w:style w:type="paragraph" w:styleId="31">
    <w:name w:val="Body Text 2"/>
    <w:basedOn w:val="1"/>
    <w:uiPriority w:val="0"/>
    <w:pPr>
      <w:widowControl w:val="0"/>
      <w:spacing w:before="0" w:after="120" w:line="480" w:lineRule="auto"/>
      <w:ind w:left="0" w:right="0"/>
      <w:jc w:val="both"/>
    </w:pPr>
    <w:rPr>
      <w:rFonts w:ascii="Times New Roman" w:hAnsi="Times New Roman" w:eastAsia="宋体" w:cs="Times New Roman"/>
      <w:kern w:val="2"/>
      <w:sz w:val="21"/>
      <w:szCs w:val="24"/>
      <w:lang w:val="en-US" w:eastAsia="zh-CN" w:bidi="ar-SA"/>
    </w:rPr>
  </w:style>
  <w:style w:type="paragraph" w:styleId="32">
    <w:name w:val="Normal (Web)"/>
    <w:basedOn w:val="1"/>
    <w:uiPriority w:val="99"/>
    <w:pPr>
      <w:widowControl w:val="0"/>
      <w:spacing w:after="0"/>
      <w:jc w:val="both"/>
    </w:pPr>
    <w:rPr>
      <w:rFonts w:ascii="Times New Roman" w:hAnsi="Times New Roman" w:eastAsia="宋体" w:cs="Times New Roman"/>
      <w:kern w:val="2"/>
      <w:sz w:val="24"/>
      <w:szCs w:val="24"/>
      <w:lang w:val="en-US" w:eastAsia="zh-CN" w:bidi="ar-SA"/>
    </w:rPr>
  </w:style>
  <w:style w:type="paragraph" w:styleId="33">
    <w:name w:val="index 1"/>
    <w:basedOn w:val="1"/>
    <w:next w:val="1"/>
    <w:uiPriority w:val="0"/>
    <w:rPr>
      <w:rFonts w:ascii="Times New Roman" w:hAnsi="Times New Roman" w:eastAsia="宋体" w:cs="Times New Roman"/>
    </w:rPr>
  </w:style>
  <w:style w:type="paragraph" w:styleId="34">
    <w:name w:val="Title"/>
    <w:basedOn w:val="1"/>
    <w:next w:val="1"/>
    <w:link w:val="58"/>
    <w:qFormat/>
    <w:uiPriority w:val="0"/>
    <w:pPr>
      <w:spacing w:before="240" w:after="60"/>
      <w:jc w:val="center"/>
      <w:outlineLvl w:val="0"/>
    </w:pPr>
    <w:rPr>
      <w:rFonts w:ascii="等线 Light" w:hAnsi="等线 Light" w:cs="Times New Roman"/>
      <w:b/>
      <w:bCs/>
      <w:sz w:val="32"/>
      <w:szCs w:val="32"/>
    </w:rPr>
  </w:style>
  <w:style w:type="paragraph" w:styleId="35">
    <w:name w:val="annotation subject"/>
    <w:basedOn w:val="17"/>
    <w:next w:val="17"/>
    <w:uiPriority w:val="0"/>
    <w:rPr>
      <w:rFonts w:ascii="Times New Roman" w:hAnsi="Times New Roman" w:eastAsia="宋体" w:cs="Times New Roman"/>
      <w:b/>
      <w:bCs/>
    </w:rPr>
  </w:style>
  <w:style w:type="paragraph" w:styleId="36">
    <w:name w:val="Body Text First Indent 2"/>
    <w:basedOn w:val="15"/>
    <w:next w:val="37"/>
    <w:uiPriority w:val="0"/>
    <w:pPr>
      <w:spacing w:after="120" w:line="240" w:lineRule="auto"/>
      <w:ind w:left="420" w:leftChars="200" w:firstLine="420"/>
    </w:pPr>
    <w:rPr>
      <w:rFonts w:ascii="Times New Roman" w:hAnsi="Times New Roman" w:eastAsia="宋体" w:cs="宋体"/>
      <w:sz w:val="21"/>
      <w:szCs w:val="21"/>
    </w:rPr>
  </w:style>
  <w:style w:type="paragraph" w:customStyle="1" w:styleId="37">
    <w:name w:val="xl53"/>
    <w:basedOn w:val="1"/>
    <w:next w:val="1"/>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line="100" w:lineRule="exact"/>
      <w:jc w:val="center"/>
    </w:pPr>
    <w:rPr>
      <w:rFonts w:ascii="宋体" w:hAnsi="宋体" w:eastAsia="宋体" w:cs="Times New Roman"/>
      <w:b/>
      <w:bCs/>
      <w:kern w:val="0"/>
      <w:sz w:val="20"/>
      <w:szCs w:val="20"/>
    </w:rPr>
  </w:style>
  <w:style w:type="table" w:styleId="39">
    <w:name w:val="Table Grid"/>
    <w:basedOn w:val="38"/>
    <w:uiPriority w:val="0"/>
    <w:pPr>
      <w:widowControl w:val="0"/>
      <w:jc w:val="both"/>
    </w:pPr>
    <w:rPr>
      <w:rFonts w:ascii="Times New Roman" w:hAnsi="Times New Roman" w:eastAsia="宋体" w:cs="Times New Roman"/>
    </w:rPr>
    <w:tblPr>
      <w:tblStyle w:val="38"/>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Strong"/>
    <w:basedOn w:val="40"/>
    <w:qFormat/>
    <w:uiPriority w:val="0"/>
    <w:rPr>
      <w:b/>
      <w:bCs/>
    </w:rPr>
  </w:style>
  <w:style w:type="character" w:styleId="42">
    <w:name w:val="page number"/>
    <w:uiPriority w:val="0"/>
    <w:rPr>
      <w:rFonts w:ascii="Times New Roman" w:hAnsi="Times New Roman" w:eastAsia="宋体" w:cs="Times New Roman"/>
    </w:rPr>
  </w:style>
  <w:style w:type="character" w:styleId="43">
    <w:name w:val="FollowedHyperlink"/>
    <w:uiPriority w:val="0"/>
    <w:rPr>
      <w:rFonts w:ascii="Times New Roman" w:hAnsi="Times New Roman" w:eastAsia="宋体" w:cs="Times New Roman"/>
      <w:color w:val="800080"/>
      <w:szCs w:val="20"/>
      <w:u w:val="single"/>
    </w:rPr>
  </w:style>
  <w:style w:type="character" w:styleId="44">
    <w:name w:val="Emphasis"/>
    <w:basedOn w:val="40"/>
    <w:qFormat/>
    <w:uiPriority w:val="0"/>
    <w:rPr>
      <w:b/>
      <w:bCs/>
    </w:rPr>
  </w:style>
  <w:style w:type="character" w:styleId="45">
    <w:name w:val="HTML Definition"/>
    <w:basedOn w:val="40"/>
    <w:uiPriority w:val="0"/>
  </w:style>
  <w:style w:type="character" w:styleId="46">
    <w:name w:val="HTML Typewriter"/>
    <w:basedOn w:val="40"/>
    <w:uiPriority w:val="0"/>
    <w:rPr>
      <w:rFonts w:hint="default" w:ascii="monospace" w:hAnsi="monospace" w:eastAsia="monospace" w:cs="monospace"/>
      <w:sz w:val="20"/>
    </w:rPr>
  </w:style>
  <w:style w:type="character" w:styleId="47">
    <w:name w:val="HTML Acronym"/>
    <w:basedOn w:val="40"/>
    <w:uiPriority w:val="0"/>
    <w:rPr>
      <w:bdr w:val="none" w:color="auto" w:sz="0" w:space="0"/>
    </w:rPr>
  </w:style>
  <w:style w:type="character" w:styleId="48">
    <w:name w:val="HTML Variable"/>
    <w:basedOn w:val="40"/>
    <w:uiPriority w:val="0"/>
  </w:style>
  <w:style w:type="character" w:styleId="49">
    <w:name w:val="Hyperlink"/>
    <w:uiPriority w:val="0"/>
    <w:rPr>
      <w:rFonts w:ascii="Times New Roman" w:hAnsi="Times New Roman" w:eastAsia="宋体" w:cs="Times New Roman"/>
      <w:color w:val="0000FF"/>
      <w:sz w:val="21"/>
      <w:szCs w:val="20"/>
      <w:u w:val="single"/>
    </w:rPr>
  </w:style>
  <w:style w:type="character" w:styleId="50">
    <w:name w:val="HTML Code"/>
    <w:basedOn w:val="40"/>
    <w:uiPriority w:val="0"/>
    <w:rPr>
      <w:rFonts w:ascii="monospace" w:hAnsi="monospace" w:eastAsia="monospace" w:cs="monospace"/>
      <w:sz w:val="20"/>
      <w:bdr w:val="none" w:color="auto" w:sz="0" w:space="0"/>
    </w:rPr>
  </w:style>
  <w:style w:type="character" w:styleId="51">
    <w:name w:val="annotation reference"/>
    <w:uiPriority w:val="0"/>
    <w:rPr>
      <w:rFonts w:ascii="Times New Roman" w:hAnsi="Times New Roman" w:eastAsia="宋体" w:cs="Times New Roman"/>
      <w:sz w:val="21"/>
      <w:szCs w:val="21"/>
    </w:rPr>
  </w:style>
  <w:style w:type="character" w:styleId="52">
    <w:name w:val="HTML Cite"/>
    <w:basedOn w:val="40"/>
    <w:uiPriority w:val="0"/>
  </w:style>
  <w:style w:type="character" w:styleId="53">
    <w:name w:val="footnote reference"/>
    <w:uiPriority w:val="0"/>
    <w:rPr>
      <w:rFonts w:ascii="Times New Roman" w:hAnsi="Times New Roman" w:eastAsia="宋体" w:cs="Times New Roman"/>
      <w:vertAlign w:val="superscript"/>
    </w:rPr>
  </w:style>
  <w:style w:type="character" w:styleId="54">
    <w:name w:val="HTML Keyboard"/>
    <w:basedOn w:val="40"/>
    <w:uiPriority w:val="0"/>
    <w:rPr>
      <w:rFonts w:hint="default" w:ascii="monospace" w:hAnsi="monospace" w:eastAsia="monospace" w:cs="monospace"/>
      <w:sz w:val="20"/>
    </w:rPr>
  </w:style>
  <w:style w:type="character" w:styleId="55">
    <w:name w:val="HTML Sample"/>
    <w:basedOn w:val="40"/>
    <w:uiPriority w:val="0"/>
    <w:rPr>
      <w:rFonts w:hint="default" w:ascii="monospace" w:hAnsi="monospace" w:eastAsia="monospace" w:cs="monospace"/>
    </w:rPr>
  </w:style>
  <w:style w:type="character" w:customStyle="1" w:styleId="56">
    <w:name w:val="纯文本 字符"/>
    <w:link w:val="18"/>
    <w:uiPriority w:val="0"/>
    <w:rPr>
      <w:rFonts w:ascii="宋体" w:hAnsi="Courier New" w:eastAsia="宋体" w:cs="Courier New"/>
      <w:kern w:val="2"/>
      <w:sz w:val="21"/>
      <w:szCs w:val="21"/>
      <w:lang w:val="en-US" w:eastAsia="zh-CN" w:bidi="ar-SA"/>
    </w:rPr>
  </w:style>
  <w:style w:type="character" w:customStyle="1" w:styleId="57">
    <w:name w:val="脚注文本 字符"/>
    <w:link w:val="26"/>
    <w:uiPriority w:val="0"/>
    <w:rPr>
      <w:rFonts w:ascii="Times New Roman" w:hAnsi="Times New Roman" w:eastAsia="宋体" w:cs="Times New Roman"/>
      <w:kern w:val="2"/>
      <w:sz w:val="18"/>
      <w:szCs w:val="18"/>
    </w:rPr>
  </w:style>
  <w:style w:type="character" w:customStyle="1" w:styleId="58">
    <w:name w:val="标题 字符"/>
    <w:link w:val="34"/>
    <w:uiPriority w:val="0"/>
    <w:rPr>
      <w:rFonts w:ascii="等线 Light" w:hAnsi="等线 Light" w:eastAsia="宋体" w:cs="Times New Roman"/>
      <w:b/>
      <w:bCs/>
      <w:kern w:val="2"/>
      <w:sz w:val="32"/>
      <w:szCs w:val="32"/>
    </w:rPr>
  </w:style>
  <w:style w:type="paragraph" w:customStyle="1" w:styleId="59">
    <w:name w:val="首行缩进"/>
    <w:basedOn w:val="1"/>
    <w:uiPriority w:val="0"/>
    <w:pPr>
      <w:spacing w:line="360" w:lineRule="auto"/>
      <w:ind w:firstLine="480" w:firstLineChars="200"/>
    </w:pPr>
    <w:rPr>
      <w:rFonts w:ascii="Times New Roman" w:hAnsi="Times New Roman" w:eastAsia="宋体" w:cs="Times New Roman"/>
      <w:lang w:val="zh-CN"/>
    </w:rPr>
  </w:style>
  <w:style w:type="character" w:customStyle="1" w:styleId="60">
    <w:name w:val="font11"/>
    <w:uiPriority w:val="0"/>
    <w:rPr>
      <w:rFonts w:hint="eastAsia" w:ascii="宋体" w:hAnsi="宋体" w:eastAsia="宋体" w:cs="Times New Roman"/>
      <w:color w:val="FF0000"/>
      <w:sz w:val="28"/>
      <w:szCs w:val="28"/>
      <w:u w:val="none"/>
    </w:rPr>
  </w:style>
  <w:style w:type="character" w:customStyle="1" w:styleId="61">
    <w:name w:val="font31"/>
    <w:uiPriority w:val="0"/>
    <w:rPr>
      <w:rFonts w:hint="eastAsia" w:ascii="宋体" w:hAnsi="宋体" w:eastAsia="宋体" w:cs="宋体"/>
      <w:color w:val="000000"/>
      <w:sz w:val="22"/>
      <w:szCs w:val="22"/>
      <w:u w:val="none"/>
    </w:rPr>
  </w:style>
  <w:style w:type="character" w:customStyle="1" w:styleId="62">
    <w:name w:val="font21"/>
    <w:uiPriority w:val="0"/>
    <w:rPr>
      <w:rFonts w:hint="eastAsia" w:ascii="宋体" w:hAnsi="宋体" w:eastAsia="宋体" w:cs="宋体"/>
      <w:color w:val="000000"/>
      <w:sz w:val="21"/>
      <w:szCs w:val="21"/>
      <w:u w:val="none"/>
    </w:rPr>
  </w:style>
  <w:style w:type="character" w:customStyle="1" w:styleId="63">
    <w:name w:val="font01"/>
    <w:uiPriority w:val="0"/>
    <w:rPr>
      <w:rFonts w:ascii="Verdana" w:hAnsi="Verdana" w:eastAsia="宋体" w:cs="Verdana"/>
      <w:color w:val="000000"/>
      <w:sz w:val="20"/>
      <w:szCs w:val="20"/>
      <w:u w:val="none"/>
    </w:rPr>
  </w:style>
  <w:style w:type="paragraph" w:customStyle="1" w:styleId="64">
    <w:name w:val="**正文"/>
    <w:basedOn w:val="1"/>
    <w:uiPriority w:val="0"/>
    <w:pPr>
      <w:spacing w:line="360" w:lineRule="auto"/>
      <w:jc w:val="left"/>
    </w:pPr>
    <w:rPr>
      <w:rFonts w:ascii="Times New Roman" w:hAnsi="Times New Roman" w:eastAsia="宋体" w:cs="Times New Roman"/>
      <w:sz w:val="24"/>
      <w:szCs w:val="20"/>
    </w:rPr>
  </w:style>
  <w:style w:type="paragraph" w:customStyle="1" w:styleId="65">
    <w:name w:val="表"/>
    <w:basedOn w:val="1"/>
    <w:uiPriority w:val="0"/>
    <w:pPr>
      <w:adjustRightInd w:val="0"/>
      <w:snapToGrid w:val="0"/>
      <w:spacing w:line="312" w:lineRule="auto"/>
    </w:pPr>
    <w:rPr>
      <w:rFonts w:ascii="Times New Roman" w:hAnsi="Times New Roman" w:eastAsia="宋体" w:cs="Times New Roman"/>
    </w:rPr>
  </w:style>
  <w:style w:type="character" w:customStyle="1" w:styleId="66">
    <w:name w:val="纯文本 Char1"/>
    <w:aliases w:val="普通文字 Char Char1,纯文本 Char Char Char,普通文字 Char Char Char1,Texte Char,普通文字 Char Char Char Char1,普通文字 Char Char Char Char Char,0921 Char,小 Char,普通文字1 Char,一般文字 字元 Char,一般文字 字元 字元 字元 字元 Char,一般文字 字元 字元 字元 字元 字元 字元 字元 字元 Char"/>
    <w:uiPriority w:val="0"/>
    <w:rPr>
      <w:rFonts w:ascii="宋体" w:hAnsi="Courier New" w:eastAsia="宋体" w:cs="Courier New"/>
      <w:kern w:val="2"/>
      <w:sz w:val="21"/>
      <w:szCs w:val="21"/>
    </w:rPr>
  </w:style>
  <w:style w:type="character" w:customStyle="1" w:styleId="67">
    <w:name w:val="普通文字 Char Char2"/>
    <w:aliases w:val="纯文本 Char Char Char1,普通文字 Char Char Char2,Texte Char1,普通文字 Char Char Char Char2,普通文字 Char Char Char Char Char1,0921 Char1,小 Char1,普通文字1 Char1,一般文字 字元 Char1,一般文字 字元 字元 字元 字元 Char1,一般文字 字元 字元 字元 字元 字元 字元 字元 字元 Char1,一般文字 字元 字元 字元 Char"/>
    <w:uiPriority w:val="0"/>
    <w:rPr>
      <w:rFonts w:ascii="宋体" w:hAnsi="Courier New" w:eastAsia="宋体" w:cs="Courier New"/>
      <w:kern w:val="2"/>
      <w:sz w:val="21"/>
      <w:szCs w:val="21"/>
      <w:lang w:val="en-US" w:eastAsia="zh-CN" w:bidi="ar-SA"/>
    </w:rPr>
  </w:style>
  <w:style w:type="character" w:customStyle="1" w:styleId="68">
    <w:name w:val=" Char Char1"/>
    <w:uiPriority w:val="0"/>
    <w:rPr>
      <w:rFonts w:ascii="宋体" w:hAnsi="Courier New" w:eastAsia="宋体" w:cs="Courier New"/>
      <w:kern w:val="2"/>
      <w:sz w:val="21"/>
      <w:szCs w:val="21"/>
      <w:lang w:val="en-US" w:eastAsia="zh-CN" w:bidi="ar-SA"/>
    </w:rPr>
  </w:style>
  <w:style w:type="paragraph" w:customStyle="1" w:styleId="69">
    <w:name w:val="Char"/>
    <w:basedOn w:val="1"/>
    <w:uiPriority w:val="0"/>
    <w:rPr>
      <w:rFonts w:ascii="仿宋_GB2312" w:hAnsi="Times New Roman" w:eastAsia="仿宋_GB2312" w:cs="仿宋_GB2312"/>
      <w:b/>
      <w:bCs/>
      <w:sz w:val="32"/>
      <w:szCs w:val="32"/>
    </w:rPr>
  </w:style>
  <w:style w:type="paragraph" w:customStyle="1" w:styleId="70">
    <w:name w:val="标题1"/>
    <w:basedOn w:val="24"/>
    <w:uiPriority w:val="0"/>
    <w:pPr>
      <w:widowControl/>
      <w:overflowPunct w:val="0"/>
      <w:autoSpaceDE w:val="0"/>
      <w:autoSpaceDN w:val="0"/>
      <w:adjustRightInd w:val="0"/>
      <w:spacing w:before="120" w:beforeLines="0" w:after="120" w:afterLines="0" w:line="420" w:lineRule="exact"/>
      <w:jc w:val="center"/>
      <w:textAlignment w:val="baseline"/>
    </w:pPr>
    <w:rPr>
      <w:rFonts w:ascii="宋体" w:hAnsi="宋体" w:eastAsia="宋体" w:cs="Times New Roman"/>
      <w:b w:val="0"/>
      <w:bCs w:val="0"/>
      <w:kern w:val="0"/>
      <w:sz w:val="44"/>
      <w:szCs w:val="20"/>
    </w:rPr>
  </w:style>
  <w:style w:type="paragraph" w:customStyle="1" w:styleId="71">
    <w:name w:val="Default"/>
    <w:uiPriority w:val="0"/>
    <w:pPr>
      <w:widowControl w:val="0"/>
      <w:autoSpaceDE w:val="0"/>
      <w:autoSpaceDN w:val="0"/>
      <w:adjustRightInd w:val="0"/>
    </w:pPr>
    <w:rPr>
      <w:rFonts w:ascii="仿宋_GB2312" w:eastAsia="仿宋_GB2312"/>
      <w:color w:val="000000"/>
      <w:sz w:val="24"/>
      <w:szCs w:val="22"/>
      <w:lang w:val="en-US" w:eastAsia="zh-CN" w:bidi="ar-SA"/>
    </w:rPr>
  </w:style>
  <w:style w:type="paragraph" w:customStyle="1" w:styleId="72">
    <w:name w:val=" Char Char Char2 Char Char Char"/>
    <w:basedOn w:val="1"/>
    <w:uiPriority w:val="0"/>
    <w:rPr>
      <w:rFonts w:ascii="Times New Roman" w:hAnsi="Times New Roman" w:eastAsia="宋体" w:cs="Times New Roman"/>
    </w:rPr>
  </w:style>
  <w:style w:type="paragraph" w:customStyle="1" w:styleId="73">
    <w:name w:val="xl24"/>
    <w:basedOn w:val="1"/>
    <w:uiPriority w:val="0"/>
    <w:pPr>
      <w:widowControl/>
      <w:spacing w:before="100" w:beforeLines="0" w:beforeAutospacing="1" w:after="100" w:afterLines="0" w:afterAutospacing="1"/>
      <w:jc w:val="right"/>
    </w:pPr>
    <w:rPr>
      <w:rFonts w:ascii="宋体" w:hAnsi="宋体" w:eastAsia="宋体" w:cs="Times New Roman"/>
      <w:kern w:val="0"/>
      <w:sz w:val="24"/>
    </w:rPr>
  </w:style>
  <w:style w:type="paragraph" w:customStyle="1" w:styleId="74">
    <w:name w:val="正"/>
    <w:basedOn w:val="1"/>
    <w:uiPriority w:val="0"/>
    <w:pPr>
      <w:ind w:firstLine="525"/>
    </w:pPr>
    <w:rPr>
      <w:rFonts w:ascii="Times New Roman" w:hAnsi="Times New Roman" w:eastAsia="宋体" w:cs="Times New Roman"/>
      <w:spacing w:val="20"/>
    </w:rPr>
  </w:style>
  <w:style w:type="paragraph" w:customStyle="1" w:styleId="75">
    <w:name w:val="ÕýÎÄ"/>
    <w:uiPriority w:val="0"/>
    <w:pPr>
      <w:widowControl w:val="0"/>
      <w:overflowPunct w:val="0"/>
      <w:autoSpaceDE w:val="0"/>
      <w:autoSpaceDN w:val="0"/>
      <w:adjustRightInd w:val="0"/>
      <w:spacing w:line="351" w:lineRule="atLeast"/>
      <w:ind w:firstLine="419"/>
      <w:jc w:val="both"/>
      <w:textAlignment w:val="baseline"/>
    </w:pPr>
    <w:rPr>
      <w:color w:val="000000"/>
      <w:sz w:val="21"/>
      <w:lang w:val="en-US" w:eastAsia="zh-CN" w:bidi="ar-SA"/>
    </w:rPr>
  </w:style>
  <w:style w:type="paragraph" w:customStyle="1" w:styleId="76">
    <w:name w:val="ÕÂ¡À¨ºÌâ"/>
    <w:basedOn w:val="75"/>
    <w:next w:val="1"/>
    <w:uiPriority w:val="0"/>
    <w:pPr>
      <w:spacing w:before="158" w:after="153" w:line="323" w:lineRule="atLeast"/>
      <w:ind w:firstLine="0"/>
      <w:jc w:val="center"/>
    </w:pPr>
    <w:rPr>
      <w:rFonts w:ascii="Arial" w:hAnsi="Arial" w:eastAsia="宋体" w:cs="Times New Roman"/>
      <w:sz w:val="31"/>
      <w:szCs w:val="22"/>
    </w:rPr>
  </w:style>
  <w:style w:type="paragraph" w:customStyle="1" w:styleId="77">
    <w:name w:val="+正文"/>
    <w:basedOn w:val="1"/>
    <w:uiPriority w:val="0"/>
    <w:pPr>
      <w:spacing w:line="360" w:lineRule="auto"/>
      <w:ind w:firstLine="200" w:firstLineChars="200"/>
    </w:pPr>
    <w:rPr>
      <w:rFonts w:ascii="Times New Roman" w:hAnsi="Times New Roman" w:eastAsia="宋体" w:cs="Times New Roman"/>
      <w:sz w:val="24"/>
      <w:szCs w:val="28"/>
    </w:rPr>
  </w:style>
  <w:style w:type="paragraph" w:customStyle="1" w:styleId="78">
    <w:name w:val="表格"/>
    <w:basedOn w:val="1"/>
    <w:next w:val="14"/>
    <w:uiPriority w:val="0"/>
    <w:pPr>
      <w:widowControl/>
      <w:spacing w:before="100" w:beforeAutospacing="1" w:after="100" w:afterAutospacing="1"/>
      <w:jc w:val="left"/>
    </w:pPr>
    <w:rPr>
      <w:rFonts w:ascii="Arial" w:hAnsi="Arial" w:eastAsia="宋体" w:cs="Times New Roman"/>
      <w:bCs/>
      <w:szCs w:val="20"/>
    </w:rPr>
  </w:style>
  <w:style w:type="paragraph" w:customStyle="1" w:styleId="79">
    <w:name w:val="Plain Text"/>
    <w:basedOn w:val="1"/>
    <w:uiPriority w:val="0"/>
    <w:pPr>
      <w:widowControl/>
      <w:overflowPunct w:val="0"/>
      <w:autoSpaceDE w:val="0"/>
      <w:autoSpaceDN w:val="0"/>
      <w:jc w:val="left"/>
    </w:pPr>
    <w:rPr>
      <w:rFonts w:ascii="宋体" w:hAnsi="Courier New" w:eastAsia="宋体" w:cs="Times New Roman"/>
      <w:kern w:val="0"/>
    </w:rPr>
  </w:style>
  <w:style w:type="paragraph" w:customStyle="1" w:styleId="80">
    <w:name w:val="样式"/>
    <w:basedOn w:val="1"/>
    <w:uiPriority w:val="0"/>
    <w:pPr>
      <w:autoSpaceDE w:val="0"/>
      <w:autoSpaceDN w:val="0"/>
      <w:snapToGrid w:val="0"/>
      <w:spacing w:before="120" w:beforeLines="0" w:after="120" w:afterLines="0" w:line="360" w:lineRule="auto"/>
    </w:pPr>
    <w:rPr>
      <w:rFonts w:ascii="宋体" w:hAnsi="Times New Roman" w:eastAsia="宋体" w:cs="Times New Roman"/>
      <w:sz w:val="24"/>
      <w:szCs w:val="20"/>
    </w:rPr>
  </w:style>
  <w:style w:type="paragraph" w:customStyle="1" w:styleId="81">
    <w:name w:val=" Char3"/>
    <w:basedOn w:val="1"/>
    <w:uiPriority w:val="0"/>
    <w:pPr>
      <w:tabs>
        <w:tab w:val="left" w:pos="360"/>
      </w:tabs>
    </w:pPr>
    <w:rPr>
      <w:rFonts w:ascii="Times New Roman" w:hAnsi="Times New Roman" w:eastAsia="宋体" w:cs="Times New Roman"/>
      <w:sz w:val="24"/>
    </w:rPr>
  </w:style>
  <w:style w:type="paragraph" w:styleId="82">
    <w:name w:val="List Paragraph"/>
    <w:basedOn w:val="1"/>
    <w:qFormat/>
    <w:uiPriority w:val="0"/>
    <w:pPr>
      <w:ind w:firstLine="420" w:firstLineChars="200"/>
    </w:pPr>
    <w:rPr>
      <w:rFonts w:ascii="Times New Roman" w:hAnsi="Times New Roman" w:eastAsia="宋体" w:cs="Times New Roman"/>
    </w:rPr>
  </w:style>
  <w:style w:type="paragraph" w:customStyle="1" w:styleId="83">
    <w:name w:val=" Char"/>
    <w:basedOn w:val="1"/>
    <w:uiPriority w:val="0"/>
    <w:rPr>
      <w:rFonts w:ascii="Times New Roman" w:hAnsi="Times New Roman" w:eastAsia="宋体" w:cs="Times New Roman"/>
      <w:szCs w:val="20"/>
    </w:rPr>
  </w:style>
  <w:style w:type="paragraph" w:customStyle="1" w:styleId="84">
    <w:name w:val="标题 7 New"/>
    <w:basedOn w:val="1"/>
    <w:next w:val="1"/>
    <w:uiPriority w:val="0"/>
    <w:pPr>
      <w:keepNext/>
      <w:keepLines/>
      <w:widowControl/>
      <w:tabs>
        <w:tab w:val="left" w:pos="2520"/>
      </w:tabs>
      <w:spacing w:before="240" w:beforeLines="0" w:after="64" w:afterLines="0" w:line="317" w:lineRule="auto"/>
      <w:ind w:left="1296" w:hanging="1296"/>
      <w:jc w:val="left"/>
      <w:outlineLvl w:val="6"/>
    </w:pPr>
    <w:rPr>
      <w:rFonts w:ascii="Times New Roman" w:hAnsi="Times New Roman" w:eastAsia="宋体" w:cs="Times New Roman"/>
      <w:b/>
      <w:kern w:val="0"/>
      <w:sz w:val="24"/>
      <w:szCs w:val="20"/>
    </w:rPr>
  </w:style>
  <w:style w:type="paragraph" w:customStyle="1" w:styleId="85">
    <w:name w:val=" Char Char Char"/>
    <w:basedOn w:val="1"/>
    <w:uiPriority w:val="0"/>
    <w:rPr>
      <w:rFonts w:ascii="Tahoma" w:hAnsi="Tahoma" w:eastAsia="宋体" w:cs="Times New Roman"/>
      <w:sz w:val="24"/>
      <w:szCs w:val="20"/>
    </w:rPr>
  </w:style>
  <w:style w:type="paragraph" w:customStyle="1" w:styleId="86">
    <w:name w:val=" Char Char Char1 Char Char Char Char Char Char Char Char Char Char Char Char Char"/>
    <w:basedOn w:val="1"/>
    <w:uiPriority w:val="0"/>
    <w:rPr>
      <w:rFonts w:ascii="Times New Roman" w:hAnsi="Times New Roman" w:eastAsia="宋体" w:cs="Times New Roman"/>
    </w:rPr>
  </w:style>
  <w:style w:type="paragraph" w:customStyle="1" w:styleId="87">
    <w:name w:val="_Style 3"/>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38</Pages>
  <Words>14791</Words>
  <Characters>16128</Characters>
  <Lines>224</Lines>
  <Paragraphs>63</Paragraphs>
  <TotalTime>151</TotalTime>
  <ScaleCrop>false</ScaleCrop>
  <LinksUpToDate>false</LinksUpToDate>
  <CharactersWithSpaces>16313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2024-03-15T16:41:00Z</dcterms:created>
  <dc:creator>Administrator</dc:creator>
  <cp:lastModifiedBy>Administrator</cp:lastModifiedBy>
  <cp:lastPrinted>2023-11-24T08:45:00Z</cp:lastPrinted>
  <dcterms:modified xsi:type="dcterms:W3CDTF">2025-10-31T05:26:42Z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F7DC908B15BA4E0BB1E385C8074684BD_13</vt:lpwstr>
  </property>
  <property fmtid="{D5CDD505-2E9C-101B-9397-08002B2CF9AE}" pid="4" name="KSOTemplateDocerSaveRecord">
    <vt:lpwstr>eyJoZGlkIjoiOTcwZmZkNDM4NWFkZWZlYWYxNGMxZjhjYjZhODliOTMiLCJ1c2VySWQiOiIxNTYwMDA0MzMyIn0=</vt:lpwstr>
  </property>
</Properties>
</file>