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07271">
      <w:pPr>
        <w:pStyle w:val="17"/>
        <w:snapToGrid w:val="0"/>
        <w:spacing w:before="120" w:after="120" w:line="360" w:lineRule="auto"/>
        <w:jc w:val="center"/>
        <w:rPr>
          <w:rFonts w:hint="eastAsia" w:hAnsi="宋体" w:eastAsia="宋体" w:cs="宋体"/>
          <w:b/>
          <w:bCs/>
          <w:color w:val="auto"/>
          <w:sz w:val="52"/>
          <w:szCs w:val="52"/>
          <w:highlight w:val="none"/>
          <w:lang w:eastAsia="zh-CN"/>
        </w:rPr>
      </w:pPr>
      <w:r>
        <w:rPr>
          <w:rFonts w:hint="eastAsia" w:hAnsi="宋体" w:cs="宋体"/>
          <w:b/>
          <w:bCs/>
          <w:color w:val="auto"/>
          <w:sz w:val="52"/>
          <w:szCs w:val="52"/>
          <w:highlight w:val="none"/>
          <w:lang w:eastAsia="zh-CN"/>
        </w:rPr>
        <w:t>义乌市交通旅游产业发展集团有限公司信创电脑采购项目</w:t>
      </w:r>
    </w:p>
    <w:p w14:paraId="1C3E2969">
      <w:pPr>
        <w:rPr>
          <w:rFonts w:hint="eastAsia"/>
          <w:color w:val="auto"/>
          <w:highlight w:val="none"/>
        </w:rPr>
      </w:pPr>
    </w:p>
    <w:p w14:paraId="61857FC1">
      <w:pPr>
        <w:pStyle w:val="17"/>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2F2C09D6">
      <w:pPr>
        <w:pStyle w:val="17"/>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764C53CD">
      <w:pPr>
        <w:pStyle w:val="17"/>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73284F5F">
      <w:pPr>
        <w:pStyle w:val="17"/>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7128503B">
      <w:pPr>
        <w:pStyle w:val="17"/>
        <w:snapToGrid w:val="0"/>
        <w:spacing w:before="120" w:after="120" w:line="360" w:lineRule="auto"/>
        <w:jc w:val="center"/>
        <w:rPr>
          <w:rFonts w:hint="eastAsia" w:hAnsi="宋体"/>
          <w:b/>
          <w:bCs/>
          <w:color w:val="auto"/>
          <w:w w:val="95"/>
          <w:sz w:val="32"/>
          <w:szCs w:val="32"/>
          <w:highlight w:val="none"/>
        </w:rPr>
      </w:pPr>
      <w:r>
        <w:rPr>
          <w:rStyle w:val="49"/>
          <w:rFonts w:hint="eastAsia"/>
          <w:color w:val="auto"/>
          <w:highlight w:val="none"/>
        </w:rPr>
        <w:t>采购编号：YCQ-2025-CG2</w:t>
      </w:r>
      <w:r>
        <w:rPr>
          <w:rStyle w:val="49"/>
          <w:rFonts w:hint="eastAsia"/>
          <w:color w:val="auto"/>
          <w:highlight w:val="none"/>
          <w:lang w:val="en-US" w:eastAsia="zh-CN"/>
        </w:rPr>
        <w:t>22</w:t>
      </w:r>
      <w:r>
        <w:rPr>
          <w:rStyle w:val="49"/>
          <w:rFonts w:hint="eastAsia"/>
          <w:color w:val="auto"/>
          <w:highlight w:val="none"/>
        </w:rPr>
        <w:t xml:space="preserve">   </w:t>
      </w:r>
      <w:r>
        <w:rPr>
          <w:rFonts w:hint="eastAsia"/>
          <w:b/>
          <w:color w:val="auto"/>
          <w:sz w:val="32"/>
          <w:szCs w:val="32"/>
          <w:highlight w:val="none"/>
        </w:rPr>
        <w:t xml:space="preserve"> </w:t>
      </w:r>
    </w:p>
    <w:p w14:paraId="2208BE5F">
      <w:pPr>
        <w:pStyle w:val="17"/>
        <w:snapToGrid w:val="0"/>
        <w:spacing w:before="120" w:after="120" w:line="360" w:lineRule="auto"/>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color w:val="auto"/>
          <w:sz w:val="32"/>
          <w:szCs w:val="32"/>
          <w:highlight w:val="none"/>
          <w:u w:val="single"/>
          <w:lang w:eastAsia="zh-CN"/>
        </w:rPr>
        <w:t>义乌市交通旅游产业发展集团有限公司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508761F0">
      <w:pPr>
        <w:pStyle w:val="17"/>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rPr>
        <w:t>义乌产权交易所有限公司（盖章）</w:t>
      </w:r>
    </w:p>
    <w:p w14:paraId="000AFA37">
      <w:pPr>
        <w:pStyle w:val="17"/>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二〇二五年</w:t>
      </w:r>
      <w:r>
        <w:rPr>
          <w:rFonts w:hint="eastAsia" w:hAnsi="宋体"/>
          <w:b/>
          <w:color w:val="auto"/>
          <w:sz w:val="32"/>
          <w:szCs w:val="32"/>
          <w:highlight w:val="none"/>
          <w:u w:val="single"/>
          <w:lang w:val="en-US" w:eastAsia="zh-CN"/>
        </w:rPr>
        <w:t>十</w:t>
      </w:r>
      <w:r>
        <w:rPr>
          <w:rFonts w:hint="eastAsia" w:hAnsi="宋体"/>
          <w:b/>
          <w:color w:val="auto"/>
          <w:sz w:val="32"/>
          <w:szCs w:val="32"/>
          <w:highlight w:val="none"/>
          <w:u w:val="single"/>
        </w:rPr>
        <w:t>月</w:t>
      </w:r>
    </w:p>
    <w:p w14:paraId="302469F5">
      <w:pPr>
        <w:pStyle w:val="17"/>
        <w:spacing w:before="120" w:after="120" w:line="360" w:lineRule="auto"/>
        <w:ind w:firstLine="420" w:firstLineChars="200"/>
        <w:jc w:val="center"/>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565394A7">
      <w:pPr>
        <w:pStyle w:val="17"/>
        <w:snapToGrid w:val="0"/>
        <w:spacing w:before="120" w:after="120" w:line="360" w:lineRule="auto"/>
        <w:rPr>
          <w:rFonts w:hAnsi="宋体"/>
          <w:b/>
          <w:color w:val="auto"/>
          <w:sz w:val="32"/>
          <w:szCs w:val="32"/>
          <w:highlight w:val="none"/>
          <w:u w:val="single"/>
        </w:rPr>
      </w:pPr>
    </w:p>
    <w:p w14:paraId="70AA7FD4">
      <w:pPr>
        <w:pStyle w:val="23"/>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_Toc20622 </w:instrText>
      </w:r>
      <w:r>
        <w:rPr>
          <w:color w:val="auto"/>
          <w:highlight w:val="none"/>
        </w:rPr>
        <w:fldChar w:fldCharType="separate"/>
      </w:r>
      <w:r>
        <w:rPr>
          <w:color w:val="auto"/>
          <w:highlight w:val="none"/>
        </w:rPr>
        <w:t>第一章</w:t>
      </w:r>
      <w:r>
        <w:rPr>
          <w:rFonts w:hint="eastAsia"/>
          <w:color w:val="auto"/>
          <w:highlight w:val="none"/>
        </w:rPr>
        <w:t>　招标公告</w:t>
      </w:r>
      <w:r>
        <w:rPr>
          <w:color w:val="auto"/>
          <w:highlight w:val="none"/>
        </w:rPr>
        <w:tab/>
      </w:r>
      <w:r>
        <w:rPr>
          <w:color w:val="auto"/>
          <w:highlight w:val="none"/>
        </w:rPr>
        <w:fldChar w:fldCharType="begin"/>
      </w:r>
      <w:r>
        <w:rPr>
          <w:color w:val="auto"/>
          <w:highlight w:val="none"/>
        </w:rPr>
        <w:instrText xml:space="preserve"> PAGEREF _Toc20622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50FC709">
      <w:pPr>
        <w:pStyle w:val="23"/>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_Toc16567 </w:instrText>
      </w:r>
      <w:r>
        <w:rPr>
          <w:color w:val="auto"/>
          <w:szCs w:val="30"/>
          <w:highlight w:val="none"/>
        </w:rPr>
        <w:fldChar w:fldCharType="separate"/>
      </w:r>
      <w:r>
        <w:rPr>
          <w:rFonts w:hint="eastAsia"/>
          <w:color w:val="auto"/>
          <w:highlight w:val="none"/>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_Toc16567 \h </w:instrText>
      </w:r>
      <w:r>
        <w:rPr>
          <w:color w:val="auto"/>
          <w:highlight w:val="none"/>
        </w:rPr>
        <w:fldChar w:fldCharType="separate"/>
      </w:r>
      <w:r>
        <w:rPr>
          <w:color w:val="auto"/>
          <w:highlight w:val="none"/>
        </w:rPr>
        <w:t>6</w:t>
      </w:r>
      <w:r>
        <w:rPr>
          <w:color w:val="auto"/>
          <w:highlight w:val="none"/>
        </w:rPr>
        <w:fldChar w:fldCharType="end"/>
      </w:r>
      <w:r>
        <w:rPr>
          <w:color w:val="auto"/>
          <w:szCs w:val="30"/>
          <w:highlight w:val="none"/>
        </w:rPr>
        <w:fldChar w:fldCharType="end"/>
      </w:r>
    </w:p>
    <w:p w14:paraId="55C44BEF">
      <w:pPr>
        <w:pStyle w:val="23"/>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_Toc10403 </w:instrText>
      </w:r>
      <w:r>
        <w:rPr>
          <w:color w:val="auto"/>
          <w:szCs w:val="30"/>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_Toc10403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56302EDF">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_Toc9815 </w:instrText>
      </w:r>
      <w:r>
        <w:rPr>
          <w:color w:val="auto"/>
          <w:szCs w:val="30"/>
          <w:highlight w:val="none"/>
        </w:rPr>
        <w:fldChar w:fldCharType="separate"/>
      </w:r>
      <w:r>
        <w:rPr>
          <w:rFonts w:hint="eastAsia" w:ascii="宋体" w:hAnsi="宋体" w:eastAsia="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_Toc9815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499002BF">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_Toc12483 </w:instrText>
      </w:r>
      <w:r>
        <w:rPr>
          <w:color w:val="auto"/>
          <w:szCs w:val="30"/>
          <w:highlight w:val="none"/>
        </w:rPr>
        <w:fldChar w:fldCharType="separate"/>
      </w:r>
      <w:r>
        <w:rPr>
          <w:rFonts w:hint="eastAsia" w:ascii="宋体" w:hAnsi="宋体" w:eastAsia="宋体" w:cs="宋体"/>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_Toc12483 \h </w:instrText>
      </w:r>
      <w:r>
        <w:rPr>
          <w:color w:val="auto"/>
          <w:highlight w:val="none"/>
        </w:rPr>
        <w:fldChar w:fldCharType="separate"/>
      </w:r>
      <w:r>
        <w:rPr>
          <w:color w:val="auto"/>
          <w:highlight w:val="none"/>
        </w:rPr>
        <w:t>9</w:t>
      </w:r>
      <w:r>
        <w:rPr>
          <w:color w:val="auto"/>
          <w:highlight w:val="none"/>
        </w:rPr>
        <w:fldChar w:fldCharType="end"/>
      </w:r>
      <w:r>
        <w:rPr>
          <w:color w:val="auto"/>
          <w:szCs w:val="30"/>
          <w:highlight w:val="none"/>
        </w:rPr>
        <w:fldChar w:fldCharType="end"/>
      </w:r>
    </w:p>
    <w:p w14:paraId="7876214F">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_Toc23321 </w:instrText>
      </w:r>
      <w:r>
        <w:rPr>
          <w:color w:val="auto"/>
          <w:szCs w:val="30"/>
          <w:highlight w:val="none"/>
        </w:rPr>
        <w:fldChar w:fldCharType="separate"/>
      </w:r>
      <w:r>
        <w:rPr>
          <w:rFonts w:hint="eastAsia" w:ascii="宋体" w:hAnsi="宋体" w:eastAsia="宋体" w:cs="宋体"/>
          <w:color w:val="auto"/>
          <w:szCs w:val="21"/>
          <w:highlight w:val="none"/>
        </w:rPr>
        <w:t>三、投标文件</w:t>
      </w:r>
      <w:r>
        <w:rPr>
          <w:color w:val="auto"/>
          <w:highlight w:val="none"/>
        </w:rPr>
        <w:tab/>
      </w:r>
      <w:r>
        <w:rPr>
          <w:color w:val="auto"/>
          <w:highlight w:val="none"/>
        </w:rPr>
        <w:fldChar w:fldCharType="begin"/>
      </w:r>
      <w:r>
        <w:rPr>
          <w:color w:val="auto"/>
          <w:highlight w:val="none"/>
        </w:rPr>
        <w:instrText xml:space="preserve"> PAGEREF _Toc23321 \h </w:instrText>
      </w:r>
      <w:r>
        <w:rPr>
          <w:color w:val="auto"/>
          <w:highlight w:val="none"/>
        </w:rPr>
        <w:fldChar w:fldCharType="separate"/>
      </w:r>
      <w:r>
        <w:rPr>
          <w:color w:val="auto"/>
          <w:highlight w:val="none"/>
        </w:rPr>
        <w:t>10</w:t>
      </w:r>
      <w:r>
        <w:rPr>
          <w:color w:val="auto"/>
          <w:highlight w:val="none"/>
        </w:rPr>
        <w:fldChar w:fldCharType="end"/>
      </w:r>
      <w:r>
        <w:rPr>
          <w:color w:val="auto"/>
          <w:szCs w:val="30"/>
          <w:highlight w:val="none"/>
        </w:rPr>
        <w:fldChar w:fldCharType="end"/>
      </w:r>
    </w:p>
    <w:p w14:paraId="4D319191">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_Toc17080 </w:instrText>
      </w:r>
      <w:r>
        <w:rPr>
          <w:color w:val="auto"/>
          <w:szCs w:val="30"/>
          <w:highlight w:val="none"/>
        </w:rPr>
        <w:fldChar w:fldCharType="separate"/>
      </w:r>
      <w:r>
        <w:rPr>
          <w:rFonts w:hint="eastAsia" w:ascii="宋体" w:hAnsi="宋体" w:eastAsia="宋体" w:cs="宋体"/>
          <w:color w:val="auto"/>
          <w:szCs w:val="21"/>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_Toc17080 \h </w:instrText>
      </w:r>
      <w:r>
        <w:rPr>
          <w:color w:val="auto"/>
          <w:highlight w:val="none"/>
        </w:rPr>
        <w:fldChar w:fldCharType="separate"/>
      </w:r>
      <w:r>
        <w:rPr>
          <w:color w:val="auto"/>
          <w:highlight w:val="none"/>
        </w:rPr>
        <w:t>12</w:t>
      </w:r>
      <w:r>
        <w:rPr>
          <w:color w:val="auto"/>
          <w:highlight w:val="none"/>
        </w:rPr>
        <w:fldChar w:fldCharType="end"/>
      </w:r>
      <w:r>
        <w:rPr>
          <w:color w:val="auto"/>
          <w:szCs w:val="30"/>
          <w:highlight w:val="none"/>
        </w:rPr>
        <w:fldChar w:fldCharType="end"/>
      </w:r>
    </w:p>
    <w:p w14:paraId="401DAAD8">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_Toc19877 </w:instrText>
      </w:r>
      <w:r>
        <w:rPr>
          <w:color w:val="auto"/>
          <w:szCs w:val="30"/>
          <w:highlight w:val="none"/>
        </w:rPr>
        <w:fldChar w:fldCharType="separate"/>
      </w:r>
      <w:r>
        <w:rPr>
          <w:rFonts w:hint="eastAsia" w:ascii="宋体" w:hAnsi="宋体" w:cs="宋体"/>
          <w:bCs/>
          <w:color w:val="auto"/>
          <w:szCs w:val="21"/>
          <w:highlight w:val="none"/>
        </w:rPr>
        <w:t>五、费用缴纳</w:t>
      </w:r>
      <w:r>
        <w:rPr>
          <w:color w:val="auto"/>
          <w:highlight w:val="none"/>
        </w:rPr>
        <w:tab/>
      </w:r>
      <w:r>
        <w:rPr>
          <w:color w:val="auto"/>
          <w:highlight w:val="none"/>
        </w:rPr>
        <w:fldChar w:fldCharType="begin"/>
      </w:r>
      <w:r>
        <w:rPr>
          <w:color w:val="auto"/>
          <w:highlight w:val="none"/>
        </w:rPr>
        <w:instrText xml:space="preserve"> PAGEREF _Toc19877 \h </w:instrText>
      </w:r>
      <w:r>
        <w:rPr>
          <w:color w:val="auto"/>
          <w:highlight w:val="none"/>
        </w:rPr>
        <w:fldChar w:fldCharType="separate"/>
      </w:r>
      <w:r>
        <w:rPr>
          <w:color w:val="auto"/>
          <w:highlight w:val="none"/>
        </w:rPr>
        <w:t>13</w:t>
      </w:r>
      <w:r>
        <w:rPr>
          <w:color w:val="auto"/>
          <w:highlight w:val="none"/>
        </w:rPr>
        <w:fldChar w:fldCharType="end"/>
      </w:r>
      <w:r>
        <w:rPr>
          <w:color w:val="auto"/>
          <w:szCs w:val="30"/>
          <w:highlight w:val="none"/>
        </w:rPr>
        <w:fldChar w:fldCharType="end"/>
      </w:r>
    </w:p>
    <w:p w14:paraId="31D34005">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_Toc18031 </w:instrText>
      </w:r>
      <w:r>
        <w:rPr>
          <w:color w:val="auto"/>
          <w:szCs w:val="30"/>
          <w:highlight w:val="none"/>
        </w:rPr>
        <w:fldChar w:fldCharType="separate"/>
      </w:r>
      <w:r>
        <w:rPr>
          <w:rFonts w:hint="eastAsia" w:ascii="宋体" w:hAnsi="宋体" w:eastAsia="宋体" w:cs="宋体"/>
          <w:color w:val="auto"/>
          <w:szCs w:val="21"/>
          <w:highlight w:val="none"/>
        </w:rPr>
        <w:t>六、其它</w:t>
      </w:r>
      <w:r>
        <w:rPr>
          <w:color w:val="auto"/>
          <w:highlight w:val="none"/>
        </w:rPr>
        <w:tab/>
      </w:r>
      <w:r>
        <w:rPr>
          <w:color w:val="auto"/>
          <w:highlight w:val="none"/>
        </w:rPr>
        <w:fldChar w:fldCharType="begin"/>
      </w:r>
      <w:r>
        <w:rPr>
          <w:color w:val="auto"/>
          <w:highlight w:val="none"/>
        </w:rPr>
        <w:instrText xml:space="preserve"> PAGEREF _Toc18031 \h </w:instrText>
      </w:r>
      <w:r>
        <w:rPr>
          <w:color w:val="auto"/>
          <w:highlight w:val="none"/>
        </w:rPr>
        <w:fldChar w:fldCharType="separate"/>
      </w:r>
      <w:r>
        <w:rPr>
          <w:color w:val="auto"/>
          <w:highlight w:val="none"/>
        </w:rPr>
        <w:t>14</w:t>
      </w:r>
      <w:r>
        <w:rPr>
          <w:color w:val="auto"/>
          <w:highlight w:val="none"/>
        </w:rPr>
        <w:fldChar w:fldCharType="end"/>
      </w:r>
      <w:r>
        <w:rPr>
          <w:color w:val="auto"/>
          <w:szCs w:val="30"/>
          <w:highlight w:val="none"/>
        </w:rPr>
        <w:fldChar w:fldCharType="end"/>
      </w:r>
    </w:p>
    <w:p w14:paraId="20894776">
      <w:pPr>
        <w:pStyle w:val="23"/>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_Toc12946 </w:instrText>
      </w:r>
      <w:r>
        <w:rPr>
          <w:color w:val="auto"/>
          <w:szCs w:val="30"/>
          <w:highlight w:val="none"/>
        </w:rPr>
        <w:fldChar w:fldCharType="separate"/>
      </w:r>
      <w:r>
        <w:rPr>
          <w:rFonts w:hint="eastAsia"/>
          <w:color w:val="auto"/>
          <w:highlight w:val="none"/>
        </w:rPr>
        <w:t>第三章  招标项目要求</w:t>
      </w:r>
      <w:r>
        <w:rPr>
          <w:color w:val="auto"/>
          <w:highlight w:val="none"/>
        </w:rPr>
        <w:tab/>
      </w:r>
      <w:r>
        <w:rPr>
          <w:color w:val="auto"/>
          <w:highlight w:val="none"/>
        </w:rPr>
        <w:fldChar w:fldCharType="begin"/>
      </w:r>
      <w:r>
        <w:rPr>
          <w:color w:val="auto"/>
          <w:highlight w:val="none"/>
        </w:rPr>
        <w:instrText xml:space="preserve"> PAGEREF _Toc12946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1DFAD706">
      <w:pPr>
        <w:pStyle w:val="23"/>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_Toc19993 </w:instrText>
      </w:r>
      <w:r>
        <w:rPr>
          <w:color w:val="auto"/>
          <w:szCs w:val="30"/>
          <w:highlight w:val="none"/>
        </w:rPr>
        <w:fldChar w:fldCharType="separate"/>
      </w:r>
      <w:r>
        <w:rPr>
          <w:rFonts w:hint="eastAsia"/>
          <w:color w:val="auto"/>
          <w:highlight w:val="none"/>
        </w:rPr>
        <w:t>第四章  开标、评标和定标须知</w:t>
      </w:r>
      <w:r>
        <w:rPr>
          <w:color w:val="auto"/>
          <w:highlight w:val="none"/>
        </w:rPr>
        <w:tab/>
      </w:r>
      <w:r>
        <w:rPr>
          <w:color w:val="auto"/>
          <w:highlight w:val="none"/>
        </w:rPr>
        <w:fldChar w:fldCharType="begin"/>
      </w:r>
      <w:r>
        <w:rPr>
          <w:color w:val="auto"/>
          <w:highlight w:val="none"/>
        </w:rPr>
        <w:instrText xml:space="preserve"> PAGEREF _Toc19993 \h </w:instrText>
      </w:r>
      <w:r>
        <w:rPr>
          <w:color w:val="auto"/>
          <w:highlight w:val="none"/>
        </w:rPr>
        <w:fldChar w:fldCharType="separate"/>
      </w:r>
      <w:r>
        <w:rPr>
          <w:color w:val="auto"/>
          <w:highlight w:val="none"/>
        </w:rPr>
        <w:t>18</w:t>
      </w:r>
      <w:r>
        <w:rPr>
          <w:color w:val="auto"/>
          <w:highlight w:val="none"/>
        </w:rPr>
        <w:fldChar w:fldCharType="end"/>
      </w:r>
      <w:r>
        <w:rPr>
          <w:color w:val="auto"/>
          <w:szCs w:val="30"/>
          <w:highlight w:val="none"/>
        </w:rPr>
        <w:fldChar w:fldCharType="end"/>
      </w:r>
    </w:p>
    <w:p w14:paraId="1B9A05FB">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_Toc22687 </w:instrText>
      </w:r>
      <w:r>
        <w:rPr>
          <w:color w:val="auto"/>
          <w:szCs w:val="30"/>
          <w:highlight w:val="none"/>
        </w:rPr>
        <w:fldChar w:fldCharType="separate"/>
      </w:r>
      <w:r>
        <w:rPr>
          <w:rFonts w:hint="eastAsia" w:ascii="宋体" w:hAnsi="宋体" w:eastAsia="宋体" w:cs="宋体"/>
          <w:color w:val="auto"/>
          <w:szCs w:val="21"/>
          <w:highlight w:val="none"/>
        </w:rPr>
        <w:t>一、开标</w:t>
      </w:r>
      <w:r>
        <w:rPr>
          <w:color w:val="auto"/>
          <w:highlight w:val="none"/>
        </w:rPr>
        <w:tab/>
      </w:r>
      <w:r>
        <w:rPr>
          <w:color w:val="auto"/>
          <w:highlight w:val="none"/>
        </w:rPr>
        <w:fldChar w:fldCharType="begin"/>
      </w:r>
      <w:r>
        <w:rPr>
          <w:color w:val="auto"/>
          <w:highlight w:val="none"/>
        </w:rPr>
        <w:instrText xml:space="preserve"> PAGEREF _Toc22687 \h </w:instrText>
      </w:r>
      <w:r>
        <w:rPr>
          <w:color w:val="auto"/>
          <w:highlight w:val="none"/>
        </w:rPr>
        <w:fldChar w:fldCharType="separate"/>
      </w:r>
      <w:r>
        <w:rPr>
          <w:color w:val="auto"/>
          <w:highlight w:val="none"/>
        </w:rPr>
        <w:t>18</w:t>
      </w:r>
      <w:r>
        <w:rPr>
          <w:color w:val="auto"/>
          <w:highlight w:val="none"/>
        </w:rPr>
        <w:fldChar w:fldCharType="end"/>
      </w:r>
      <w:r>
        <w:rPr>
          <w:color w:val="auto"/>
          <w:szCs w:val="30"/>
          <w:highlight w:val="none"/>
        </w:rPr>
        <w:fldChar w:fldCharType="end"/>
      </w:r>
    </w:p>
    <w:p w14:paraId="3D1AD0EA">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_Toc23047 </w:instrText>
      </w:r>
      <w:r>
        <w:rPr>
          <w:color w:val="auto"/>
          <w:szCs w:val="30"/>
          <w:highlight w:val="none"/>
        </w:rPr>
        <w:fldChar w:fldCharType="separate"/>
      </w:r>
      <w:r>
        <w:rPr>
          <w:rFonts w:hint="eastAsia" w:ascii="宋体" w:hAnsi="宋体" w:eastAsia="宋体" w:cs="宋体"/>
          <w:color w:val="auto"/>
          <w:szCs w:val="21"/>
          <w:highlight w:val="none"/>
        </w:rPr>
        <w:t>二、评标</w:t>
      </w:r>
      <w:r>
        <w:rPr>
          <w:color w:val="auto"/>
          <w:highlight w:val="none"/>
        </w:rPr>
        <w:tab/>
      </w:r>
      <w:r>
        <w:rPr>
          <w:color w:val="auto"/>
          <w:highlight w:val="none"/>
        </w:rPr>
        <w:fldChar w:fldCharType="begin"/>
      </w:r>
      <w:r>
        <w:rPr>
          <w:color w:val="auto"/>
          <w:highlight w:val="none"/>
        </w:rPr>
        <w:instrText xml:space="preserve"> PAGEREF _Toc23047 \h </w:instrText>
      </w:r>
      <w:r>
        <w:rPr>
          <w:color w:val="auto"/>
          <w:highlight w:val="none"/>
        </w:rPr>
        <w:fldChar w:fldCharType="separate"/>
      </w:r>
      <w:r>
        <w:rPr>
          <w:color w:val="auto"/>
          <w:highlight w:val="none"/>
        </w:rPr>
        <w:t>18</w:t>
      </w:r>
      <w:r>
        <w:rPr>
          <w:color w:val="auto"/>
          <w:highlight w:val="none"/>
        </w:rPr>
        <w:fldChar w:fldCharType="end"/>
      </w:r>
      <w:r>
        <w:rPr>
          <w:color w:val="auto"/>
          <w:szCs w:val="30"/>
          <w:highlight w:val="none"/>
        </w:rPr>
        <w:fldChar w:fldCharType="end"/>
      </w:r>
    </w:p>
    <w:p w14:paraId="27D809D7">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_Toc9876 </w:instrText>
      </w:r>
      <w:r>
        <w:rPr>
          <w:color w:val="auto"/>
          <w:szCs w:val="30"/>
          <w:highlight w:val="none"/>
        </w:rPr>
        <w:fldChar w:fldCharType="separate"/>
      </w:r>
      <w:r>
        <w:rPr>
          <w:rFonts w:hint="eastAsia" w:ascii="宋体" w:hAnsi="宋体" w:eastAsia="宋体" w:cs="宋体"/>
          <w:color w:val="auto"/>
          <w:szCs w:val="21"/>
          <w:highlight w:val="none"/>
        </w:rPr>
        <w:t>三、定标</w:t>
      </w:r>
      <w:r>
        <w:rPr>
          <w:color w:val="auto"/>
          <w:highlight w:val="none"/>
        </w:rPr>
        <w:tab/>
      </w:r>
      <w:r>
        <w:rPr>
          <w:color w:val="auto"/>
          <w:highlight w:val="none"/>
        </w:rPr>
        <w:fldChar w:fldCharType="begin"/>
      </w:r>
      <w:r>
        <w:rPr>
          <w:color w:val="auto"/>
          <w:highlight w:val="none"/>
        </w:rPr>
        <w:instrText xml:space="preserve"> PAGEREF _Toc9876 \h </w:instrText>
      </w:r>
      <w:r>
        <w:rPr>
          <w:color w:val="auto"/>
          <w:highlight w:val="none"/>
        </w:rPr>
        <w:fldChar w:fldCharType="separate"/>
      </w:r>
      <w:r>
        <w:rPr>
          <w:color w:val="auto"/>
          <w:highlight w:val="none"/>
        </w:rPr>
        <w:t>21</w:t>
      </w:r>
      <w:r>
        <w:rPr>
          <w:color w:val="auto"/>
          <w:highlight w:val="none"/>
        </w:rPr>
        <w:fldChar w:fldCharType="end"/>
      </w:r>
      <w:r>
        <w:rPr>
          <w:color w:val="auto"/>
          <w:szCs w:val="30"/>
          <w:highlight w:val="none"/>
        </w:rPr>
        <w:fldChar w:fldCharType="end"/>
      </w:r>
    </w:p>
    <w:p w14:paraId="23DC860E">
      <w:pPr>
        <w:pStyle w:val="23"/>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_Toc29585 </w:instrText>
      </w:r>
      <w:r>
        <w:rPr>
          <w:color w:val="auto"/>
          <w:szCs w:val="30"/>
          <w:highlight w:val="none"/>
        </w:rPr>
        <w:fldChar w:fldCharType="separate"/>
      </w:r>
      <w:r>
        <w:rPr>
          <w:rFonts w:hint="eastAsia"/>
          <w:color w:val="auto"/>
          <w:highlight w:val="none"/>
        </w:rPr>
        <w:t>第五章  投标文件的有效性</w:t>
      </w:r>
      <w:r>
        <w:rPr>
          <w:color w:val="auto"/>
          <w:highlight w:val="none"/>
        </w:rPr>
        <w:tab/>
      </w:r>
      <w:r>
        <w:rPr>
          <w:color w:val="auto"/>
          <w:highlight w:val="none"/>
        </w:rPr>
        <w:fldChar w:fldCharType="begin"/>
      </w:r>
      <w:r>
        <w:rPr>
          <w:color w:val="auto"/>
          <w:highlight w:val="none"/>
        </w:rPr>
        <w:instrText xml:space="preserve"> PAGEREF _Toc29585 \h </w:instrText>
      </w:r>
      <w:r>
        <w:rPr>
          <w:color w:val="auto"/>
          <w:highlight w:val="none"/>
        </w:rPr>
        <w:fldChar w:fldCharType="separate"/>
      </w:r>
      <w:r>
        <w:rPr>
          <w:color w:val="auto"/>
          <w:highlight w:val="none"/>
        </w:rPr>
        <w:t>23</w:t>
      </w:r>
      <w:r>
        <w:rPr>
          <w:color w:val="auto"/>
          <w:highlight w:val="none"/>
        </w:rPr>
        <w:fldChar w:fldCharType="end"/>
      </w:r>
      <w:r>
        <w:rPr>
          <w:color w:val="auto"/>
          <w:szCs w:val="30"/>
          <w:highlight w:val="none"/>
        </w:rPr>
        <w:fldChar w:fldCharType="end"/>
      </w:r>
    </w:p>
    <w:p w14:paraId="6CE6557B">
      <w:pPr>
        <w:pStyle w:val="23"/>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_Toc17889 </w:instrText>
      </w:r>
      <w:r>
        <w:rPr>
          <w:color w:val="auto"/>
          <w:szCs w:val="30"/>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_Toc17889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0F90C65C">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_Toc28553 </w:instrText>
      </w:r>
      <w:r>
        <w:rPr>
          <w:color w:val="auto"/>
          <w:szCs w:val="30"/>
          <w:highlight w:val="none"/>
        </w:rPr>
        <w:fldChar w:fldCharType="separate"/>
      </w:r>
      <w:r>
        <w:rPr>
          <w:rFonts w:hint="eastAsia" w:ascii="宋体" w:hAnsi="宋体" w:eastAsia="宋体" w:cs="宋体"/>
          <w:color w:val="auto"/>
          <w:szCs w:val="21"/>
          <w:highlight w:val="none"/>
        </w:rPr>
        <w:t>一、评审程序</w:t>
      </w:r>
      <w:r>
        <w:rPr>
          <w:color w:val="auto"/>
          <w:highlight w:val="none"/>
        </w:rPr>
        <w:tab/>
      </w:r>
      <w:r>
        <w:rPr>
          <w:color w:val="auto"/>
          <w:highlight w:val="none"/>
        </w:rPr>
        <w:fldChar w:fldCharType="begin"/>
      </w:r>
      <w:r>
        <w:rPr>
          <w:color w:val="auto"/>
          <w:highlight w:val="none"/>
        </w:rPr>
        <w:instrText xml:space="preserve"> PAGEREF _Toc28553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0F1EF0D9">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_Toc27515 </w:instrText>
      </w:r>
      <w:r>
        <w:rPr>
          <w:color w:val="auto"/>
          <w:szCs w:val="30"/>
          <w:highlight w:val="none"/>
        </w:rPr>
        <w:fldChar w:fldCharType="separate"/>
      </w:r>
      <w:r>
        <w:rPr>
          <w:rFonts w:hint="eastAsia" w:ascii="宋体" w:hAnsi="宋体" w:eastAsia="宋体" w:cs="宋体"/>
          <w:color w:val="auto"/>
          <w:szCs w:val="21"/>
          <w:highlight w:val="none"/>
        </w:rPr>
        <w:t>二、确定的中标人放弃中标等情况的处理</w:t>
      </w:r>
      <w:r>
        <w:rPr>
          <w:color w:val="auto"/>
          <w:highlight w:val="none"/>
        </w:rPr>
        <w:tab/>
      </w:r>
      <w:r>
        <w:rPr>
          <w:color w:val="auto"/>
          <w:highlight w:val="none"/>
        </w:rPr>
        <w:fldChar w:fldCharType="begin"/>
      </w:r>
      <w:r>
        <w:rPr>
          <w:color w:val="auto"/>
          <w:highlight w:val="none"/>
        </w:rPr>
        <w:instrText xml:space="preserve"> PAGEREF _Toc27515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56DEE63F">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_Toc15571 </w:instrText>
      </w:r>
      <w:r>
        <w:rPr>
          <w:color w:val="auto"/>
          <w:szCs w:val="30"/>
          <w:highlight w:val="none"/>
        </w:rPr>
        <w:fldChar w:fldCharType="separate"/>
      </w:r>
      <w:r>
        <w:rPr>
          <w:rFonts w:hint="eastAsia" w:ascii="宋体" w:hAnsi="宋体" w:eastAsia="宋体" w:cs="宋体"/>
          <w:color w:val="auto"/>
          <w:szCs w:val="21"/>
          <w:highlight w:val="none"/>
        </w:rPr>
        <w:t>三、评分细则</w:t>
      </w:r>
      <w:r>
        <w:rPr>
          <w:color w:val="auto"/>
          <w:highlight w:val="none"/>
        </w:rPr>
        <w:tab/>
      </w:r>
      <w:r>
        <w:rPr>
          <w:color w:val="auto"/>
          <w:highlight w:val="none"/>
        </w:rPr>
        <w:fldChar w:fldCharType="begin"/>
      </w:r>
      <w:r>
        <w:rPr>
          <w:color w:val="auto"/>
          <w:highlight w:val="none"/>
        </w:rPr>
        <w:instrText xml:space="preserve"> PAGEREF _Toc15571 \h </w:instrText>
      </w:r>
      <w:r>
        <w:rPr>
          <w:color w:val="auto"/>
          <w:highlight w:val="none"/>
        </w:rPr>
        <w:fldChar w:fldCharType="separate"/>
      </w:r>
      <w:r>
        <w:rPr>
          <w:color w:val="auto"/>
          <w:highlight w:val="none"/>
        </w:rPr>
        <w:t>26</w:t>
      </w:r>
      <w:r>
        <w:rPr>
          <w:color w:val="auto"/>
          <w:highlight w:val="none"/>
        </w:rPr>
        <w:fldChar w:fldCharType="end"/>
      </w:r>
      <w:r>
        <w:rPr>
          <w:color w:val="auto"/>
          <w:szCs w:val="30"/>
          <w:highlight w:val="none"/>
        </w:rPr>
        <w:fldChar w:fldCharType="end"/>
      </w:r>
    </w:p>
    <w:p w14:paraId="43C26877">
      <w:pPr>
        <w:pStyle w:val="23"/>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_Toc10608 </w:instrText>
      </w:r>
      <w:r>
        <w:rPr>
          <w:color w:val="auto"/>
          <w:szCs w:val="30"/>
          <w:highlight w:val="none"/>
        </w:rPr>
        <w:fldChar w:fldCharType="separate"/>
      </w:r>
      <w:r>
        <w:rPr>
          <w:rFonts w:hint="eastAsia"/>
          <w:color w:val="auto"/>
          <w:highlight w:val="none"/>
        </w:rPr>
        <w:t>第七章  合同主要条款</w:t>
      </w:r>
      <w:r>
        <w:rPr>
          <w:color w:val="auto"/>
          <w:highlight w:val="none"/>
        </w:rPr>
        <w:tab/>
      </w:r>
      <w:r>
        <w:rPr>
          <w:color w:val="auto"/>
          <w:highlight w:val="none"/>
        </w:rPr>
        <w:fldChar w:fldCharType="begin"/>
      </w:r>
      <w:r>
        <w:rPr>
          <w:color w:val="auto"/>
          <w:highlight w:val="none"/>
        </w:rPr>
        <w:instrText xml:space="preserve"> PAGEREF _Toc10608 \h </w:instrText>
      </w:r>
      <w:r>
        <w:rPr>
          <w:color w:val="auto"/>
          <w:highlight w:val="none"/>
        </w:rPr>
        <w:fldChar w:fldCharType="separate"/>
      </w:r>
      <w:r>
        <w:rPr>
          <w:color w:val="auto"/>
          <w:highlight w:val="none"/>
        </w:rPr>
        <w:t>28</w:t>
      </w:r>
      <w:r>
        <w:rPr>
          <w:color w:val="auto"/>
          <w:highlight w:val="none"/>
        </w:rPr>
        <w:fldChar w:fldCharType="end"/>
      </w:r>
      <w:r>
        <w:rPr>
          <w:color w:val="auto"/>
          <w:szCs w:val="30"/>
          <w:highlight w:val="none"/>
        </w:rPr>
        <w:fldChar w:fldCharType="end"/>
      </w:r>
    </w:p>
    <w:p w14:paraId="261F2193">
      <w:pPr>
        <w:pStyle w:val="23"/>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_Toc28956 </w:instrText>
      </w:r>
      <w:r>
        <w:rPr>
          <w:color w:val="auto"/>
          <w:szCs w:val="30"/>
          <w:highlight w:val="none"/>
        </w:rPr>
        <w:fldChar w:fldCharType="separate"/>
      </w:r>
      <w:r>
        <w:rPr>
          <w:rFonts w:hint="eastAsia"/>
          <w:color w:val="auto"/>
          <w:highlight w:val="none"/>
        </w:rPr>
        <w:t>第八章  投标文件部分格式</w:t>
      </w:r>
      <w:r>
        <w:rPr>
          <w:color w:val="auto"/>
          <w:highlight w:val="none"/>
        </w:rPr>
        <w:tab/>
      </w:r>
      <w:r>
        <w:rPr>
          <w:color w:val="auto"/>
          <w:highlight w:val="none"/>
        </w:rPr>
        <w:fldChar w:fldCharType="begin"/>
      </w:r>
      <w:r>
        <w:rPr>
          <w:color w:val="auto"/>
          <w:highlight w:val="none"/>
        </w:rPr>
        <w:instrText xml:space="preserve"> PAGEREF _Toc28956 \h </w:instrText>
      </w:r>
      <w:r>
        <w:rPr>
          <w:color w:val="auto"/>
          <w:highlight w:val="none"/>
        </w:rPr>
        <w:fldChar w:fldCharType="separate"/>
      </w:r>
      <w:r>
        <w:rPr>
          <w:color w:val="auto"/>
          <w:highlight w:val="none"/>
        </w:rPr>
        <w:t>32</w:t>
      </w:r>
      <w:r>
        <w:rPr>
          <w:color w:val="auto"/>
          <w:highlight w:val="none"/>
        </w:rPr>
        <w:fldChar w:fldCharType="end"/>
      </w:r>
      <w:r>
        <w:rPr>
          <w:color w:val="auto"/>
          <w:szCs w:val="30"/>
          <w:highlight w:val="none"/>
        </w:rPr>
        <w:fldChar w:fldCharType="end"/>
      </w:r>
    </w:p>
    <w:p w14:paraId="027B8753">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_Toc9029 </w:instrText>
      </w:r>
      <w:r>
        <w:rPr>
          <w:color w:val="auto"/>
          <w:szCs w:val="30"/>
          <w:highlight w:val="none"/>
        </w:rPr>
        <w:fldChar w:fldCharType="separate"/>
      </w:r>
      <w:r>
        <w:rPr>
          <w:rFonts w:hint="eastAsia" w:ascii="宋体" w:hAnsi="宋体" w:eastAsia="宋体" w:cs="宋体"/>
          <w:color w:val="auto"/>
          <w:szCs w:val="21"/>
          <w:highlight w:val="none"/>
        </w:rPr>
        <w:t>一、资格响应文件、商务技术响应文件部分格式</w:t>
      </w:r>
      <w:r>
        <w:rPr>
          <w:color w:val="auto"/>
          <w:highlight w:val="none"/>
        </w:rPr>
        <w:tab/>
      </w:r>
      <w:r>
        <w:rPr>
          <w:color w:val="auto"/>
          <w:highlight w:val="none"/>
        </w:rPr>
        <w:fldChar w:fldCharType="begin"/>
      </w:r>
      <w:r>
        <w:rPr>
          <w:color w:val="auto"/>
          <w:highlight w:val="none"/>
        </w:rPr>
        <w:instrText xml:space="preserve"> PAGEREF _Toc9029 \h </w:instrText>
      </w:r>
      <w:r>
        <w:rPr>
          <w:color w:val="auto"/>
          <w:highlight w:val="none"/>
        </w:rPr>
        <w:fldChar w:fldCharType="separate"/>
      </w:r>
      <w:r>
        <w:rPr>
          <w:color w:val="auto"/>
          <w:highlight w:val="none"/>
        </w:rPr>
        <w:t>32</w:t>
      </w:r>
      <w:r>
        <w:rPr>
          <w:color w:val="auto"/>
          <w:highlight w:val="none"/>
        </w:rPr>
        <w:fldChar w:fldCharType="end"/>
      </w:r>
      <w:r>
        <w:rPr>
          <w:color w:val="auto"/>
          <w:szCs w:val="30"/>
          <w:highlight w:val="none"/>
        </w:rPr>
        <w:fldChar w:fldCharType="end"/>
      </w:r>
    </w:p>
    <w:p w14:paraId="1A81DE37">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_Toc7214 </w:instrText>
      </w:r>
      <w:r>
        <w:rPr>
          <w:color w:val="auto"/>
          <w:szCs w:val="30"/>
          <w:highlight w:val="none"/>
        </w:rPr>
        <w:fldChar w:fldCharType="separate"/>
      </w:r>
      <w:r>
        <w:rPr>
          <w:rFonts w:hint="eastAsia" w:ascii="宋体" w:hAnsi="宋体" w:eastAsia="宋体" w:cs="宋体"/>
          <w:color w:val="auto"/>
          <w:szCs w:val="21"/>
          <w:highlight w:val="none"/>
        </w:rPr>
        <w:t>二、报价响应文件部分格式</w:t>
      </w:r>
      <w:r>
        <w:rPr>
          <w:color w:val="auto"/>
          <w:highlight w:val="none"/>
        </w:rPr>
        <w:tab/>
      </w:r>
      <w:r>
        <w:rPr>
          <w:color w:val="auto"/>
          <w:highlight w:val="none"/>
        </w:rPr>
        <w:fldChar w:fldCharType="begin"/>
      </w:r>
      <w:r>
        <w:rPr>
          <w:color w:val="auto"/>
          <w:highlight w:val="none"/>
        </w:rPr>
        <w:instrText xml:space="preserve"> PAGEREF _Toc7214 \h </w:instrText>
      </w:r>
      <w:r>
        <w:rPr>
          <w:color w:val="auto"/>
          <w:highlight w:val="none"/>
        </w:rPr>
        <w:fldChar w:fldCharType="separate"/>
      </w:r>
      <w:r>
        <w:rPr>
          <w:color w:val="auto"/>
          <w:highlight w:val="none"/>
        </w:rPr>
        <w:t>32</w:t>
      </w:r>
      <w:r>
        <w:rPr>
          <w:color w:val="auto"/>
          <w:highlight w:val="none"/>
        </w:rPr>
        <w:fldChar w:fldCharType="end"/>
      </w:r>
      <w:r>
        <w:rPr>
          <w:color w:val="auto"/>
          <w:szCs w:val="30"/>
          <w:highlight w:val="none"/>
        </w:rPr>
        <w:fldChar w:fldCharType="end"/>
      </w:r>
    </w:p>
    <w:p w14:paraId="3E494D15">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_Toc17009 </w:instrText>
      </w:r>
      <w:r>
        <w:rPr>
          <w:color w:val="auto"/>
          <w:szCs w:val="30"/>
          <w:highlight w:val="none"/>
        </w:rPr>
        <w:fldChar w:fldCharType="separate"/>
      </w:r>
      <w:r>
        <w:rPr>
          <w:rFonts w:hint="eastAsia" w:ascii="宋体" w:hAnsi="宋体" w:eastAsia="宋体" w:cs="宋体"/>
          <w:color w:val="auto"/>
          <w:szCs w:val="21"/>
          <w:highlight w:val="none"/>
        </w:rPr>
        <w:t>三、质疑函范本</w:t>
      </w:r>
      <w:r>
        <w:rPr>
          <w:color w:val="auto"/>
          <w:highlight w:val="none"/>
        </w:rPr>
        <w:tab/>
      </w:r>
      <w:r>
        <w:rPr>
          <w:color w:val="auto"/>
          <w:highlight w:val="none"/>
        </w:rPr>
        <w:fldChar w:fldCharType="begin"/>
      </w:r>
      <w:r>
        <w:rPr>
          <w:color w:val="auto"/>
          <w:highlight w:val="none"/>
        </w:rPr>
        <w:instrText xml:space="preserve"> PAGEREF _Toc17009 \h </w:instrText>
      </w:r>
      <w:r>
        <w:rPr>
          <w:color w:val="auto"/>
          <w:highlight w:val="none"/>
        </w:rPr>
        <w:fldChar w:fldCharType="separate"/>
      </w:r>
      <w:r>
        <w:rPr>
          <w:color w:val="auto"/>
          <w:highlight w:val="none"/>
        </w:rPr>
        <w:t>32</w:t>
      </w:r>
      <w:r>
        <w:rPr>
          <w:color w:val="auto"/>
          <w:highlight w:val="none"/>
        </w:rPr>
        <w:fldChar w:fldCharType="end"/>
      </w:r>
      <w:r>
        <w:rPr>
          <w:color w:val="auto"/>
          <w:szCs w:val="30"/>
          <w:highlight w:val="none"/>
        </w:rPr>
        <w:fldChar w:fldCharType="end"/>
      </w:r>
    </w:p>
    <w:p w14:paraId="3343341D">
      <w:pPr>
        <w:rPr>
          <w:color w:val="auto"/>
          <w:sz w:val="28"/>
          <w:szCs w:val="28"/>
          <w:highlight w:val="none"/>
        </w:rPr>
        <w:sectPr>
          <w:footerReference r:id="rId3" w:type="default"/>
          <w:pgSz w:w="11906" w:h="16838"/>
          <w:pgMar w:top="1440" w:right="1800" w:bottom="1440" w:left="1800" w:header="851" w:footer="992" w:gutter="0"/>
          <w:pgNumType w:start="1"/>
          <w:cols w:space="720" w:num="1"/>
          <w:docGrid w:type="lines" w:linePitch="312" w:charSpace="0"/>
        </w:sectPr>
      </w:pPr>
      <w:r>
        <w:rPr>
          <w:color w:val="auto"/>
          <w:szCs w:val="30"/>
          <w:highlight w:val="none"/>
        </w:rPr>
        <w:fldChar w:fldCharType="end"/>
      </w:r>
    </w:p>
    <w:p w14:paraId="335EC080">
      <w:pPr>
        <w:pStyle w:val="2"/>
        <w:spacing w:line="240" w:lineRule="exact"/>
        <w:jc w:val="center"/>
        <w:rPr>
          <w:color w:val="auto"/>
          <w:sz w:val="36"/>
          <w:highlight w:val="none"/>
        </w:rPr>
      </w:pPr>
      <w:bookmarkStart w:id="0" w:name="_Toc20622"/>
      <w:bookmarkStart w:id="1" w:name="_Toc13402"/>
      <w:r>
        <w:rPr>
          <w:color w:val="auto"/>
          <w:sz w:val="36"/>
          <w:highlight w:val="none"/>
        </w:rPr>
        <w:t>第一章</w:t>
      </w:r>
      <w:r>
        <w:rPr>
          <w:rFonts w:hint="eastAsia"/>
          <w:color w:val="auto"/>
          <w:sz w:val="36"/>
          <w:highlight w:val="none"/>
        </w:rPr>
        <w:t>　招标公告</w:t>
      </w:r>
      <w:bookmarkEnd w:id="0"/>
      <w:bookmarkEnd w:id="1"/>
    </w:p>
    <w:p w14:paraId="33683EF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根据法律法规等相关规定，本项目进行公开招标，欢迎国内合格的供应商参加投标。</w:t>
      </w:r>
    </w:p>
    <w:p w14:paraId="4196B52E">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1.采购编号</w:t>
      </w:r>
      <w:r>
        <w:rPr>
          <w:rFonts w:hint="eastAsia" w:ascii="宋体" w:hAnsi="宋体" w:cs="宋体"/>
          <w:color w:val="auto"/>
          <w:highlight w:val="none"/>
        </w:rPr>
        <w:t>：YWYGZC202510CG00</w:t>
      </w:r>
      <w:r>
        <w:rPr>
          <w:rFonts w:hint="eastAsia" w:ascii="宋体" w:hAnsi="宋体" w:cs="宋体"/>
          <w:color w:val="auto"/>
          <w:highlight w:val="none"/>
          <w:lang w:val="en-US" w:eastAsia="zh-CN"/>
        </w:rPr>
        <w:t>19</w:t>
      </w:r>
      <w:r>
        <w:rPr>
          <w:rFonts w:hint="eastAsia" w:ascii="宋体" w:hAnsi="宋体" w:cs="宋体"/>
          <w:b w:val="0"/>
          <w:bCs w:val="0"/>
          <w:color w:val="auto"/>
          <w:highlight w:val="none"/>
          <w:lang w:val="en-US" w:eastAsia="zh-CN"/>
        </w:rPr>
        <w:t>（</w:t>
      </w:r>
      <w:r>
        <w:rPr>
          <w:rFonts w:hint="eastAsia" w:ascii="宋体" w:hAnsi="宋体" w:cs="宋体"/>
          <w:b w:val="0"/>
          <w:bCs w:val="0"/>
          <w:color w:val="auto"/>
          <w:highlight w:val="none"/>
        </w:rPr>
        <w:t>YCQ-2025-CG</w:t>
      </w:r>
      <w:r>
        <w:rPr>
          <w:rFonts w:hint="eastAsia" w:ascii="宋体" w:hAnsi="宋体" w:cs="宋体"/>
          <w:b w:val="0"/>
          <w:bCs w:val="0"/>
          <w:color w:val="auto"/>
          <w:highlight w:val="none"/>
          <w:lang w:val="en-US" w:eastAsia="zh-CN"/>
        </w:rPr>
        <w:t>222)</w:t>
      </w:r>
      <w:r>
        <w:rPr>
          <w:rFonts w:hint="eastAsia" w:ascii="宋体" w:hAnsi="宋体" w:cs="宋体"/>
          <w:b w:val="0"/>
          <w:bCs w:val="0"/>
          <w:color w:val="auto"/>
          <w:highlight w:val="none"/>
        </w:rPr>
        <w:t xml:space="preserve"> </w:t>
      </w:r>
      <w:r>
        <w:rPr>
          <w:rFonts w:hint="eastAsia" w:ascii="宋体" w:hAnsi="宋体" w:cs="宋体"/>
          <w:b/>
          <w:bCs/>
          <w:color w:val="auto"/>
          <w:highlight w:val="none"/>
        </w:rPr>
        <w:t xml:space="preserve">    </w:t>
      </w:r>
    </w:p>
    <w:p w14:paraId="09457711">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2.采购内容及数量：</w:t>
      </w:r>
      <w:r>
        <w:rPr>
          <w:rFonts w:hint="eastAsia" w:ascii="宋体" w:hAnsi="宋体" w:cs="宋体"/>
          <w:b/>
          <w:color w:val="auto"/>
          <w:highlight w:val="none"/>
          <w:lang w:eastAsia="zh-CN"/>
        </w:rPr>
        <w:t>信创电脑</w:t>
      </w:r>
      <w:r>
        <w:rPr>
          <w:rFonts w:hint="eastAsia" w:ascii="宋体" w:hAnsi="宋体" w:cs="宋体"/>
          <w:b/>
          <w:color w:val="auto"/>
          <w:highlight w:val="none"/>
        </w:rPr>
        <w:t>采购项目</w:t>
      </w:r>
      <w:r>
        <w:rPr>
          <w:rFonts w:hint="eastAsia" w:ascii="宋体" w:hAnsi="宋体" w:cs="宋体"/>
          <w:color w:val="auto"/>
          <w:highlight w:val="none"/>
        </w:rPr>
        <w:t>，采购期内按需采购，提供共计</w:t>
      </w:r>
      <w:r>
        <w:rPr>
          <w:rFonts w:hint="eastAsia" w:ascii="宋体" w:hAnsi="宋体" w:cs="宋体"/>
          <w:color w:val="auto"/>
          <w:highlight w:val="none"/>
          <w:lang w:val="en-US" w:eastAsia="zh-CN"/>
        </w:rPr>
        <w:t>125</w:t>
      </w:r>
      <w:r>
        <w:rPr>
          <w:rFonts w:hint="eastAsia" w:ascii="宋体" w:hAnsi="宋体" w:cs="宋体"/>
          <w:color w:val="auto"/>
          <w:highlight w:val="none"/>
        </w:rPr>
        <w:t>套国产信息化桌面集成服务以及设备。具体详见第三章招标项目要求。</w:t>
      </w:r>
    </w:p>
    <w:p w14:paraId="52CD4D54">
      <w:pPr>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3.</w:t>
      </w:r>
      <w:r>
        <w:rPr>
          <w:rFonts w:hint="eastAsia" w:ascii="宋体" w:hAnsi="宋体" w:cs="宋体"/>
          <w:b/>
          <w:bCs/>
          <w:color w:val="auto"/>
          <w:highlight w:val="none"/>
        </w:rPr>
        <w:t>采购预算及最高限价</w:t>
      </w:r>
      <w:r>
        <w:rPr>
          <w:rFonts w:hint="eastAsia" w:ascii="宋体" w:hAnsi="宋体" w:cs="宋体"/>
          <w:color w:val="auto"/>
          <w:highlight w:val="none"/>
        </w:rPr>
        <w:t>：预算</w:t>
      </w:r>
      <w:r>
        <w:rPr>
          <w:rFonts w:hint="eastAsia" w:ascii="宋体" w:hAnsi="宋体" w:cs="宋体"/>
          <w:color w:val="auto"/>
          <w:highlight w:val="none"/>
          <w:lang w:val="en-US" w:eastAsia="zh-CN"/>
        </w:rPr>
        <w:t>62.5</w:t>
      </w:r>
      <w:r>
        <w:rPr>
          <w:rFonts w:hint="eastAsia" w:ascii="宋体" w:hAnsi="宋体" w:cs="宋体"/>
          <w:color w:val="auto"/>
          <w:highlight w:val="none"/>
        </w:rPr>
        <w:t>万元</w:t>
      </w:r>
      <w:r>
        <w:rPr>
          <w:rFonts w:hint="eastAsia" w:ascii="宋体" w:hAnsi="宋体" w:cs="宋体"/>
          <w:color w:val="auto"/>
          <w:highlight w:val="none"/>
          <w:lang w:eastAsia="zh-CN"/>
        </w:rPr>
        <w:t>，</w:t>
      </w:r>
      <w:r>
        <w:rPr>
          <w:rFonts w:hint="eastAsia" w:ascii="宋体" w:hAnsi="宋体" w:cs="宋体"/>
          <w:color w:val="auto"/>
          <w:sz w:val="21"/>
          <w:szCs w:val="21"/>
          <w:highlight w:val="none"/>
        </w:rPr>
        <w:t>单价最高限价：5000元</w:t>
      </w:r>
      <w:r>
        <w:rPr>
          <w:rFonts w:hint="eastAsia" w:ascii="宋体" w:hAnsi="宋体" w:cs="宋体"/>
          <w:color w:val="auto"/>
          <w:highlight w:val="none"/>
        </w:rPr>
        <w:t>，</w:t>
      </w:r>
      <w:r>
        <w:rPr>
          <w:rFonts w:hint="eastAsia" w:ascii="宋体" w:hAnsi="宋体" w:cs="宋体"/>
          <w:color w:val="auto"/>
          <w:sz w:val="21"/>
          <w:szCs w:val="21"/>
          <w:highlight w:val="none"/>
        </w:rPr>
        <w:t>超过</w:t>
      </w:r>
      <w:r>
        <w:rPr>
          <w:rFonts w:hint="eastAsia" w:ascii="宋体" w:hAnsi="宋体" w:cs="宋体"/>
          <w:color w:val="auto"/>
          <w:sz w:val="21"/>
          <w:szCs w:val="21"/>
          <w:highlight w:val="none"/>
          <w:shd w:val="clear" w:color="auto" w:fill="FFFFFF"/>
        </w:rPr>
        <w:t>最高限价为无效标</w:t>
      </w:r>
      <w:r>
        <w:rPr>
          <w:rFonts w:hint="eastAsia" w:ascii="宋体" w:hAnsi="宋体" w:cs="宋体"/>
          <w:color w:val="auto"/>
          <w:highlight w:val="none"/>
        </w:rPr>
        <w:t>。</w:t>
      </w:r>
    </w:p>
    <w:p w14:paraId="299B3B89">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4</w:t>
      </w:r>
      <w:r>
        <w:rPr>
          <w:rFonts w:hint="eastAsia" w:ascii="宋体" w:hAnsi="宋体" w:cs="宋体"/>
          <w:b/>
          <w:color w:val="auto"/>
          <w:highlight w:val="none"/>
          <w:lang w:val="zh-CN"/>
        </w:rPr>
        <w:t>.投标人的资格要求</w:t>
      </w:r>
      <w:r>
        <w:rPr>
          <w:rFonts w:hint="eastAsia" w:ascii="宋体" w:hAnsi="宋体" w:cs="宋体"/>
          <w:b/>
          <w:color w:val="auto"/>
          <w:highlight w:val="none"/>
        </w:rPr>
        <w:t>：</w:t>
      </w:r>
    </w:p>
    <w:p w14:paraId="02B719A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2D8AD6E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②根据《浙江省公共信用信息管理条例》第二十六条的规定，未列入严重失信名单的（查询结果以开标当日网站页面显示为准）；</w:t>
      </w:r>
    </w:p>
    <w:p w14:paraId="747ADC7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信誉要求：投标人自2022年1月1日起到中标候选人公告期结束前无行贿犯罪记录（评标结束后，由采购人通过中国裁判文书网（http://wenshu.court.gov.cn/）按照招标文件约定对中标候选人的行贿犯罪记录进行查询，查询结果以网站页面显示内容为准）；</w:t>
      </w:r>
    </w:p>
    <w:p w14:paraId="00C8622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④本项目不得转包（如有转包，终止合同），不接受联合体投标。</w:t>
      </w:r>
    </w:p>
    <w:p w14:paraId="68597D6C">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5.采购文件（即招标文件，下同）获取时间、地点及方式：</w:t>
      </w:r>
    </w:p>
    <w:p w14:paraId="7D795F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①时间：公告发布时间起至投标截止时间止。</w:t>
      </w:r>
    </w:p>
    <w:p w14:paraId="258A98F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②地点：义乌市阳光招标采购平台(www.ywygzc.com)、义乌产权交易网（www.ywcq.com）。</w:t>
      </w:r>
    </w:p>
    <w:p w14:paraId="2956C02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③方式：登录义乌市阳光招标采购平台账号获取或直接在招标公告下方获取。</w:t>
      </w:r>
    </w:p>
    <w:p w14:paraId="78F19F2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潜在供应商未在规定的期限内按照上述方式获取招标文件的，采购人、采购代理机构可以不予受理其所提出的对招标文件的质疑。</w:t>
      </w:r>
    </w:p>
    <w:p w14:paraId="0A39B680">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highlight w:val="none"/>
        </w:rPr>
      </w:pPr>
      <w:r>
        <w:rPr>
          <w:rFonts w:hint="eastAsia" w:ascii="宋体" w:hAnsi="宋体" w:cs="宋体"/>
          <w:b/>
          <w:color w:val="auto"/>
          <w:highlight w:val="none"/>
        </w:rPr>
        <w:t>6.技术答疑：</w:t>
      </w:r>
      <w:bookmarkStart w:id="2" w:name="_Toc4701"/>
      <w:r>
        <w:rPr>
          <w:rFonts w:hint="eastAsia" w:ascii="宋体" w:hAnsi="宋体" w:eastAsia="宋体" w:cs="宋体"/>
          <w:color w:val="auto"/>
          <w:highlight w:val="none"/>
        </w:rPr>
        <w:t>供应商认为采购文件使自己的权益受到损害的，请于202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日17</w:t>
      </w:r>
      <w:r>
        <w:rPr>
          <w:rFonts w:hint="eastAsia" w:ascii="宋体" w:hAnsi="宋体" w:eastAsia="宋体" w:cs="宋体"/>
          <w:color w:val="auto"/>
          <w:highlight w:val="none"/>
        </w:rPr>
        <w:t>:00前以书面形式向采购人和采购代理机构提出质疑。质疑以书面方式分别提交至</w:t>
      </w:r>
      <w:r>
        <w:rPr>
          <w:rFonts w:hint="eastAsia" w:ascii="宋体" w:hAnsi="宋体" w:eastAsia="宋体" w:cs="宋体"/>
          <w:color w:val="auto"/>
          <w:highlight w:val="none"/>
          <w:lang w:val="en-US" w:eastAsia="zh-CN"/>
        </w:rPr>
        <w:t>义乌市交通旅游产业发展集团有限公司</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张先生</w:t>
      </w:r>
      <w:r>
        <w:rPr>
          <w:rFonts w:hint="eastAsia" w:ascii="宋体" w:hAnsi="宋体" w:eastAsia="宋体" w:cs="宋体"/>
          <w:color w:val="auto"/>
          <w:highlight w:val="none"/>
          <w:lang w:eastAsia="zh-CN"/>
        </w:rPr>
        <w:t>（0579-89989857）</w:t>
      </w:r>
      <w:r>
        <w:rPr>
          <w:rFonts w:hint="eastAsia" w:ascii="宋体" w:hAnsi="宋体" w:eastAsia="宋体" w:cs="宋体"/>
          <w:color w:val="auto"/>
          <w:highlight w:val="none"/>
        </w:rPr>
        <w:t>和义乌产权交易所有限公司：</w:t>
      </w:r>
      <w:r>
        <w:rPr>
          <w:rFonts w:hint="eastAsia" w:ascii="宋体" w:hAnsi="宋体" w:eastAsia="宋体" w:cs="宋体"/>
          <w:color w:val="auto"/>
          <w:highlight w:val="none"/>
          <w:lang w:val="en-US" w:eastAsia="zh-CN"/>
        </w:rPr>
        <w:t>王女士</w:t>
      </w:r>
      <w:r>
        <w:rPr>
          <w:rFonts w:hint="eastAsia" w:ascii="宋体" w:hAnsi="宋体" w:eastAsia="宋体" w:cs="宋体"/>
          <w:color w:val="auto"/>
          <w:highlight w:val="none"/>
        </w:rPr>
        <w:t>（0579-8990</w:t>
      </w:r>
      <w:r>
        <w:rPr>
          <w:rFonts w:hint="eastAsia" w:ascii="宋体" w:hAnsi="宋体" w:eastAsia="宋体" w:cs="宋体"/>
          <w:color w:val="auto"/>
          <w:highlight w:val="none"/>
          <w:lang w:val="en-US" w:eastAsia="zh-CN"/>
        </w:rPr>
        <w:t>3039</w:t>
      </w:r>
      <w:r>
        <w:rPr>
          <w:rFonts w:hint="eastAsia" w:ascii="宋体" w:hAnsi="宋体" w:eastAsia="宋体" w:cs="宋体"/>
          <w:color w:val="auto"/>
          <w:highlight w:val="none"/>
        </w:rPr>
        <w:t>，ywcqztb001@ywcq.com），</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并致电</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采购代理机构确认。书面文件邮寄地址：义乌市北苑街道望道路300号40</w:t>
      </w:r>
      <w:r>
        <w:rPr>
          <w:rFonts w:hint="eastAsia" w:ascii="宋体" w:hAnsi="宋体" w:eastAsia="宋体" w:cs="宋体"/>
          <w:color w:val="auto"/>
          <w:highlight w:val="none"/>
          <w:lang w:val="en-US" w:eastAsia="zh-CN"/>
        </w:rPr>
        <w:t>55</w:t>
      </w:r>
      <w:r>
        <w:rPr>
          <w:rFonts w:hint="eastAsia" w:ascii="宋体" w:hAnsi="宋体" w:eastAsia="宋体" w:cs="宋体"/>
          <w:color w:val="auto"/>
          <w:highlight w:val="none"/>
        </w:rPr>
        <w:t>。</w:t>
      </w:r>
    </w:p>
    <w:p w14:paraId="67EA467C">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7.投标截止时间及地点：</w:t>
      </w:r>
      <w:bookmarkEnd w:id="2"/>
    </w:p>
    <w:p w14:paraId="34BE8F4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①提交投标文件截止时间：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18</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13</w:t>
      </w:r>
      <w:r>
        <w:rPr>
          <w:rFonts w:hint="eastAsia" w:ascii="宋体" w:hAnsi="宋体" w:cs="宋体"/>
          <w:color w:val="auto"/>
          <w:highlight w:val="none"/>
        </w:rPr>
        <w:t>:30（北京时间）</w:t>
      </w:r>
    </w:p>
    <w:p w14:paraId="748E7CE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②投标地点：在谷歌或IE浏览器上，用账号登录义乌市阳光招标采购平台（www.ywygzc.com），上传电子加密标书至“义乌市阳光招标采购平台”，逾期或未上传成功的将导致无法投标或投标无效。</w:t>
      </w:r>
    </w:p>
    <w:p w14:paraId="7BD9CD1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③开标时间：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18</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13</w:t>
      </w:r>
      <w:r>
        <w:rPr>
          <w:rFonts w:hint="eastAsia" w:ascii="宋体" w:hAnsi="宋体" w:cs="宋体"/>
          <w:color w:val="auto"/>
          <w:highlight w:val="none"/>
        </w:rPr>
        <w:t>:30 </w:t>
      </w:r>
    </w:p>
    <w:p w14:paraId="24ACCE8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④开标地点：“义乌市阳光招标采购平台”（www.ywygzc.com）</w:t>
      </w:r>
    </w:p>
    <w:p w14:paraId="5D10944D">
      <w:pPr>
        <w:snapToGrid w:val="0"/>
        <w:spacing w:line="360" w:lineRule="auto"/>
        <w:ind w:firstLine="413" w:firstLineChars="196"/>
        <w:rPr>
          <w:rFonts w:hint="eastAsia" w:ascii="宋体" w:hAnsi="宋体" w:cs="宋体"/>
          <w:color w:val="auto"/>
          <w:szCs w:val="21"/>
          <w:highlight w:val="none"/>
        </w:rPr>
      </w:pPr>
      <w:r>
        <w:rPr>
          <w:rFonts w:hint="eastAsia" w:ascii="宋体" w:hAnsi="宋体" w:cs="宋体"/>
          <w:b/>
          <w:bCs/>
          <w:color w:val="auto"/>
          <w:szCs w:val="21"/>
          <w:highlight w:val="none"/>
          <w:shd w:val="clear" w:color="auto" w:fill="FFFFFF"/>
        </w:rPr>
        <w:t>8.投标与开标注意事项：</w:t>
      </w:r>
    </w:p>
    <w:p w14:paraId="22F7B91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14:paraId="5504EC5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3291BA49">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18</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13</w:t>
      </w:r>
      <w:r>
        <w:rPr>
          <w:rFonts w:hint="eastAsia" w:ascii="宋体" w:hAnsi="宋体" w:cs="宋体"/>
          <w:color w:val="auto"/>
          <w:highlight w:val="none"/>
        </w:rPr>
        <w:t>:30）之前上传投标文件</w:t>
      </w:r>
      <w:r>
        <w:rPr>
          <w:rFonts w:hint="eastAsia" w:ascii="宋体" w:hAnsi="宋体" w:cs="宋体"/>
          <w:b/>
          <w:bCs/>
          <w:color w:val="auto"/>
          <w:highlight w:val="none"/>
        </w:rPr>
        <w:t>。</w:t>
      </w:r>
    </w:p>
    <w:p w14:paraId="089A7A64">
      <w:pPr>
        <w:spacing w:line="360" w:lineRule="auto"/>
        <w:ind w:firstLine="420" w:firstLineChars="200"/>
        <w:rPr>
          <w:rFonts w:hint="eastAsia" w:ascii="宋体" w:hAnsi="宋体" w:cs="宋体"/>
          <w:color w:val="auto"/>
          <w:highlight w:val="none"/>
        </w:rPr>
      </w:pPr>
      <w:r>
        <w:rPr>
          <w:rFonts w:hint="eastAsia" w:ascii="宋体" w:hAnsi="宋体" w:eastAsia="宋体" w:cs="宋体"/>
          <w:color w:val="auto"/>
          <w:highlight w:val="none"/>
        </w:rPr>
        <w:t>④</w:t>
      </w:r>
      <w:r>
        <w:rPr>
          <w:rFonts w:hint="eastAsia" w:ascii="宋体" w:hAnsi="宋体" w:cs="宋体"/>
          <w:color w:val="auto"/>
          <w:highlight w:val="none"/>
        </w:rPr>
        <w:t>开标与投标文件解密：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F28DC7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237D7A4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4.1</w:t>
      </w:r>
      <w:r>
        <w:rPr>
          <w:rFonts w:hint="eastAsia" w:ascii="宋体" w:hAnsi="宋体" w:cs="宋体"/>
          <w:color w:val="auto"/>
          <w:highlight w:val="none"/>
        </w:rPr>
        <w:t>该电脑未安装CA驱动，无法读取CA锁——重新下载安装驱动</w:t>
      </w:r>
    </w:p>
    <w:p w14:paraId="2C8BD6C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4.2</w:t>
      </w:r>
      <w:r>
        <w:rPr>
          <w:rFonts w:hint="eastAsia" w:ascii="宋体" w:hAnsi="宋体" w:cs="宋体"/>
          <w:color w:val="auto"/>
          <w:highlight w:val="none"/>
        </w:rPr>
        <w:t>电脑长时间未关机应用程序未响应，导致无法读取CA锁——重启电脑或重新安装驱动</w:t>
      </w:r>
    </w:p>
    <w:p w14:paraId="3993FDC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4.3</w:t>
      </w:r>
      <w:r>
        <w:rPr>
          <w:rFonts w:hint="eastAsia" w:ascii="宋体" w:hAnsi="宋体" w:cs="宋体"/>
          <w:color w:val="auto"/>
          <w:highlight w:val="none"/>
        </w:rPr>
        <w:t>浏览器版本过低导致无法识别——更换Egde、谷歌浏览器</w:t>
      </w:r>
    </w:p>
    <w:p w14:paraId="78753F1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4.4</w:t>
      </w:r>
      <w:r>
        <w:rPr>
          <w:rFonts w:hint="eastAsia" w:ascii="宋体" w:hAnsi="宋体" w:cs="宋体"/>
          <w:color w:val="auto"/>
          <w:highlight w:val="none"/>
        </w:rPr>
        <w:t>密码多次输入错误导致无法解密——打开CA工具进行检测密码是否正确</w:t>
      </w:r>
    </w:p>
    <w:p w14:paraId="5C4EFD1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因杀毒软件检测导致无法识别CA锁——关闭杀毒软件</w:t>
      </w:r>
    </w:p>
    <w:p w14:paraId="594B94BB">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4.6</w:t>
      </w:r>
      <w:r>
        <w:rPr>
          <w:rFonts w:hint="eastAsia" w:ascii="宋体" w:hAnsi="宋体" w:cs="宋体"/>
          <w:color w:val="auto"/>
          <w:highlight w:val="none"/>
        </w:rPr>
        <w:t>因系统安装多版本驱动导致无法识别CA锁——卸载其他驱动或更换其他电脑安装驱动。</w:t>
      </w:r>
    </w:p>
    <w:p w14:paraId="53CE3B4C">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highlight w:val="none"/>
        </w:rPr>
        <w:t>⑤参与在线投标时如遇平台技术问题详询：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lang w:eastAsia="zh-CN"/>
        </w:rPr>
        <w:t>龚先生</w:t>
      </w:r>
      <w:r>
        <w:rPr>
          <w:rFonts w:hint="eastAsia" w:ascii="宋体" w:hAnsi="宋体" w:cs="宋体"/>
          <w:color w:val="auto"/>
          <w:szCs w:val="21"/>
          <w:highlight w:val="none"/>
        </w:rPr>
        <w:t>0579－899</w:t>
      </w:r>
      <w:r>
        <w:rPr>
          <w:rFonts w:hint="eastAsia" w:ascii="宋体" w:hAnsi="宋体" w:cs="宋体"/>
          <w:color w:val="auto"/>
          <w:szCs w:val="21"/>
          <w:highlight w:val="none"/>
          <w:lang w:val="en-US" w:eastAsia="zh-CN"/>
        </w:rPr>
        <w:t>00986</w:t>
      </w:r>
      <w:r>
        <w:rPr>
          <w:rFonts w:hint="eastAsia" w:ascii="宋体" w:hAnsi="宋体" w:cs="宋体"/>
          <w:color w:val="auto"/>
          <w:szCs w:val="21"/>
          <w:highlight w:val="none"/>
        </w:rPr>
        <w:t>。</w:t>
      </w:r>
    </w:p>
    <w:p w14:paraId="50BF3502">
      <w:pPr>
        <w:pStyle w:val="17"/>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9.投标保证金：无</w:t>
      </w:r>
    </w:p>
    <w:p w14:paraId="2C97B780">
      <w:pPr>
        <w:pStyle w:val="17"/>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10.业务咨询：</w:t>
      </w:r>
    </w:p>
    <w:p w14:paraId="0BC05132">
      <w:pPr>
        <w:pStyle w:val="17"/>
        <w:pageBreakBefore w:val="0"/>
        <w:widowControl w:val="0"/>
        <w:kinsoku/>
        <w:wordWrap/>
        <w:overflowPunct/>
        <w:topLinePunct w:val="0"/>
        <w:autoSpaceDE/>
        <w:autoSpaceDN/>
        <w:bidi w:val="0"/>
        <w:spacing w:line="360" w:lineRule="auto"/>
        <w:ind w:firstLine="420" w:firstLineChars="20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义乌市交通旅游产业发展集团有限公司：张先生0579-89989857</w:t>
      </w:r>
    </w:p>
    <w:p w14:paraId="3029B474">
      <w:pPr>
        <w:pageBreakBefore w:val="0"/>
        <w:widowControl w:val="0"/>
        <w:kinsoku/>
        <w:wordWrap/>
        <w:overflowPunct/>
        <w:topLinePunct w:val="0"/>
        <w:autoSpaceDE/>
        <w:autoSpaceDN/>
        <w:bidi w:val="0"/>
        <w:snapToGrid w:val="0"/>
        <w:spacing w:line="360" w:lineRule="auto"/>
        <w:ind w:firstLine="411" w:firstLineChars="196"/>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义乌产权交易所有限公司：</w:t>
      </w:r>
      <w:r>
        <w:rPr>
          <w:rFonts w:hint="eastAsia" w:ascii="宋体" w:hAnsi="宋体" w:eastAsia="宋体" w:cs="宋体"/>
          <w:color w:val="auto"/>
          <w:szCs w:val="21"/>
          <w:highlight w:val="none"/>
          <w:lang w:val="en-US" w:eastAsia="zh-CN"/>
        </w:rPr>
        <w:t>龚先生</w:t>
      </w:r>
      <w:r>
        <w:rPr>
          <w:rFonts w:hint="eastAsia" w:ascii="宋体" w:hAnsi="宋体" w:eastAsia="宋体" w:cs="宋体"/>
          <w:color w:val="auto"/>
          <w:szCs w:val="21"/>
          <w:highlight w:val="none"/>
        </w:rPr>
        <w:t>0579－899</w:t>
      </w:r>
      <w:r>
        <w:rPr>
          <w:rFonts w:hint="eastAsia" w:ascii="宋体" w:hAnsi="宋体" w:eastAsia="宋体" w:cs="宋体"/>
          <w:color w:val="auto"/>
          <w:szCs w:val="21"/>
          <w:highlight w:val="none"/>
          <w:lang w:val="en-US" w:eastAsia="zh-CN"/>
        </w:rPr>
        <w:t>00986</w:t>
      </w:r>
    </w:p>
    <w:p w14:paraId="588FE3F3">
      <w:pPr>
        <w:pStyle w:val="17"/>
        <w:spacing w:line="360" w:lineRule="auto"/>
        <w:ind w:left="420"/>
        <w:jc w:val="left"/>
        <w:rPr>
          <w:rFonts w:hint="eastAsia" w:hAnsi="宋体" w:cs="宋体"/>
          <w:color w:val="auto"/>
          <w:highlight w:val="none"/>
        </w:rPr>
      </w:pPr>
    </w:p>
    <w:p w14:paraId="47FB8792">
      <w:pPr>
        <w:pStyle w:val="17"/>
        <w:adjustRightInd w:val="0"/>
        <w:snapToGrid w:val="0"/>
        <w:spacing w:line="360" w:lineRule="auto"/>
        <w:rPr>
          <w:rFonts w:hint="eastAsia" w:hAnsi="宋体" w:cs="宋体"/>
          <w:color w:val="auto"/>
          <w:highlight w:val="none"/>
          <w:lang w:val="zh-CN"/>
        </w:rPr>
      </w:pPr>
    </w:p>
    <w:p w14:paraId="268E234D">
      <w:pPr>
        <w:pStyle w:val="17"/>
        <w:adjustRightInd w:val="0"/>
        <w:snapToGrid w:val="0"/>
        <w:spacing w:line="360" w:lineRule="auto"/>
        <w:ind w:firstLine="420" w:firstLineChars="200"/>
        <w:rPr>
          <w:rFonts w:hint="eastAsia" w:hAnsi="宋体" w:cs="宋体"/>
          <w:color w:val="auto"/>
          <w:highlight w:val="none"/>
        </w:rPr>
      </w:pPr>
    </w:p>
    <w:p w14:paraId="7634AEB0">
      <w:pPr>
        <w:pStyle w:val="17"/>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义乌市交通旅游产业发展集团有限公司</w:t>
      </w:r>
    </w:p>
    <w:p w14:paraId="6558C467">
      <w:pPr>
        <w:pStyle w:val="17"/>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义乌产权交易所有限公司</w:t>
      </w:r>
    </w:p>
    <w:p w14:paraId="52DF2B71">
      <w:pPr>
        <w:pStyle w:val="17"/>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202</w:t>
      </w:r>
      <w:r>
        <w:rPr>
          <w:rFonts w:hint="eastAsia" w:hAnsi="宋体" w:cs="宋体"/>
          <w:color w:val="auto"/>
          <w:highlight w:val="none"/>
          <w:lang w:val="en-US" w:eastAsia="zh-CN"/>
        </w:rPr>
        <w:t>5</w:t>
      </w:r>
      <w:r>
        <w:rPr>
          <w:rFonts w:hint="eastAsia" w:ascii="宋体" w:hAnsi="宋体" w:eastAsia="宋体" w:cs="宋体"/>
          <w:color w:val="auto"/>
          <w:highlight w:val="none"/>
        </w:rPr>
        <w:t>年</w:t>
      </w:r>
      <w:r>
        <w:rPr>
          <w:rFonts w:hint="eastAsia" w:hAnsi="宋体" w:cs="宋体"/>
          <w:color w:val="auto"/>
          <w:highlight w:val="none"/>
          <w:lang w:val="en-US" w:eastAsia="zh-CN"/>
        </w:rPr>
        <w:t>10</w:t>
      </w:r>
      <w:r>
        <w:rPr>
          <w:rFonts w:hint="eastAsia" w:ascii="宋体" w:hAnsi="宋体" w:eastAsia="宋体" w:cs="宋体"/>
          <w:color w:val="auto"/>
          <w:highlight w:val="none"/>
        </w:rPr>
        <w:t>月</w:t>
      </w:r>
      <w:r>
        <w:rPr>
          <w:rFonts w:hint="eastAsia" w:hAnsi="宋体" w:cs="宋体"/>
          <w:color w:val="auto"/>
          <w:highlight w:val="none"/>
          <w:lang w:val="en-US" w:eastAsia="zh-CN"/>
        </w:rPr>
        <w:t>30</w:t>
      </w:r>
      <w:r>
        <w:rPr>
          <w:rFonts w:hint="eastAsia" w:ascii="宋体" w:hAnsi="宋体" w:eastAsia="宋体" w:cs="宋体"/>
          <w:color w:val="auto"/>
          <w:highlight w:val="none"/>
        </w:rPr>
        <w:t>日</w:t>
      </w:r>
    </w:p>
    <w:p w14:paraId="73A0C025">
      <w:pPr>
        <w:pStyle w:val="17"/>
        <w:adjustRightInd w:val="0"/>
        <w:snapToGrid w:val="0"/>
        <w:spacing w:line="360" w:lineRule="auto"/>
        <w:jc w:val="right"/>
        <w:rPr>
          <w:rFonts w:hint="eastAsia" w:hAnsi="宋体"/>
          <w:color w:val="auto"/>
          <w:sz w:val="24"/>
          <w:highlight w:val="none"/>
        </w:rPr>
      </w:pPr>
    </w:p>
    <w:p w14:paraId="0BE43F27">
      <w:pPr>
        <w:pStyle w:val="17"/>
        <w:adjustRightInd w:val="0"/>
        <w:snapToGrid w:val="0"/>
        <w:spacing w:line="360" w:lineRule="auto"/>
        <w:jc w:val="right"/>
        <w:rPr>
          <w:rFonts w:hint="eastAsia" w:hAnsi="宋体"/>
          <w:color w:val="auto"/>
          <w:sz w:val="24"/>
          <w:highlight w:val="none"/>
        </w:rPr>
      </w:pPr>
    </w:p>
    <w:p w14:paraId="05C5E9CA">
      <w:pPr>
        <w:pStyle w:val="17"/>
        <w:adjustRightInd w:val="0"/>
        <w:snapToGrid w:val="0"/>
        <w:spacing w:line="400" w:lineRule="exact"/>
        <w:jc w:val="right"/>
        <w:rPr>
          <w:rFonts w:hint="eastAsia" w:hAnsi="宋体"/>
          <w:color w:val="auto"/>
          <w:sz w:val="24"/>
          <w:highlight w:val="none"/>
        </w:rPr>
      </w:pPr>
    </w:p>
    <w:p w14:paraId="1F18D3D9">
      <w:pPr>
        <w:pStyle w:val="17"/>
        <w:adjustRightInd w:val="0"/>
        <w:snapToGrid w:val="0"/>
        <w:spacing w:line="400" w:lineRule="exact"/>
        <w:jc w:val="right"/>
        <w:rPr>
          <w:rFonts w:hint="eastAsia" w:hAnsi="宋体"/>
          <w:color w:val="auto"/>
          <w:sz w:val="24"/>
          <w:highlight w:val="none"/>
        </w:rPr>
      </w:pPr>
    </w:p>
    <w:p w14:paraId="1730A615">
      <w:pPr>
        <w:pStyle w:val="17"/>
        <w:adjustRightInd w:val="0"/>
        <w:snapToGrid w:val="0"/>
        <w:spacing w:line="400" w:lineRule="exact"/>
        <w:jc w:val="right"/>
        <w:rPr>
          <w:rFonts w:hint="eastAsia" w:hAnsi="宋体"/>
          <w:color w:val="auto"/>
          <w:sz w:val="24"/>
          <w:highlight w:val="none"/>
        </w:rPr>
      </w:pPr>
    </w:p>
    <w:p w14:paraId="689D4352">
      <w:pPr>
        <w:pStyle w:val="17"/>
        <w:adjustRightInd w:val="0"/>
        <w:snapToGrid w:val="0"/>
        <w:spacing w:line="400" w:lineRule="exact"/>
        <w:jc w:val="right"/>
        <w:rPr>
          <w:rFonts w:hint="eastAsia" w:hAnsi="宋体"/>
          <w:color w:val="auto"/>
          <w:sz w:val="24"/>
          <w:highlight w:val="none"/>
        </w:rPr>
      </w:pPr>
    </w:p>
    <w:p w14:paraId="7FB16DC5">
      <w:pPr>
        <w:pStyle w:val="17"/>
        <w:adjustRightInd w:val="0"/>
        <w:snapToGrid w:val="0"/>
        <w:spacing w:line="400" w:lineRule="exact"/>
        <w:jc w:val="right"/>
        <w:rPr>
          <w:rFonts w:hint="eastAsia" w:hAnsi="宋体"/>
          <w:color w:val="auto"/>
          <w:sz w:val="24"/>
          <w:highlight w:val="none"/>
        </w:rPr>
      </w:pPr>
    </w:p>
    <w:p w14:paraId="5D52132E">
      <w:pPr>
        <w:pStyle w:val="17"/>
        <w:adjustRightInd w:val="0"/>
        <w:snapToGrid w:val="0"/>
        <w:spacing w:line="400" w:lineRule="exact"/>
        <w:jc w:val="right"/>
        <w:rPr>
          <w:rFonts w:hAnsi="宋体"/>
          <w:color w:val="auto"/>
          <w:highlight w:val="none"/>
        </w:rPr>
      </w:pPr>
    </w:p>
    <w:p w14:paraId="2E0CF005">
      <w:pPr>
        <w:pStyle w:val="17"/>
        <w:adjustRightInd w:val="0"/>
        <w:snapToGrid w:val="0"/>
        <w:spacing w:line="400" w:lineRule="exact"/>
        <w:jc w:val="right"/>
        <w:rPr>
          <w:rFonts w:hAnsi="宋体"/>
          <w:color w:val="auto"/>
          <w:highlight w:val="none"/>
        </w:rPr>
      </w:pPr>
    </w:p>
    <w:p w14:paraId="2ED8FF1D">
      <w:pPr>
        <w:pStyle w:val="2"/>
        <w:spacing w:line="240" w:lineRule="exact"/>
        <w:jc w:val="center"/>
        <w:rPr>
          <w:color w:val="auto"/>
          <w:sz w:val="36"/>
          <w:highlight w:val="none"/>
        </w:rPr>
      </w:pPr>
      <w:bookmarkStart w:id="3" w:name="_Toc10680"/>
      <w:r>
        <w:rPr>
          <w:rFonts w:hint="eastAsia"/>
          <w:color w:val="auto"/>
          <w:sz w:val="36"/>
          <w:highlight w:val="none"/>
        </w:rPr>
        <w:br w:type="page"/>
      </w:r>
      <w:bookmarkStart w:id="4" w:name="_Toc16567"/>
      <w:r>
        <w:rPr>
          <w:rFonts w:hint="eastAsia"/>
          <w:color w:val="auto"/>
          <w:sz w:val="36"/>
          <w:highlight w:val="none"/>
        </w:rPr>
        <w:t>第二章　投标须知和投标须知前附表</w:t>
      </w:r>
      <w:bookmarkEnd w:id="3"/>
      <w:bookmarkEnd w:id="4"/>
    </w:p>
    <w:p w14:paraId="41EDB0DB">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05D9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6F68C2B">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21D2D552">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7C75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962FE98">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1CA7FE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项目综合</w:t>
            </w:r>
          </w:p>
          <w:p w14:paraId="2965980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211E05B">
            <w:pPr>
              <w:spacing w:line="360" w:lineRule="auto"/>
              <w:ind w:left="104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val="en-US" w:eastAsia="zh-CN"/>
              </w:rPr>
              <w:t>义乌市交通旅游产业发展集团有限公司信创电脑采购项目</w:t>
            </w:r>
          </w:p>
          <w:p w14:paraId="4437CA8D">
            <w:pPr>
              <w:spacing w:line="40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采购内容及数量：</w:t>
            </w:r>
            <w:r>
              <w:rPr>
                <w:rFonts w:hint="eastAsia" w:ascii="宋体" w:hAnsi="宋体" w:eastAsia="宋体" w:cs="宋体"/>
                <w:color w:val="auto"/>
                <w:sz w:val="21"/>
                <w:szCs w:val="21"/>
                <w:highlight w:val="none"/>
                <w:lang w:val="en-US" w:eastAsia="zh-CN"/>
              </w:rPr>
              <w:t>义乌市交通旅游产业发展集团有限公司信创电脑采购项目</w:t>
            </w:r>
            <w:r>
              <w:rPr>
                <w:rFonts w:hint="eastAsia" w:ascii="宋体" w:hAnsi="宋体" w:eastAsia="宋体" w:cs="宋体"/>
                <w:b w:val="0"/>
                <w:bCs w:val="0"/>
                <w:color w:val="auto"/>
                <w:highlight w:val="none"/>
                <w:lang w:eastAsia="zh-CN"/>
              </w:rPr>
              <w:t>，</w:t>
            </w:r>
            <w:r>
              <w:rPr>
                <w:rFonts w:hint="eastAsia" w:ascii="宋体" w:hAnsi="宋体" w:eastAsia="宋体" w:cs="宋体"/>
                <w:color w:val="auto"/>
                <w:sz w:val="21"/>
                <w:szCs w:val="21"/>
                <w:highlight w:val="none"/>
              </w:rPr>
              <w:t xml:space="preserve">具体详见第三章招标项目要求。   </w:t>
            </w:r>
          </w:p>
        </w:tc>
      </w:tr>
      <w:tr w14:paraId="09F4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8CE332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B8E0DE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E0965F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公开招标                       </w:t>
            </w:r>
          </w:p>
        </w:tc>
      </w:tr>
      <w:tr w14:paraId="4D96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C9C59A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29EB73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w:t>
            </w:r>
          </w:p>
          <w:p w14:paraId="62B428D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BE9A97D">
            <w:pPr>
              <w:spacing w:line="40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详见招标公告</w:t>
            </w:r>
          </w:p>
        </w:tc>
      </w:tr>
      <w:tr w14:paraId="15BB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592BD5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99330B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24ECBC2">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综合评分法</w:t>
            </w:r>
          </w:p>
        </w:tc>
      </w:tr>
      <w:tr w14:paraId="4F85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9A6274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9EB661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3098EF1">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6D5A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61682C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608418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E85440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755E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EA3F5B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3B1020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BEAA79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7394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E209B7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037E49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F66D750">
            <w:pPr>
              <w:spacing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供应商认为采购文件使自己的权益受到损害的，请于202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日17</w:t>
            </w:r>
            <w:r>
              <w:rPr>
                <w:rFonts w:hint="eastAsia" w:ascii="宋体" w:hAnsi="宋体" w:eastAsia="宋体" w:cs="宋体"/>
                <w:color w:val="auto"/>
                <w:highlight w:val="none"/>
              </w:rPr>
              <w:t>:00前以书面形式向采购人和采购代理机构提出质疑。质疑以书面方式分别提交至</w:t>
            </w:r>
            <w:r>
              <w:rPr>
                <w:rFonts w:hint="eastAsia" w:ascii="宋体" w:hAnsi="宋体" w:eastAsia="宋体" w:cs="宋体"/>
                <w:color w:val="auto"/>
                <w:highlight w:val="none"/>
                <w:lang w:val="en-US" w:eastAsia="zh-CN"/>
              </w:rPr>
              <w:t>义乌市交通旅游产业发展集团有限公司</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张先生（0579-89989857）</w:t>
            </w:r>
            <w:r>
              <w:rPr>
                <w:rFonts w:hint="eastAsia" w:ascii="宋体" w:hAnsi="宋体" w:eastAsia="宋体" w:cs="宋体"/>
                <w:color w:val="auto"/>
                <w:highlight w:val="none"/>
              </w:rPr>
              <w:t>和义乌产权交易所有限公司：</w:t>
            </w:r>
            <w:r>
              <w:rPr>
                <w:rFonts w:hint="eastAsia" w:ascii="宋体" w:hAnsi="宋体" w:eastAsia="宋体" w:cs="宋体"/>
                <w:color w:val="auto"/>
                <w:highlight w:val="none"/>
                <w:lang w:val="en-US" w:eastAsia="zh-CN"/>
              </w:rPr>
              <w:t>王女士</w:t>
            </w:r>
            <w:r>
              <w:rPr>
                <w:rFonts w:hint="eastAsia" w:ascii="宋体" w:hAnsi="宋体" w:eastAsia="宋体" w:cs="宋体"/>
                <w:color w:val="auto"/>
                <w:highlight w:val="none"/>
              </w:rPr>
              <w:t>（0579-8990</w:t>
            </w:r>
            <w:r>
              <w:rPr>
                <w:rFonts w:hint="eastAsia" w:ascii="宋体" w:hAnsi="宋体" w:eastAsia="宋体" w:cs="宋体"/>
                <w:color w:val="auto"/>
                <w:highlight w:val="none"/>
                <w:lang w:val="en-US" w:eastAsia="zh-CN"/>
              </w:rPr>
              <w:t>3039</w:t>
            </w:r>
            <w:r>
              <w:rPr>
                <w:rFonts w:hint="eastAsia" w:ascii="宋体" w:hAnsi="宋体" w:eastAsia="宋体" w:cs="宋体"/>
                <w:color w:val="auto"/>
                <w:highlight w:val="none"/>
              </w:rPr>
              <w:t>，ywcqztb001@ywcq.com），</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并致电</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采购代理机构确认。书面文件邮寄地址：义乌市北苑街道望道路300号40</w:t>
            </w:r>
            <w:r>
              <w:rPr>
                <w:rFonts w:hint="eastAsia" w:ascii="宋体" w:hAnsi="宋体" w:eastAsia="宋体" w:cs="宋体"/>
                <w:color w:val="auto"/>
                <w:highlight w:val="none"/>
                <w:lang w:val="en-US" w:eastAsia="zh-CN"/>
              </w:rPr>
              <w:t>55</w:t>
            </w:r>
            <w:r>
              <w:rPr>
                <w:rFonts w:hint="eastAsia" w:ascii="宋体" w:hAnsi="宋体" w:eastAsia="宋体" w:cs="宋体"/>
                <w:color w:val="auto"/>
                <w:highlight w:val="none"/>
              </w:rPr>
              <w:t>。</w:t>
            </w:r>
          </w:p>
        </w:tc>
      </w:tr>
      <w:tr w14:paraId="2C52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6481B1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196DFA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C74E32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自开标之日起60天（日历天）</w:t>
            </w:r>
          </w:p>
        </w:tc>
      </w:tr>
      <w:tr w14:paraId="2920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BE3D3E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68CDB0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95ABD4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w:t>
            </w:r>
            <w:r>
              <w:rPr>
                <w:rFonts w:hint="eastAsia" w:ascii="宋体" w:hAnsi="宋体" w:cs="宋体"/>
                <w:color w:val="auto"/>
                <w:szCs w:val="21"/>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18</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13</w:t>
            </w:r>
            <w:r>
              <w:rPr>
                <w:rFonts w:hint="eastAsia" w:ascii="宋体" w:hAnsi="宋体" w:cs="宋体"/>
                <w:color w:val="auto"/>
                <w:highlight w:val="none"/>
              </w:rPr>
              <w:t>:30</w:t>
            </w:r>
            <w:r>
              <w:rPr>
                <w:rFonts w:hint="eastAsia" w:ascii="宋体" w:hAnsi="宋体" w:eastAsia="宋体" w:cs="宋体"/>
                <w:color w:val="auto"/>
                <w:szCs w:val="21"/>
                <w:highlight w:val="none"/>
              </w:rPr>
              <w:t>）之前上传投标文件。</w:t>
            </w:r>
          </w:p>
        </w:tc>
      </w:tr>
      <w:tr w14:paraId="14AC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919A51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62990C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A4CBA0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18</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13</w:t>
            </w:r>
            <w:r>
              <w:rPr>
                <w:rFonts w:hint="eastAsia" w:ascii="宋体" w:hAnsi="宋体" w:cs="宋体"/>
                <w:color w:val="auto"/>
                <w:highlight w:val="none"/>
              </w:rPr>
              <w:t>:30</w:t>
            </w:r>
          </w:p>
          <w:p w14:paraId="20DBD1CF">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14:paraId="18B50356">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7117F974">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0183744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①该电脑未安装CA驱动，无法读取CA锁——重新下载安装驱动</w:t>
            </w:r>
          </w:p>
          <w:p w14:paraId="360AC320">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②电脑长时间未关机应用程序未响应，导致无法读取CA锁——重启电脑或重新安装驱动</w:t>
            </w:r>
          </w:p>
          <w:p w14:paraId="02418E8D">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③浏览器版本过低导致无法识别——更换Egde、谷歌浏览器</w:t>
            </w:r>
          </w:p>
          <w:p w14:paraId="49E885A6">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④密码多次输入错误导致无法解密——打开CA工具进行检测密码是否正确</w:t>
            </w:r>
          </w:p>
          <w:p w14:paraId="7059A551">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⑤因杀毒软件检测导致无法识别CA锁——关闭杀毒软件</w:t>
            </w:r>
          </w:p>
          <w:p w14:paraId="63BF01E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⑥因系统安装多版本驱动导致无法识别CA锁——卸载其他驱动或更换其他电脑安装驱动。</w:t>
            </w:r>
          </w:p>
        </w:tc>
      </w:tr>
      <w:tr w14:paraId="51FB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34A6B4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5C737C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2D002BD">
            <w:pPr>
              <w:tabs>
                <w:tab w:val="left" w:pos="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无</w:t>
            </w:r>
          </w:p>
        </w:tc>
      </w:tr>
      <w:tr w14:paraId="3466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CFCA9E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6D784F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12B518F">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45EE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D4FE68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FB2A9A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01A19B1">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5849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533A0A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1CA6FD3">
            <w:pPr>
              <w:spacing w:line="400" w:lineRule="exact"/>
              <w:ind w:left="-99" w:leftChars="-4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8D4EC58">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投标人发生下列情况之一时，除严格依法依规进行处理外，还将通报市信用管理部门，列入严重失信名单：</w:t>
            </w:r>
          </w:p>
          <w:p w14:paraId="1F64C1CD">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（1）投标人在规定的投标有效期内撤回投标或放弃中标的；</w:t>
            </w:r>
          </w:p>
          <w:p w14:paraId="2669C87D">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（2）有意串标或提供虚假材料的；</w:t>
            </w:r>
          </w:p>
          <w:p w14:paraId="63D60A02">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（3）中标人在收到中标通知书后，因自身原因不能在招标文件规定的期限内和采购人签订合同。</w:t>
            </w:r>
          </w:p>
          <w:p w14:paraId="68E157CF">
            <w:pPr>
              <w:spacing w:line="40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（4）中标人未在规定时间缴纳招标代理费的；</w:t>
            </w:r>
          </w:p>
          <w:p w14:paraId="4532E1E5">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（5）中标供应商在中标后履约过程中未按合同约定的期限和要求履约的。</w:t>
            </w:r>
          </w:p>
          <w:p w14:paraId="7D48A702">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（6）因中标供应商原因在中标后履约过程中擅自终止合同的。</w:t>
            </w:r>
          </w:p>
          <w:p w14:paraId="3405515B">
            <w:pPr>
              <w:spacing w:line="400" w:lineRule="exact"/>
              <w:jc w:val="left"/>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 xml:space="preserve">  （7）不符合招标文件要求的其他失信行为。</w:t>
            </w:r>
          </w:p>
        </w:tc>
      </w:tr>
      <w:tr w14:paraId="2906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8267F1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DAF077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1323A5A">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color w:val="auto"/>
                <w:szCs w:val="21"/>
                <w:highlight w:val="none"/>
              </w:rPr>
              <w:t>本项目设有预算价和最高限价</w:t>
            </w:r>
            <w:r>
              <w:rPr>
                <w:rFonts w:hint="eastAsia" w:ascii="宋体" w:hAnsi="宋体" w:eastAsia="宋体" w:cs="宋体"/>
                <w:color w:val="auto"/>
                <w:szCs w:val="21"/>
                <w:highlight w:val="none"/>
              </w:rPr>
              <w:t>，投标报价超过</w:t>
            </w:r>
            <w:r>
              <w:rPr>
                <w:rFonts w:hint="eastAsia" w:ascii="宋体" w:hAnsi="宋体" w:eastAsia="宋体" w:cs="宋体"/>
                <w:b/>
                <w:bCs/>
                <w:color w:val="auto"/>
                <w:szCs w:val="21"/>
                <w:highlight w:val="none"/>
              </w:rPr>
              <w:t>预算价及最</w:t>
            </w:r>
            <w:r>
              <w:rPr>
                <w:rFonts w:hint="eastAsia" w:ascii="宋体" w:hAnsi="宋体" w:eastAsia="宋体" w:cs="宋体"/>
                <w:b/>
                <w:color w:val="auto"/>
                <w:szCs w:val="21"/>
                <w:highlight w:val="none"/>
              </w:rPr>
              <w:t>高限价的</w:t>
            </w:r>
            <w:r>
              <w:rPr>
                <w:rFonts w:hint="eastAsia" w:ascii="宋体" w:hAnsi="宋体" w:eastAsia="宋体" w:cs="宋体"/>
                <w:color w:val="auto"/>
                <w:szCs w:val="21"/>
                <w:highlight w:val="none"/>
              </w:rPr>
              <w:t>，其投标为无效标。</w:t>
            </w:r>
          </w:p>
          <w:p w14:paraId="711B06F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2）招标文件中要求投标人在制作投标文件时提供的复印件，必须根据评审细则对评审的内容复印完整、清晰可辨，否则在评审时以最不利于投标人原则评审。</w:t>
            </w:r>
          </w:p>
        </w:tc>
      </w:tr>
    </w:tbl>
    <w:p w14:paraId="71C7D672">
      <w:pPr>
        <w:spacing w:line="400" w:lineRule="exact"/>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51C5E29E">
      <w:pPr>
        <w:pStyle w:val="2"/>
        <w:spacing w:line="240" w:lineRule="exact"/>
        <w:jc w:val="center"/>
        <w:rPr>
          <w:color w:val="auto"/>
          <w:sz w:val="32"/>
          <w:szCs w:val="32"/>
          <w:highlight w:val="none"/>
        </w:rPr>
      </w:pPr>
      <w:r>
        <w:rPr>
          <w:color w:val="auto"/>
          <w:sz w:val="36"/>
          <w:szCs w:val="36"/>
          <w:highlight w:val="none"/>
        </w:rPr>
        <w:br w:type="page"/>
      </w:r>
      <w:bookmarkStart w:id="5" w:name="_Toc8496"/>
      <w:bookmarkStart w:id="6" w:name="_Toc10403"/>
      <w:bookmarkStart w:id="7" w:name="_Toc32581"/>
      <w:r>
        <w:rPr>
          <w:rFonts w:hint="eastAsia"/>
          <w:color w:val="auto"/>
          <w:sz w:val="32"/>
          <w:szCs w:val="32"/>
          <w:highlight w:val="none"/>
        </w:rPr>
        <w:t>投标须知</w:t>
      </w:r>
      <w:bookmarkEnd w:id="5"/>
      <w:bookmarkEnd w:id="6"/>
      <w:bookmarkEnd w:id="7"/>
    </w:p>
    <w:p w14:paraId="49EC5FC5">
      <w:pPr>
        <w:pStyle w:val="3"/>
        <w:spacing w:before="120" w:after="120" w:line="360" w:lineRule="auto"/>
        <w:rPr>
          <w:rFonts w:hint="eastAsia" w:ascii="宋体" w:hAnsi="宋体" w:eastAsia="宋体" w:cs="宋体"/>
          <w:color w:val="auto"/>
          <w:sz w:val="21"/>
          <w:szCs w:val="21"/>
          <w:highlight w:val="none"/>
        </w:rPr>
      </w:pPr>
      <w:bookmarkStart w:id="8" w:name="_Toc20416"/>
      <w:bookmarkStart w:id="9" w:name="_Toc9815"/>
      <w:bookmarkStart w:id="10" w:name="_Toc274303229"/>
      <w:bookmarkStart w:id="11" w:name="_Toc27843"/>
      <w:bookmarkStart w:id="12" w:name="_Toc362250687"/>
      <w:r>
        <w:rPr>
          <w:rFonts w:hint="eastAsia" w:ascii="宋体" w:hAnsi="宋体" w:eastAsia="宋体" w:cs="宋体"/>
          <w:color w:val="auto"/>
          <w:sz w:val="21"/>
          <w:szCs w:val="21"/>
          <w:highlight w:val="none"/>
        </w:rPr>
        <w:t>一、说明</w:t>
      </w:r>
      <w:bookmarkEnd w:id="8"/>
      <w:bookmarkEnd w:id="9"/>
      <w:bookmarkEnd w:id="10"/>
      <w:bookmarkEnd w:id="11"/>
      <w:bookmarkEnd w:id="12"/>
    </w:p>
    <w:p w14:paraId="40C1BDD7">
      <w:pPr>
        <w:pStyle w:val="16"/>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1.适用范围</w:t>
      </w:r>
    </w:p>
    <w:p w14:paraId="653776FA">
      <w:pPr>
        <w:pStyle w:val="16"/>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①本招标文件仅适用于本次招标采购所叙述的货物和服务项目。</w:t>
      </w:r>
    </w:p>
    <w:p w14:paraId="5EC1F8C5">
      <w:pPr>
        <w:pStyle w:val="16"/>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2.定义</w:t>
      </w:r>
    </w:p>
    <w:p w14:paraId="0E31611E">
      <w:pPr>
        <w:pStyle w:val="17"/>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①采购人：系指</w:t>
      </w:r>
      <w:r>
        <w:rPr>
          <w:rFonts w:hint="eastAsia" w:hAnsi="宋体" w:cs="宋体"/>
          <w:color w:val="auto"/>
          <w:highlight w:val="none"/>
          <w:lang w:eastAsia="zh-CN"/>
        </w:rPr>
        <w:t>义乌市交通旅游产业发展集团有限公司</w:t>
      </w:r>
      <w:r>
        <w:rPr>
          <w:rFonts w:hint="eastAsia" w:hAnsi="宋体" w:cs="宋体"/>
          <w:color w:val="auto"/>
          <w:highlight w:val="none"/>
        </w:rPr>
        <w:t>。</w:t>
      </w:r>
    </w:p>
    <w:p w14:paraId="4A247083">
      <w:pPr>
        <w:pStyle w:val="17"/>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②招标代理机构：系指义乌产权交易所有限公司。</w:t>
      </w:r>
    </w:p>
    <w:p w14:paraId="69358B2C">
      <w:pPr>
        <w:pStyle w:val="17"/>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投标人：系指符合招标公告要求的投标供应商。</w:t>
      </w:r>
    </w:p>
    <w:p w14:paraId="5555D7BA">
      <w:pPr>
        <w:pStyle w:val="16"/>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2.4服务：</w:t>
      </w:r>
      <w:r>
        <w:rPr>
          <w:rFonts w:hint="eastAsia" w:ascii="宋体" w:hAnsi="宋体" w:cs="宋体"/>
          <w:color w:val="auto"/>
          <w:kern w:val="0"/>
          <w:sz w:val="21"/>
          <w:szCs w:val="21"/>
          <w:highlight w:val="none"/>
        </w:rPr>
        <w:t>系指</w:t>
      </w:r>
      <w:r>
        <w:rPr>
          <w:rFonts w:hint="eastAsia" w:ascii="宋体" w:hAnsi="宋体" w:cs="宋体"/>
          <w:color w:val="auto"/>
          <w:sz w:val="21"/>
          <w:szCs w:val="21"/>
          <w:highlight w:val="none"/>
        </w:rPr>
        <w:t>招标文件规定投标人须承担的劳务及其他类似的服务。</w:t>
      </w:r>
    </w:p>
    <w:p w14:paraId="2C4488F7">
      <w:pPr>
        <w:pStyle w:val="19"/>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2.5货物：系指按招标文件规定投标人须向采购人提供的一切材料、设备、机械、仪器仪表、工具及其他有关技术资料和文字材料。</w:t>
      </w:r>
    </w:p>
    <w:p w14:paraId="316EAF2F">
      <w:pPr>
        <w:pStyle w:val="16"/>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2.6需方：即采购人，在招投标阶段称为采购人，在签订和执行合同阶段称为需方。</w:t>
      </w:r>
    </w:p>
    <w:p w14:paraId="38B86F21">
      <w:pPr>
        <w:pStyle w:val="16"/>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2.7供方：在招投标阶段称为投标人，中标后在签订和执行合同阶段称为供方。</w:t>
      </w:r>
    </w:p>
    <w:p w14:paraId="4578CF9B">
      <w:pPr>
        <w:pStyle w:val="19"/>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2.8“原产地”是指货物开采、生长或生产或提供有关服务的来源地。</w:t>
      </w:r>
    </w:p>
    <w:p w14:paraId="64FFB11D">
      <w:pPr>
        <w:pStyle w:val="19"/>
        <w:adjustRightInd w:val="0"/>
        <w:snapToGrid w:val="0"/>
        <w:ind w:firstLine="420" w:firstLineChars="200"/>
        <w:rPr>
          <w:rFonts w:hint="eastAsia" w:hAnsi="宋体" w:eastAsia="宋体"/>
          <w:color w:val="auto"/>
          <w:kern w:val="0"/>
          <w:sz w:val="21"/>
          <w:szCs w:val="21"/>
          <w:highlight w:val="none"/>
        </w:rPr>
      </w:pPr>
      <w:r>
        <w:rPr>
          <w:rFonts w:hint="eastAsia" w:hAnsi="宋体" w:eastAsia="宋体"/>
          <w:color w:val="auto"/>
          <w:sz w:val="21"/>
          <w:szCs w:val="21"/>
          <w:highlight w:val="none"/>
        </w:rPr>
        <w:t>2.9“★”标记系指必须满足不能负偏离或必须应答的条款。</w:t>
      </w:r>
    </w:p>
    <w:p w14:paraId="0A0B01E7">
      <w:pPr>
        <w:pStyle w:val="16"/>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3.合格的投标人</w:t>
      </w:r>
    </w:p>
    <w:p w14:paraId="562F71CC">
      <w:pPr>
        <w:pStyle w:val="16"/>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3.1符合招标公告中要求的条件；</w:t>
      </w:r>
    </w:p>
    <w:p w14:paraId="7DDD346E">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4.保证</w:t>
      </w:r>
    </w:p>
    <w:p w14:paraId="486AA90F">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4.1投标单位应保证所提交给招标机构和采购人的资料和数据是真实的。</w:t>
      </w:r>
    </w:p>
    <w:p w14:paraId="72F369EA">
      <w:pPr>
        <w:pStyle w:val="17"/>
        <w:spacing w:line="360" w:lineRule="auto"/>
        <w:ind w:firstLine="422" w:firstLineChars="200"/>
        <w:rPr>
          <w:rFonts w:hint="eastAsia" w:hAnsi="宋体" w:cs="宋体"/>
          <w:b/>
          <w:color w:val="auto"/>
          <w:highlight w:val="none"/>
        </w:rPr>
      </w:pPr>
      <w:r>
        <w:rPr>
          <w:rFonts w:hint="eastAsia" w:hAnsi="宋体" w:cs="宋体"/>
          <w:b/>
          <w:color w:val="auto"/>
          <w:highlight w:val="none"/>
        </w:rPr>
        <w:t>5.招标投标费用</w:t>
      </w:r>
    </w:p>
    <w:p w14:paraId="2364D7A4">
      <w:pPr>
        <w:pStyle w:val="17"/>
        <w:spacing w:line="360" w:lineRule="auto"/>
        <w:ind w:firstLine="420" w:firstLineChars="200"/>
        <w:rPr>
          <w:rFonts w:hint="eastAsia" w:hAnsi="宋体" w:cs="宋体"/>
          <w:b/>
          <w:color w:val="auto"/>
          <w:highlight w:val="none"/>
        </w:rPr>
      </w:pPr>
      <w:r>
        <w:rPr>
          <w:rFonts w:hint="eastAsia" w:hAnsi="宋体" w:cs="宋体"/>
          <w:color w:val="auto"/>
          <w:highlight w:val="none"/>
        </w:rPr>
        <w:t>5.1不论投标过程中的做法和结果如何，投标人应承担所有与投标有关的全部费用。采购人和采购代理机构在任何情况下均无义务和责任承担上述这些费用。</w:t>
      </w:r>
    </w:p>
    <w:p w14:paraId="28022FA8">
      <w:pPr>
        <w:pStyle w:val="17"/>
        <w:spacing w:line="360" w:lineRule="auto"/>
        <w:ind w:firstLine="480"/>
        <w:rPr>
          <w:rFonts w:hint="eastAsia" w:hAnsi="宋体" w:cs="宋体"/>
          <w:b/>
          <w:color w:val="auto"/>
          <w:highlight w:val="none"/>
        </w:rPr>
      </w:pPr>
      <w:r>
        <w:rPr>
          <w:rFonts w:hint="eastAsia" w:hAnsi="宋体" w:cs="宋体"/>
          <w:b/>
          <w:color w:val="auto"/>
          <w:highlight w:val="none"/>
        </w:rPr>
        <w:t xml:space="preserve">6.现场勘察 </w:t>
      </w:r>
    </w:p>
    <w:p w14:paraId="5D69027C">
      <w:pPr>
        <w:pStyle w:val="17"/>
        <w:spacing w:line="360" w:lineRule="auto"/>
        <w:ind w:firstLine="480"/>
        <w:rPr>
          <w:rFonts w:hint="eastAsia" w:hAnsi="宋体" w:cs="宋体"/>
          <w:color w:val="auto"/>
          <w:highlight w:val="none"/>
        </w:rPr>
      </w:pPr>
      <w:r>
        <w:rPr>
          <w:rFonts w:hint="eastAsia" w:hAnsi="宋体" w:cs="宋体"/>
          <w:color w:val="auto"/>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77C865BD">
      <w:pPr>
        <w:pStyle w:val="17"/>
        <w:spacing w:line="360" w:lineRule="auto"/>
        <w:ind w:firstLine="480"/>
        <w:rPr>
          <w:rFonts w:hint="eastAsia" w:hAnsi="宋体" w:cs="宋体"/>
          <w:color w:val="auto"/>
          <w:highlight w:val="none"/>
        </w:rPr>
      </w:pPr>
      <w:r>
        <w:rPr>
          <w:rFonts w:hint="eastAsia" w:hAnsi="宋体" w:cs="宋体"/>
          <w:color w:val="auto"/>
          <w:highlight w:val="none"/>
        </w:rPr>
        <w:t>6.2投标单位在考察过程中发生的各类事件及所发生的各项费用，均由投标单位自行承担。采购人和代理机构概不负责。</w:t>
      </w:r>
    </w:p>
    <w:p w14:paraId="16E4D7B3">
      <w:pPr>
        <w:pStyle w:val="17"/>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6.3采购人向投标单位提供的有关现场的数据和资料，是采购人现有的能被投标人利用的资料，采购人对投标人据此做出的任何推论、理解和结论不负责任。</w:t>
      </w:r>
    </w:p>
    <w:p w14:paraId="0A42DAA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6.4现场踏勘完毕，将认为投标人已了解现场情况，并充分理解了为之所承担的风险、义务和责任。</w:t>
      </w:r>
    </w:p>
    <w:p w14:paraId="22D84FB5">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7.联合体投标</w:t>
      </w:r>
    </w:p>
    <w:p w14:paraId="12BE78E9">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本项目不允许转包。</w:t>
      </w:r>
    </w:p>
    <w:p w14:paraId="49BEA49D">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本项目不允许分包。</w:t>
      </w:r>
    </w:p>
    <w:p w14:paraId="365A7836">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本项目不接受联合体投标。</w:t>
      </w:r>
    </w:p>
    <w:p w14:paraId="3272B6EA">
      <w:pPr>
        <w:pStyle w:val="3"/>
        <w:spacing w:before="120" w:after="120" w:line="360" w:lineRule="auto"/>
        <w:rPr>
          <w:rFonts w:hint="eastAsia" w:ascii="宋体" w:hAnsi="宋体" w:eastAsia="宋体" w:cs="宋体"/>
          <w:color w:val="auto"/>
          <w:sz w:val="21"/>
          <w:szCs w:val="21"/>
          <w:highlight w:val="none"/>
        </w:rPr>
      </w:pPr>
      <w:bookmarkStart w:id="13" w:name="_Toc362250688"/>
      <w:bookmarkStart w:id="14" w:name="_Toc12737"/>
      <w:bookmarkStart w:id="15" w:name="_Toc274303230"/>
      <w:bookmarkStart w:id="16" w:name="_Toc29212"/>
      <w:bookmarkStart w:id="17" w:name="_Toc12483"/>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560D360A">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8.招标文件的组成</w:t>
      </w:r>
    </w:p>
    <w:p w14:paraId="7B75E25B">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8.1招标文件包括下列内容：</w:t>
      </w:r>
    </w:p>
    <w:p w14:paraId="2D7653D1">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51EA212C">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投标须知和投标须知前附表</w:t>
      </w:r>
    </w:p>
    <w:p w14:paraId="130C19B8">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招标项目要求</w:t>
      </w:r>
    </w:p>
    <w:p w14:paraId="47686D4B">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开标、评标和定标须知</w:t>
      </w:r>
    </w:p>
    <w:p w14:paraId="06521A4C">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投标文件的有效性</w:t>
      </w:r>
    </w:p>
    <w:p w14:paraId="170C1343">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评标办法</w:t>
      </w:r>
    </w:p>
    <w:p w14:paraId="5680C9D4">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合同主要条款</w:t>
      </w:r>
    </w:p>
    <w:p w14:paraId="49D52F38">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投标文件部分格式</w:t>
      </w:r>
    </w:p>
    <w:p w14:paraId="60CD1FF4">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8.2除8.1内容外，采购人以书面形式发出的对招标文件的澄清或修改内容，均为招标文件的组成部分，对采购人和投标人起约束作用。</w:t>
      </w:r>
    </w:p>
    <w:p w14:paraId="160C1EC5">
      <w:pPr>
        <w:adjustRightInd w:val="0"/>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8.3上述所列8.1及8.2条内容均以书面文件为准，采购人（招标代理机构）的任何工作人员对投标人所作的任何口头解释、介绍、答复，对采购人和投标人无任何约束力。</w:t>
      </w:r>
    </w:p>
    <w:p w14:paraId="76B2B9E3">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w:t>
      </w:r>
      <w:r>
        <w:rPr>
          <w:rFonts w:hint="eastAsia" w:ascii="宋体" w:hAnsi="宋体" w:cs="宋体"/>
          <w:b/>
          <w:bCs/>
          <w:color w:val="auto"/>
          <w:szCs w:val="21"/>
          <w:highlight w:val="none"/>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30E09ABD">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9.招标文件的澄清</w:t>
      </w:r>
    </w:p>
    <w:p w14:paraId="16C6670D">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9.1投标人若对招标文件有任何疑问，应于前附表规定的时间及方式向采购人和代理机构提出。</w:t>
      </w:r>
    </w:p>
    <w:p w14:paraId="01BDDB85">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9.2无论是采购人根据需要主动对招标文件进行必要澄清，或是根据投标人的要求对招标文件做出澄清，采购人都将答疑；答疑内容是招标文件的组成部分。</w:t>
      </w:r>
    </w:p>
    <w:p w14:paraId="61641A26">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同时将书面澄清文件向所有投标人发送。投标人在收到该澄清文件后应于 一 日内，以书面或传真形式（签署意见并加盖公章）向招标代理机构回函给予确认。过期未回复的，视为默认接收。</w:t>
      </w:r>
    </w:p>
    <w:p w14:paraId="32FBA3FD">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9.3投标单位在前附表规定时间未提交疑问的，视作默认对本次招标过程中招标文件无异议，采购人对其提出的问题可以不作解释。</w:t>
      </w:r>
    </w:p>
    <w:p w14:paraId="1772F640">
      <w:pPr>
        <w:spacing w:line="360" w:lineRule="auto"/>
        <w:ind w:firstLine="420" w:firstLineChars="200"/>
        <w:textAlignment w:val="baseline"/>
        <w:rPr>
          <w:rFonts w:hint="eastAsia" w:ascii="宋体" w:hAnsi="宋体" w:cs="宋体"/>
          <w:color w:val="auto"/>
          <w:spacing w:val="-4"/>
          <w:szCs w:val="21"/>
          <w:highlight w:val="none"/>
        </w:rPr>
      </w:pPr>
      <w:r>
        <w:rPr>
          <w:rFonts w:hint="eastAsia" w:ascii="宋体" w:hAnsi="宋体" w:cs="宋体"/>
          <w:color w:val="auto"/>
          <w:szCs w:val="21"/>
          <w:highlight w:val="none"/>
        </w:rPr>
        <w:t>9.4</w:t>
      </w:r>
      <w:r>
        <w:rPr>
          <w:rFonts w:hint="eastAsia" w:ascii="宋体" w:hAnsi="宋体" w:cs="宋体"/>
          <w:color w:val="auto"/>
          <w:spacing w:val="-4"/>
          <w:szCs w:val="21"/>
          <w:highlight w:val="none"/>
        </w:rPr>
        <w:t>招标文件澄清、修改、补充等内容均以书面形式明确的内容为准。当招标文件、招标文件的澄清、修改、补充等在同一内容的表述上不一致时，以最后发出的书面文件为准。</w:t>
      </w:r>
    </w:p>
    <w:p w14:paraId="4FBA6C2A">
      <w:pPr>
        <w:spacing w:before="50" w:after="50" w:line="360" w:lineRule="auto"/>
        <w:ind w:firstLine="404" w:firstLineChars="200"/>
        <w:rPr>
          <w:rFonts w:hint="eastAsia" w:ascii="宋体" w:hAnsi="宋体" w:cs="宋体"/>
          <w:color w:val="auto"/>
          <w:spacing w:val="-6"/>
          <w:szCs w:val="21"/>
          <w:highlight w:val="none"/>
        </w:rPr>
      </w:pPr>
      <w:r>
        <w:rPr>
          <w:rFonts w:hint="eastAsia" w:ascii="宋体" w:hAnsi="宋体" w:cs="宋体"/>
          <w:bCs/>
          <w:color w:val="auto"/>
          <w:spacing w:val="-4"/>
          <w:szCs w:val="21"/>
          <w:highlight w:val="none"/>
        </w:rPr>
        <w:t>9.5</w:t>
      </w:r>
      <w:r>
        <w:rPr>
          <w:rFonts w:hint="eastAsia" w:ascii="宋体" w:hAnsi="宋体" w:cs="宋体"/>
          <w:color w:val="auto"/>
          <w:spacing w:val="-6"/>
          <w:szCs w:val="21"/>
          <w:highlight w:val="none"/>
        </w:rPr>
        <w:t>采购人及招标代理机构工作人员向投标人所作的任何口头答复或电话通知一律无效。</w:t>
      </w:r>
    </w:p>
    <w:p w14:paraId="5811970A">
      <w:pPr>
        <w:spacing w:line="360" w:lineRule="auto"/>
        <w:ind w:firstLine="404" w:firstLineChars="200"/>
        <w:textAlignment w:val="baseline"/>
        <w:rPr>
          <w:rFonts w:hint="eastAsia" w:ascii="宋体" w:hAnsi="宋体" w:cs="宋体"/>
          <w:color w:val="auto"/>
          <w:spacing w:val="-4"/>
          <w:szCs w:val="21"/>
          <w:highlight w:val="none"/>
        </w:rPr>
      </w:pPr>
      <w:r>
        <w:rPr>
          <w:rFonts w:hint="eastAsia" w:ascii="宋体" w:hAnsi="宋体" w:cs="宋体"/>
          <w:color w:val="auto"/>
          <w:spacing w:val="-4"/>
          <w:szCs w:val="21"/>
          <w:highlight w:val="none"/>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55FDD8F0">
      <w:pPr>
        <w:pStyle w:val="3"/>
        <w:spacing w:before="120" w:after="120" w:line="360" w:lineRule="auto"/>
        <w:rPr>
          <w:rFonts w:hint="eastAsia" w:ascii="宋体" w:hAnsi="宋体" w:eastAsia="宋体" w:cs="宋体"/>
          <w:color w:val="auto"/>
          <w:sz w:val="21"/>
          <w:szCs w:val="21"/>
          <w:highlight w:val="none"/>
        </w:rPr>
      </w:pPr>
      <w:bookmarkStart w:id="18" w:name="_Toc16783"/>
      <w:bookmarkStart w:id="19" w:name="_Toc362250689"/>
      <w:bookmarkStart w:id="20" w:name="_Toc23321"/>
      <w:bookmarkStart w:id="21" w:name="_Toc31250"/>
      <w:bookmarkStart w:id="22" w:name="_Toc274303231"/>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60327FDC">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10.</w:t>
      </w:r>
      <w:r>
        <w:rPr>
          <w:rFonts w:hint="eastAsia" w:ascii="宋体" w:hAnsi="宋体" w:cs="宋体"/>
          <w:b/>
          <w:bCs/>
          <w:color w:val="auto"/>
          <w:szCs w:val="21"/>
          <w:highlight w:val="none"/>
        </w:rPr>
        <w:t>投标文件的语言及度量衡单位</w:t>
      </w:r>
    </w:p>
    <w:p w14:paraId="156BDBA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10.1投标文件和与投标有关的所有文件均应使用汉语。</w:t>
      </w:r>
    </w:p>
    <w:p w14:paraId="6529A7E4">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10.2除工程规范另有规定外，投标文件使用的度量衡单位，均采用中华人民共和国法定计量单位。</w:t>
      </w:r>
    </w:p>
    <w:p w14:paraId="1A1C37A2">
      <w:pPr>
        <w:spacing w:line="360" w:lineRule="auto"/>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11.对投标文件的要求</w:t>
      </w:r>
    </w:p>
    <w:p w14:paraId="0AF4C9C8">
      <w:pPr>
        <w:pStyle w:val="30"/>
        <w:spacing w:line="360" w:lineRule="auto"/>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11.1投标人应仔细阅读招标文件，了解招标文件的要求，在完全了解招标项目的技术要求和商务要求后，编制投标文件。</w:t>
      </w:r>
    </w:p>
    <w:p w14:paraId="3B53E7F4">
      <w:pPr>
        <w:pStyle w:val="16"/>
        <w:spacing w:line="360" w:lineRule="auto"/>
        <w:ind w:left="1" w:firstLine="415" w:firstLineChars="198"/>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11.2编制投标文件时，投标人对招标文件中技术及商务要求须逐条逐项作出实质性回答。</w:t>
      </w:r>
    </w:p>
    <w:p w14:paraId="51BE59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在招标文件对技术要求中，投标人必须充分应答和满足用户的强制性的需求，如“★”等，否则将导致废标。</w:t>
      </w:r>
    </w:p>
    <w:p w14:paraId="4D9B99A8">
      <w:pPr>
        <w:spacing w:line="360" w:lineRule="auto"/>
        <w:ind w:firstLine="480"/>
        <w:rPr>
          <w:rFonts w:hint="eastAsia" w:ascii="宋体" w:hAnsi="宋体" w:cs="宋体"/>
          <w:bCs/>
          <w:color w:val="auto"/>
          <w:szCs w:val="21"/>
          <w:highlight w:val="none"/>
        </w:rPr>
      </w:pPr>
      <w:r>
        <w:rPr>
          <w:rFonts w:hint="eastAsia" w:ascii="宋体" w:hAnsi="宋体" w:cs="宋体"/>
          <w:color w:val="auto"/>
          <w:szCs w:val="21"/>
          <w:highlight w:val="none"/>
        </w:rPr>
        <w:t>11.4</w:t>
      </w:r>
      <w:r>
        <w:rPr>
          <w:rFonts w:hint="eastAsia" w:ascii="宋体" w:hAnsi="宋体" w:cs="宋体"/>
          <w:bCs/>
          <w:color w:val="auto"/>
          <w:szCs w:val="21"/>
          <w:highlight w:val="none"/>
        </w:rPr>
        <w:t>投标人应提供证明其拟提供的货物及其辅助服务的合格性及符合招标文件规定的文件，作为其投标文件的一部分。</w:t>
      </w:r>
    </w:p>
    <w:p w14:paraId="6F4A271F">
      <w:pPr>
        <w:spacing w:line="360" w:lineRule="auto"/>
        <w:ind w:firstLine="480"/>
        <w:rPr>
          <w:rFonts w:hint="eastAsia" w:ascii="宋体" w:hAnsi="宋体" w:cs="宋体"/>
          <w:color w:val="auto"/>
          <w:szCs w:val="21"/>
          <w:highlight w:val="none"/>
        </w:rPr>
      </w:pPr>
      <w:r>
        <w:rPr>
          <w:rFonts w:hint="eastAsia" w:ascii="宋体" w:hAnsi="宋体" w:cs="宋体"/>
          <w:bCs/>
          <w:color w:val="auto"/>
          <w:szCs w:val="21"/>
          <w:highlight w:val="none"/>
        </w:rPr>
        <w:t>11.5</w:t>
      </w:r>
      <w:r>
        <w:rPr>
          <w:rFonts w:hint="eastAsia" w:ascii="宋体" w:hAnsi="宋体" w:cs="宋体"/>
          <w:color w:val="auto"/>
          <w:szCs w:val="21"/>
          <w:highlight w:val="none"/>
        </w:rPr>
        <w:t>货物简要说明中对货物和服务原产地的说明，并应有原产地证书证明，进口货物必须有进口产品的商检证明、报关单等资料。</w:t>
      </w:r>
    </w:p>
    <w:p w14:paraId="6278ACDC">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11.6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049F08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11.7编制的投标文件对招标文件中有关条款未提出异议的，均被视为接受和同意。</w:t>
      </w:r>
    </w:p>
    <w:p w14:paraId="3127E2F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12.投标文件的组成</w:t>
      </w:r>
    </w:p>
    <w:p w14:paraId="18C8A6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招标文件“投标文件部分格式”所列的内容、格式及其投标人认为有必要提供的其他文件。</w:t>
      </w:r>
    </w:p>
    <w:p w14:paraId="1C09C68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12.2 </w:t>
      </w:r>
      <w:r>
        <w:rPr>
          <w:rFonts w:hint="eastAsia" w:ascii="宋体" w:hAnsi="宋体" w:cs="宋体"/>
          <w:b/>
          <w:bCs/>
          <w:color w:val="auto"/>
          <w:szCs w:val="21"/>
          <w:highlight w:val="none"/>
        </w:rPr>
        <w:t>投标文件由资格响应文件、商务技术响应文件和报价响应文件组成，以下的“格式”，指的是第八章投标文件格式中的表格；</w:t>
      </w:r>
    </w:p>
    <w:p w14:paraId="7F9EBCEB">
      <w:pPr>
        <w:pStyle w:val="17"/>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12.2.1 资格响应文件：</w:t>
      </w:r>
      <w:r>
        <w:rPr>
          <w:rFonts w:hint="eastAsia" w:hAnsi="宋体" w:cs="宋体"/>
          <w:color w:val="auto"/>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color w:val="auto"/>
          <w:highlight w:val="none"/>
        </w:rPr>
        <w:t>应包括下列内容（并不仅限于以下）：（</w:t>
      </w:r>
      <w:r>
        <w:rPr>
          <w:rFonts w:hint="eastAsia" w:hAnsi="宋体" w:cs="宋体"/>
          <w:b/>
          <w:bCs/>
          <w:color w:val="auto"/>
          <w:highlight w:val="none"/>
          <w:u w:val="single"/>
        </w:rPr>
        <w:t>提供的所有证书应在有效期内，过期的文件无效）</w:t>
      </w:r>
    </w:p>
    <w:p w14:paraId="14E74F7B">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（1）有效的营业执照副本等经营资格扫描件或在“国家企业信用信息公示系统”（网址：http://www.gsxt.gov.cn/）上的单位详细信息打印件；</w:t>
      </w:r>
    </w:p>
    <w:p w14:paraId="2D1B03FC">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（2）义乌市国企采购项目投标承诺书；</w:t>
      </w:r>
    </w:p>
    <w:p w14:paraId="33DD201C">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（3）法定代表人授权书和被授权人身份证复印件［适用于非法定代表人参加投标的，说明：法定代表人以营业执照载明的人员为准］；</w:t>
      </w:r>
    </w:p>
    <w:p w14:paraId="5F18F6B2">
      <w:pPr>
        <w:pStyle w:val="17"/>
        <w:spacing w:line="360" w:lineRule="auto"/>
        <w:ind w:firstLine="843" w:firstLineChars="400"/>
        <w:rPr>
          <w:rFonts w:hint="eastAsia" w:hAnsi="宋体" w:cs="宋体"/>
          <w:color w:val="auto"/>
          <w:highlight w:val="none"/>
        </w:rPr>
      </w:pPr>
      <w:r>
        <w:rPr>
          <w:rFonts w:hint="eastAsia" w:hAnsi="宋体" w:cs="宋体"/>
          <w:b/>
          <w:bCs/>
          <w:color w:val="auto"/>
          <w:highlight w:val="none"/>
        </w:rPr>
        <w:t>12.2.2 商务技术响应文件</w:t>
      </w:r>
      <w:r>
        <w:rPr>
          <w:rFonts w:hint="eastAsia" w:hAnsi="宋体" w:cs="宋体"/>
          <w:color w:val="auto"/>
          <w:highlight w:val="none"/>
        </w:rPr>
        <w:t>：投标货物、服务符合性的有关证明及技术资料：投标人须提交参投货物的详细技术文件，其形式可以是文字资料、图纸和数据等，证明其拟供货物和服务符合招标文件规定的技术响应文件，作为投标文件的一部分。</w:t>
      </w:r>
      <w:r>
        <w:rPr>
          <w:rFonts w:hint="eastAsia" w:hAnsi="宋体" w:cs="宋体"/>
          <w:b/>
          <w:bCs/>
          <w:color w:val="auto"/>
          <w:highlight w:val="none"/>
        </w:rPr>
        <w:t>应包括下列内容（并不仅限于以下）</w:t>
      </w:r>
    </w:p>
    <w:p w14:paraId="5B62483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简要说明一览表；</w:t>
      </w:r>
    </w:p>
    <w:p w14:paraId="3BE3A02C">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（2）规范偏离表；</w:t>
      </w:r>
    </w:p>
    <w:p w14:paraId="4DE2C61B">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★（3）售后服务承诺书</w:t>
      </w:r>
      <w:r>
        <w:rPr>
          <w:rFonts w:hint="eastAsia" w:ascii="宋体" w:hAnsi="宋体" w:eastAsia="宋体" w:cs="宋体"/>
          <w:color w:val="auto"/>
          <w:sz w:val="21"/>
          <w:szCs w:val="21"/>
          <w:highlight w:val="none"/>
          <w:lang w:eastAsia="zh-CN"/>
        </w:rPr>
        <w:t>；</w:t>
      </w:r>
    </w:p>
    <w:p w14:paraId="1F637A2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（4）根据评审需要、招标文件要求等，投标人自行考虑需提供的资料。</w:t>
      </w:r>
    </w:p>
    <w:p w14:paraId="0905DC0D">
      <w:pPr>
        <w:pStyle w:val="17"/>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524397B4">
      <w:pPr>
        <w:pStyle w:val="17"/>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12.2.3报价响应文件：应包括下列内容（并不仅限于以下）</w:t>
      </w:r>
    </w:p>
    <w:p w14:paraId="1A3F09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（1）开标一览表；</w:t>
      </w:r>
    </w:p>
    <w:p w14:paraId="1096AE1D">
      <w:pPr>
        <w:pStyle w:val="17"/>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771479CB">
      <w:pPr>
        <w:pStyle w:val="16"/>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13.投标人资格的有关证明资料</w:t>
      </w:r>
    </w:p>
    <w:p w14:paraId="7615D7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13.1投标人应提交证明其有资格参加投标和中标后有能力履行合同的文件，并作为其投标文件的一部分。</w:t>
      </w:r>
    </w:p>
    <w:p w14:paraId="0C9727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投标人提交的合格性的证明文件应使采购人满意，投标人在投标时应是符合条件的投标人。</w:t>
      </w:r>
    </w:p>
    <w:p w14:paraId="33632784">
      <w:pPr>
        <w:pStyle w:val="17"/>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14.投标报价</w:t>
      </w:r>
    </w:p>
    <w:p w14:paraId="0E6C8FDB">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14.1投标人应根据国家的有关规定和</w:t>
      </w:r>
      <w:r>
        <w:rPr>
          <w:rFonts w:hint="eastAsia" w:hAnsi="宋体" w:cs="宋体"/>
          <w:b/>
          <w:color w:val="auto"/>
          <w:highlight w:val="none"/>
        </w:rPr>
        <w:t>招标文件要求</w:t>
      </w:r>
      <w:r>
        <w:rPr>
          <w:rFonts w:hint="eastAsia" w:hAnsi="宋体" w:cs="宋体"/>
          <w:color w:val="auto"/>
          <w:highlight w:val="none"/>
        </w:rPr>
        <w:t>并结合企业的实际情况进行投标报价。具体详见招标文件第三章中的商务要求。</w:t>
      </w:r>
    </w:p>
    <w:p w14:paraId="517A36CE">
      <w:pPr>
        <w:pStyle w:val="17"/>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15.投标文件格式</w:t>
      </w:r>
    </w:p>
    <w:p w14:paraId="41C0F3F3">
      <w:pPr>
        <w:pStyle w:val="17"/>
        <w:spacing w:line="360" w:lineRule="auto"/>
        <w:ind w:firstLine="422" w:firstLineChars="200"/>
        <w:rPr>
          <w:rFonts w:hint="eastAsia" w:hAnsi="宋体" w:cs="宋体"/>
          <w:b/>
          <w:color w:val="auto"/>
          <w:highlight w:val="none"/>
        </w:rPr>
      </w:pPr>
      <w:r>
        <w:rPr>
          <w:rFonts w:hint="eastAsia" w:hAnsi="宋体" w:cs="宋体"/>
          <w:b/>
          <w:color w:val="auto"/>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6605B6A4">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1613D81D">
      <w:pPr>
        <w:pStyle w:val="17"/>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16.投标文件编制要求</w:t>
      </w:r>
    </w:p>
    <w:p w14:paraId="0E97C0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16.1投标人应仔细阅读招标文件，了解招标文件的要求，在完全了解招标项目的要求后，编制投标文件。</w:t>
      </w:r>
    </w:p>
    <w:p w14:paraId="242C27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16.2在招标文件对技术要求中，投标人必须充分应答和满足用户的强制性的需求，如“★”等，否则将导致无效标。</w:t>
      </w:r>
    </w:p>
    <w:p w14:paraId="209C27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16.3编制的投标文件对招标文件中有关条款未提出异议的，均被视为接受和同意。</w:t>
      </w:r>
    </w:p>
    <w:p w14:paraId="7DDDE6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16.4投标人应根据电子投标操作指南按本招标文件规定的格式和顺序编制电子投标文件并进行关联定位。</w:t>
      </w:r>
    </w:p>
    <w:p w14:paraId="0CDC70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16.5由于未按招标文件的规定要求编制投标文件，导致评审小组作出的对投标人的误判，责任由投标人自己承担。</w:t>
      </w:r>
    </w:p>
    <w:p w14:paraId="18709CB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17.投标有效期</w:t>
      </w:r>
    </w:p>
    <w:p w14:paraId="561ABBE3">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17.1 投标文件从开标之日起，投标有效期为60天。</w:t>
      </w:r>
    </w:p>
    <w:p w14:paraId="46741FF0">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17.2 特殊情况下，在原投标有效期截止之前，采购人可要求投标人同意延长有效期，这种要求与答复均应以书面形式提交。</w:t>
      </w:r>
      <w:bookmarkStart w:id="23" w:name="_Toc274303232"/>
      <w:bookmarkStart w:id="24" w:name="_Toc362250690"/>
      <w:bookmarkStart w:id="25" w:name="_Toc8254"/>
      <w:bookmarkStart w:id="26" w:name="_Toc27009"/>
    </w:p>
    <w:p w14:paraId="63EF2326">
      <w:pPr>
        <w:pStyle w:val="3"/>
        <w:spacing w:before="120" w:after="120" w:line="360" w:lineRule="auto"/>
        <w:rPr>
          <w:rFonts w:hint="eastAsia" w:ascii="宋体" w:hAnsi="宋体" w:eastAsia="宋体" w:cs="宋体"/>
          <w:color w:val="auto"/>
          <w:sz w:val="21"/>
          <w:szCs w:val="21"/>
          <w:highlight w:val="none"/>
        </w:rPr>
      </w:pPr>
      <w:bookmarkStart w:id="27" w:name="_Toc17080"/>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6809"/>
      <w:bookmarkStart w:id="29" w:name="_Toc7770"/>
    </w:p>
    <w:p w14:paraId="098C6FA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18.电子投标文件上传的截止时间</w:t>
      </w:r>
    </w:p>
    <w:p w14:paraId="640D01D7">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投标人应在投标截止时间（</w:t>
      </w:r>
      <w:r>
        <w:rPr>
          <w:rFonts w:hint="eastAsia" w:ascii="宋体" w:hAnsi="宋体" w:cs="宋体"/>
          <w:color w:val="auto"/>
          <w:szCs w:val="21"/>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18</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13</w:t>
      </w:r>
      <w:r>
        <w:rPr>
          <w:rFonts w:hint="eastAsia" w:ascii="宋体" w:hAnsi="宋体" w:cs="宋体"/>
          <w:color w:val="auto"/>
          <w:highlight w:val="none"/>
        </w:rPr>
        <w:t>:30</w:t>
      </w:r>
      <w:r>
        <w:rPr>
          <w:rFonts w:hint="eastAsia" w:ascii="宋体" w:hAnsi="宋体" w:cs="宋体"/>
          <w:color w:val="auto"/>
          <w:szCs w:val="21"/>
          <w:highlight w:val="none"/>
        </w:rPr>
        <w:t>）之前上传投标文件</w:t>
      </w:r>
      <w:r>
        <w:rPr>
          <w:rFonts w:hint="eastAsia" w:ascii="宋体" w:hAnsi="宋体" w:cs="宋体"/>
          <w:b/>
          <w:bCs/>
          <w:color w:val="auto"/>
          <w:szCs w:val="21"/>
          <w:highlight w:val="none"/>
        </w:rPr>
        <w:t>。</w:t>
      </w:r>
    </w:p>
    <w:p w14:paraId="4FD0B2E9">
      <w:pPr>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19.</w:t>
      </w:r>
      <w:r>
        <w:rPr>
          <w:rFonts w:hint="eastAsia" w:ascii="宋体" w:hAnsi="宋体" w:cs="宋体"/>
          <w:b/>
          <w:bCs/>
          <w:color w:val="auto"/>
          <w:szCs w:val="21"/>
          <w:highlight w:val="none"/>
        </w:rPr>
        <w:t>投标文件的补充、修改与撤回</w:t>
      </w:r>
    </w:p>
    <w:p w14:paraId="1B3A26CE">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19.1投标人在“义乌市阳光招标采购平台”上提交投标文件以后，在规定的投标截止时间之前，可以重新补充修改或撤回已上传的投标文件，补充、修改的内容为投标文件的组成部分。</w:t>
      </w:r>
    </w:p>
    <w:p w14:paraId="2F32BDD9">
      <w:pPr>
        <w:pStyle w:val="16"/>
        <w:spacing w:line="360" w:lineRule="auto"/>
        <w:ind w:firstLine="411" w:firstLineChars="196"/>
        <w:rPr>
          <w:rFonts w:hint="eastAsia" w:ascii="宋体" w:hAnsi="宋体" w:cs="宋体"/>
          <w:color w:val="auto"/>
          <w:spacing w:val="-6"/>
          <w:sz w:val="21"/>
          <w:szCs w:val="21"/>
          <w:highlight w:val="none"/>
        </w:rPr>
      </w:pPr>
      <w:r>
        <w:rPr>
          <w:rFonts w:hint="eastAsia" w:ascii="宋体" w:hAnsi="宋体" w:cs="宋体"/>
          <w:color w:val="auto"/>
          <w:sz w:val="21"/>
          <w:szCs w:val="21"/>
          <w:highlight w:val="none"/>
        </w:rPr>
        <w:t>19.2在投标截止时间之后，</w:t>
      </w:r>
      <w:r>
        <w:rPr>
          <w:rFonts w:hint="eastAsia" w:ascii="宋体" w:hAnsi="宋体" w:cs="宋体"/>
          <w:color w:val="auto"/>
          <w:spacing w:val="-6"/>
          <w:sz w:val="21"/>
          <w:szCs w:val="21"/>
          <w:highlight w:val="none"/>
        </w:rPr>
        <w:t>投标人不得对其投标做任何修改。</w:t>
      </w:r>
    </w:p>
    <w:p w14:paraId="1B27495F">
      <w:pPr>
        <w:pStyle w:val="17"/>
        <w:spacing w:line="360" w:lineRule="auto"/>
        <w:ind w:firstLine="396" w:firstLineChars="200"/>
        <w:rPr>
          <w:rFonts w:hint="eastAsia" w:hAnsi="宋体" w:cs="宋体"/>
          <w:color w:val="auto"/>
          <w:spacing w:val="-6"/>
          <w:highlight w:val="none"/>
        </w:rPr>
      </w:pPr>
      <w:r>
        <w:rPr>
          <w:rFonts w:hint="eastAsia" w:hAnsi="宋体" w:cs="宋体"/>
          <w:color w:val="auto"/>
          <w:spacing w:val="-6"/>
          <w:highlight w:val="none"/>
        </w:rPr>
        <w:t>19.3从投标截止时间至投标人在投标书格式中确定的投标有效期期满这段时间内，投标人不得撤回其投标，否则将通报市信用管理部门，列入严重失信名单。</w:t>
      </w:r>
    </w:p>
    <w:p w14:paraId="6328849B">
      <w:pPr>
        <w:pStyle w:val="17"/>
        <w:spacing w:line="360" w:lineRule="auto"/>
        <w:ind w:firstLine="422" w:firstLineChars="200"/>
        <w:rPr>
          <w:rFonts w:hint="eastAsia" w:hAnsi="宋体" w:cs="宋体"/>
          <w:b/>
          <w:color w:val="auto"/>
          <w:highlight w:val="none"/>
        </w:rPr>
      </w:pPr>
      <w:r>
        <w:rPr>
          <w:rFonts w:hint="eastAsia" w:hAnsi="宋体" w:cs="宋体"/>
          <w:b/>
          <w:color w:val="auto"/>
          <w:highlight w:val="none"/>
        </w:rPr>
        <w:t>20.投标文件解密</w:t>
      </w:r>
    </w:p>
    <w:p w14:paraId="1E87F6B3">
      <w:pPr>
        <w:snapToGrid w:val="0"/>
        <w:spacing w:line="360" w:lineRule="auto"/>
        <w:rPr>
          <w:rFonts w:hint="eastAsia" w:ascii="宋体" w:hAnsi="宋体" w:eastAsia="宋体" w:cs="宋体"/>
          <w:color w:val="auto"/>
          <w:highlight w:val="none"/>
        </w:rPr>
      </w:pPr>
      <w:bookmarkStart w:id="30" w:name="_Toc19877"/>
      <w:r>
        <w:rPr>
          <w:rFonts w:hint="eastAsia" w:ascii="宋体" w:hAnsi="宋体" w:eastAsia="宋体" w:cs="宋体"/>
          <w:color w:val="auto"/>
          <w:highlight w:val="none"/>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4C3BFFCD">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459D11FD">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①该电脑未安装CA驱动，无法读取CA锁——重新下载安装驱动</w:t>
      </w:r>
    </w:p>
    <w:p w14:paraId="6C95BDC9">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②电脑长时间未关机应用程序未响应，导致无法读取CA锁——重启电脑或重新安装驱动</w:t>
      </w:r>
    </w:p>
    <w:p w14:paraId="16EA9181">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③浏览器版本过低导致无法识别——更换Egde、谷歌浏览器</w:t>
      </w:r>
    </w:p>
    <w:p w14:paraId="7F0A294C">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④密码多次输入错误导致无法解密——打开CA工具进行检测密码是否正确</w:t>
      </w:r>
    </w:p>
    <w:p w14:paraId="0D758D8B">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⑤因杀毒软件检测导致无法识别CA锁——关闭杀毒软件</w:t>
      </w:r>
    </w:p>
    <w:p w14:paraId="07D23331">
      <w:pPr>
        <w:snapToGrid w:val="0"/>
        <w:spacing w:line="360" w:lineRule="auto"/>
        <w:ind w:firstLine="411" w:firstLineChars="196"/>
        <w:outlineLvl w:val="1"/>
        <w:rPr>
          <w:rFonts w:ascii="宋体" w:hAnsi="宋体" w:cs="宋体"/>
          <w:b/>
          <w:bCs/>
          <w:color w:val="auto"/>
          <w:szCs w:val="21"/>
          <w:highlight w:val="none"/>
        </w:rPr>
      </w:pPr>
      <w:r>
        <w:rPr>
          <w:rFonts w:hint="eastAsia" w:ascii="宋体" w:hAnsi="宋体" w:eastAsia="宋体" w:cs="宋体"/>
          <w:color w:val="auto"/>
          <w:highlight w:val="none"/>
        </w:rPr>
        <w:t>⑥因系统安装多版本驱动导致无法识别CA锁——卸载其他驱动或更换其他电脑安装驱动。</w:t>
      </w:r>
      <w:r>
        <w:rPr>
          <w:rFonts w:hint="eastAsia" w:ascii="宋体" w:hAnsi="宋体" w:cs="宋体"/>
          <w:b/>
          <w:bCs/>
          <w:color w:val="auto"/>
          <w:szCs w:val="21"/>
          <w:highlight w:val="none"/>
        </w:rPr>
        <w:t>五、</w:t>
      </w:r>
      <w:bookmarkEnd w:id="28"/>
      <w:bookmarkEnd w:id="29"/>
      <w:r>
        <w:rPr>
          <w:rFonts w:hint="eastAsia" w:ascii="宋体" w:hAnsi="宋体" w:cs="宋体"/>
          <w:b/>
          <w:bCs/>
          <w:color w:val="auto"/>
          <w:szCs w:val="21"/>
          <w:highlight w:val="none"/>
        </w:rPr>
        <w:t>费用缴纳</w:t>
      </w:r>
      <w:bookmarkEnd w:id="30"/>
    </w:p>
    <w:p w14:paraId="7E1FFB8E">
      <w:pPr>
        <w:spacing w:line="360" w:lineRule="auto"/>
        <w:ind w:firstLine="435"/>
        <w:rPr>
          <w:rFonts w:hint="eastAsia" w:ascii="宋体" w:hAnsi="宋体" w:cs="宋体"/>
          <w:color w:val="auto"/>
          <w:spacing w:val="-6"/>
          <w:szCs w:val="21"/>
          <w:highlight w:val="none"/>
        </w:rPr>
      </w:pPr>
      <w:r>
        <w:rPr>
          <w:rFonts w:hint="eastAsia" w:ascii="宋体" w:hAnsi="宋体" w:cs="宋体"/>
          <w:color w:val="auto"/>
          <w:spacing w:val="-6"/>
          <w:szCs w:val="21"/>
          <w:highlight w:val="none"/>
        </w:rPr>
        <w:t>1.招标代理服务费于中标通知书发送前按照</w:t>
      </w:r>
      <w:r>
        <w:rPr>
          <w:rFonts w:hint="eastAsia" w:ascii="宋体" w:hAnsi="宋体" w:cs="宋体"/>
          <w:color w:val="auto"/>
          <w:spacing w:val="-6"/>
          <w:szCs w:val="21"/>
          <w:highlight w:val="none"/>
          <w:lang w:val="en-US" w:eastAsia="zh-CN"/>
        </w:rPr>
        <w:t>预算</w:t>
      </w:r>
      <w:r>
        <w:rPr>
          <w:rFonts w:hint="eastAsia" w:ascii="宋体" w:hAnsi="宋体" w:cs="宋体"/>
          <w:color w:val="auto"/>
          <w:spacing w:val="-6"/>
          <w:szCs w:val="21"/>
          <w:highlight w:val="none"/>
          <w:lang w:eastAsia="zh-CN"/>
        </w:rPr>
        <w:t>金额</w:t>
      </w:r>
      <w:r>
        <w:rPr>
          <w:rFonts w:hint="eastAsia" w:ascii="宋体" w:hAnsi="宋体" w:cs="宋体"/>
          <w:color w:val="auto"/>
          <w:spacing w:val="-6"/>
          <w:szCs w:val="21"/>
          <w:highlight w:val="none"/>
        </w:rPr>
        <w:t>向中标方收取。单宗招标代理服务费不足3000元按3000元收取。</w:t>
      </w:r>
    </w:p>
    <w:tbl>
      <w:tblPr>
        <w:tblStyle w:val="38"/>
        <w:tblW w:w="7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384"/>
        <w:gridCol w:w="4048"/>
      </w:tblGrid>
      <w:tr w14:paraId="4260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082" w:type="dxa"/>
            <w:noWrap w:val="0"/>
            <w:vAlign w:val="center"/>
          </w:tcPr>
          <w:p w14:paraId="7A5B7F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384" w:type="dxa"/>
            <w:noWrap w:val="0"/>
            <w:vAlign w:val="center"/>
          </w:tcPr>
          <w:p w14:paraId="1AA3D2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收费标准</w:t>
            </w:r>
          </w:p>
        </w:tc>
        <w:tc>
          <w:tcPr>
            <w:tcW w:w="4048" w:type="dxa"/>
            <w:noWrap w:val="0"/>
            <w:vAlign w:val="top"/>
          </w:tcPr>
          <w:p w14:paraId="0FF32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1CF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82" w:type="dxa"/>
            <w:noWrap w:val="0"/>
            <w:vAlign w:val="center"/>
          </w:tcPr>
          <w:p w14:paraId="30F3D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384" w:type="dxa"/>
            <w:noWrap w:val="0"/>
            <w:vAlign w:val="center"/>
          </w:tcPr>
          <w:p w14:paraId="76496C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048" w:type="dxa"/>
            <w:vMerge w:val="restart"/>
            <w:noWrap w:val="0"/>
            <w:vAlign w:val="center"/>
          </w:tcPr>
          <w:p w14:paraId="6B081A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招标代理服务费采用差额定率累进法计算，向采购方或中标方单向收取。</w:t>
            </w:r>
          </w:p>
          <w:p w14:paraId="6A8185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例：中标金额为1000万。服务费=100万×1.5%+400万×1.1%+500万×0.8%=9.9万</w:t>
            </w:r>
          </w:p>
        </w:tc>
      </w:tr>
      <w:tr w14:paraId="676F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82" w:type="dxa"/>
            <w:noWrap w:val="0"/>
            <w:vAlign w:val="center"/>
          </w:tcPr>
          <w:p w14:paraId="1D8ECB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384" w:type="dxa"/>
            <w:noWrap w:val="0"/>
            <w:vAlign w:val="center"/>
          </w:tcPr>
          <w:p w14:paraId="65552D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048" w:type="dxa"/>
            <w:vMerge w:val="continue"/>
            <w:noWrap w:val="0"/>
            <w:vAlign w:val="top"/>
          </w:tcPr>
          <w:p w14:paraId="2EFDEC1F">
            <w:pPr>
              <w:spacing w:line="360" w:lineRule="auto"/>
              <w:rPr>
                <w:rFonts w:hint="eastAsia" w:ascii="宋体" w:hAnsi="宋体" w:eastAsia="宋体" w:cs="宋体"/>
                <w:color w:val="auto"/>
                <w:szCs w:val="21"/>
                <w:highlight w:val="none"/>
              </w:rPr>
            </w:pPr>
          </w:p>
        </w:tc>
      </w:tr>
      <w:tr w14:paraId="685E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82" w:type="dxa"/>
            <w:noWrap w:val="0"/>
            <w:vAlign w:val="center"/>
          </w:tcPr>
          <w:p w14:paraId="42555F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384" w:type="dxa"/>
            <w:noWrap w:val="0"/>
            <w:vAlign w:val="center"/>
          </w:tcPr>
          <w:p w14:paraId="4A1B37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4048" w:type="dxa"/>
            <w:vMerge w:val="continue"/>
            <w:noWrap w:val="0"/>
            <w:vAlign w:val="top"/>
          </w:tcPr>
          <w:p w14:paraId="79B2AC98">
            <w:pPr>
              <w:spacing w:line="360" w:lineRule="auto"/>
              <w:rPr>
                <w:rFonts w:hint="eastAsia" w:ascii="宋体" w:hAnsi="宋体" w:eastAsia="宋体" w:cs="宋体"/>
                <w:color w:val="auto"/>
                <w:szCs w:val="21"/>
                <w:highlight w:val="none"/>
              </w:rPr>
            </w:pPr>
          </w:p>
        </w:tc>
      </w:tr>
      <w:tr w14:paraId="423B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82" w:type="dxa"/>
            <w:noWrap w:val="0"/>
            <w:vAlign w:val="center"/>
          </w:tcPr>
          <w:p w14:paraId="745DCBC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384" w:type="dxa"/>
            <w:noWrap w:val="0"/>
            <w:vAlign w:val="center"/>
          </w:tcPr>
          <w:p w14:paraId="29CCAB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4048" w:type="dxa"/>
            <w:vMerge w:val="continue"/>
            <w:noWrap w:val="0"/>
            <w:vAlign w:val="top"/>
          </w:tcPr>
          <w:p w14:paraId="05D67C91">
            <w:pPr>
              <w:spacing w:line="360" w:lineRule="auto"/>
              <w:rPr>
                <w:rFonts w:hint="eastAsia" w:ascii="宋体" w:hAnsi="宋体" w:eastAsia="宋体" w:cs="宋体"/>
                <w:color w:val="auto"/>
                <w:szCs w:val="21"/>
                <w:highlight w:val="none"/>
              </w:rPr>
            </w:pPr>
          </w:p>
        </w:tc>
      </w:tr>
      <w:tr w14:paraId="5AF6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82" w:type="dxa"/>
            <w:noWrap w:val="0"/>
            <w:vAlign w:val="center"/>
          </w:tcPr>
          <w:p w14:paraId="3F53B8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384" w:type="dxa"/>
            <w:noWrap w:val="0"/>
            <w:vAlign w:val="center"/>
          </w:tcPr>
          <w:p w14:paraId="5CEED3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4048" w:type="dxa"/>
            <w:vMerge w:val="continue"/>
            <w:noWrap w:val="0"/>
            <w:vAlign w:val="top"/>
          </w:tcPr>
          <w:p w14:paraId="6E6D6F78">
            <w:pPr>
              <w:spacing w:line="360" w:lineRule="auto"/>
              <w:rPr>
                <w:rFonts w:hint="eastAsia" w:ascii="宋体" w:hAnsi="宋体" w:eastAsia="宋体" w:cs="宋体"/>
                <w:color w:val="auto"/>
                <w:szCs w:val="21"/>
                <w:highlight w:val="none"/>
              </w:rPr>
            </w:pPr>
          </w:p>
        </w:tc>
      </w:tr>
      <w:tr w14:paraId="4DE6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82" w:type="dxa"/>
            <w:noWrap w:val="0"/>
            <w:vAlign w:val="center"/>
          </w:tcPr>
          <w:p w14:paraId="284940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10000以上</w:t>
            </w:r>
          </w:p>
        </w:tc>
        <w:tc>
          <w:tcPr>
            <w:tcW w:w="1384" w:type="dxa"/>
            <w:noWrap w:val="0"/>
            <w:vAlign w:val="center"/>
          </w:tcPr>
          <w:p w14:paraId="65C68C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4048" w:type="dxa"/>
            <w:vMerge w:val="continue"/>
            <w:noWrap w:val="0"/>
            <w:vAlign w:val="top"/>
          </w:tcPr>
          <w:p w14:paraId="6468EC7C">
            <w:pPr>
              <w:spacing w:line="360" w:lineRule="auto"/>
              <w:rPr>
                <w:rFonts w:hint="eastAsia" w:ascii="宋体" w:hAnsi="宋体" w:eastAsia="宋体" w:cs="宋体"/>
                <w:color w:val="auto"/>
                <w:szCs w:val="21"/>
                <w:highlight w:val="none"/>
              </w:rPr>
            </w:pPr>
          </w:p>
        </w:tc>
      </w:tr>
    </w:tbl>
    <w:p w14:paraId="50F71B10">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服务费汇至：</w:t>
      </w:r>
    </w:p>
    <w:p w14:paraId="3D35C83D">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银行账号名称：义乌产权交易所有限公司</w:t>
      </w:r>
    </w:p>
    <w:p w14:paraId="373581A0">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银行账号：1208020009045009586 </w:t>
      </w:r>
    </w:p>
    <w:p w14:paraId="05C76153">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开户银行：中国工商银行义乌分行</w:t>
      </w:r>
    </w:p>
    <w:p w14:paraId="10EC07A8">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6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3573"/>
      </w:tblGrid>
      <w:tr w14:paraId="1B22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488560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3573" w:type="dxa"/>
            <w:noWrap w:val="0"/>
            <w:vAlign w:val="center"/>
          </w:tcPr>
          <w:p w14:paraId="5C1DE76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2586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60B60C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3573" w:type="dxa"/>
            <w:noWrap w:val="0"/>
            <w:vAlign w:val="center"/>
          </w:tcPr>
          <w:p w14:paraId="3F40840E">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77FA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45EF1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3573" w:type="dxa"/>
            <w:noWrap w:val="0"/>
            <w:vAlign w:val="center"/>
          </w:tcPr>
          <w:p w14:paraId="437369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00A8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5468B91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3573" w:type="dxa"/>
            <w:noWrap w:val="0"/>
            <w:vAlign w:val="center"/>
          </w:tcPr>
          <w:p w14:paraId="24E163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1EF7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84245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3573" w:type="dxa"/>
            <w:noWrap w:val="0"/>
            <w:vAlign w:val="center"/>
          </w:tcPr>
          <w:p w14:paraId="6639DB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1291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28086C2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3573" w:type="dxa"/>
            <w:noWrap w:val="0"/>
            <w:vAlign w:val="center"/>
          </w:tcPr>
          <w:p w14:paraId="3832D3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0BC5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08E47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3573" w:type="dxa"/>
            <w:noWrap w:val="0"/>
            <w:vAlign w:val="center"/>
          </w:tcPr>
          <w:p w14:paraId="0BBFAD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0AC6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55A068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3573" w:type="dxa"/>
            <w:noWrap w:val="0"/>
            <w:vAlign w:val="center"/>
          </w:tcPr>
          <w:p w14:paraId="7E1383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7F6D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0966DA0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3573" w:type="dxa"/>
            <w:noWrap w:val="0"/>
            <w:vAlign w:val="center"/>
          </w:tcPr>
          <w:p w14:paraId="4FF1B9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21C3B9B3">
      <w:pPr>
        <w:spacing w:line="480" w:lineRule="exact"/>
        <w:ind w:firstLine="396" w:firstLineChars="200"/>
        <w:rPr>
          <w:rFonts w:ascii="宋体" w:hAnsi="宋体" w:cs="宋体"/>
          <w:b/>
          <w:bCs/>
          <w:color w:val="auto"/>
          <w:szCs w:val="21"/>
          <w:highlight w:val="none"/>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p>
    <w:p w14:paraId="1016A5AF">
      <w:pPr>
        <w:pStyle w:val="3"/>
        <w:spacing w:before="120" w:after="120" w:line="360" w:lineRule="auto"/>
        <w:rPr>
          <w:rFonts w:hint="eastAsia" w:ascii="宋体" w:hAnsi="宋体" w:eastAsia="宋体" w:cs="宋体"/>
          <w:color w:val="auto"/>
          <w:sz w:val="21"/>
          <w:szCs w:val="21"/>
          <w:highlight w:val="none"/>
        </w:rPr>
      </w:pPr>
      <w:bookmarkStart w:id="31" w:name="_Toc18031"/>
      <w:r>
        <w:rPr>
          <w:rFonts w:hint="eastAsia" w:ascii="宋体" w:hAnsi="宋体" w:eastAsia="宋体" w:cs="宋体"/>
          <w:color w:val="auto"/>
          <w:sz w:val="21"/>
          <w:szCs w:val="21"/>
          <w:highlight w:val="none"/>
        </w:rPr>
        <w:t>六、其它</w:t>
      </w:r>
      <w:bookmarkEnd w:id="31"/>
    </w:p>
    <w:p w14:paraId="6497D9D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本招标文件解释权归采购人。</w:t>
      </w:r>
    </w:p>
    <w:p w14:paraId="1A29EA1E">
      <w:pPr>
        <w:pStyle w:val="2"/>
        <w:tabs>
          <w:tab w:val="left" w:pos="360"/>
        </w:tabs>
        <w:spacing w:line="240" w:lineRule="exact"/>
        <w:jc w:val="center"/>
        <w:rPr>
          <w:rFonts w:hint="eastAsia"/>
          <w:color w:val="auto"/>
          <w:sz w:val="36"/>
          <w:highlight w:val="none"/>
        </w:rPr>
      </w:pPr>
      <w:r>
        <w:rPr>
          <w:rFonts w:hint="eastAsia"/>
          <w:color w:val="auto"/>
          <w:sz w:val="36"/>
          <w:highlight w:val="none"/>
        </w:rPr>
        <w:br w:type="page"/>
      </w:r>
      <w:bookmarkStart w:id="32" w:name="_Toc12946"/>
      <w:r>
        <w:rPr>
          <w:rFonts w:hint="eastAsia"/>
          <w:color w:val="auto"/>
          <w:sz w:val="36"/>
          <w:highlight w:val="none"/>
        </w:rPr>
        <w:t>第三章  招标项目要求</w:t>
      </w:r>
      <w:bookmarkEnd w:id="32"/>
    </w:p>
    <w:p w14:paraId="1E6D7125">
      <w:pPr>
        <w:keepNext/>
        <w:keepLines/>
        <w:spacing w:line="360" w:lineRule="auto"/>
        <w:outlineLvl w:val="1"/>
        <w:rPr>
          <w:rFonts w:hint="eastAsia" w:ascii="宋体" w:hAnsi="宋体" w:eastAsia="宋体" w:cs="宋体"/>
          <w:b/>
          <w:bCs/>
          <w:color w:val="auto"/>
          <w:spacing w:val="14"/>
          <w:kern w:val="24"/>
          <w:sz w:val="21"/>
          <w:szCs w:val="21"/>
          <w:highlight w:val="none"/>
          <w:lang w:val="en-US" w:eastAsia="zh-CN"/>
        </w:rPr>
      </w:pPr>
      <w:bookmarkStart w:id="33" w:name="_Toc13510"/>
      <w:bookmarkStart w:id="34" w:name="_Toc254507067"/>
      <w:bookmarkStart w:id="35" w:name="_Toc7717"/>
      <w:r>
        <w:rPr>
          <w:rFonts w:hint="eastAsia" w:ascii="宋体" w:hAnsi="宋体" w:eastAsia="宋体" w:cs="宋体"/>
          <w:b/>
          <w:bCs/>
          <w:color w:val="auto"/>
          <w:spacing w:val="14"/>
          <w:kern w:val="24"/>
          <w:sz w:val="21"/>
          <w:szCs w:val="21"/>
          <w:highlight w:val="none"/>
          <w:lang w:val="en-US" w:eastAsia="zh-CN"/>
        </w:rPr>
        <w:t>一、信创电脑</w:t>
      </w:r>
      <w:r>
        <w:rPr>
          <w:rFonts w:hint="eastAsia" w:ascii="宋体" w:hAnsi="宋体" w:cs="宋体"/>
          <w:b/>
          <w:bCs/>
          <w:color w:val="auto"/>
          <w:spacing w:val="14"/>
          <w:kern w:val="24"/>
          <w:sz w:val="21"/>
          <w:szCs w:val="21"/>
          <w:highlight w:val="none"/>
          <w:lang w:val="en-US" w:eastAsia="zh-CN"/>
        </w:rPr>
        <w:t>采购内容及服务</w:t>
      </w:r>
      <w:r>
        <w:rPr>
          <w:rFonts w:hint="eastAsia" w:ascii="宋体" w:hAnsi="宋体" w:eastAsia="宋体" w:cs="宋体"/>
          <w:b/>
          <w:bCs/>
          <w:color w:val="auto"/>
          <w:spacing w:val="14"/>
          <w:kern w:val="24"/>
          <w:sz w:val="21"/>
          <w:szCs w:val="21"/>
          <w:highlight w:val="none"/>
          <w:lang w:val="en-US" w:eastAsia="zh-CN"/>
        </w:rPr>
        <w:t>要求</w:t>
      </w:r>
      <w:bookmarkEnd w:id="33"/>
    </w:p>
    <w:tbl>
      <w:tblPr>
        <w:tblStyle w:val="38"/>
        <w:tblW w:w="9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4052"/>
        <w:gridCol w:w="4201"/>
      </w:tblGrid>
      <w:tr w14:paraId="5598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15" w:type="dxa"/>
            <w:noWrap w:val="0"/>
            <w:vAlign w:val="center"/>
          </w:tcPr>
          <w:p w14:paraId="45530E88">
            <w:pPr>
              <w:widowControl/>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052" w:type="dxa"/>
            <w:noWrap w:val="0"/>
            <w:vAlign w:val="center"/>
          </w:tcPr>
          <w:p w14:paraId="18F99FAE">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招标内容</w:t>
            </w:r>
          </w:p>
        </w:tc>
        <w:tc>
          <w:tcPr>
            <w:tcW w:w="4201" w:type="dxa"/>
            <w:noWrap w:val="0"/>
            <w:vAlign w:val="center"/>
          </w:tcPr>
          <w:p w14:paraId="3981D0E1">
            <w:pPr>
              <w:widowControl/>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最高单价限价（含税）</w:t>
            </w:r>
          </w:p>
        </w:tc>
      </w:tr>
      <w:tr w14:paraId="38A9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5" w:type="dxa"/>
            <w:noWrap w:val="0"/>
            <w:vAlign w:val="center"/>
          </w:tcPr>
          <w:p w14:paraId="08E20018">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4052" w:type="dxa"/>
            <w:noWrap w:val="0"/>
            <w:vAlign w:val="center"/>
          </w:tcPr>
          <w:p w14:paraId="0DD7AA3B">
            <w:pPr>
              <w:widowControl/>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rPr>
              <w:t>台式计算机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不含显示器、鼠标和键盘，包含操作系统、办公软件</w:t>
            </w:r>
            <w:r>
              <w:rPr>
                <w:rFonts w:hint="eastAsia" w:ascii="宋体" w:hAnsi="宋体" w:cs="宋体"/>
                <w:color w:val="auto"/>
                <w:szCs w:val="21"/>
                <w:highlight w:val="none"/>
                <w:lang w:eastAsia="zh-CN"/>
              </w:rPr>
              <w:t>）</w:t>
            </w:r>
          </w:p>
        </w:tc>
        <w:tc>
          <w:tcPr>
            <w:tcW w:w="4201" w:type="dxa"/>
            <w:noWrap w:val="0"/>
            <w:vAlign w:val="center"/>
          </w:tcPr>
          <w:p w14:paraId="26C20A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￥5000.00元</w:t>
            </w:r>
          </w:p>
        </w:tc>
      </w:tr>
    </w:tbl>
    <w:p w14:paraId="0994C3DF">
      <w:pPr>
        <w:spacing w:line="440" w:lineRule="exact"/>
        <w:ind w:firstLine="48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服务要求：</w:t>
      </w:r>
    </w:p>
    <w:p w14:paraId="478D97F1">
      <w:pPr>
        <w:spacing w:line="400" w:lineRule="exact"/>
        <w:ind w:firstLine="420"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（1）在合同签订后一年内，采购人及其子公司可以不高于本次约定的单价向成交供应商采购上述产品、软件及配套服务；</w:t>
      </w:r>
    </w:p>
    <w:p w14:paraId="4A28965A">
      <w:pPr>
        <w:pStyle w:val="16"/>
        <w:spacing w:line="400" w:lineRule="exact"/>
        <w:ind w:firstLine="420" w:firstLineChars="200"/>
        <w:rPr>
          <w:rFonts w:hint="eastAsia" w:cs="宋体"/>
          <w:color w:val="auto"/>
          <w:kern w:val="0"/>
          <w:sz w:val="21"/>
          <w:szCs w:val="21"/>
          <w:highlight w:val="none"/>
          <w:lang w:bidi="ar"/>
        </w:rPr>
      </w:pPr>
      <w:r>
        <w:rPr>
          <w:rFonts w:hint="eastAsia" w:cs="宋体"/>
          <w:color w:val="auto"/>
          <w:kern w:val="0"/>
          <w:sz w:val="21"/>
          <w:szCs w:val="21"/>
          <w:highlight w:val="none"/>
          <w:lang w:bidi="ar"/>
        </w:rPr>
        <w:t>（2）提供计算机终端、操作系统上门安装及培训等服务；</w:t>
      </w:r>
    </w:p>
    <w:p w14:paraId="44E3C32A">
      <w:pPr>
        <w:spacing w:line="4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备注：</w:t>
      </w:r>
    </w:p>
    <w:p w14:paraId="06C91112">
      <w:pPr>
        <w:spacing w:line="400" w:lineRule="exact"/>
        <w:ind w:firstLine="420"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1、对产品技术要求中要求提供的产品证书、截图等资料中标人应在合同签定前提供复印件并加盖原厂公章进行佐证。</w:t>
      </w:r>
    </w:p>
    <w:p w14:paraId="5D7DE945">
      <w:pPr>
        <w:spacing w:line="400" w:lineRule="exact"/>
        <w:ind w:firstLine="420"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★2、投标人投标时须承诺所投产品均符合信创要求。</w:t>
      </w:r>
    </w:p>
    <w:p w14:paraId="602739DC">
      <w:pPr>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kern w:val="0"/>
          <w:szCs w:val="21"/>
          <w:highlight w:val="none"/>
          <w:lang w:bidi="ar"/>
        </w:rPr>
        <w:t>★3、投标时承诺中标后20个工作日内（合同签订前）须提供本次投标所有产品的生产厂家针对本次项目的原厂授权书、质保函、软件原厂免费升级承诺函的原件并加盖原厂商公章，质保及升级时间自该批次产品到货验收通过之日开始计算。若逾期未提供的，取消中标资格。</w:t>
      </w:r>
    </w:p>
    <w:p w14:paraId="01A9371E">
      <w:pPr>
        <w:widowControl/>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预计采购数量：1</w:t>
      </w:r>
      <w:r>
        <w:rPr>
          <w:rFonts w:hint="eastAsia" w:ascii="宋体" w:hAnsi="宋体" w:cs="宋体"/>
          <w:b/>
          <w:color w:val="auto"/>
          <w:szCs w:val="21"/>
          <w:highlight w:val="none"/>
          <w:lang w:val="en-US" w:eastAsia="zh-CN"/>
        </w:rPr>
        <w:t>25</w:t>
      </w:r>
      <w:r>
        <w:rPr>
          <w:rFonts w:hint="eastAsia" w:ascii="宋体" w:hAnsi="宋体" w:cs="宋体"/>
          <w:b/>
          <w:color w:val="auto"/>
          <w:szCs w:val="21"/>
          <w:highlight w:val="none"/>
        </w:rPr>
        <w:t>台</w:t>
      </w:r>
    </w:p>
    <w:p w14:paraId="3B3D913B">
      <w:pPr>
        <w:pStyle w:val="16"/>
        <w:spacing w:line="400" w:lineRule="exact"/>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注：最终采购数量以</w:t>
      </w:r>
      <w:r>
        <w:rPr>
          <w:rFonts w:hint="eastAsia" w:ascii="宋体" w:hAnsi="宋体" w:cs="宋体"/>
          <w:color w:val="auto"/>
          <w:kern w:val="0"/>
          <w:sz w:val="21"/>
          <w:szCs w:val="21"/>
          <w:highlight w:val="none"/>
          <w:lang w:val="en-US" w:eastAsia="zh-CN" w:bidi="ar"/>
        </w:rPr>
        <w:t>交旅</w:t>
      </w:r>
      <w:r>
        <w:rPr>
          <w:rFonts w:hint="eastAsia" w:ascii="宋体" w:hAnsi="宋体" w:cs="宋体"/>
          <w:color w:val="auto"/>
          <w:kern w:val="0"/>
          <w:sz w:val="21"/>
          <w:szCs w:val="21"/>
          <w:highlight w:val="none"/>
          <w:lang w:bidi="ar"/>
        </w:rPr>
        <w:t>集团及各子公司实际采购数量为准（实际采购数量可能少于或多于本次预计采购数量，但最多不超出本次预计采购数量的10%），按中标单价，按实结算。</w:t>
      </w:r>
    </w:p>
    <w:p w14:paraId="60B14E31">
      <w:pPr>
        <w:bidi w:val="0"/>
        <w:rPr>
          <w:rFonts w:hint="eastAsia"/>
          <w:color w:val="auto"/>
          <w:highlight w:val="none"/>
          <w:lang w:val="en-US" w:eastAsia="zh-CN"/>
        </w:rPr>
      </w:pPr>
    </w:p>
    <w:tbl>
      <w:tblPr>
        <w:tblStyle w:val="38"/>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48"/>
        <w:gridCol w:w="7622"/>
      </w:tblGrid>
      <w:tr w14:paraId="4CF4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70" w:type="dxa"/>
            <w:gridSpan w:val="2"/>
            <w:tcBorders>
              <w:top w:val="single" w:color="000000" w:sz="8" w:space="0"/>
              <w:left w:val="single" w:color="000000" w:sz="8" w:space="0"/>
              <w:bottom w:val="single" w:color="000000" w:sz="8" w:space="0"/>
              <w:right w:val="single" w:color="000000" w:sz="8" w:space="0"/>
            </w:tcBorders>
            <w:noWrap w:val="0"/>
            <w:vAlign w:val="center"/>
          </w:tcPr>
          <w:p w14:paraId="258954F0">
            <w:pPr>
              <w:widowControl/>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color w:val="auto"/>
                <w:szCs w:val="21"/>
                <w:highlight w:val="none"/>
                <w:lang w:val="en-US" w:eastAsia="zh-CN"/>
              </w:rPr>
              <w:t>详细技术参数</w:t>
            </w:r>
          </w:p>
        </w:tc>
      </w:tr>
      <w:tr w14:paraId="27F2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8" w:type="dxa"/>
            <w:vMerge w:val="restart"/>
            <w:tcBorders>
              <w:top w:val="single" w:color="000000" w:sz="8" w:space="0"/>
              <w:left w:val="single" w:color="000000" w:sz="8" w:space="0"/>
              <w:right w:val="single" w:color="000000" w:sz="8" w:space="0"/>
            </w:tcBorders>
            <w:noWrap w:val="0"/>
            <w:vAlign w:val="center"/>
          </w:tcPr>
          <w:p w14:paraId="15AA19E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★CPU信息</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0471B62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国产ARM架构处理器或MIPS架构处理器</w:t>
            </w:r>
          </w:p>
        </w:tc>
      </w:tr>
      <w:tr w14:paraId="6C30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948" w:type="dxa"/>
            <w:vMerge w:val="continue"/>
            <w:tcBorders>
              <w:left w:val="single" w:color="000000" w:sz="8" w:space="0"/>
              <w:right w:val="single" w:color="000000" w:sz="8" w:space="0"/>
            </w:tcBorders>
            <w:noWrap w:val="0"/>
            <w:vAlign w:val="center"/>
          </w:tcPr>
          <w:p w14:paraId="0DD66491">
            <w:pPr>
              <w:jc w:val="both"/>
              <w:rPr>
                <w:rFonts w:hint="eastAsia" w:ascii="宋体" w:hAnsi="宋体" w:eastAsia="宋体" w:cs="宋体"/>
                <w:i w:val="0"/>
                <w:iCs w:val="0"/>
                <w:color w:val="auto"/>
                <w:sz w:val="21"/>
                <w:szCs w:val="21"/>
                <w:highlight w:val="none"/>
                <w:u w:val="none"/>
              </w:rPr>
            </w:pP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1E746AD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投标产品的中央处理器（CPU）须为中国信息安全测评中心2024年之后（含2024年）颁布的安全可靠测评结果公告名录中的II级处理器</w:t>
            </w:r>
          </w:p>
        </w:tc>
      </w:tr>
      <w:tr w14:paraId="670E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948" w:type="dxa"/>
            <w:vMerge w:val="continue"/>
            <w:tcBorders>
              <w:left w:val="single" w:color="000000" w:sz="8" w:space="0"/>
              <w:bottom w:val="single" w:color="000000" w:sz="8" w:space="0"/>
              <w:right w:val="single" w:color="000000" w:sz="8" w:space="0"/>
            </w:tcBorders>
            <w:noWrap w:val="0"/>
            <w:vAlign w:val="center"/>
          </w:tcPr>
          <w:p w14:paraId="341742F8">
            <w:pPr>
              <w:jc w:val="both"/>
              <w:rPr>
                <w:rFonts w:hint="eastAsia" w:ascii="宋体" w:hAnsi="宋体" w:eastAsia="宋体" w:cs="宋体"/>
                <w:i w:val="0"/>
                <w:iCs w:val="0"/>
                <w:color w:val="auto"/>
                <w:sz w:val="21"/>
                <w:szCs w:val="21"/>
                <w:highlight w:val="none"/>
                <w:u w:val="none"/>
              </w:rPr>
            </w:pP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2B87B6D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物理核数≥8，CPU线程数≥12，</w:t>
            </w:r>
            <w:r>
              <w:rPr>
                <w:rFonts w:hint="eastAsia" w:ascii="宋体" w:hAnsi="宋体"/>
                <w:color w:val="auto"/>
                <w:highlight w:val="none"/>
              </w:rPr>
              <w:t>CPU</w:t>
            </w:r>
            <w:r>
              <w:rPr>
                <w:rFonts w:hint="eastAsia" w:ascii="宋体" w:hAnsi="宋体"/>
                <w:color w:val="auto"/>
                <w:sz w:val="20"/>
                <w:highlight w:val="none"/>
              </w:rPr>
              <w:t>主频</w:t>
            </w:r>
            <w:r>
              <w:rPr>
                <w:rFonts w:hint="eastAsia" w:ascii="宋体" w:hAnsi="宋体"/>
                <w:color w:val="auto"/>
                <w:highlight w:val="none"/>
              </w:rPr>
              <w:t>≥2.</w:t>
            </w:r>
            <w:r>
              <w:rPr>
                <w:rFonts w:hint="eastAsia" w:ascii="宋体" w:hAnsi="宋体"/>
                <w:color w:val="auto"/>
                <w:highlight w:val="none"/>
                <w:lang w:val="en-US" w:eastAsia="zh-CN"/>
              </w:rPr>
              <w:t>4</w:t>
            </w:r>
            <w:r>
              <w:rPr>
                <w:rFonts w:hint="eastAsia" w:ascii="宋体" w:hAnsi="宋体"/>
                <w:color w:val="auto"/>
                <w:highlight w:val="none"/>
              </w:rPr>
              <w:t>GHz</w:t>
            </w:r>
            <w:r>
              <w:rPr>
                <w:rFonts w:hint="eastAsia" w:ascii="宋体" w:hAnsi="宋体"/>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热设计功耗≤20W</w:t>
            </w:r>
          </w:p>
        </w:tc>
      </w:tr>
      <w:tr w14:paraId="36C9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443AA959">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★内存</w:t>
            </w:r>
            <w:r>
              <w:rPr>
                <w:rFonts w:hint="eastAsia" w:ascii="宋体" w:hAnsi="宋体" w:cs="宋体"/>
                <w:i w:val="0"/>
                <w:iCs w:val="0"/>
                <w:color w:val="auto"/>
                <w:kern w:val="0"/>
                <w:sz w:val="21"/>
                <w:szCs w:val="21"/>
                <w:highlight w:val="none"/>
                <w:u w:val="none"/>
                <w:lang w:val="en-US" w:eastAsia="zh-CN" w:bidi="ar"/>
              </w:rPr>
              <w:t>信息</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2BFA4A3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≥16GB，内存类型DDR5或LPDDR5以上</w:t>
            </w:r>
          </w:p>
        </w:tc>
      </w:tr>
      <w:tr w14:paraId="0BE4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6D85944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内存配置</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60D86B2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内存读写速率≥6400MT/s</w:t>
            </w:r>
          </w:p>
        </w:tc>
      </w:tr>
      <w:tr w14:paraId="5520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15ACB49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★硬盘信息</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77DE76A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固态硬盘≥1个，固态硬盘容量≥256GB；机械硬盘≥1个，机械硬盘容量≥1TB</w:t>
            </w:r>
          </w:p>
        </w:tc>
      </w:tr>
      <w:tr w14:paraId="6910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24B7445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显卡信息</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5916CC1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集成显卡或独立显卡</w:t>
            </w:r>
          </w:p>
        </w:tc>
      </w:tr>
      <w:tr w14:paraId="0704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4C9E576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▲显卡配置</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74B6677B">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VGA接口≥1个，HDMI</w:t>
            </w:r>
            <w:r>
              <w:rPr>
                <w:rFonts w:hint="eastAsia" w:ascii="宋体" w:hAnsi="Calibri" w:eastAsia="宋体" w:cs="宋体"/>
                <w:color w:val="auto"/>
                <w:kern w:val="2"/>
                <w:sz w:val="21"/>
                <w:szCs w:val="21"/>
                <w:highlight w:val="none"/>
                <w:lang w:val="en-US" w:eastAsia="zh-CN" w:bidi="ar"/>
              </w:rPr>
              <w:t>接口</w:t>
            </w:r>
            <w:r>
              <w:rPr>
                <w:rFonts w:hint="eastAsia" w:ascii="宋体" w:hAnsi="宋体" w:eastAsia="宋体" w:cs="宋体"/>
                <w:i w:val="0"/>
                <w:iCs w:val="0"/>
                <w:color w:val="auto"/>
                <w:kern w:val="0"/>
                <w:sz w:val="21"/>
                <w:szCs w:val="21"/>
                <w:highlight w:val="none"/>
                <w:u w:val="none"/>
                <w:lang w:val="en-US" w:eastAsia="zh-CN" w:bidi="ar"/>
              </w:rPr>
              <w:t>≥1个，显卡接口能与显示器接口相匹配（提供对应显示器连接线）</w:t>
            </w:r>
          </w:p>
        </w:tc>
      </w:tr>
      <w:tr w14:paraId="4309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1913B48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▲电源功率</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14109C6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w:t>
            </w:r>
          </w:p>
        </w:tc>
      </w:tr>
      <w:tr w14:paraId="39EA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375AF19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机箱尺寸容量</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2AFCABF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机箱体积≤10L（提供设备样图佐证），整机具备防尘设计，防尘等级不低于IP5x标准</w:t>
            </w:r>
          </w:p>
        </w:tc>
      </w:tr>
      <w:tr w14:paraId="247E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764C579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有线网卡</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6C9D387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≥1个RJ45网线</w:t>
            </w:r>
            <w:r>
              <w:rPr>
                <w:rFonts w:hint="eastAsia" w:ascii="宋体" w:hAnsi="Calibri" w:eastAsia="宋体" w:cs="宋体"/>
                <w:color w:val="auto"/>
                <w:kern w:val="2"/>
                <w:sz w:val="21"/>
                <w:szCs w:val="21"/>
                <w:highlight w:val="none"/>
                <w:lang w:val="en-US" w:eastAsia="zh-CN" w:bidi="ar"/>
              </w:rPr>
              <w:t>接口</w:t>
            </w:r>
            <w:r>
              <w:rPr>
                <w:rFonts w:hint="eastAsia" w:ascii="宋体" w:hAnsi="宋体" w:eastAsia="宋体" w:cs="宋体"/>
                <w:i w:val="0"/>
                <w:iCs w:val="0"/>
                <w:color w:val="auto"/>
                <w:kern w:val="0"/>
                <w:sz w:val="21"/>
                <w:szCs w:val="21"/>
                <w:highlight w:val="none"/>
                <w:u w:val="none"/>
                <w:lang w:val="en-US" w:eastAsia="zh-CN" w:bidi="ar"/>
              </w:rPr>
              <w:t>，支持10/100/1000Mbps自适应</w:t>
            </w:r>
          </w:p>
        </w:tc>
      </w:tr>
      <w:tr w14:paraId="5E49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0650F93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▲USB接口数量</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3CF5659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≥8个USB接口（至少包含1个Type-C，提供接口样图佐证），原生USB3.0及以上接口≥6个</w:t>
            </w:r>
          </w:p>
        </w:tc>
      </w:tr>
      <w:tr w14:paraId="241C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68B830A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▲强制认证</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6206A78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提供CCC、中国节能认证、中国环境标志产品认证证书</w:t>
            </w:r>
          </w:p>
        </w:tc>
      </w:tr>
      <w:tr w14:paraId="021C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71E348A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国产化率</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248859F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产品元器件国产化率≥98%（需提供证书+检测报告）</w:t>
            </w:r>
          </w:p>
        </w:tc>
      </w:tr>
      <w:tr w14:paraId="177F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3C05350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MTBF平均故障间隔时间</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5BB2AD2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所投产品平均无故障工作时间</w:t>
            </w:r>
            <w:r>
              <w:rPr>
                <w:rFonts w:hint="default" w:ascii="Times New Roman" w:hAnsi="Times New Roman" w:eastAsia="宋体" w:cs="Times New Roman"/>
                <w:i w:val="0"/>
                <w:iCs w:val="0"/>
                <w:color w:val="auto"/>
                <w:kern w:val="0"/>
                <w:sz w:val="21"/>
                <w:szCs w:val="21"/>
                <w:highlight w:val="none"/>
                <w:u w:val="none"/>
                <w:lang w:val="en-US" w:eastAsia="zh-CN" w:bidi="ar"/>
              </w:rPr>
              <w:t>(MTBF)</w:t>
            </w:r>
            <w:r>
              <w:rPr>
                <w:rFonts w:hint="eastAsia" w:ascii="宋体" w:hAnsi="宋体" w:eastAsia="宋体" w:cs="宋体"/>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万小时（提供证书）</w:t>
            </w:r>
          </w:p>
        </w:tc>
      </w:tr>
      <w:tr w14:paraId="06DA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3973137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▲可靠性认证</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327F0C21">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Times New Roman" w:hAnsi="Times New Roman" w:eastAsia="宋体" w:cs="Times New Roman"/>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项军规认证（提供证书）</w:t>
            </w:r>
          </w:p>
        </w:tc>
      </w:tr>
      <w:tr w14:paraId="1E89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36F7AF9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▲信息安全级认证</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40159F8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增强级（提供证书）</w:t>
            </w:r>
          </w:p>
        </w:tc>
      </w:tr>
      <w:tr w14:paraId="1FA0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2F634B4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★操作系统</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49BED0E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预装统信国产操作系统，永久授权及三年服务支持</w:t>
            </w:r>
          </w:p>
        </w:tc>
      </w:tr>
      <w:tr w14:paraId="42C5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004957B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★办公软件</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081F9B2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在国产操作系统上运行的正版WPS国产化办公软件产品，包含文字处理、表格计算、幻灯片演示三个组件；永久授权及</w:t>
            </w:r>
            <w:r>
              <w:rPr>
                <w:rFonts w:hint="eastAsia" w:ascii="宋体" w:hAnsi="宋体" w:cs="宋体"/>
                <w:i w:val="0"/>
                <w:iCs w:val="0"/>
                <w:color w:val="auto"/>
                <w:kern w:val="0"/>
                <w:sz w:val="21"/>
                <w:szCs w:val="21"/>
                <w:highlight w:val="none"/>
                <w:u w:val="none"/>
                <w:lang w:val="en-US" w:eastAsia="zh-CN" w:bidi="ar"/>
              </w:rPr>
              <w:t>一</w:t>
            </w:r>
            <w:r>
              <w:rPr>
                <w:rFonts w:hint="eastAsia" w:ascii="宋体" w:hAnsi="宋体" w:eastAsia="宋体" w:cs="宋体"/>
                <w:i w:val="0"/>
                <w:iCs w:val="0"/>
                <w:color w:val="auto"/>
                <w:kern w:val="0"/>
                <w:sz w:val="21"/>
                <w:szCs w:val="21"/>
                <w:highlight w:val="none"/>
                <w:u w:val="none"/>
                <w:lang w:val="en-US" w:eastAsia="zh-CN" w:bidi="ar"/>
              </w:rPr>
              <w:t>年升级服务</w:t>
            </w:r>
          </w:p>
        </w:tc>
      </w:tr>
      <w:tr w14:paraId="54E6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948" w:type="dxa"/>
            <w:tcBorders>
              <w:top w:val="single" w:color="000000" w:sz="8" w:space="0"/>
              <w:left w:val="single" w:color="000000" w:sz="8" w:space="0"/>
              <w:bottom w:val="single" w:color="000000" w:sz="8" w:space="0"/>
              <w:right w:val="single" w:color="000000" w:sz="8" w:space="0"/>
            </w:tcBorders>
            <w:noWrap w:val="0"/>
            <w:vAlign w:val="center"/>
          </w:tcPr>
          <w:p w14:paraId="71823E9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★服务及承诺</w:t>
            </w:r>
          </w:p>
        </w:tc>
        <w:tc>
          <w:tcPr>
            <w:tcW w:w="7622" w:type="dxa"/>
            <w:tcBorders>
              <w:top w:val="single" w:color="000000" w:sz="8" w:space="0"/>
              <w:left w:val="single" w:color="000000" w:sz="8" w:space="0"/>
              <w:bottom w:val="single" w:color="000000" w:sz="8" w:space="0"/>
              <w:right w:val="single" w:color="000000" w:sz="8" w:space="0"/>
            </w:tcBorders>
            <w:noWrap w:val="0"/>
            <w:vAlign w:val="center"/>
          </w:tcPr>
          <w:p w14:paraId="151940F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投标人投标时须承诺本次投标产品由原厂提供的质保期不少于3年（由中标方提供质保服务，不得转派他人，包括但不限于硬件质保、软件维护升级、产品运维等），时间自安装调试完毕、验收合格之日起计算。</w:t>
            </w:r>
          </w:p>
          <w:p w14:paraId="22A8729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标人中标后20个工作日内（合同签订前）须提供本次投标所有产品的生产厂家针对本次项目的原厂授权书、质保函、软件原厂免费升级承诺函的原件并加盖原厂商公章，质保及升级时间自该批次产品到货验收通过之日开始计算（投标人投标时须提供承诺），若逾期未提供的，取消中标资格。</w:t>
            </w:r>
          </w:p>
        </w:tc>
      </w:tr>
    </w:tbl>
    <w:p w14:paraId="42D3D905">
      <w:pPr>
        <w:keepNext/>
        <w:keepLines/>
        <w:spacing w:line="360" w:lineRule="auto"/>
        <w:outlineLvl w:val="1"/>
        <w:rPr>
          <w:rFonts w:hint="eastAsia" w:ascii="宋体" w:hAnsi="宋体" w:eastAsia="宋体" w:cs="宋体"/>
          <w:b/>
          <w:bCs/>
          <w:color w:val="auto"/>
          <w:spacing w:val="14"/>
          <w:kern w:val="24"/>
          <w:sz w:val="21"/>
          <w:szCs w:val="21"/>
          <w:highlight w:val="none"/>
        </w:rPr>
      </w:pPr>
      <w:bookmarkStart w:id="36" w:name="_Toc22312"/>
      <w:r>
        <w:rPr>
          <w:rFonts w:hint="eastAsia" w:ascii="宋体" w:hAnsi="宋体" w:eastAsia="宋体" w:cs="宋体"/>
          <w:b/>
          <w:bCs/>
          <w:color w:val="auto"/>
          <w:spacing w:val="14"/>
          <w:kern w:val="24"/>
          <w:sz w:val="21"/>
          <w:szCs w:val="21"/>
          <w:highlight w:val="none"/>
        </w:rPr>
        <w:t>二、设备的测试和试运行</w:t>
      </w:r>
      <w:bookmarkEnd w:id="36"/>
    </w:p>
    <w:p w14:paraId="46BA033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工具、材料、设备和劳务人员：投标人应派有五年以上工作经验的工程师在现场负责测试和调试，以检测其设计、制造、运行效果等。并提供所有测试和调试所需的工具、材料、设备和劳务人员。</w:t>
      </w:r>
    </w:p>
    <w:p w14:paraId="4CC8BAA5">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Times New Roman" w:hAnsi="Times New Roman" w:eastAsia="宋体" w:cs="宋体"/>
          <w:b w:val="0"/>
          <w:bCs w:val="0"/>
          <w:color w:val="auto"/>
          <w:kern w:val="0"/>
          <w:sz w:val="21"/>
          <w:szCs w:val="21"/>
          <w:highlight w:val="none"/>
          <w:lang w:val="en-US" w:eastAsia="zh-CN" w:bidi="ar"/>
        </w:rPr>
        <w:t>对</w:t>
      </w:r>
      <w:r>
        <w:rPr>
          <w:rFonts w:hint="eastAsia" w:ascii="宋体" w:hAnsi="宋体" w:eastAsia="宋体" w:cs="宋体"/>
          <w:color w:val="auto"/>
          <w:kern w:val="0"/>
          <w:sz w:val="21"/>
          <w:szCs w:val="21"/>
          <w:highlight w:val="none"/>
          <w:lang w:val="en-US" w:eastAsia="zh-CN" w:bidi="ar"/>
        </w:rPr>
        <w:t>招标文件中要求提供的产品证书、截图等资料，中标人应在合同签订前提供复印件并加盖原厂公章进行佐证。</w:t>
      </w:r>
    </w:p>
    <w:p w14:paraId="68F706A1">
      <w:pPr>
        <w:keepNext/>
        <w:keepLines/>
        <w:spacing w:line="360" w:lineRule="auto"/>
        <w:outlineLvl w:val="1"/>
        <w:rPr>
          <w:rFonts w:hint="eastAsia" w:ascii="宋体" w:hAnsi="宋体" w:eastAsia="宋体" w:cs="宋体"/>
          <w:b/>
          <w:bCs/>
          <w:color w:val="auto"/>
          <w:spacing w:val="14"/>
          <w:kern w:val="24"/>
          <w:sz w:val="21"/>
          <w:szCs w:val="21"/>
          <w:highlight w:val="none"/>
        </w:rPr>
      </w:pPr>
      <w:bookmarkStart w:id="37" w:name="_Toc17074"/>
      <w:r>
        <w:rPr>
          <w:rFonts w:hint="eastAsia" w:ascii="宋体" w:hAnsi="宋体" w:eastAsia="宋体" w:cs="宋体"/>
          <w:b/>
          <w:bCs/>
          <w:color w:val="auto"/>
          <w:spacing w:val="14"/>
          <w:kern w:val="24"/>
          <w:sz w:val="21"/>
          <w:szCs w:val="21"/>
          <w:highlight w:val="none"/>
        </w:rPr>
        <w:t>三、商务要求</w:t>
      </w:r>
      <w:bookmarkEnd w:id="37"/>
    </w:p>
    <w:p w14:paraId="3451E937">
      <w:pPr>
        <w:keepNext/>
        <w:keepLines/>
        <w:numPr>
          <w:ilvl w:val="0"/>
          <w:numId w:val="0"/>
        </w:numPr>
        <w:spacing w:line="360" w:lineRule="auto"/>
        <w:ind w:firstLine="476" w:firstLineChars="200"/>
        <w:outlineLvl w:val="1"/>
        <w:rPr>
          <w:rFonts w:hint="eastAsia" w:ascii="宋体" w:hAnsi="宋体" w:eastAsia="宋体" w:cs="宋体"/>
          <w:b w:val="0"/>
          <w:bCs w:val="0"/>
          <w:color w:val="auto"/>
          <w:spacing w:val="14"/>
          <w:kern w:val="24"/>
          <w:sz w:val="21"/>
          <w:szCs w:val="21"/>
          <w:highlight w:val="none"/>
        </w:rPr>
      </w:pPr>
      <w:bookmarkStart w:id="38" w:name="_Toc3059"/>
      <w:r>
        <w:rPr>
          <w:rFonts w:hint="eastAsia" w:ascii="宋体" w:hAnsi="宋体" w:eastAsia="宋体" w:cs="宋体"/>
          <w:b w:val="0"/>
          <w:bCs w:val="0"/>
          <w:color w:val="auto"/>
          <w:spacing w:val="14"/>
          <w:kern w:val="24"/>
          <w:sz w:val="21"/>
          <w:szCs w:val="21"/>
          <w:highlight w:val="none"/>
          <w:lang w:val="en-US" w:eastAsia="zh-CN" w:bidi="ar-SA"/>
        </w:rPr>
        <w:t>（一）</w:t>
      </w:r>
      <w:r>
        <w:rPr>
          <w:rFonts w:hint="eastAsia" w:ascii="宋体" w:hAnsi="宋体" w:eastAsia="宋体" w:cs="宋体"/>
          <w:b w:val="0"/>
          <w:bCs w:val="0"/>
          <w:color w:val="auto"/>
          <w:spacing w:val="14"/>
          <w:kern w:val="24"/>
          <w:sz w:val="21"/>
          <w:szCs w:val="21"/>
          <w:highlight w:val="none"/>
        </w:rPr>
        <w:t>投标报价要求</w:t>
      </w:r>
      <w:bookmarkEnd w:id="38"/>
    </w:p>
    <w:p w14:paraId="0DA990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1.1</w:t>
      </w:r>
      <w:r>
        <w:rPr>
          <w:rFonts w:hint="eastAsia" w:ascii="宋体" w:hAnsi="宋体" w:eastAsia="宋体" w:cs="宋体"/>
          <w:color w:val="auto"/>
          <w:sz w:val="21"/>
          <w:szCs w:val="21"/>
          <w:highlight w:val="none"/>
        </w:rPr>
        <w:t>投标人所投报的投标报价为投标人所能承受的整个项目的一次性最终最低报价，包括产品购置费、运输费、装卸费、安装费、培训费、管理费、税金、相关劳务支出等完成本项目的其它费用和政策性文件规定及合同包含的所有风险、责任等各项应有费用，如有漏项，视同已包含在其它项目中，合同总价和单价不做调整。</w:t>
      </w:r>
    </w:p>
    <w:p w14:paraId="340C1C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投标方须在《开标一览表》上写明投标货物的单价和投标总价。如果大写金额和小写金额不一致的，以大写金额为准；单价金额小数点或者百分比有明显错位的，以《开标一览表》的总价为准，并修改单价；总价金额与按单价汇总金额不一致的，以单价金额计算结果为准。</w:t>
      </w:r>
    </w:p>
    <w:p w14:paraId="0B7BDC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1.3采购人不接受低于成本的投标报价。</w:t>
      </w:r>
    </w:p>
    <w:p w14:paraId="227DF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1.4投标人按照上述要求编制投标报价。一旦确认某一投标人中标，除合同规定的可调整内容外，中标人不得要求追加任何费用。</w:t>
      </w:r>
    </w:p>
    <w:p w14:paraId="203F6B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1.5须由中标单位开具正式发票。</w:t>
      </w:r>
    </w:p>
    <w:p w14:paraId="4B1ADA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1.6招标文件中规定由投标单位承担并支付的相关费用在投标报价时应一并考虑。</w:t>
      </w:r>
    </w:p>
    <w:p w14:paraId="4E6021FD">
      <w:pPr>
        <w:keepNext/>
        <w:keepLines/>
        <w:numPr>
          <w:ilvl w:val="0"/>
          <w:numId w:val="0"/>
        </w:numPr>
        <w:spacing w:line="360" w:lineRule="auto"/>
        <w:ind w:firstLine="476" w:firstLineChars="200"/>
        <w:outlineLvl w:val="1"/>
        <w:rPr>
          <w:rFonts w:hint="eastAsia" w:ascii="宋体" w:hAnsi="宋体" w:eastAsia="宋体" w:cs="宋体"/>
          <w:b w:val="0"/>
          <w:bCs w:val="0"/>
          <w:color w:val="auto"/>
          <w:spacing w:val="14"/>
          <w:kern w:val="24"/>
          <w:sz w:val="21"/>
          <w:szCs w:val="21"/>
          <w:highlight w:val="none"/>
        </w:rPr>
      </w:pPr>
      <w:bookmarkStart w:id="39" w:name="_Toc16577"/>
      <w:r>
        <w:rPr>
          <w:rFonts w:hint="eastAsia" w:ascii="宋体" w:hAnsi="宋体" w:eastAsia="宋体" w:cs="宋体"/>
          <w:b w:val="0"/>
          <w:bCs w:val="0"/>
          <w:color w:val="auto"/>
          <w:spacing w:val="14"/>
          <w:kern w:val="24"/>
          <w:sz w:val="21"/>
          <w:szCs w:val="21"/>
          <w:highlight w:val="none"/>
          <w:lang w:val="en-US" w:eastAsia="zh-CN" w:bidi="ar-SA"/>
        </w:rPr>
        <w:t>（二）</w:t>
      </w:r>
      <w:r>
        <w:rPr>
          <w:rFonts w:hint="eastAsia" w:ascii="宋体" w:hAnsi="宋体" w:eastAsia="宋体" w:cs="宋体"/>
          <w:b w:val="0"/>
          <w:bCs w:val="0"/>
          <w:color w:val="auto"/>
          <w:spacing w:val="14"/>
          <w:kern w:val="24"/>
          <w:sz w:val="21"/>
          <w:szCs w:val="21"/>
          <w:highlight w:val="none"/>
        </w:rPr>
        <w:t>售后服务要求</w:t>
      </w:r>
      <w:bookmarkEnd w:id="39"/>
    </w:p>
    <w:p w14:paraId="7AC5C0FA">
      <w:pPr>
        <w:pStyle w:val="81"/>
        <w:numPr>
          <w:ilvl w:val="1"/>
          <w:numId w:val="0"/>
        </w:numPr>
        <w:spacing w:before="0" w:after="0" w:line="360" w:lineRule="auto"/>
        <w:jc w:val="both"/>
        <w:outlineLvl w:val="9"/>
        <w:rPr>
          <w:rFonts w:hint="default" w:eastAsia="宋体"/>
          <w:color w:val="auto"/>
          <w:highlight w:val="none"/>
          <w:lang w:val="en-US" w:eastAsia="zh-CN"/>
        </w:rPr>
      </w:pPr>
      <w:r>
        <w:rPr>
          <w:rFonts w:hint="eastAsia"/>
          <w:color w:val="auto"/>
          <w:highlight w:val="none"/>
          <w:shd w:val="clear" w:color="auto" w:fill="auto"/>
          <w:lang w:val="en-US" w:eastAsia="zh-CN"/>
        </w:rPr>
        <w:t xml:space="preserve">   </w:t>
      </w:r>
      <w:r>
        <w:rPr>
          <w:rFonts w:hint="eastAsia" w:ascii="宋体" w:hAnsi="宋体" w:eastAsia="宋体" w:cs="宋体"/>
          <w:color w:val="auto"/>
          <w:kern w:val="2"/>
          <w:sz w:val="21"/>
          <w:szCs w:val="21"/>
          <w:highlight w:val="none"/>
          <w:lang w:val="en-US" w:eastAsia="zh-CN" w:bidi="ar-SA"/>
        </w:rPr>
        <w:t xml:space="preserve"> 1.★投标人需承诺投标货物为原厂生产并提供原厂质保，</w:t>
      </w:r>
      <w:r>
        <w:rPr>
          <w:rFonts w:hint="eastAsia" w:ascii="宋体" w:hAnsi="宋体" w:eastAsia="宋体" w:cs="宋体"/>
          <w:i w:val="0"/>
          <w:iCs w:val="0"/>
          <w:color w:val="auto"/>
          <w:kern w:val="0"/>
          <w:sz w:val="21"/>
          <w:szCs w:val="21"/>
          <w:highlight w:val="none"/>
          <w:u w:val="none"/>
          <w:lang w:val="en-US" w:eastAsia="zh-CN" w:bidi="ar"/>
        </w:rPr>
        <w:t>中标后提供</w:t>
      </w:r>
      <w:r>
        <w:rPr>
          <w:rFonts w:hint="eastAsia" w:ascii="宋体" w:hAnsi="宋体" w:eastAsia="宋体" w:cs="宋体"/>
          <w:color w:val="auto"/>
          <w:kern w:val="2"/>
          <w:sz w:val="21"/>
          <w:szCs w:val="21"/>
          <w:highlight w:val="none"/>
          <w:lang w:val="en-US" w:eastAsia="zh-CN" w:bidi="ar-SA"/>
        </w:rPr>
        <w:t>原厂售后服务承诺函并加盖原厂公章，原厂序列号可查询。质保期从安装调试完毕、验收合格之日起计算，除非采购人另有要求，质保期内所有的服务均为免费上门服务。在质保期内，如交付产品故障较多，且具有普遍性，经采购方组织调查论证确认，中标方需无条件延长其质保期一年。</w:t>
      </w:r>
    </w:p>
    <w:p w14:paraId="6001E2B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.投标人应有能力提供24小时的设备维修服务。维修人员接到维修电话后须在2小时内赶到现场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12小时内恢复正常使用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若不能在12小时内解决，须提供同等性能、同等配置的产品替换。</w:t>
      </w:r>
      <w:r>
        <w:rPr>
          <w:rFonts w:hint="eastAsia" w:ascii="宋体" w:hAnsi="宋体" w:eastAsia="宋体" w:cs="宋体"/>
          <w:color w:val="auto"/>
          <w:sz w:val="21"/>
          <w:szCs w:val="21"/>
          <w:highlight w:val="none"/>
        </w:rPr>
        <w:t>维修点需提供足够的备件以适应维修需求。</w:t>
      </w:r>
    </w:p>
    <w:p w14:paraId="5A3194D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2.投标人须自行付费负责修理和更换任何由于设备自身的质量问题造成的损坏部件，并排除故障。</w:t>
      </w:r>
    </w:p>
    <w:p w14:paraId="16BCE1F9">
      <w:pPr>
        <w:pStyle w:val="81"/>
        <w:numPr>
          <w:ilvl w:val="1"/>
          <w:numId w:val="0"/>
        </w:numPr>
        <w:spacing w:before="0" w:after="0" w:line="360" w:lineRule="auto"/>
        <w:ind w:firstLine="420" w:firstLineChars="200"/>
        <w:jc w:val="both"/>
        <w:outlineLvl w:val="9"/>
        <w:rPr>
          <w:rFonts w:hint="default"/>
          <w:color w:val="auto"/>
          <w:highlight w:val="none"/>
          <w:lang w:val="en-US" w:eastAsia="zh-CN"/>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提供电脑终端、</w:t>
      </w:r>
      <w:r>
        <w:rPr>
          <w:rFonts w:hint="eastAsia" w:ascii="宋体" w:hAnsi="宋体" w:eastAsia="宋体" w:cs="宋体"/>
          <w:b w:val="0"/>
          <w:color w:val="auto"/>
          <w:sz w:val="21"/>
          <w:szCs w:val="21"/>
          <w:highlight w:val="none"/>
        </w:rPr>
        <w:t>操作系统</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办公软件上门</w:t>
      </w:r>
      <w:r>
        <w:rPr>
          <w:rFonts w:hint="eastAsia" w:ascii="宋体" w:hAnsi="宋体" w:eastAsia="宋体" w:cs="宋体"/>
          <w:b w:val="0"/>
          <w:color w:val="auto"/>
          <w:sz w:val="21"/>
          <w:szCs w:val="21"/>
          <w:highlight w:val="none"/>
        </w:rPr>
        <w:t>安装及培训等服务。</w:t>
      </w:r>
    </w:p>
    <w:p w14:paraId="651A213B">
      <w:pPr>
        <w:keepNext/>
        <w:keepLines/>
        <w:spacing w:line="360" w:lineRule="auto"/>
        <w:ind w:firstLine="420" w:firstLineChars="200"/>
        <w:outlineLvl w:val="1"/>
        <w:rPr>
          <w:rFonts w:hint="eastAsia" w:ascii="宋体" w:hAnsi="宋体" w:eastAsia="宋体" w:cs="宋体"/>
          <w:bCs/>
          <w:color w:val="auto"/>
          <w:spacing w:val="14"/>
          <w:kern w:val="24"/>
          <w:sz w:val="21"/>
          <w:szCs w:val="21"/>
          <w:highlight w:val="none"/>
        </w:rPr>
      </w:pPr>
      <w:bookmarkStart w:id="40" w:name="_Toc5137"/>
      <w:r>
        <w:rPr>
          <w:rFonts w:hint="eastAsia" w:ascii="宋体" w:hAnsi="宋体" w:eastAsia="宋体" w:cs="宋体"/>
          <w:bCs/>
          <w:color w:val="auto"/>
          <w:sz w:val="21"/>
          <w:szCs w:val="21"/>
          <w:highlight w:val="none"/>
        </w:rPr>
        <w:t>（三）</w:t>
      </w:r>
      <w:r>
        <w:rPr>
          <w:rFonts w:hint="eastAsia" w:ascii="宋体" w:hAnsi="宋体" w:eastAsia="宋体" w:cs="宋体"/>
          <w:bCs/>
          <w:color w:val="auto"/>
          <w:spacing w:val="14"/>
          <w:kern w:val="24"/>
          <w:sz w:val="21"/>
          <w:szCs w:val="21"/>
          <w:highlight w:val="none"/>
        </w:rPr>
        <w:t>工期要求</w:t>
      </w:r>
      <w:bookmarkEnd w:id="40"/>
    </w:p>
    <w:p w14:paraId="2207E5DD">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工期要求：自</w:t>
      </w:r>
      <w:r>
        <w:rPr>
          <w:rFonts w:hint="eastAsia" w:ascii="宋体" w:hAnsi="宋体" w:eastAsia="宋体" w:cs="宋体"/>
          <w:color w:val="auto"/>
          <w:sz w:val="21"/>
          <w:szCs w:val="21"/>
          <w:highlight w:val="none"/>
          <w:lang w:val="en-US" w:eastAsia="zh-CN"/>
        </w:rPr>
        <w:t>合同签订</w:t>
      </w:r>
      <w:r>
        <w:rPr>
          <w:rFonts w:hint="eastAsia" w:ascii="宋体" w:hAnsi="宋体" w:eastAsia="宋体" w:cs="宋体"/>
          <w:color w:val="auto"/>
          <w:sz w:val="21"/>
          <w:szCs w:val="21"/>
          <w:highlight w:val="none"/>
        </w:rPr>
        <w:t>之日起30日历天内完成安装、调试、验收。</w:t>
      </w:r>
    </w:p>
    <w:p w14:paraId="2794C8BB">
      <w:pPr>
        <w:keepNext/>
        <w:keepLines/>
        <w:spacing w:line="360" w:lineRule="auto"/>
        <w:ind w:firstLine="420" w:firstLineChars="200"/>
        <w:outlineLvl w:val="1"/>
        <w:rPr>
          <w:rFonts w:hint="eastAsia" w:ascii="宋体" w:hAnsi="宋体" w:eastAsia="宋体" w:cs="宋体"/>
          <w:bCs/>
          <w:color w:val="auto"/>
          <w:sz w:val="21"/>
          <w:szCs w:val="21"/>
          <w:highlight w:val="none"/>
        </w:rPr>
      </w:pPr>
      <w:bookmarkStart w:id="41" w:name="_Toc6820"/>
      <w:r>
        <w:rPr>
          <w:rFonts w:hint="eastAsia" w:ascii="宋体" w:hAnsi="宋体" w:eastAsia="宋体" w:cs="宋体"/>
          <w:bCs/>
          <w:color w:val="auto"/>
          <w:sz w:val="21"/>
          <w:szCs w:val="21"/>
          <w:highlight w:val="none"/>
        </w:rPr>
        <w:t>（四）验收标准</w:t>
      </w:r>
      <w:bookmarkEnd w:id="41"/>
    </w:p>
    <w:p w14:paraId="5898722B">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w:t>
      </w:r>
      <w:r>
        <w:rPr>
          <w:rFonts w:hint="eastAsia" w:ascii="宋体" w:hAnsi="宋体" w:eastAsia="宋体" w:cs="宋体"/>
          <w:color w:val="auto"/>
          <w:sz w:val="21"/>
          <w:szCs w:val="21"/>
          <w:highlight w:val="none"/>
        </w:rPr>
        <w:t>验收产生的费用由中标方承担。同时，投标方应在投标文件中提供设备的验收标准、检测方法，验收标准应符合国家有关相应的规定和标准。</w:t>
      </w:r>
    </w:p>
    <w:p w14:paraId="2F5B1A68">
      <w:pPr>
        <w:keepNext/>
        <w:keepLines/>
        <w:spacing w:line="360" w:lineRule="auto"/>
        <w:ind w:firstLine="420" w:firstLineChars="200"/>
        <w:outlineLvl w:val="1"/>
        <w:rPr>
          <w:rFonts w:hint="eastAsia" w:ascii="宋体" w:hAnsi="宋体" w:eastAsia="宋体" w:cs="宋体"/>
          <w:bCs/>
          <w:color w:val="auto"/>
          <w:sz w:val="21"/>
          <w:szCs w:val="21"/>
          <w:highlight w:val="none"/>
        </w:rPr>
      </w:pPr>
      <w:bookmarkStart w:id="42" w:name="_Toc17490"/>
      <w:r>
        <w:rPr>
          <w:rFonts w:hint="eastAsia" w:ascii="宋体" w:hAnsi="宋体" w:eastAsia="宋体" w:cs="宋体"/>
          <w:bCs/>
          <w:color w:val="auto"/>
          <w:sz w:val="21"/>
          <w:szCs w:val="21"/>
          <w:highlight w:val="none"/>
        </w:rPr>
        <w:t>（五）付款方式</w:t>
      </w:r>
      <w:bookmarkEnd w:id="42"/>
    </w:p>
    <w:p w14:paraId="1B373C5F">
      <w:pPr>
        <w:pStyle w:val="36"/>
        <w:tabs>
          <w:tab w:val="left" w:pos="0"/>
          <w:tab w:val="left" w:pos="993"/>
          <w:tab w:val="left" w:pos="1134"/>
        </w:tabs>
        <w:spacing w:line="360" w:lineRule="auto"/>
        <w:ind w:left="0" w:leftChars="0" w:firstLine="420" w:firstLineChars="200"/>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val="0"/>
          <w:bCs w:val="0"/>
          <w:color w:val="auto"/>
          <w:kern w:val="2"/>
          <w:sz w:val="21"/>
          <w:szCs w:val="21"/>
          <w:highlight w:val="none"/>
          <w:shd w:val="clear" w:color="auto" w:fill="auto"/>
          <w:lang w:val="en-US" w:eastAsia="zh-CN" w:bidi="ar-SA"/>
        </w:rPr>
        <w:t>1.招标结束后，交旅集团本级及各子公司各自与中标人签订合同，费用根据合同各自按实结算。合同签订后，全部货物送达指定地点安装完毕验收合格后付至合同总价的95%，交旅集团本级及各子公司各自验收确认，中标方须开具增值税专用发票，交旅集团本级及各子公司自验收合格后收到增值税专用发票之日起30日内付至结算总价的【95%】，余款【5%】（扣除质保期内发生的赔偿金、违约金以及需方垫付的维修费等）在货物质保期满、经需方确认产品无质量问题或发生的质量问题已经得到妥善解决后30日内付清（不计息）。</w:t>
      </w:r>
    </w:p>
    <w:p w14:paraId="1A311550">
      <w:pPr>
        <w:pStyle w:val="36"/>
        <w:tabs>
          <w:tab w:val="left" w:pos="0"/>
          <w:tab w:val="left" w:pos="993"/>
          <w:tab w:val="left" w:pos="1134"/>
        </w:tabs>
        <w:spacing w:line="360" w:lineRule="auto"/>
        <w:ind w:left="0" w:leftChars="0" w:firstLine="420" w:firstLineChars="200"/>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val="0"/>
          <w:bCs w:val="0"/>
          <w:color w:val="auto"/>
          <w:kern w:val="2"/>
          <w:sz w:val="21"/>
          <w:szCs w:val="21"/>
          <w:highlight w:val="none"/>
          <w:shd w:val="clear" w:color="auto" w:fill="auto"/>
          <w:lang w:val="en-US" w:eastAsia="zh-CN" w:bidi="ar-SA"/>
        </w:rPr>
        <w:t>2.中标方根据实际使用量供货，合同的最终结算金额按实际使用量乘以中标单价进行计算。</w:t>
      </w:r>
    </w:p>
    <w:p w14:paraId="66D62663">
      <w:pPr>
        <w:pStyle w:val="36"/>
        <w:tabs>
          <w:tab w:val="left" w:pos="0"/>
          <w:tab w:val="left" w:pos="993"/>
          <w:tab w:val="left" w:pos="1134"/>
        </w:tabs>
        <w:spacing w:line="360" w:lineRule="auto"/>
        <w:ind w:left="0" w:leftChars="0" w:firstLine="420" w:firstLineChars="200"/>
        <w:rPr>
          <w:rFonts w:hint="eastAsia" w:ascii="宋体" w:hAnsi="宋体" w:eastAsia="宋体" w:cs="宋体"/>
          <w:b w:val="0"/>
          <w:bCs w:val="0"/>
          <w:color w:val="auto"/>
          <w:kern w:val="2"/>
          <w:sz w:val="21"/>
          <w:szCs w:val="21"/>
          <w:highlight w:val="none"/>
          <w:shd w:val="clear" w:color="auto" w:fill="auto"/>
          <w:lang w:val="en-US" w:eastAsia="zh-CN" w:bidi="ar-SA"/>
        </w:rPr>
      </w:pPr>
      <w:bookmarkStart w:id="43" w:name="_Toc2364"/>
      <w:r>
        <w:rPr>
          <w:rFonts w:hint="eastAsia" w:ascii="宋体" w:hAnsi="宋体" w:eastAsia="宋体" w:cs="宋体"/>
          <w:b w:val="0"/>
          <w:bCs w:val="0"/>
          <w:color w:val="auto"/>
          <w:kern w:val="2"/>
          <w:sz w:val="21"/>
          <w:szCs w:val="21"/>
          <w:highlight w:val="none"/>
          <w:shd w:val="clear" w:color="auto" w:fill="auto"/>
          <w:lang w:val="en-US" w:eastAsia="zh-CN" w:bidi="ar-SA"/>
        </w:rPr>
        <w:t>3.中标单位需提供13%的增值税专用发票。</w:t>
      </w:r>
      <w:bookmarkEnd w:id="43"/>
    </w:p>
    <w:p w14:paraId="1A264732">
      <w:pPr>
        <w:keepNext/>
        <w:keepLines/>
        <w:spacing w:line="360" w:lineRule="auto"/>
        <w:ind w:firstLine="420" w:firstLineChars="200"/>
        <w:outlineLvl w:val="1"/>
        <w:rPr>
          <w:rFonts w:hint="eastAsia" w:ascii="宋体" w:hAnsi="宋体" w:eastAsia="宋体" w:cs="宋体"/>
          <w:bCs/>
          <w:color w:val="auto"/>
          <w:sz w:val="21"/>
          <w:szCs w:val="21"/>
          <w:highlight w:val="none"/>
        </w:rPr>
      </w:pPr>
      <w:bookmarkStart w:id="44" w:name="_Toc4676"/>
      <w:bookmarkStart w:id="45" w:name="_Toc29919"/>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六</w:t>
      </w:r>
      <w:r>
        <w:rPr>
          <w:rFonts w:hint="eastAsia" w:ascii="宋体" w:hAnsi="宋体" w:eastAsia="宋体" w:cs="宋体"/>
          <w:bCs/>
          <w:color w:val="auto"/>
          <w:sz w:val="21"/>
          <w:szCs w:val="21"/>
          <w:highlight w:val="none"/>
        </w:rPr>
        <w:t>）、其他</w:t>
      </w:r>
      <w:bookmarkEnd w:id="44"/>
      <w:bookmarkEnd w:id="45"/>
    </w:p>
    <w:p w14:paraId="462540E2">
      <w:pPr>
        <w:ind w:firstLine="420" w:firstLineChars="200"/>
        <w:jc w:val="both"/>
        <w:rPr>
          <w:rFonts w:hint="eastAsia" w:hAnsi="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.中标单位在签订合同时，若坚持提出附加条件或不合理要求，中标资格将被取消。</w:t>
      </w:r>
    </w:p>
    <w:p w14:paraId="0A23E2C4">
      <w:pPr>
        <w:bidi w:val="0"/>
        <w:rPr>
          <w:rFonts w:hint="eastAsia"/>
          <w:color w:val="auto"/>
          <w:highlight w:val="none"/>
        </w:rPr>
      </w:pPr>
    </w:p>
    <w:bookmarkEnd w:id="34"/>
    <w:p w14:paraId="5EDE6D62">
      <w:pPr>
        <w:pStyle w:val="2"/>
        <w:jc w:val="center"/>
        <w:rPr>
          <w:rFonts w:hint="eastAsia"/>
          <w:color w:val="auto"/>
          <w:sz w:val="36"/>
          <w:highlight w:val="none"/>
        </w:rPr>
      </w:pPr>
      <w:r>
        <w:rPr>
          <w:rFonts w:hint="eastAsia"/>
          <w:color w:val="auto"/>
          <w:highlight w:val="none"/>
        </w:rPr>
        <w:br w:type="page"/>
      </w:r>
      <w:bookmarkStart w:id="46" w:name="_Toc19993"/>
      <w:r>
        <w:rPr>
          <w:rFonts w:hint="eastAsia"/>
          <w:color w:val="auto"/>
          <w:sz w:val="36"/>
          <w:highlight w:val="none"/>
        </w:rPr>
        <w:t>第四章  开标、评标和定标须知</w:t>
      </w:r>
      <w:bookmarkEnd w:id="35"/>
      <w:bookmarkEnd w:id="46"/>
    </w:p>
    <w:p w14:paraId="2E37BA72">
      <w:pPr>
        <w:pStyle w:val="3"/>
        <w:spacing w:before="0" w:after="0" w:line="360" w:lineRule="auto"/>
        <w:rPr>
          <w:rFonts w:hint="eastAsia" w:ascii="宋体" w:hAnsi="宋体" w:eastAsia="宋体" w:cs="宋体"/>
          <w:color w:val="auto"/>
          <w:sz w:val="21"/>
          <w:szCs w:val="21"/>
          <w:highlight w:val="none"/>
        </w:rPr>
      </w:pPr>
      <w:bookmarkStart w:id="47" w:name="_Toc406413937"/>
      <w:bookmarkStart w:id="48" w:name="_Toc22509"/>
      <w:bookmarkStart w:id="49" w:name="_Toc22687"/>
      <w:bookmarkStart w:id="50" w:name="_Toc226973002"/>
      <w:bookmarkStart w:id="51" w:name="_Toc20175"/>
      <w:bookmarkStart w:id="52" w:name="_Toc263090375"/>
      <w:bookmarkStart w:id="53" w:name="_Toc362250705"/>
      <w:bookmarkStart w:id="54" w:name="_Toc274303253"/>
      <w:bookmarkStart w:id="55" w:name="_Toc27000"/>
      <w:bookmarkStart w:id="56" w:name="_Toc261519847"/>
      <w:r>
        <w:rPr>
          <w:rFonts w:hint="eastAsia" w:ascii="宋体" w:hAnsi="宋体" w:eastAsia="宋体" w:cs="宋体"/>
          <w:color w:val="auto"/>
          <w:sz w:val="21"/>
          <w:szCs w:val="21"/>
          <w:highlight w:val="none"/>
        </w:rPr>
        <w:t>一、开标</w:t>
      </w:r>
      <w:bookmarkEnd w:id="47"/>
      <w:bookmarkEnd w:id="48"/>
      <w:bookmarkEnd w:id="49"/>
    </w:p>
    <w:p w14:paraId="77D60E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1.本项目实行电子开评标，投标人无需前往开评标现场，应在规定时间内在“义乌市阳光招标采购平台”上上传电子投标文件和准时在线参加开标。</w:t>
      </w:r>
    </w:p>
    <w:p w14:paraId="39EEAC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68F62C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49EB8B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311047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08C38D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4A854D02">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479B9A83">
      <w:pPr>
        <w:pStyle w:val="3"/>
        <w:spacing w:before="120" w:after="120" w:line="360" w:lineRule="auto"/>
        <w:rPr>
          <w:rFonts w:hint="eastAsia" w:ascii="宋体" w:hAnsi="宋体" w:eastAsia="宋体" w:cs="宋体"/>
          <w:color w:val="auto"/>
          <w:sz w:val="21"/>
          <w:szCs w:val="21"/>
          <w:highlight w:val="none"/>
        </w:rPr>
      </w:pPr>
      <w:bookmarkStart w:id="57" w:name="_Toc23047"/>
      <w:r>
        <w:rPr>
          <w:rFonts w:hint="eastAsia" w:ascii="宋体" w:hAnsi="宋体" w:eastAsia="宋体" w:cs="宋体"/>
          <w:color w:val="auto"/>
          <w:sz w:val="21"/>
          <w:szCs w:val="21"/>
          <w:highlight w:val="none"/>
        </w:rPr>
        <w:t>二、评标</w:t>
      </w:r>
      <w:bookmarkEnd w:id="50"/>
      <w:bookmarkEnd w:id="51"/>
      <w:bookmarkEnd w:id="52"/>
      <w:bookmarkEnd w:id="53"/>
      <w:bookmarkEnd w:id="54"/>
      <w:bookmarkEnd w:id="55"/>
      <w:bookmarkEnd w:id="56"/>
      <w:bookmarkEnd w:id="57"/>
    </w:p>
    <w:p w14:paraId="60066652">
      <w:pP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3.评标小组</w:t>
      </w:r>
    </w:p>
    <w:p w14:paraId="46177A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评标小组将根据招标采购项目的特点确定。其成员由专家和采购人代表5人及以上单数组成。评标小组对投标文件进行审查、质疑、评估和比较。</w:t>
      </w:r>
    </w:p>
    <w:p w14:paraId="43D4D0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3.2 评审过程中招标代理人员通过“义乌市阳光招标采购平台”在线询标方式进行询标的，投标单位应在30分钟内予以回应，否则后果自负。</w:t>
      </w:r>
    </w:p>
    <w:p w14:paraId="145A51D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4.评标原则</w:t>
      </w:r>
    </w:p>
    <w:p w14:paraId="4DFA1D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4.1评标小组将遵循公开、公平、公正的原则，严格遵守评标工作纪律。</w:t>
      </w:r>
    </w:p>
    <w:p w14:paraId="25847816">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08DC4F42">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638E3C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4.4有利于提高投资效益，节约建设资金。</w:t>
      </w:r>
    </w:p>
    <w:p w14:paraId="6A9876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4.5在评标过程中，出现异常或特殊情况时，由评标小组集体讨论决定。</w:t>
      </w:r>
    </w:p>
    <w:p w14:paraId="438F8604">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5.评标过程的保密</w:t>
      </w:r>
    </w:p>
    <w:p w14:paraId="7DB822A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5.1开标后，直至授予中标人合同为止，凡属于对投标文件的审查、澄清、评价和比较等有关的资料以及中标候选人的推荐情况等与评标有关的任何情况均严格保密。</w:t>
      </w:r>
    </w:p>
    <w:p w14:paraId="1252C39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5.2在投标文件的评审和比较、中标候选人推荐以及授予合同的过程中，投标人向采购人和评标小组施加影响的任何行为，都将会导致其投标被拒绝。</w:t>
      </w:r>
    </w:p>
    <w:p w14:paraId="4DEA7F14">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5.3中标人确认后，采购人不对未中标人就评标过程以及未能中标原因作出任何解释。未中标人不得向评标小组人员或其他有关人员索问评标过程的全部情况。</w:t>
      </w:r>
    </w:p>
    <w:p w14:paraId="5B69866B">
      <w:pPr>
        <w:spacing w:line="360" w:lineRule="auto"/>
        <w:ind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7E662384">
      <w:pPr>
        <w:spacing w:line="360" w:lineRule="auto"/>
        <w:ind w:firstLine="406" w:firstLineChars="200"/>
        <w:rPr>
          <w:rFonts w:hint="eastAsia" w:ascii="宋体" w:hAnsi="宋体" w:cs="宋体"/>
          <w:color w:val="auto"/>
          <w:spacing w:val="-4"/>
          <w:szCs w:val="21"/>
          <w:highlight w:val="none"/>
        </w:rPr>
      </w:pPr>
      <w:r>
        <w:rPr>
          <w:rFonts w:hint="eastAsia" w:ascii="宋体" w:hAnsi="宋体" w:cs="宋体"/>
          <w:b/>
          <w:bCs/>
          <w:color w:val="auto"/>
          <w:spacing w:val="-4"/>
          <w:szCs w:val="21"/>
          <w:highlight w:val="none"/>
        </w:rPr>
        <w:t>6.投标文件中内容不一致的处理</w:t>
      </w:r>
    </w:p>
    <w:p w14:paraId="4FF5FFE5">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5B61D00A">
      <w:pPr>
        <w:spacing w:line="360" w:lineRule="auto"/>
        <w:ind w:firstLine="406" w:firstLineChars="200"/>
        <w:rPr>
          <w:rFonts w:hint="eastAsia" w:ascii="宋体" w:hAnsi="宋体" w:cs="宋体"/>
          <w:b/>
          <w:color w:val="auto"/>
          <w:szCs w:val="21"/>
          <w:highlight w:val="none"/>
        </w:rPr>
      </w:pPr>
      <w:r>
        <w:rPr>
          <w:rFonts w:hint="eastAsia" w:ascii="宋体" w:hAnsi="宋体" w:cs="宋体"/>
          <w:b/>
          <w:bCs/>
          <w:color w:val="auto"/>
          <w:spacing w:val="-4"/>
          <w:szCs w:val="21"/>
          <w:highlight w:val="none"/>
        </w:rPr>
        <w:t>7.</w:t>
      </w:r>
      <w:r>
        <w:rPr>
          <w:rFonts w:hint="eastAsia" w:ascii="宋体" w:hAnsi="宋体" w:cs="宋体"/>
          <w:b/>
          <w:bCs/>
          <w:color w:val="auto"/>
          <w:szCs w:val="21"/>
          <w:highlight w:val="none"/>
        </w:rPr>
        <w:t>供应商的认定</w:t>
      </w:r>
    </w:p>
    <w:p w14:paraId="3A6D3F2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14:paraId="3E105AF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单位负责人为同一人或者存在直接控股、管理关系的不同供应商，不得参加同一合同项下的政府采购活动。</w:t>
      </w:r>
    </w:p>
    <w:p w14:paraId="7899D9C0">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8.投标文件的澄清</w:t>
      </w:r>
    </w:p>
    <w:p w14:paraId="10E757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43F0B9AB">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8.2如果投标人代表拒绝按评标委员会要求在“义乌市阳光招标采购平台”作出在线回复且无其他有效回复方式的，评标委员会可以对其作出无效标处理。</w:t>
      </w:r>
    </w:p>
    <w:p w14:paraId="4B5B6744">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9.投标文件的初步评审</w:t>
      </w:r>
    </w:p>
    <w:p w14:paraId="7949A89C">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9.1开标后，采购人应将投标文件提交评标小组进行初步评审，初步评审内容为：</w:t>
      </w:r>
    </w:p>
    <w:p w14:paraId="45E4C13A">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9.1.1是否出现第五章规定的内容；</w:t>
      </w:r>
    </w:p>
    <w:p w14:paraId="2BA7F7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4C662A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041E2C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9.3如果投标文件实质上不响应招标文件的各项要求，评标小组将予以拒绝，并且不允许投标人通过修改或撤销其不符合要求的差异或保留，使之成为具有响应性的投标。</w:t>
      </w:r>
    </w:p>
    <w:p w14:paraId="1DAA06C3">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10.投标文件计算错误的修正</w:t>
      </w:r>
    </w:p>
    <w:p w14:paraId="42E2B5EA">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42C4FB4F">
      <w:pPr>
        <w:adjustRightInd w:val="0"/>
        <w:snapToGrid w:val="0"/>
        <w:spacing w:line="360" w:lineRule="auto"/>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10.1.1客户端填写的报价与以pdf格式上传文件中的报价不一致的，应以pdf格式上传文件中的报价为准；</w:t>
      </w:r>
    </w:p>
    <w:p w14:paraId="268E9CB6">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10.1.2投标文件中《开标一览表》（报价表）与投标文件中相应内容不一致的，以《开标一览表》（报价表）为准；</w:t>
      </w:r>
    </w:p>
    <w:p w14:paraId="7ACD5A19">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10.1.3大写金额和小写金额不一致的，以大写金额为准；</w:t>
      </w:r>
    </w:p>
    <w:p w14:paraId="5EE203DE">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10.1.4单价金额小数点或者百分比有明显错位的，以开标一览表的总价为准，并修改单价；</w:t>
      </w:r>
    </w:p>
    <w:p w14:paraId="713B3307">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10.1.5总价金额与按单价汇总金额不一致的，以单价金额计算结果为准；</w:t>
      </w:r>
    </w:p>
    <w:p w14:paraId="49DC09F8">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4E30CAE3">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11.投标文件的评审、比较和否决</w:t>
      </w:r>
    </w:p>
    <w:p w14:paraId="0EA5ECB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11.1评标小组将按照本须知规定，仅对在实质上响应招标文件要求的投标文件进行评估和比较。</w:t>
      </w:r>
    </w:p>
    <w:p w14:paraId="4A7886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11.2在评审过程后，评标小组可以以书面形式要求投标人就投标文件中含义不明确的内容进行书面说明并提供相关材料。</w:t>
      </w:r>
    </w:p>
    <w:p w14:paraId="29EF80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11.3评标小组在作出任何一项无效标决定前，都应当严格遵循以下程序：</w:t>
      </w:r>
    </w:p>
    <w:p w14:paraId="5AD5E886">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11.3.1要求当事投标人做相应的答辩；</w:t>
      </w:r>
    </w:p>
    <w:p w14:paraId="03556C7D">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11.3.2将答辩记录送当事投标人法定代表人或其授权委托的全权代表签字确认；</w:t>
      </w:r>
    </w:p>
    <w:p w14:paraId="06A9544C">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11.3.3在充分讨论的基础上集体表决；</w:t>
      </w:r>
    </w:p>
    <w:p w14:paraId="13265A53">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11.3.4若表决通过无效标决定，告知当事投标人，并在评标报告中详细载明废标理由、依据、答辩的情况和集体表决的情况（同意废标和不同意废标的评标小组成员均应当注明）。</w:t>
      </w:r>
    </w:p>
    <w:p w14:paraId="3566CB6B">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11.4评标小组经评审，认为所有投标都不符合招标文件要求时，可以否决所有投标。所有投标被否决后，采购人应当依法重新招标。</w:t>
      </w:r>
    </w:p>
    <w:p w14:paraId="76BB3586">
      <w:pPr>
        <w:pStyle w:val="17"/>
        <w:spacing w:line="360" w:lineRule="auto"/>
        <w:ind w:firstLine="406" w:firstLineChars="200"/>
        <w:rPr>
          <w:rFonts w:hint="eastAsia" w:hAnsi="宋体" w:cs="宋体"/>
          <w:b/>
          <w:color w:val="auto"/>
          <w:spacing w:val="-4"/>
          <w:highlight w:val="none"/>
        </w:rPr>
      </w:pPr>
      <w:r>
        <w:rPr>
          <w:rFonts w:hint="eastAsia" w:hAnsi="宋体" w:cs="宋体"/>
          <w:b/>
          <w:color w:val="auto"/>
          <w:spacing w:val="-4"/>
          <w:highlight w:val="none"/>
        </w:rPr>
        <w:t>12.评标办法</w:t>
      </w:r>
    </w:p>
    <w:p w14:paraId="2C112122">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12.1采用综合评分法（具体评标办法见后）。</w:t>
      </w:r>
    </w:p>
    <w:p w14:paraId="6358F7BA">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13.决标</w:t>
      </w:r>
    </w:p>
    <w:p w14:paraId="118561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采购人也可以授权评标小组直接确定中标人。</w:t>
      </w:r>
      <w:bookmarkStart w:id="58" w:name="_Toc274303254"/>
      <w:bookmarkStart w:id="59" w:name="_Toc226973003"/>
      <w:bookmarkStart w:id="60" w:name="_Toc362250706"/>
      <w:bookmarkStart w:id="61" w:name="_Toc263090376"/>
      <w:bookmarkStart w:id="62" w:name="_Toc4305"/>
      <w:bookmarkStart w:id="63" w:name="_Toc261519848"/>
      <w:bookmarkStart w:id="64" w:name="_Toc10636"/>
    </w:p>
    <w:p w14:paraId="155C5825">
      <w:pPr>
        <w:pStyle w:val="3"/>
        <w:spacing w:before="120" w:after="120" w:line="360" w:lineRule="auto"/>
        <w:rPr>
          <w:rFonts w:hint="eastAsia" w:ascii="宋体" w:hAnsi="宋体" w:eastAsia="宋体" w:cs="宋体"/>
          <w:color w:val="auto"/>
          <w:sz w:val="21"/>
          <w:szCs w:val="21"/>
          <w:highlight w:val="none"/>
        </w:rPr>
      </w:pPr>
      <w:bookmarkStart w:id="65" w:name="_Toc9876"/>
      <w:r>
        <w:rPr>
          <w:rFonts w:hint="eastAsia" w:ascii="宋体" w:hAnsi="宋体" w:eastAsia="宋体" w:cs="宋体"/>
          <w:color w:val="auto"/>
          <w:sz w:val="21"/>
          <w:szCs w:val="21"/>
          <w:highlight w:val="none"/>
        </w:rPr>
        <w:t>三、定标</w:t>
      </w:r>
      <w:bookmarkEnd w:id="58"/>
      <w:bookmarkEnd w:id="59"/>
      <w:bookmarkEnd w:id="60"/>
      <w:bookmarkEnd w:id="61"/>
      <w:bookmarkEnd w:id="62"/>
      <w:bookmarkEnd w:id="63"/>
      <w:bookmarkEnd w:id="64"/>
      <w:bookmarkEnd w:id="65"/>
    </w:p>
    <w:p w14:paraId="4F3C6A13">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14.中标通知</w:t>
      </w:r>
    </w:p>
    <w:p w14:paraId="64AEC9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w:t>
      </w:r>
      <w:r>
        <w:rPr>
          <w:rFonts w:hint="eastAsia" w:ascii="宋体" w:hAnsi="宋体" w:cs="宋体"/>
          <w:color w:val="auto"/>
          <w:highlight w:val="none"/>
        </w:rPr>
        <w:t>义乌市阳光招标采购平台(www.ywygzc.com)、义乌产权交易网（www.ywcq.com）</w:t>
      </w:r>
      <w:r>
        <w:rPr>
          <w:rFonts w:hint="eastAsia" w:ascii="宋体" w:hAnsi="宋体" w:cs="宋体"/>
          <w:color w:val="auto"/>
          <w:szCs w:val="21"/>
          <w:highlight w:val="none"/>
        </w:rPr>
        <w:t>。</w:t>
      </w:r>
    </w:p>
    <w:p w14:paraId="506AD8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6F8E65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14:paraId="04D21A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14.4质疑投诉的相关规定</w:t>
      </w:r>
    </w:p>
    <w:p w14:paraId="01D329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4CC507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0C70EA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363E24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2E4677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32B104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1B6302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浙江省政府采购供应商质疑处理办法〉的通知》（浙财采监〔2012〕18号）等有关规定的质疑投诉。</w:t>
      </w:r>
    </w:p>
    <w:p w14:paraId="357E8950">
      <w:pPr>
        <w:pStyle w:val="17"/>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rPr>
        <w:t>15.合同签订</w:t>
      </w:r>
    </w:p>
    <w:p w14:paraId="7CE00B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15.1中标人自接到《中标通知书》后应在三十天内与采购人签订合同。</w:t>
      </w:r>
    </w:p>
    <w:p w14:paraId="53CDD9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15.2招标文件、中标人的投标文件、评标过程中投标人在询标时作出的承诺及其澄清文件等，均为签订合同的依据。</w:t>
      </w:r>
    </w:p>
    <w:p w14:paraId="7E773A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15.3采购人与中标（成交）供应商应当在中标（成交）通知书发出之日起30日内，按照采购文件确定的合同文本以及采购标的、规格型号、采购金额、采购数量、技术和服务要求等事项签订采购合同。</w:t>
      </w:r>
    </w:p>
    <w:p w14:paraId="2C3497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37CC6C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15.4除不可抗力等因素外，中标（成交）通知书发出后，采购人改变中标（成交）结果，或者中标（成交）供应商拒绝签订采购合同的，应当承担相应的法律责任。</w:t>
      </w:r>
    </w:p>
    <w:p w14:paraId="3E161F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15.5中标（成交）供应商拒绝签订采购合同的，采购人应重新开展采购活动。拒绝签订采购合同的中标（成交）供应商不得参加对该项目重新开展的采购活动。</w:t>
      </w:r>
    </w:p>
    <w:p w14:paraId="637AC6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36CC43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15.7采购人变更数量的权利</w:t>
      </w:r>
    </w:p>
    <w:p w14:paraId="1A3B89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5483DDC0">
      <w:pPr>
        <w:spacing w:line="420" w:lineRule="exact"/>
        <w:ind w:firstLine="480" w:firstLineChars="200"/>
        <w:rPr>
          <w:color w:val="auto"/>
          <w:sz w:val="24"/>
          <w:highlight w:val="none"/>
        </w:rPr>
      </w:pPr>
    </w:p>
    <w:p w14:paraId="641189CB">
      <w:pPr>
        <w:spacing w:line="420" w:lineRule="exact"/>
        <w:ind w:firstLine="480" w:firstLineChars="200"/>
        <w:rPr>
          <w:rFonts w:hint="eastAsia"/>
          <w:color w:val="auto"/>
          <w:sz w:val="24"/>
          <w:highlight w:val="none"/>
        </w:rPr>
      </w:pPr>
    </w:p>
    <w:p w14:paraId="7B0A25E9">
      <w:pPr>
        <w:spacing w:line="420" w:lineRule="exact"/>
        <w:ind w:firstLine="480" w:firstLineChars="200"/>
        <w:rPr>
          <w:rFonts w:hint="eastAsia"/>
          <w:color w:val="auto"/>
          <w:sz w:val="24"/>
          <w:highlight w:val="none"/>
        </w:rPr>
      </w:pPr>
    </w:p>
    <w:p w14:paraId="7A37FA25">
      <w:pPr>
        <w:spacing w:line="420" w:lineRule="exact"/>
        <w:ind w:firstLine="480" w:firstLineChars="200"/>
        <w:rPr>
          <w:rFonts w:hint="eastAsia"/>
          <w:color w:val="auto"/>
          <w:sz w:val="24"/>
          <w:highlight w:val="none"/>
        </w:rPr>
      </w:pPr>
    </w:p>
    <w:p w14:paraId="560366E9">
      <w:pPr>
        <w:pStyle w:val="2"/>
        <w:tabs>
          <w:tab w:val="left" w:pos="360"/>
        </w:tabs>
        <w:spacing w:line="240" w:lineRule="exact"/>
        <w:jc w:val="center"/>
        <w:rPr>
          <w:rFonts w:hint="eastAsia"/>
          <w:color w:val="auto"/>
          <w:sz w:val="36"/>
          <w:highlight w:val="none"/>
        </w:rPr>
      </w:pPr>
      <w:bookmarkStart w:id="66" w:name="_Toc23756"/>
      <w:r>
        <w:rPr>
          <w:rFonts w:hint="eastAsia"/>
          <w:color w:val="auto"/>
          <w:sz w:val="36"/>
          <w:highlight w:val="none"/>
        </w:rPr>
        <w:br w:type="page"/>
      </w:r>
      <w:bookmarkStart w:id="67" w:name="_Toc29585"/>
      <w:r>
        <w:rPr>
          <w:rFonts w:hint="eastAsia"/>
          <w:color w:val="auto"/>
          <w:sz w:val="36"/>
          <w:highlight w:val="none"/>
        </w:rPr>
        <w:t>第五章  投标文件的有效性</w:t>
      </w:r>
      <w:bookmarkEnd w:id="66"/>
      <w:bookmarkEnd w:id="67"/>
    </w:p>
    <w:p w14:paraId="3528F23F">
      <w:pPr>
        <w:pStyle w:val="17"/>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5BDCD118">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1.1逾期上传电子档投标文件至“义乌市阳光招标采购平台”平台的；</w:t>
      </w:r>
    </w:p>
    <w:p w14:paraId="0712D304">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1.2电子投标文件在规定时间内解密未成功的；</w:t>
      </w:r>
    </w:p>
    <w:p w14:paraId="67D76C63">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4B9E02D3">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312CD86B">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24F2981E">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11D87806">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0C2A70E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77240946">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5E3B89F3">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15452BBB">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14590230">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2.9经评标委员会认定，</w:t>
      </w:r>
      <w:r>
        <w:rPr>
          <w:rFonts w:hint="eastAsia" w:ascii="新宋体" w:hAnsi="新宋体" w:eastAsia="新宋体"/>
          <w:color w:val="auto"/>
          <w:szCs w:val="21"/>
          <w:highlight w:val="none"/>
        </w:rPr>
        <w:t>投标文件附有采购人不能接受的条件。</w:t>
      </w:r>
    </w:p>
    <w:p w14:paraId="564FE3EF">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2.10评标委员会要求投标人对其投标文件作出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3982FE68">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477F09B9">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5FC684A0">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w:t>
      </w:r>
    </w:p>
    <w:p w14:paraId="5CADC68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3.3投标人的所投产品的数量不符合招标文件规定的。</w:t>
      </w:r>
    </w:p>
    <w:p w14:paraId="1E8F4853">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278589E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21544AA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040AD33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6FB5F7CF">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4.在资格审查及评审过程中，符合中华人民共和国财政部令第87号《政府采购货物和服务招标投标管理办法》第三十七条情形之一的，视为投标人串通投标，其投标无效，并移送采购监管部门：</w:t>
      </w:r>
    </w:p>
    <w:p w14:paraId="4A4D928E">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7A199C6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3B1DDFA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2B43F09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447766C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4AF525D1">
      <w:pPr>
        <w:spacing w:line="44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5.同一个标段（包）的供应商存在下列情形之一的，其投标（响应）文件无效：</w:t>
      </w:r>
    </w:p>
    <w:p w14:paraId="035B8BBA">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5.1不同供应商制作电子投标（响应）文件的计算机网卡 mAc 地址相同的。</w:t>
      </w:r>
    </w:p>
    <w:p w14:paraId="52CC9F57">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5.2不同供应商制作电子投标（响应）文件的计算机硬盘序列号相同的。</w:t>
      </w:r>
    </w:p>
    <w:p w14:paraId="62CD4891">
      <w:pPr>
        <w:adjustRightInd w:val="0"/>
        <w:snapToGrid w:val="0"/>
        <w:spacing w:line="440" w:lineRule="exact"/>
        <w:ind w:firstLine="420" w:firstLineChars="200"/>
        <w:rPr>
          <w:rFonts w:hint="eastAsia" w:ascii="新宋体" w:hAnsi="新宋体" w:eastAsia="新宋体"/>
          <w:b/>
          <w:bCs/>
          <w:color w:val="auto"/>
          <w:szCs w:val="21"/>
          <w:highlight w:val="none"/>
        </w:rPr>
      </w:pPr>
      <w:r>
        <w:rPr>
          <w:rFonts w:hint="eastAsia" w:ascii="宋体" w:hAnsi="宋体" w:cs="宋体"/>
          <w:color w:val="auto"/>
          <w:szCs w:val="21"/>
          <w:highlight w:val="none"/>
        </w:rPr>
        <w:t>5.3不同供应商的投标（响应）文件的内容存在两处以上细节错误一致，且无法合理解释的。</w:t>
      </w:r>
    </w:p>
    <w:p w14:paraId="5F38A65B">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6.其他违反法律法规的情况。</w:t>
      </w:r>
    </w:p>
    <w:p w14:paraId="530AB808">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rPr>
        <w:t>7.评标过程中，非上述所罗列的情况，不得以无效标处理</w:t>
      </w:r>
      <w:r>
        <w:rPr>
          <w:rFonts w:hint="eastAsia" w:ascii="宋体" w:hAnsi="宋体" w:cs="宋体"/>
          <w:b/>
          <w:bCs/>
          <w:color w:val="auto"/>
          <w:kern w:val="0"/>
          <w:szCs w:val="21"/>
          <w:highlight w:val="none"/>
        </w:rPr>
        <w:t>。</w:t>
      </w:r>
    </w:p>
    <w:p w14:paraId="1DD58656">
      <w:pPr>
        <w:spacing w:line="420" w:lineRule="exact"/>
        <w:ind w:firstLine="422" w:firstLineChars="200"/>
        <w:rPr>
          <w:rFonts w:hint="eastAsia"/>
          <w:b/>
          <w:bCs/>
          <w:color w:val="auto"/>
          <w:szCs w:val="21"/>
          <w:highlight w:val="none"/>
        </w:rPr>
      </w:pPr>
    </w:p>
    <w:p w14:paraId="64A805F6">
      <w:pPr>
        <w:spacing w:line="420" w:lineRule="exact"/>
        <w:ind w:firstLine="422" w:firstLineChars="200"/>
        <w:rPr>
          <w:rFonts w:hint="eastAsia"/>
          <w:b/>
          <w:bCs/>
          <w:color w:val="auto"/>
          <w:szCs w:val="21"/>
          <w:highlight w:val="none"/>
        </w:rPr>
      </w:pPr>
    </w:p>
    <w:p w14:paraId="3D29C392">
      <w:pPr>
        <w:spacing w:line="420" w:lineRule="exact"/>
        <w:ind w:firstLine="480" w:firstLineChars="200"/>
        <w:rPr>
          <w:rFonts w:hint="eastAsia"/>
          <w:color w:val="auto"/>
          <w:sz w:val="24"/>
          <w:highlight w:val="none"/>
        </w:rPr>
      </w:pPr>
    </w:p>
    <w:p w14:paraId="4125E541">
      <w:pPr>
        <w:spacing w:line="420" w:lineRule="exact"/>
        <w:rPr>
          <w:rFonts w:hint="eastAsia"/>
          <w:color w:val="auto"/>
          <w:sz w:val="24"/>
          <w:highlight w:val="none"/>
        </w:rPr>
      </w:pPr>
    </w:p>
    <w:p w14:paraId="05333637">
      <w:pPr>
        <w:spacing w:line="420" w:lineRule="exact"/>
        <w:rPr>
          <w:rFonts w:hint="eastAsia"/>
          <w:color w:val="auto"/>
          <w:sz w:val="24"/>
          <w:highlight w:val="none"/>
        </w:rPr>
      </w:pPr>
    </w:p>
    <w:p w14:paraId="07ABCC42">
      <w:pPr>
        <w:spacing w:line="420" w:lineRule="exact"/>
        <w:rPr>
          <w:rFonts w:hint="eastAsia"/>
          <w:color w:val="auto"/>
          <w:sz w:val="24"/>
          <w:highlight w:val="none"/>
        </w:rPr>
      </w:pPr>
    </w:p>
    <w:p w14:paraId="78758E40">
      <w:pPr>
        <w:spacing w:line="420" w:lineRule="exact"/>
        <w:rPr>
          <w:rFonts w:hint="eastAsia"/>
          <w:color w:val="auto"/>
          <w:sz w:val="24"/>
          <w:highlight w:val="none"/>
        </w:rPr>
      </w:pPr>
    </w:p>
    <w:p w14:paraId="6A1FBD94">
      <w:pPr>
        <w:spacing w:line="420" w:lineRule="exact"/>
        <w:rPr>
          <w:rFonts w:hint="eastAsia"/>
          <w:color w:val="auto"/>
          <w:sz w:val="24"/>
          <w:highlight w:val="none"/>
        </w:rPr>
      </w:pPr>
    </w:p>
    <w:p w14:paraId="24E9BD05">
      <w:pPr>
        <w:spacing w:line="420" w:lineRule="exact"/>
        <w:rPr>
          <w:rFonts w:hint="eastAsia"/>
          <w:color w:val="auto"/>
          <w:sz w:val="24"/>
          <w:highlight w:val="none"/>
        </w:rPr>
      </w:pPr>
    </w:p>
    <w:p w14:paraId="16916057">
      <w:pPr>
        <w:spacing w:line="420" w:lineRule="exact"/>
        <w:rPr>
          <w:rFonts w:hint="eastAsia"/>
          <w:color w:val="auto"/>
          <w:sz w:val="24"/>
          <w:highlight w:val="none"/>
        </w:rPr>
      </w:pPr>
    </w:p>
    <w:p w14:paraId="34392CC0">
      <w:pPr>
        <w:spacing w:line="420" w:lineRule="exact"/>
        <w:rPr>
          <w:rFonts w:hint="eastAsia"/>
          <w:color w:val="auto"/>
          <w:sz w:val="24"/>
          <w:highlight w:val="none"/>
        </w:rPr>
      </w:pPr>
    </w:p>
    <w:p w14:paraId="0B93ECAB">
      <w:pPr>
        <w:pStyle w:val="58"/>
        <w:ind w:firstLine="420" w:firstLineChars="200"/>
        <w:rPr>
          <w:rFonts w:hint="eastAsia" w:ascii="宋体" w:hAnsi="宋体" w:cs="宋体"/>
          <w:color w:val="auto"/>
          <w:sz w:val="21"/>
          <w:szCs w:val="21"/>
          <w:highlight w:val="none"/>
        </w:rPr>
      </w:pPr>
      <w:bookmarkStart w:id="68" w:name="_Toc274303257"/>
    </w:p>
    <w:p w14:paraId="2FFDBF24">
      <w:pPr>
        <w:pStyle w:val="2"/>
        <w:tabs>
          <w:tab w:val="left" w:pos="360"/>
        </w:tabs>
        <w:spacing w:line="240" w:lineRule="exact"/>
        <w:jc w:val="center"/>
        <w:rPr>
          <w:rFonts w:hint="eastAsia" w:ascii="宋体" w:hAnsi="宋体" w:cs="宋体"/>
          <w:color w:val="auto"/>
          <w:sz w:val="21"/>
          <w:szCs w:val="21"/>
          <w:highlight w:val="none"/>
        </w:rPr>
      </w:pPr>
      <w:bookmarkStart w:id="69" w:name="_Toc226973004"/>
      <w:bookmarkStart w:id="70" w:name="_Toc145992551"/>
      <w:bookmarkStart w:id="71" w:name="_Toc19786"/>
      <w:bookmarkStart w:id="72" w:name="_Toc362250708"/>
      <w:bookmarkStart w:id="73" w:name="_Toc274303255"/>
      <w:r>
        <w:rPr>
          <w:rFonts w:hint="eastAsia"/>
          <w:color w:val="auto"/>
          <w:sz w:val="36"/>
          <w:highlight w:val="none"/>
        </w:rPr>
        <w:br w:type="page"/>
      </w:r>
      <w:bookmarkStart w:id="74" w:name="_Toc17889"/>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69"/>
      <w:bookmarkEnd w:id="70"/>
      <w:bookmarkEnd w:id="71"/>
      <w:bookmarkEnd w:id="72"/>
      <w:bookmarkEnd w:id="73"/>
      <w:bookmarkEnd w:id="74"/>
    </w:p>
    <w:p w14:paraId="3DDDC4DF">
      <w:pPr>
        <w:pStyle w:val="58"/>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50DBA032">
      <w:pPr>
        <w:pStyle w:val="3"/>
        <w:spacing w:before="120" w:after="120" w:line="360" w:lineRule="auto"/>
        <w:rPr>
          <w:rFonts w:hint="eastAsia" w:ascii="宋体" w:hAnsi="宋体" w:eastAsia="宋体" w:cs="宋体"/>
          <w:color w:val="auto"/>
          <w:sz w:val="21"/>
          <w:szCs w:val="21"/>
          <w:highlight w:val="none"/>
        </w:rPr>
      </w:pPr>
      <w:bookmarkStart w:id="75" w:name="_Toc28553"/>
      <w:r>
        <w:rPr>
          <w:rFonts w:hint="eastAsia" w:ascii="宋体" w:hAnsi="宋体" w:eastAsia="宋体" w:cs="宋体"/>
          <w:color w:val="auto"/>
          <w:sz w:val="21"/>
          <w:szCs w:val="21"/>
          <w:highlight w:val="none"/>
        </w:rPr>
        <w:t>一、评审程序</w:t>
      </w:r>
      <w:bookmarkEnd w:id="75"/>
    </w:p>
    <w:p w14:paraId="42DD3A23">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30A8D551">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22516902">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6BD7A0D2">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70AFA1CF">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770F01ED">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（五）对通过报价评审有效的投标人，由“义乌市阳光招标采购平台”平台计算出其报价分及总得分，并由评标委员会进行确认；</w:t>
      </w:r>
    </w:p>
    <w:p w14:paraId="0A65DD08">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（六）确定中标人</w:t>
      </w:r>
    </w:p>
    <w:p w14:paraId="16576C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56F5AD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2.其次，评标委员会直接确定排名第一的投标人为中标单位。</w:t>
      </w:r>
    </w:p>
    <w:p w14:paraId="7E1E46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59FC79A4">
      <w:pPr>
        <w:pStyle w:val="17"/>
        <w:spacing w:line="360" w:lineRule="auto"/>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4A8D820C">
      <w:pPr>
        <w:pStyle w:val="3"/>
        <w:spacing w:before="120" w:after="120" w:line="360" w:lineRule="auto"/>
        <w:rPr>
          <w:rFonts w:hint="eastAsia" w:ascii="宋体" w:hAnsi="宋体" w:eastAsia="宋体" w:cs="宋体"/>
          <w:color w:val="auto"/>
          <w:sz w:val="21"/>
          <w:szCs w:val="21"/>
          <w:highlight w:val="none"/>
        </w:rPr>
      </w:pPr>
      <w:bookmarkStart w:id="76" w:name="_Toc27515"/>
      <w:r>
        <w:rPr>
          <w:rFonts w:hint="eastAsia" w:ascii="宋体" w:hAnsi="宋体" w:eastAsia="宋体" w:cs="宋体"/>
          <w:color w:val="auto"/>
          <w:sz w:val="21"/>
          <w:szCs w:val="21"/>
          <w:highlight w:val="none"/>
        </w:rPr>
        <w:t>二、确定的中标人放弃中标等情况的处理</w:t>
      </w:r>
      <w:bookmarkEnd w:id="76"/>
    </w:p>
    <w:p w14:paraId="7B70854D">
      <w:pPr>
        <w:pStyle w:val="17"/>
        <w:spacing w:line="360" w:lineRule="auto"/>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2C11D609">
      <w:pPr>
        <w:pStyle w:val="17"/>
        <w:spacing w:line="360" w:lineRule="auto"/>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3BF28ED3">
      <w:pPr>
        <w:rPr>
          <w:color w:val="auto"/>
          <w:highlight w:val="none"/>
        </w:rPr>
      </w:pPr>
    </w:p>
    <w:p w14:paraId="5853588C">
      <w:pPr>
        <w:rPr>
          <w:rFonts w:hint="eastAsia"/>
          <w:color w:val="auto"/>
          <w:highlight w:val="none"/>
        </w:rPr>
      </w:pPr>
    </w:p>
    <w:p w14:paraId="6285A184">
      <w:pPr>
        <w:pStyle w:val="3"/>
        <w:spacing w:before="120" w:after="120" w:line="360" w:lineRule="auto"/>
        <w:rPr>
          <w:rFonts w:hint="eastAsia"/>
          <w:color w:val="auto"/>
          <w:highlight w:val="none"/>
        </w:rPr>
      </w:pPr>
      <w:bookmarkStart w:id="77" w:name="_Toc15571"/>
      <w:r>
        <w:rPr>
          <w:rFonts w:hint="eastAsia" w:ascii="宋体" w:hAnsi="宋体" w:eastAsia="宋体" w:cs="宋体"/>
          <w:color w:val="auto"/>
          <w:sz w:val="21"/>
          <w:szCs w:val="21"/>
          <w:highlight w:val="none"/>
        </w:rPr>
        <w:t>三、评</w:t>
      </w:r>
      <w:bookmarkEnd w:id="68"/>
      <w:bookmarkStart w:id="78" w:name="_Toc323024194"/>
      <w:bookmarkStart w:id="79" w:name="_Toc295815145"/>
      <w:bookmarkStart w:id="80" w:name="_Toc362250710"/>
      <w:bookmarkStart w:id="81" w:name="_Toc330474791"/>
      <w:bookmarkStart w:id="82" w:name="_Toc269969080"/>
      <w:bookmarkStart w:id="83" w:name="_Toc358884475"/>
      <w:r>
        <w:rPr>
          <w:rFonts w:hint="eastAsia" w:ascii="宋体" w:hAnsi="宋体" w:eastAsia="宋体" w:cs="宋体"/>
          <w:color w:val="auto"/>
          <w:sz w:val="21"/>
          <w:szCs w:val="21"/>
          <w:highlight w:val="none"/>
        </w:rPr>
        <w:t>分细则</w:t>
      </w:r>
      <w:bookmarkEnd w:id="77"/>
    </w:p>
    <w:tbl>
      <w:tblPr>
        <w:tblStyle w:val="38"/>
        <w:tblW w:w="95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846"/>
        <w:gridCol w:w="6945"/>
        <w:gridCol w:w="636"/>
        <w:gridCol w:w="570"/>
      </w:tblGrid>
      <w:tr w14:paraId="55CF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single" w:color="000000" w:sz="4" w:space="0"/>
              <w:left w:val="single" w:color="000000" w:sz="4" w:space="0"/>
              <w:bottom w:val="single" w:color="000000" w:sz="4" w:space="0"/>
              <w:right w:val="nil"/>
            </w:tcBorders>
            <w:noWrap w:val="0"/>
            <w:vAlign w:val="center"/>
          </w:tcPr>
          <w:p w14:paraId="50EA40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CF63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评分内容</w:t>
            </w:r>
          </w:p>
        </w:tc>
        <w:tc>
          <w:tcPr>
            <w:tcW w:w="6945" w:type="dxa"/>
            <w:tcBorders>
              <w:top w:val="single" w:color="000000" w:sz="4" w:space="0"/>
              <w:left w:val="nil"/>
              <w:bottom w:val="single" w:color="000000" w:sz="4" w:space="0"/>
              <w:right w:val="single" w:color="000000" w:sz="4" w:space="0"/>
            </w:tcBorders>
            <w:noWrap w:val="0"/>
            <w:vAlign w:val="center"/>
          </w:tcPr>
          <w:p w14:paraId="660E70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评分细则</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71523A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分值</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A4038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0ADC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9" w:type="dxa"/>
            <w:tcBorders>
              <w:top w:val="single" w:color="000000" w:sz="4" w:space="0"/>
              <w:left w:val="single" w:color="000000" w:sz="4" w:space="0"/>
              <w:bottom w:val="single" w:color="000000" w:sz="4" w:space="0"/>
              <w:right w:val="nil"/>
            </w:tcBorders>
            <w:noWrap w:val="0"/>
            <w:vAlign w:val="center"/>
          </w:tcPr>
          <w:p w14:paraId="0CB2F0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762C6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商务技术分</w:t>
            </w:r>
          </w:p>
        </w:tc>
        <w:tc>
          <w:tcPr>
            <w:tcW w:w="6945" w:type="dxa"/>
            <w:tcBorders>
              <w:top w:val="single" w:color="000000" w:sz="4" w:space="0"/>
              <w:left w:val="nil"/>
              <w:bottom w:val="single" w:color="000000" w:sz="4" w:space="0"/>
              <w:right w:val="single" w:color="000000" w:sz="4" w:space="0"/>
            </w:tcBorders>
            <w:noWrap w:val="0"/>
            <w:vAlign w:val="top"/>
          </w:tcPr>
          <w:p w14:paraId="79F2259B">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评标委员会根据评分细则，对各投标人的技术标进行书面审核和评论后，由各成员独立给分，打分时保留小数</w:t>
            </w: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位，每人一份评分表，并签名。在统计得分时，如果发现某一单项评分超过评分细则规定的分值范围，则该张评分表无效。投标人技术分的最终得分为评标委员会组成员的有效评分的算术平均值。计算结果保留小数</w:t>
            </w:r>
            <w:r>
              <w:rPr>
                <w:rFonts w:hint="default" w:ascii="Times New Roman" w:hAnsi="Times New Roman" w:eastAsia="宋体" w:cs="Times New Roman"/>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位</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第三位四舍五入</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02451A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w:t>
            </w:r>
            <w:r>
              <w:rPr>
                <w:rFonts w:hint="eastAsia" w:ascii="宋体" w:hAnsi="宋体" w:eastAsia="宋体" w:cs="宋体"/>
                <w:i w:val="0"/>
                <w:iCs w:val="0"/>
                <w:color w:val="auto"/>
                <w:kern w:val="0"/>
                <w:sz w:val="21"/>
                <w:szCs w:val="21"/>
                <w:highlight w:val="none"/>
                <w:u w:val="none"/>
                <w:lang w:val="en-US" w:eastAsia="zh-CN" w:bidi="ar"/>
              </w:rPr>
              <w:t>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288398B">
            <w:pPr>
              <w:jc w:val="center"/>
              <w:rPr>
                <w:rFonts w:hint="default" w:ascii="Times New Roman" w:hAnsi="Times New Roman" w:eastAsia="宋体" w:cs="Times New Roman"/>
                <w:i w:val="0"/>
                <w:iCs w:val="0"/>
                <w:color w:val="auto"/>
                <w:sz w:val="21"/>
                <w:szCs w:val="21"/>
                <w:highlight w:val="none"/>
                <w:u w:val="none"/>
              </w:rPr>
            </w:pPr>
          </w:p>
        </w:tc>
      </w:tr>
      <w:tr w14:paraId="7739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69" w:type="dxa"/>
            <w:vMerge w:val="restart"/>
            <w:tcBorders>
              <w:top w:val="single" w:color="000000" w:sz="4" w:space="0"/>
              <w:left w:val="single" w:color="000000" w:sz="4" w:space="0"/>
              <w:right w:val="nil"/>
            </w:tcBorders>
            <w:noWrap w:val="0"/>
            <w:vAlign w:val="center"/>
          </w:tcPr>
          <w:p w14:paraId="1632A509">
            <w:pPr>
              <w:keepNext w:val="0"/>
              <w:keepLines w:val="0"/>
              <w:widowControl/>
              <w:suppressLineNumbers w:val="0"/>
              <w:jc w:val="center"/>
              <w:textAlignment w:val="center"/>
              <w:rPr>
                <w:rFonts w:hint="default" w:ascii="黑体" w:hAnsi="宋体" w:eastAsia="黑体" w:cs="黑体"/>
                <w:i w:val="0"/>
                <w:iCs w:val="0"/>
                <w:color w:val="auto"/>
                <w:kern w:val="0"/>
                <w:sz w:val="21"/>
                <w:szCs w:val="21"/>
                <w:highlight w:val="none"/>
                <w:u w:val="none"/>
                <w:lang w:val="en-US" w:eastAsia="zh-CN" w:bidi="ar"/>
              </w:rPr>
            </w:pPr>
            <w:r>
              <w:rPr>
                <w:rFonts w:hint="eastAsia" w:ascii="黑体" w:hAnsi="宋体" w:eastAsia="黑体" w:cs="黑体"/>
                <w:i w:val="0"/>
                <w:iCs w:val="0"/>
                <w:color w:val="auto"/>
                <w:kern w:val="0"/>
                <w:sz w:val="21"/>
                <w:szCs w:val="21"/>
                <w:highlight w:val="none"/>
                <w:u w:val="none"/>
                <w:lang w:val="en-US" w:eastAsia="zh-CN" w:bidi="ar"/>
              </w:rPr>
              <w:t>1</w:t>
            </w:r>
          </w:p>
        </w:tc>
        <w:tc>
          <w:tcPr>
            <w:tcW w:w="846" w:type="dxa"/>
            <w:vMerge w:val="restart"/>
            <w:tcBorders>
              <w:top w:val="single" w:color="000000" w:sz="4" w:space="0"/>
              <w:left w:val="single" w:color="000000" w:sz="4" w:space="0"/>
              <w:right w:val="single" w:color="000000" w:sz="4" w:space="0"/>
            </w:tcBorders>
            <w:noWrap w:val="0"/>
            <w:vAlign w:val="center"/>
          </w:tcPr>
          <w:p w14:paraId="00CFDE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企业资质及业绩</w:t>
            </w:r>
            <w:r>
              <w:rPr>
                <w:rFonts w:hint="eastAsia" w:ascii="宋体" w:hAnsi="宋体" w:cs="宋体"/>
                <w:i w:val="0"/>
                <w:iCs w:val="0"/>
                <w:color w:val="auto"/>
                <w:kern w:val="0"/>
                <w:sz w:val="21"/>
                <w:szCs w:val="21"/>
                <w:highlight w:val="none"/>
                <w:u w:val="none"/>
                <w:lang w:val="en-US" w:eastAsia="zh-CN" w:bidi="ar"/>
              </w:rPr>
              <w:t>（4）</w:t>
            </w:r>
          </w:p>
        </w:tc>
        <w:tc>
          <w:tcPr>
            <w:tcW w:w="6945" w:type="dxa"/>
            <w:tcBorders>
              <w:top w:val="single" w:color="000000" w:sz="4" w:space="0"/>
              <w:left w:val="nil"/>
              <w:bottom w:val="single" w:color="000000" w:sz="4" w:space="0"/>
              <w:right w:val="single" w:color="000000" w:sz="4" w:space="0"/>
            </w:tcBorders>
            <w:noWrap w:val="0"/>
            <w:vAlign w:val="center"/>
          </w:tcPr>
          <w:p w14:paraId="0965E1C7">
            <w:pPr>
              <w:widowControl/>
              <w:rPr>
                <w:rFonts w:hint="eastAsia" w:ascii="宋体" w:eastAsia="宋体" w:cs="宋体"/>
                <w:color w:val="auto"/>
                <w:kern w:val="2"/>
                <w:sz w:val="21"/>
                <w:szCs w:val="21"/>
                <w:highlight w:val="none"/>
                <w:vertAlign w:val="baseline"/>
                <w:lang w:val="en-US" w:eastAsia="zh-CN" w:bidi="ar"/>
              </w:rPr>
            </w:pPr>
            <w:r>
              <w:rPr>
                <w:rFonts w:hint="eastAsia" w:ascii="宋体" w:cs="宋体"/>
                <w:color w:val="auto"/>
                <w:highlight w:val="none"/>
                <w:lang w:bidi="ar"/>
              </w:rPr>
              <w:t>投标人同时具有GB/T27922-2011售后服务认证证书和GB/T31950-2015企业诚信管理体系认证证书的得1分，不满足不得分。</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27051B4">
            <w:pPr>
              <w:widowControl/>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cs="宋体"/>
                <w:color w:val="auto"/>
                <w:highlight w:val="none"/>
                <w:lang w:bidi="ar"/>
              </w:rPr>
              <w:t>1分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57135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客观分</w:t>
            </w:r>
          </w:p>
        </w:tc>
      </w:tr>
      <w:tr w14:paraId="015B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69" w:type="dxa"/>
            <w:vMerge w:val="continue"/>
            <w:tcBorders>
              <w:left w:val="single" w:color="000000" w:sz="4" w:space="0"/>
              <w:bottom w:val="single" w:color="000000" w:sz="4" w:space="0"/>
              <w:right w:val="nil"/>
            </w:tcBorders>
            <w:noWrap w:val="0"/>
            <w:vAlign w:val="center"/>
          </w:tcPr>
          <w:p w14:paraId="470D963B">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p>
        </w:tc>
        <w:tc>
          <w:tcPr>
            <w:tcW w:w="846" w:type="dxa"/>
            <w:vMerge w:val="continue"/>
            <w:tcBorders>
              <w:left w:val="single" w:color="000000" w:sz="4" w:space="0"/>
              <w:bottom w:val="single" w:color="000000" w:sz="4" w:space="0"/>
              <w:right w:val="single" w:color="000000" w:sz="4" w:space="0"/>
            </w:tcBorders>
            <w:noWrap w:val="0"/>
            <w:vAlign w:val="center"/>
          </w:tcPr>
          <w:p w14:paraId="54F4B1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945" w:type="dxa"/>
            <w:tcBorders>
              <w:top w:val="single" w:color="000000" w:sz="4" w:space="0"/>
              <w:left w:val="nil"/>
              <w:bottom w:val="single" w:color="000000" w:sz="4" w:space="0"/>
              <w:right w:val="single" w:color="000000" w:sz="4" w:space="0"/>
            </w:tcBorders>
            <w:noWrap w:val="0"/>
            <w:vAlign w:val="center"/>
          </w:tcPr>
          <w:p w14:paraId="619F03E4">
            <w:pPr>
              <w:widowControl/>
              <w:rPr>
                <w:rFonts w:ascii="宋体" w:cs="宋体"/>
                <w:color w:val="auto"/>
                <w:highlight w:val="none"/>
                <w:lang w:bidi="ar"/>
              </w:rPr>
            </w:pPr>
            <w:r>
              <w:rPr>
                <w:rFonts w:hint="eastAsia" w:ascii="宋体" w:cs="宋体"/>
                <w:color w:val="auto"/>
                <w:highlight w:val="none"/>
                <w:lang w:bidi="ar"/>
              </w:rPr>
              <w:t>自2021年1月1日以来（以合同签订日期为准），投标人具有类似项目（项目内提供产品为信创产品）案例每提供1个得1分，最高得3分。</w:t>
            </w:r>
          </w:p>
          <w:p w14:paraId="08AE8446">
            <w:pPr>
              <w:widowControl/>
              <w:rPr>
                <w:rFonts w:hint="eastAsia" w:ascii="宋体" w:eastAsia="宋体" w:cs="宋体"/>
                <w:color w:val="auto"/>
                <w:kern w:val="2"/>
                <w:sz w:val="21"/>
                <w:szCs w:val="21"/>
                <w:highlight w:val="none"/>
                <w:vertAlign w:val="baseline"/>
                <w:lang w:val="en-US" w:eastAsia="zh-CN" w:bidi="ar"/>
              </w:rPr>
            </w:pPr>
            <w:r>
              <w:rPr>
                <w:rFonts w:hint="eastAsia" w:ascii="宋体" w:cs="宋体"/>
                <w:color w:val="auto"/>
                <w:highlight w:val="none"/>
                <w:lang w:bidi="ar"/>
              </w:rPr>
              <w:t>须提供相应业绩的合同复印件并加盖单位公章，否则不得分。</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42A47247">
            <w:pPr>
              <w:widowControl/>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cs="宋体"/>
                <w:color w:val="auto"/>
                <w:highlight w:val="none"/>
                <w:lang w:bidi="ar"/>
              </w:rPr>
              <w:t>3分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88CB6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客观分</w:t>
            </w:r>
          </w:p>
        </w:tc>
      </w:tr>
      <w:tr w14:paraId="341A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69" w:type="dxa"/>
            <w:vMerge w:val="restart"/>
            <w:tcBorders>
              <w:top w:val="single" w:color="000000" w:sz="4" w:space="0"/>
              <w:left w:val="single" w:color="000000" w:sz="4" w:space="0"/>
              <w:bottom w:val="single" w:color="000000" w:sz="4" w:space="0"/>
              <w:right w:val="nil"/>
            </w:tcBorders>
            <w:noWrap w:val="0"/>
            <w:vAlign w:val="center"/>
          </w:tcPr>
          <w:p w14:paraId="5A0BEBA3">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2</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0EA7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投标货物的性能及技术指标（3</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w:t>
            </w:r>
          </w:p>
        </w:tc>
        <w:tc>
          <w:tcPr>
            <w:tcW w:w="6945" w:type="dxa"/>
            <w:tcBorders>
              <w:top w:val="single" w:color="000000" w:sz="4" w:space="0"/>
              <w:left w:val="nil"/>
              <w:bottom w:val="single" w:color="000000" w:sz="4" w:space="0"/>
              <w:right w:val="single" w:color="000000" w:sz="4" w:space="0"/>
            </w:tcBorders>
            <w:noWrap w:val="0"/>
            <w:vAlign w:val="center"/>
          </w:tcPr>
          <w:p w14:paraId="077A27FE">
            <w:pPr>
              <w:keepNext w:val="0"/>
              <w:keepLines w:val="0"/>
              <w:widowControl w:val="0"/>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根据投标人所投产品的技术参数对于招标技术要求的响应情况进行打分。</w:t>
            </w:r>
            <w:r>
              <w:rPr>
                <w:rFonts w:hint="eastAsia" w:ascii="宋体" w:hAnsi="宋体" w:eastAsia="宋体" w:cs="宋体"/>
                <w:i w:val="0"/>
                <w:iCs w:val="0"/>
                <w:color w:val="auto"/>
                <w:kern w:val="0"/>
                <w:sz w:val="21"/>
                <w:szCs w:val="21"/>
                <w:highlight w:val="none"/>
                <w:u w:val="none"/>
                <w:lang w:val="en-US" w:eastAsia="zh-CN" w:bidi="ar"/>
              </w:rPr>
              <w:br w:type="textWrapping"/>
            </w:r>
            <w:r>
              <w:rPr>
                <w:rStyle w:val="82"/>
                <w:color w:val="auto"/>
                <w:highlight w:val="none"/>
                <w:lang w:val="en-US" w:eastAsia="zh-CN" w:bidi="ar"/>
              </w:rPr>
              <w:t>带“★”的</w:t>
            </w:r>
            <w:r>
              <w:rPr>
                <w:rStyle w:val="82"/>
                <w:rFonts w:hint="eastAsia"/>
                <w:color w:val="auto"/>
                <w:highlight w:val="none"/>
                <w:lang w:val="en-US" w:eastAsia="zh-CN" w:bidi="ar"/>
              </w:rPr>
              <w:t>6</w:t>
            </w:r>
            <w:r>
              <w:rPr>
                <w:rStyle w:val="82"/>
                <w:color w:val="auto"/>
                <w:highlight w:val="none"/>
                <w:lang w:val="en-US" w:eastAsia="zh-CN" w:bidi="ar"/>
              </w:rPr>
              <w:t>项为必须满足项，不满足的投标无效；带“▲”的</w:t>
            </w:r>
            <w:r>
              <w:rPr>
                <w:rStyle w:val="82"/>
                <w:rFonts w:hint="default" w:ascii="宋体"/>
                <w:color w:val="auto"/>
                <w:highlight w:val="none"/>
                <w:lang w:eastAsia="zh-CN" w:bidi="ar"/>
                <w:woUserID w:val="1"/>
              </w:rPr>
              <w:t>6</w:t>
            </w:r>
            <w:r>
              <w:rPr>
                <w:rStyle w:val="82"/>
                <w:color w:val="auto"/>
                <w:highlight w:val="none"/>
                <w:lang w:val="en-US" w:eastAsia="zh-CN" w:bidi="ar"/>
              </w:rPr>
              <w:t>项为重点偏离项，低于扣</w:t>
            </w:r>
            <w:r>
              <w:rPr>
                <w:rStyle w:val="82"/>
                <w:rFonts w:hint="eastAsia"/>
                <w:color w:val="auto"/>
                <w:highlight w:val="none"/>
                <w:lang w:val="en-US" w:eastAsia="zh-CN" w:bidi="ar"/>
              </w:rPr>
              <w:t>2</w:t>
            </w:r>
            <w:r>
              <w:rPr>
                <w:rStyle w:val="82"/>
                <w:color w:val="auto"/>
                <w:highlight w:val="none"/>
                <w:lang w:val="en-US" w:eastAsia="zh-CN" w:bidi="ar"/>
              </w:rPr>
              <w:t>分</w:t>
            </w:r>
            <w:r>
              <w:rPr>
                <w:rStyle w:val="83"/>
                <w:rFonts w:hint="eastAsia" w:ascii="宋体" w:hAnsi="宋体" w:eastAsia="宋体" w:cs="宋体"/>
                <w:i w:val="0"/>
                <w:color w:val="auto"/>
                <w:kern w:val="2"/>
                <w:sz w:val="21"/>
                <w:szCs w:val="21"/>
                <w:highlight w:val="none"/>
                <w:lang w:val="en-US" w:eastAsia="zh-CN" w:bidi="ar"/>
              </w:rPr>
              <w:t>，优于</w:t>
            </w:r>
            <w:r>
              <w:rPr>
                <w:rFonts w:hint="eastAsia" w:ascii="宋体" w:hAnsi="宋体" w:eastAsia="宋体" w:cs="宋体"/>
                <w:color w:val="auto"/>
                <w:kern w:val="2"/>
                <w:sz w:val="21"/>
                <w:szCs w:val="21"/>
                <w:highlight w:val="none"/>
                <w:lang w:val="en-US" w:eastAsia="zh-CN" w:bidi="ar"/>
              </w:rPr>
              <w:t>加1分</w:t>
            </w:r>
            <w:r>
              <w:rPr>
                <w:rStyle w:val="82"/>
                <w:color w:val="auto"/>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完全满足招标文件要求的得25分；</w:t>
            </w:r>
          </w:p>
          <w:p w14:paraId="6EBAF1E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宋体"/>
                <w:i w:val="0"/>
                <w:iCs w:val="0"/>
                <w:color w:val="auto"/>
                <w:sz w:val="21"/>
                <w:szCs w:val="21"/>
                <w:highlight w:val="none"/>
                <w:u w:val="none"/>
              </w:rPr>
            </w:pPr>
            <w:r>
              <w:rPr>
                <w:rFonts w:hint="eastAsia" w:ascii="宋体" w:eastAsia="宋体" w:cs="宋体"/>
                <w:strike w:val="0"/>
                <w:dstrike w:val="0"/>
                <w:color w:val="auto"/>
                <w:kern w:val="2"/>
                <w:sz w:val="21"/>
                <w:szCs w:val="21"/>
                <w:highlight w:val="none"/>
                <w:vertAlign w:val="baseline"/>
                <w:lang w:val="en-US" w:eastAsia="zh-CN" w:bidi="ar"/>
              </w:rPr>
              <w:t>有部分指标优于招标文件要求的，带“▲”的每正偏离一项加1分，最高可加6分，如有加满为止；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低于招标文件要求或缺漏项的，在</w:t>
            </w:r>
            <w:r>
              <w:rPr>
                <w:rFonts w:hint="default" w:ascii="宋体" w:hAnsi="宋体" w:eastAsia="宋体" w:cs="宋体"/>
                <w:i w:val="0"/>
                <w:iCs w:val="0"/>
                <w:color w:val="auto"/>
                <w:kern w:val="0"/>
                <w:sz w:val="21"/>
                <w:szCs w:val="21"/>
                <w:highlight w:val="none"/>
                <w:u w:val="none"/>
                <w:lang w:eastAsia="zh-CN" w:bidi="ar"/>
              </w:rPr>
              <w:t>2</w:t>
            </w:r>
            <w:r>
              <w:rPr>
                <w:rFonts w:hint="eastAsia" w:ascii="宋体" w:hAnsi="宋体" w:eastAsia="宋体" w:cs="宋体"/>
                <w:i w:val="0"/>
                <w:iCs w:val="0"/>
                <w:color w:val="auto"/>
                <w:kern w:val="0"/>
                <w:sz w:val="21"/>
                <w:szCs w:val="21"/>
                <w:highlight w:val="none"/>
                <w:u w:val="none"/>
                <w:lang w:val="en-US" w:eastAsia="zh-CN" w:bidi="ar"/>
              </w:rPr>
              <w:t>5分的基础上，每负偏离一项扣1分（带“▲”负偏离扣2分），扣完为止。</w:t>
            </w:r>
          </w:p>
        </w:tc>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397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0-31分</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21A1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客观分</w:t>
            </w:r>
          </w:p>
        </w:tc>
      </w:tr>
      <w:tr w14:paraId="2B77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vMerge w:val="continue"/>
            <w:tcBorders>
              <w:top w:val="single" w:color="000000" w:sz="4" w:space="0"/>
              <w:left w:val="single" w:color="000000" w:sz="4" w:space="0"/>
              <w:bottom w:val="single" w:color="000000" w:sz="4" w:space="0"/>
              <w:right w:val="nil"/>
            </w:tcBorders>
            <w:noWrap w:val="0"/>
            <w:vAlign w:val="center"/>
          </w:tcPr>
          <w:p w14:paraId="5F0E3FA5">
            <w:pPr>
              <w:jc w:val="center"/>
              <w:rPr>
                <w:rFonts w:hint="eastAsia" w:ascii="黑体" w:hAnsi="宋体" w:eastAsia="黑体" w:cs="黑体"/>
                <w:i w:val="0"/>
                <w:iCs w:val="0"/>
                <w:color w:val="auto"/>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02E0B">
            <w:pPr>
              <w:jc w:val="center"/>
              <w:rPr>
                <w:rFonts w:hint="eastAsia" w:ascii="宋体" w:hAnsi="宋体" w:eastAsia="宋体" w:cs="宋体"/>
                <w:i w:val="0"/>
                <w:iCs w:val="0"/>
                <w:color w:val="auto"/>
                <w:sz w:val="21"/>
                <w:szCs w:val="21"/>
                <w:highlight w:val="none"/>
                <w:u w:val="none"/>
              </w:rPr>
            </w:pPr>
          </w:p>
        </w:tc>
        <w:tc>
          <w:tcPr>
            <w:tcW w:w="6945" w:type="dxa"/>
            <w:tcBorders>
              <w:top w:val="single" w:color="000000" w:sz="4" w:space="0"/>
              <w:left w:val="nil"/>
              <w:bottom w:val="single" w:color="000000" w:sz="4" w:space="0"/>
              <w:right w:val="single" w:color="000000" w:sz="4" w:space="0"/>
            </w:tcBorders>
            <w:noWrap w:val="0"/>
            <w:vAlign w:val="center"/>
          </w:tcPr>
          <w:p w14:paraId="1FF9988A">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注：投标方应逐条应答并注明证明材料所在页码，未提供有效证明材料的，评标专家按照参数属负偏离或缺漏项进行评分。</w:t>
            </w:r>
          </w:p>
        </w:tc>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EDD06">
            <w:pPr>
              <w:jc w:val="center"/>
              <w:rPr>
                <w:rFonts w:hint="eastAsia" w:ascii="宋体" w:hAnsi="宋体" w:eastAsia="宋体" w:cs="宋体"/>
                <w:i w:val="0"/>
                <w:iCs w:val="0"/>
                <w:color w:val="auto"/>
                <w:sz w:val="21"/>
                <w:szCs w:val="21"/>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41034">
            <w:pPr>
              <w:jc w:val="center"/>
              <w:rPr>
                <w:rFonts w:hint="eastAsia" w:ascii="宋体" w:hAnsi="宋体" w:eastAsia="宋体" w:cs="宋体"/>
                <w:i w:val="0"/>
                <w:iCs w:val="0"/>
                <w:color w:val="auto"/>
                <w:sz w:val="21"/>
                <w:szCs w:val="21"/>
                <w:highlight w:val="none"/>
                <w:u w:val="none"/>
              </w:rPr>
            </w:pPr>
          </w:p>
        </w:tc>
      </w:tr>
      <w:tr w14:paraId="628D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single" w:color="000000" w:sz="4" w:space="0"/>
              <w:left w:val="single" w:color="000000" w:sz="4" w:space="0"/>
              <w:bottom w:val="single" w:color="000000" w:sz="4" w:space="0"/>
              <w:right w:val="nil"/>
            </w:tcBorders>
            <w:noWrap w:val="0"/>
            <w:vAlign w:val="center"/>
          </w:tcPr>
          <w:p w14:paraId="6D5A804D">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3</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8DE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产品相关要求（15）</w:t>
            </w:r>
          </w:p>
        </w:tc>
        <w:tc>
          <w:tcPr>
            <w:tcW w:w="6945" w:type="dxa"/>
            <w:tcBorders>
              <w:top w:val="single" w:color="000000" w:sz="4" w:space="0"/>
              <w:left w:val="nil"/>
              <w:bottom w:val="single" w:color="000000" w:sz="4" w:space="0"/>
              <w:right w:val="single" w:color="000000" w:sz="4" w:space="0"/>
            </w:tcBorders>
            <w:noWrap w:val="0"/>
            <w:vAlign w:val="center"/>
          </w:tcPr>
          <w:p w14:paraId="208A921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（1）信息安全级认证，具有微型计算机信息安全卓越级证书和检测报告的得3分。</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C2CAE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6F113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客观分</w:t>
            </w:r>
          </w:p>
        </w:tc>
      </w:tr>
      <w:tr w14:paraId="4E1D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single" w:color="000000" w:sz="4" w:space="0"/>
              <w:left w:val="single" w:color="000000" w:sz="4" w:space="0"/>
              <w:bottom w:val="single" w:color="000000" w:sz="4" w:space="0"/>
              <w:right w:val="nil"/>
            </w:tcBorders>
            <w:noWrap w:val="0"/>
            <w:vAlign w:val="center"/>
          </w:tcPr>
          <w:p w14:paraId="5B75EB2C">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4</w:t>
            </w: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18221">
            <w:pPr>
              <w:jc w:val="center"/>
              <w:rPr>
                <w:rFonts w:hint="eastAsia" w:ascii="宋体" w:hAnsi="宋体" w:eastAsia="宋体" w:cs="宋体"/>
                <w:i w:val="0"/>
                <w:iCs w:val="0"/>
                <w:color w:val="auto"/>
                <w:sz w:val="21"/>
                <w:szCs w:val="21"/>
                <w:highlight w:val="none"/>
                <w:u w:val="none"/>
              </w:rPr>
            </w:pPr>
          </w:p>
        </w:tc>
        <w:tc>
          <w:tcPr>
            <w:tcW w:w="6945" w:type="dxa"/>
            <w:tcBorders>
              <w:top w:val="single" w:color="000000" w:sz="4" w:space="0"/>
              <w:left w:val="nil"/>
              <w:bottom w:val="single" w:color="000000" w:sz="4" w:space="0"/>
              <w:right w:val="single" w:color="000000" w:sz="4" w:space="0"/>
            </w:tcBorders>
            <w:noWrap w:val="0"/>
            <w:vAlign w:val="center"/>
          </w:tcPr>
          <w:p w14:paraId="478BD5F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（2）国产化率，产品元器件国产化率≥99%，具有证书+检测报告的得3分，缺一项不得分。</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1FE9D8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A88A0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客观分</w:t>
            </w:r>
          </w:p>
        </w:tc>
      </w:tr>
      <w:tr w14:paraId="687F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single" w:color="000000" w:sz="4" w:space="0"/>
              <w:left w:val="single" w:color="000000" w:sz="4" w:space="0"/>
              <w:bottom w:val="single" w:color="000000" w:sz="4" w:space="0"/>
              <w:right w:val="nil"/>
            </w:tcBorders>
            <w:noWrap w:val="0"/>
            <w:vAlign w:val="center"/>
          </w:tcPr>
          <w:p w14:paraId="046657D1">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5</w:t>
            </w: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72368">
            <w:pPr>
              <w:jc w:val="center"/>
              <w:rPr>
                <w:rFonts w:hint="eastAsia" w:ascii="宋体" w:hAnsi="宋体" w:eastAsia="宋体" w:cs="宋体"/>
                <w:i w:val="0"/>
                <w:iCs w:val="0"/>
                <w:color w:val="auto"/>
                <w:sz w:val="21"/>
                <w:szCs w:val="21"/>
                <w:highlight w:val="none"/>
                <w:u w:val="none"/>
              </w:rPr>
            </w:pPr>
          </w:p>
        </w:tc>
        <w:tc>
          <w:tcPr>
            <w:tcW w:w="6945" w:type="dxa"/>
            <w:tcBorders>
              <w:top w:val="single" w:color="000000" w:sz="4" w:space="0"/>
              <w:left w:val="nil"/>
              <w:bottom w:val="single" w:color="000000" w:sz="4" w:space="0"/>
              <w:right w:val="single" w:color="000000" w:sz="4" w:space="0"/>
            </w:tcBorders>
            <w:noWrap w:val="0"/>
            <w:vAlign w:val="center"/>
          </w:tcPr>
          <w:p w14:paraId="7A3137D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（3）MTBF平均故障间隔时间，所投产品平均无故障工作时间(MTBF)≥100万小时，提供权威机构证书的得3分。</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5314DD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DA3E4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客观分</w:t>
            </w:r>
          </w:p>
        </w:tc>
      </w:tr>
      <w:tr w14:paraId="1862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9" w:type="dxa"/>
            <w:tcBorders>
              <w:top w:val="single" w:color="000000" w:sz="4" w:space="0"/>
              <w:left w:val="single" w:color="000000" w:sz="4" w:space="0"/>
              <w:bottom w:val="single" w:color="000000" w:sz="4" w:space="0"/>
              <w:right w:val="nil"/>
            </w:tcBorders>
            <w:noWrap w:val="0"/>
            <w:vAlign w:val="center"/>
          </w:tcPr>
          <w:p w14:paraId="1493B7EF">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6</w:t>
            </w: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A9AB4">
            <w:pPr>
              <w:jc w:val="center"/>
              <w:rPr>
                <w:rFonts w:hint="eastAsia" w:ascii="宋体" w:hAnsi="宋体" w:eastAsia="宋体" w:cs="宋体"/>
                <w:i w:val="0"/>
                <w:iCs w:val="0"/>
                <w:color w:val="auto"/>
                <w:sz w:val="21"/>
                <w:szCs w:val="21"/>
                <w:highlight w:val="none"/>
                <w:u w:val="none"/>
              </w:rPr>
            </w:pPr>
          </w:p>
        </w:tc>
        <w:tc>
          <w:tcPr>
            <w:tcW w:w="6945" w:type="dxa"/>
            <w:tcBorders>
              <w:top w:val="single" w:color="000000" w:sz="4" w:space="0"/>
              <w:left w:val="nil"/>
              <w:bottom w:val="single" w:color="000000" w:sz="4" w:space="0"/>
              <w:right w:val="single" w:color="000000" w:sz="4" w:space="0"/>
            </w:tcBorders>
            <w:noWrap w:val="0"/>
            <w:vAlign w:val="center"/>
          </w:tcPr>
          <w:p w14:paraId="23542799">
            <w:pPr>
              <w:keepNext w:val="0"/>
              <w:keepLines w:val="0"/>
              <w:widowControl w:val="0"/>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（4）具备硬盘数据保护功能，提供基于BIOS固件系统还原软件</w:t>
            </w:r>
            <w:r>
              <w:rPr>
                <w:rFonts w:hint="eastAsia" w:ascii="宋体" w:hAnsi="宋体" w:eastAsia="宋体" w:cs="宋体"/>
                <w:color w:val="auto"/>
                <w:kern w:val="2"/>
                <w:sz w:val="21"/>
                <w:szCs w:val="21"/>
                <w:highlight w:val="none"/>
                <w:lang w:val="en-US" w:eastAsia="zh-CN" w:bidi="ar"/>
              </w:rPr>
              <w:t>（非操作系统自带功能）</w:t>
            </w:r>
            <w:r>
              <w:rPr>
                <w:rFonts w:hint="eastAsia" w:ascii="宋体" w:hAnsi="宋体" w:eastAsia="宋体" w:cs="宋体"/>
                <w:i w:val="0"/>
                <w:iCs w:val="0"/>
                <w:color w:val="auto"/>
                <w:kern w:val="0"/>
                <w:sz w:val="21"/>
                <w:szCs w:val="21"/>
                <w:highlight w:val="none"/>
                <w:u w:val="none"/>
                <w:lang w:val="en-US" w:eastAsia="zh-CN" w:bidi="ar"/>
              </w:rPr>
              <w:t>，并提供软件著作权证书的得3分。</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231E4C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7F105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客观分</w:t>
            </w:r>
          </w:p>
        </w:tc>
      </w:tr>
      <w:tr w14:paraId="5D5E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dxa"/>
            <w:vMerge w:val="restart"/>
            <w:tcBorders>
              <w:top w:val="single" w:color="000000" w:sz="4" w:space="0"/>
              <w:left w:val="single" w:color="000000" w:sz="4" w:space="0"/>
              <w:right w:val="nil"/>
            </w:tcBorders>
            <w:noWrap w:val="0"/>
            <w:vAlign w:val="center"/>
          </w:tcPr>
          <w:p w14:paraId="766356F5">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7</w:t>
            </w: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A68C4">
            <w:pPr>
              <w:jc w:val="center"/>
              <w:rPr>
                <w:rFonts w:hint="eastAsia" w:ascii="宋体" w:hAnsi="宋体" w:eastAsia="宋体" w:cs="宋体"/>
                <w:i w:val="0"/>
                <w:iCs w:val="0"/>
                <w:color w:val="auto"/>
                <w:sz w:val="21"/>
                <w:szCs w:val="21"/>
                <w:highlight w:val="none"/>
                <w:u w:val="none"/>
              </w:rPr>
            </w:pPr>
          </w:p>
        </w:tc>
        <w:tc>
          <w:tcPr>
            <w:tcW w:w="6945" w:type="dxa"/>
            <w:tcBorders>
              <w:top w:val="single" w:color="000000" w:sz="4" w:space="0"/>
              <w:left w:val="nil"/>
              <w:bottom w:val="single" w:color="000000" w:sz="4" w:space="0"/>
              <w:right w:val="single" w:color="000000" w:sz="4" w:space="0"/>
            </w:tcBorders>
            <w:noWrap w:val="0"/>
            <w:vAlign w:val="center"/>
          </w:tcPr>
          <w:p w14:paraId="44E17A7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（5）内存读写最高速率≥8400MT/s得3分。提供证明。</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43C903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B4078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客观分</w:t>
            </w:r>
          </w:p>
        </w:tc>
      </w:tr>
      <w:tr w14:paraId="08CE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vMerge w:val="continue"/>
            <w:tcBorders>
              <w:left w:val="single" w:color="000000" w:sz="4" w:space="0"/>
              <w:bottom w:val="single" w:color="000000" w:sz="4" w:space="0"/>
              <w:right w:val="nil"/>
            </w:tcBorders>
            <w:noWrap w:val="0"/>
            <w:vAlign w:val="center"/>
          </w:tcPr>
          <w:p w14:paraId="3E7ACC6A">
            <w:pPr>
              <w:jc w:val="center"/>
              <w:rPr>
                <w:rFonts w:hint="eastAsia" w:ascii="黑体" w:hAnsi="宋体" w:eastAsia="黑体" w:cs="黑体"/>
                <w:i w:val="0"/>
                <w:iCs w:val="0"/>
                <w:color w:val="auto"/>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2E650">
            <w:pPr>
              <w:jc w:val="center"/>
              <w:rPr>
                <w:rFonts w:hint="eastAsia" w:ascii="宋体" w:hAnsi="宋体" w:eastAsia="宋体" w:cs="宋体"/>
                <w:i w:val="0"/>
                <w:iCs w:val="0"/>
                <w:color w:val="auto"/>
                <w:sz w:val="21"/>
                <w:szCs w:val="21"/>
                <w:highlight w:val="none"/>
                <w:u w:val="none"/>
              </w:rPr>
            </w:pPr>
          </w:p>
        </w:tc>
        <w:tc>
          <w:tcPr>
            <w:tcW w:w="6945" w:type="dxa"/>
            <w:tcBorders>
              <w:top w:val="single" w:color="000000" w:sz="4" w:space="0"/>
              <w:left w:val="nil"/>
              <w:bottom w:val="single" w:color="000000" w:sz="4" w:space="0"/>
              <w:right w:val="single" w:color="000000" w:sz="4" w:space="0"/>
            </w:tcBorders>
            <w:noWrap w:val="0"/>
            <w:vAlign w:val="center"/>
          </w:tcPr>
          <w:p w14:paraId="08E39A79">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注：投标方应提供证书扫描件，未提供证书或不在有效期内的不得分。</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2D81AE92">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2F0228">
            <w:pPr>
              <w:jc w:val="center"/>
              <w:rPr>
                <w:rFonts w:hint="eastAsia" w:ascii="宋体" w:hAnsi="宋体" w:eastAsia="宋体" w:cs="宋体"/>
                <w:i w:val="0"/>
                <w:iCs w:val="0"/>
                <w:color w:val="auto"/>
                <w:sz w:val="21"/>
                <w:szCs w:val="21"/>
                <w:highlight w:val="none"/>
                <w:u w:val="none"/>
              </w:rPr>
            </w:pPr>
          </w:p>
        </w:tc>
      </w:tr>
      <w:tr w14:paraId="7387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69" w:type="dxa"/>
            <w:tcBorders>
              <w:top w:val="single" w:color="000000" w:sz="4" w:space="0"/>
              <w:left w:val="single" w:color="000000" w:sz="4" w:space="0"/>
              <w:bottom w:val="single" w:color="000000" w:sz="4" w:space="0"/>
              <w:right w:val="nil"/>
            </w:tcBorders>
            <w:noWrap w:val="0"/>
            <w:vAlign w:val="center"/>
          </w:tcPr>
          <w:p w14:paraId="20B830E7">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452B74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项目实施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p>
        </w:tc>
        <w:tc>
          <w:tcPr>
            <w:tcW w:w="6945" w:type="dxa"/>
            <w:tcBorders>
              <w:top w:val="single" w:color="000000" w:sz="4" w:space="0"/>
              <w:left w:val="nil"/>
              <w:bottom w:val="single" w:color="000000" w:sz="4" w:space="0"/>
              <w:right w:val="single" w:color="000000" w:sz="4" w:space="0"/>
            </w:tcBorders>
            <w:noWrap w:val="0"/>
            <w:vAlign w:val="center"/>
          </w:tcPr>
          <w:p w14:paraId="2377DA7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根据投标方提供的项目实施方案（包括但不限于产品供货、验货、设备安装调试、项目实施人员安排等内容）是否科学管理、组织严谨、是否有针对性等打分，未提供不得分。</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4DAEE1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A4E44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主观分</w:t>
            </w:r>
          </w:p>
        </w:tc>
      </w:tr>
      <w:tr w14:paraId="0334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569" w:type="dxa"/>
            <w:tcBorders>
              <w:top w:val="single" w:color="000000" w:sz="4" w:space="0"/>
              <w:left w:val="single" w:color="000000" w:sz="4" w:space="0"/>
              <w:bottom w:val="single" w:color="000000" w:sz="4" w:space="0"/>
              <w:right w:val="nil"/>
            </w:tcBorders>
            <w:noWrap w:val="0"/>
            <w:vAlign w:val="center"/>
          </w:tcPr>
          <w:p w14:paraId="59E25CC9">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9</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284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售后服务（7）</w:t>
            </w:r>
          </w:p>
        </w:tc>
        <w:tc>
          <w:tcPr>
            <w:tcW w:w="6945" w:type="dxa"/>
            <w:tcBorders>
              <w:top w:val="single" w:color="000000" w:sz="4" w:space="0"/>
              <w:left w:val="nil"/>
              <w:bottom w:val="single" w:color="000000" w:sz="4" w:space="0"/>
              <w:right w:val="single" w:color="000000" w:sz="4" w:space="0"/>
            </w:tcBorders>
            <w:noWrap w:val="0"/>
            <w:vAlign w:val="center"/>
          </w:tcPr>
          <w:p w14:paraId="7012F2D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根据投标人提供的售后服务承诺的故障响应时间打分：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电话7*24小时即时响应，1小时内能到达现场处理故障的得2分；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电话7*24小时即时响应，2小时内能到达现场处理故障的得1分；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未提供承诺不得分。</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41803A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37E97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客观分</w:t>
            </w:r>
          </w:p>
        </w:tc>
      </w:tr>
      <w:tr w14:paraId="603B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single" w:color="000000" w:sz="4" w:space="0"/>
              <w:left w:val="single" w:color="000000" w:sz="4" w:space="0"/>
              <w:bottom w:val="single" w:color="000000" w:sz="4" w:space="0"/>
              <w:right w:val="nil"/>
            </w:tcBorders>
            <w:noWrap w:val="0"/>
            <w:vAlign w:val="center"/>
          </w:tcPr>
          <w:p w14:paraId="3508B8F1">
            <w:pPr>
              <w:keepNext w:val="0"/>
              <w:keepLines w:val="0"/>
              <w:widowControl/>
              <w:suppressLineNumbers w:val="0"/>
              <w:jc w:val="center"/>
              <w:textAlignment w:val="center"/>
              <w:rPr>
                <w:rFonts w:hint="default" w:ascii="黑体" w:hAnsi="宋体" w:eastAsia="黑体" w:cs="黑体"/>
                <w:i w:val="0"/>
                <w:iCs w:val="0"/>
                <w:color w:val="auto"/>
                <w:sz w:val="21"/>
                <w:szCs w:val="21"/>
                <w:highlight w:val="none"/>
                <w:u w:val="none"/>
                <w:lang w:val="en-US"/>
              </w:rPr>
            </w:pPr>
            <w:r>
              <w:rPr>
                <w:rFonts w:hint="eastAsia" w:ascii="黑体" w:hAnsi="宋体" w:eastAsia="黑体" w:cs="黑体"/>
                <w:i w:val="0"/>
                <w:iCs w:val="0"/>
                <w:color w:val="auto"/>
                <w:kern w:val="0"/>
                <w:sz w:val="21"/>
                <w:szCs w:val="21"/>
                <w:highlight w:val="none"/>
                <w:u w:val="none"/>
                <w:lang w:val="en-US" w:eastAsia="zh-CN" w:bidi="ar"/>
              </w:rPr>
              <w:t>10</w:t>
            </w: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9B47F">
            <w:pPr>
              <w:jc w:val="center"/>
              <w:rPr>
                <w:rFonts w:hint="eastAsia" w:ascii="宋体" w:hAnsi="宋体" w:eastAsia="宋体" w:cs="宋体"/>
                <w:i w:val="0"/>
                <w:iCs w:val="0"/>
                <w:color w:val="auto"/>
                <w:sz w:val="21"/>
                <w:szCs w:val="21"/>
                <w:highlight w:val="none"/>
                <w:u w:val="none"/>
              </w:rPr>
            </w:pPr>
          </w:p>
        </w:tc>
        <w:tc>
          <w:tcPr>
            <w:tcW w:w="6945" w:type="dxa"/>
            <w:tcBorders>
              <w:top w:val="single" w:color="000000" w:sz="4" w:space="0"/>
              <w:left w:val="nil"/>
              <w:bottom w:val="single" w:color="000000" w:sz="4" w:space="0"/>
              <w:right w:val="single" w:color="000000" w:sz="4" w:space="0"/>
            </w:tcBorders>
            <w:noWrap w:val="0"/>
            <w:vAlign w:val="center"/>
          </w:tcPr>
          <w:p w14:paraId="4D4852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根据维保机构设置、人员设备、上门服务方案等情况，从时效性、可行性、合理性进行综合打分，最高得3分，未提供不得分。</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5E1A6A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8CCC7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主观分</w:t>
            </w:r>
          </w:p>
        </w:tc>
      </w:tr>
      <w:tr w14:paraId="5935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single" w:color="000000" w:sz="4" w:space="0"/>
              <w:left w:val="single" w:color="000000" w:sz="4" w:space="0"/>
              <w:bottom w:val="single" w:color="000000" w:sz="4" w:space="0"/>
              <w:right w:val="nil"/>
            </w:tcBorders>
            <w:noWrap w:val="0"/>
            <w:vAlign w:val="center"/>
          </w:tcPr>
          <w:p w14:paraId="127AA1F3">
            <w:pPr>
              <w:keepNext w:val="0"/>
              <w:keepLines w:val="0"/>
              <w:widowControl/>
              <w:suppressLineNumbers w:val="0"/>
              <w:jc w:val="center"/>
              <w:textAlignment w:val="center"/>
              <w:rPr>
                <w:rFonts w:hint="default" w:ascii="黑体" w:hAnsi="宋体" w:eastAsia="黑体" w:cs="黑体"/>
                <w:i w:val="0"/>
                <w:iCs w:val="0"/>
                <w:color w:val="auto"/>
                <w:sz w:val="21"/>
                <w:szCs w:val="21"/>
                <w:highlight w:val="none"/>
                <w:u w:val="none"/>
                <w:lang w:val="en-US"/>
              </w:rPr>
            </w:pPr>
            <w:bookmarkStart w:id="89" w:name="_GoBack" w:colFirst="2" w:colLast="4"/>
            <w:r>
              <w:rPr>
                <w:rFonts w:hint="eastAsia" w:ascii="黑体" w:hAnsi="宋体" w:eastAsia="黑体" w:cs="黑体"/>
                <w:i w:val="0"/>
                <w:iCs w:val="0"/>
                <w:color w:val="auto"/>
                <w:kern w:val="0"/>
                <w:sz w:val="21"/>
                <w:szCs w:val="21"/>
                <w:highlight w:val="none"/>
                <w:u w:val="none"/>
                <w:lang w:val="en-US" w:eastAsia="zh-CN" w:bidi="ar"/>
              </w:rPr>
              <w:t>11</w:t>
            </w: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53DA3">
            <w:pPr>
              <w:jc w:val="center"/>
              <w:rPr>
                <w:rFonts w:hint="eastAsia" w:ascii="宋体" w:hAnsi="宋体" w:eastAsia="宋体" w:cs="宋体"/>
                <w:i w:val="0"/>
                <w:iCs w:val="0"/>
                <w:color w:val="auto"/>
                <w:sz w:val="21"/>
                <w:szCs w:val="21"/>
                <w:highlight w:val="none"/>
                <w:u w:val="none"/>
              </w:rPr>
            </w:pPr>
          </w:p>
        </w:tc>
        <w:tc>
          <w:tcPr>
            <w:tcW w:w="6945" w:type="dxa"/>
            <w:tcBorders>
              <w:top w:val="single" w:color="000000" w:sz="4" w:space="0"/>
              <w:left w:val="nil"/>
              <w:bottom w:val="single" w:color="000000" w:sz="4" w:space="0"/>
              <w:right w:val="single" w:color="000000" w:sz="4" w:space="0"/>
            </w:tcBorders>
            <w:noWrap w:val="0"/>
            <w:vAlign w:val="center"/>
          </w:tcPr>
          <w:p w14:paraId="65A5341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所有产品质保期至少3年，每增加1年加1分，最高得2分，未提供承诺不得分。</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176B90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29CFE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客观分</w:t>
            </w:r>
          </w:p>
        </w:tc>
      </w:tr>
      <w:bookmarkEnd w:id="89"/>
      <w:tr w14:paraId="1301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vMerge w:val="restart"/>
            <w:tcBorders>
              <w:top w:val="single" w:color="000000" w:sz="4" w:space="0"/>
              <w:left w:val="single" w:color="000000" w:sz="4" w:space="0"/>
              <w:bottom w:val="single" w:color="000000" w:sz="4" w:space="0"/>
              <w:right w:val="nil"/>
            </w:tcBorders>
            <w:noWrap w:val="0"/>
            <w:vAlign w:val="center"/>
          </w:tcPr>
          <w:p w14:paraId="496D7A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FBD9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报价分（40）</w:t>
            </w:r>
          </w:p>
        </w:tc>
        <w:tc>
          <w:tcPr>
            <w:tcW w:w="6945" w:type="dxa"/>
            <w:tcBorders>
              <w:top w:val="single" w:color="000000" w:sz="4" w:space="0"/>
              <w:left w:val="nil"/>
              <w:bottom w:val="single" w:color="000000" w:sz="4" w:space="0"/>
              <w:right w:val="single" w:color="000000" w:sz="4" w:space="0"/>
            </w:tcBorders>
            <w:noWrap w:val="0"/>
            <w:vAlign w:val="top"/>
          </w:tcPr>
          <w:p w14:paraId="6B90A8DB">
            <w:pPr>
              <w:keepNext w:val="0"/>
              <w:keepLines w:val="0"/>
              <w:widowControl/>
              <w:suppressLineNumbers w:val="0"/>
              <w:jc w:val="both"/>
              <w:textAlignment w:val="top"/>
              <w:rPr>
                <w:rFonts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评标价=投标单价</w:t>
            </w:r>
          </w:p>
        </w:tc>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272A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w:t>
            </w:r>
            <w:r>
              <w:rPr>
                <w:rFonts w:hint="eastAsia" w:ascii="宋体" w:hAnsi="宋体" w:eastAsia="宋体" w:cs="宋体"/>
                <w:i w:val="0"/>
                <w:iCs w:val="0"/>
                <w:color w:val="auto"/>
                <w:kern w:val="0"/>
                <w:sz w:val="21"/>
                <w:szCs w:val="21"/>
                <w:highlight w:val="none"/>
                <w:u w:val="none"/>
                <w:lang w:val="en-US" w:eastAsia="zh-CN" w:bidi="ar"/>
              </w:rPr>
              <w:t>分</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ACF62A">
            <w:pPr>
              <w:jc w:val="center"/>
              <w:rPr>
                <w:rFonts w:hint="default" w:ascii="Times New Roman" w:hAnsi="Times New Roman" w:eastAsia="宋体" w:cs="Times New Roman"/>
                <w:i w:val="0"/>
                <w:iCs w:val="0"/>
                <w:color w:val="auto"/>
                <w:sz w:val="21"/>
                <w:szCs w:val="21"/>
                <w:highlight w:val="none"/>
                <w:u w:val="none"/>
              </w:rPr>
            </w:pPr>
          </w:p>
        </w:tc>
      </w:tr>
      <w:tr w14:paraId="3640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vMerge w:val="continue"/>
            <w:tcBorders>
              <w:top w:val="single" w:color="000000" w:sz="4" w:space="0"/>
              <w:left w:val="single" w:color="000000" w:sz="4" w:space="0"/>
              <w:bottom w:val="single" w:color="000000" w:sz="4" w:space="0"/>
              <w:right w:val="nil"/>
            </w:tcBorders>
            <w:noWrap w:val="0"/>
            <w:vAlign w:val="center"/>
          </w:tcPr>
          <w:p w14:paraId="43F99157">
            <w:pPr>
              <w:jc w:val="center"/>
              <w:rPr>
                <w:rFonts w:hint="eastAsia" w:ascii="宋体" w:hAnsi="宋体" w:eastAsia="宋体" w:cs="宋体"/>
                <w:i w:val="0"/>
                <w:iCs w:val="0"/>
                <w:color w:val="auto"/>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2385D">
            <w:pPr>
              <w:jc w:val="center"/>
              <w:rPr>
                <w:rFonts w:hint="eastAsia" w:ascii="宋体" w:hAnsi="宋体" w:eastAsia="宋体" w:cs="宋体"/>
                <w:i w:val="0"/>
                <w:iCs w:val="0"/>
                <w:color w:val="auto"/>
                <w:sz w:val="21"/>
                <w:szCs w:val="21"/>
                <w:highlight w:val="none"/>
                <w:u w:val="none"/>
              </w:rPr>
            </w:pPr>
          </w:p>
        </w:tc>
        <w:tc>
          <w:tcPr>
            <w:tcW w:w="6945" w:type="dxa"/>
            <w:tcBorders>
              <w:top w:val="single" w:color="000000" w:sz="4" w:space="0"/>
              <w:left w:val="nil"/>
              <w:bottom w:val="single" w:color="000000" w:sz="4" w:space="0"/>
              <w:right w:val="single" w:color="000000" w:sz="4" w:space="0"/>
            </w:tcBorders>
            <w:noWrap w:val="0"/>
            <w:vAlign w:val="top"/>
          </w:tcPr>
          <w:p w14:paraId="2C3A0A66">
            <w:pPr>
              <w:keepNext w:val="0"/>
              <w:keepLines w:val="0"/>
              <w:widowControl/>
              <w:suppressLineNumbers w:val="0"/>
              <w:jc w:val="both"/>
              <w:textAlignment w:val="top"/>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、以符合招标文件要求且最低的</w:t>
            </w:r>
            <w:r>
              <w:rPr>
                <w:rStyle w:val="84"/>
                <w:color w:val="auto"/>
                <w:highlight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为评标基准价，其报价得分为满分。</w:t>
            </w:r>
          </w:p>
        </w:tc>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6FE12">
            <w:pPr>
              <w:jc w:val="center"/>
              <w:rPr>
                <w:rFonts w:hint="default" w:ascii="Times New Roman" w:hAnsi="Times New Roman" w:eastAsia="宋体" w:cs="Times New Roman"/>
                <w:i w:val="0"/>
                <w:iCs w:val="0"/>
                <w:color w:val="auto"/>
                <w:sz w:val="21"/>
                <w:szCs w:val="21"/>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1CBD7">
            <w:pPr>
              <w:jc w:val="center"/>
              <w:rPr>
                <w:rFonts w:hint="default" w:ascii="Times New Roman" w:hAnsi="Times New Roman" w:eastAsia="宋体" w:cs="Times New Roman"/>
                <w:i w:val="0"/>
                <w:iCs w:val="0"/>
                <w:color w:val="auto"/>
                <w:sz w:val="21"/>
                <w:szCs w:val="21"/>
                <w:highlight w:val="none"/>
                <w:u w:val="none"/>
              </w:rPr>
            </w:pPr>
          </w:p>
        </w:tc>
      </w:tr>
      <w:tr w14:paraId="011D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vMerge w:val="continue"/>
            <w:tcBorders>
              <w:top w:val="single" w:color="000000" w:sz="4" w:space="0"/>
              <w:left w:val="single" w:color="000000" w:sz="4" w:space="0"/>
              <w:bottom w:val="single" w:color="000000" w:sz="4" w:space="0"/>
              <w:right w:val="nil"/>
            </w:tcBorders>
            <w:noWrap w:val="0"/>
            <w:vAlign w:val="center"/>
          </w:tcPr>
          <w:p w14:paraId="6C6A369E">
            <w:pPr>
              <w:jc w:val="center"/>
              <w:rPr>
                <w:rFonts w:hint="eastAsia" w:ascii="宋体" w:hAnsi="宋体" w:eastAsia="宋体" w:cs="宋体"/>
                <w:i w:val="0"/>
                <w:iCs w:val="0"/>
                <w:color w:val="auto"/>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9A4A4">
            <w:pPr>
              <w:jc w:val="center"/>
              <w:rPr>
                <w:rFonts w:hint="eastAsia" w:ascii="宋体" w:hAnsi="宋体" w:eastAsia="宋体" w:cs="宋体"/>
                <w:i w:val="0"/>
                <w:iCs w:val="0"/>
                <w:color w:val="auto"/>
                <w:sz w:val="21"/>
                <w:szCs w:val="21"/>
                <w:highlight w:val="none"/>
                <w:u w:val="none"/>
              </w:rPr>
            </w:pPr>
          </w:p>
        </w:tc>
        <w:tc>
          <w:tcPr>
            <w:tcW w:w="6945" w:type="dxa"/>
            <w:tcBorders>
              <w:top w:val="single" w:color="000000" w:sz="4" w:space="0"/>
              <w:left w:val="nil"/>
              <w:bottom w:val="single" w:color="000000" w:sz="4" w:space="0"/>
              <w:right w:val="single" w:color="000000" w:sz="4" w:space="0"/>
            </w:tcBorders>
            <w:noWrap w:val="0"/>
            <w:vAlign w:val="top"/>
          </w:tcPr>
          <w:p w14:paraId="746107BF">
            <w:pPr>
              <w:keepNext w:val="0"/>
              <w:keepLines w:val="0"/>
              <w:widowControl/>
              <w:suppressLineNumbers w:val="0"/>
              <w:jc w:val="both"/>
              <w:textAlignment w:val="top"/>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、其他投标人的报价分统一按照下列公式计算：</w:t>
            </w:r>
          </w:p>
        </w:tc>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D4F93">
            <w:pPr>
              <w:jc w:val="center"/>
              <w:rPr>
                <w:rFonts w:hint="default" w:ascii="Times New Roman" w:hAnsi="Times New Roman" w:eastAsia="宋体" w:cs="Times New Roman"/>
                <w:i w:val="0"/>
                <w:iCs w:val="0"/>
                <w:color w:val="auto"/>
                <w:sz w:val="21"/>
                <w:szCs w:val="21"/>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EC80E">
            <w:pPr>
              <w:jc w:val="center"/>
              <w:rPr>
                <w:rFonts w:hint="default" w:ascii="Times New Roman" w:hAnsi="Times New Roman" w:eastAsia="宋体" w:cs="Times New Roman"/>
                <w:i w:val="0"/>
                <w:iCs w:val="0"/>
                <w:color w:val="auto"/>
                <w:sz w:val="21"/>
                <w:szCs w:val="21"/>
                <w:highlight w:val="none"/>
                <w:u w:val="none"/>
              </w:rPr>
            </w:pPr>
          </w:p>
        </w:tc>
      </w:tr>
      <w:tr w14:paraId="2227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vMerge w:val="continue"/>
            <w:tcBorders>
              <w:top w:val="single" w:color="000000" w:sz="4" w:space="0"/>
              <w:left w:val="single" w:color="000000" w:sz="4" w:space="0"/>
              <w:bottom w:val="single" w:color="000000" w:sz="4" w:space="0"/>
              <w:right w:val="nil"/>
            </w:tcBorders>
            <w:noWrap w:val="0"/>
            <w:vAlign w:val="center"/>
          </w:tcPr>
          <w:p w14:paraId="760C104B">
            <w:pPr>
              <w:jc w:val="center"/>
              <w:rPr>
                <w:rFonts w:hint="eastAsia" w:ascii="宋体" w:hAnsi="宋体" w:eastAsia="宋体" w:cs="宋体"/>
                <w:i w:val="0"/>
                <w:iCs w:val="0"/>
                <w:color w:val="auto"/>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0286A">
            <w:pPr>
              <w:jc w:val="center"/>
              <w:rPr>
                <w:rFonts w:hint="eastAsia" w:ascii="宋体" w:hAnsi="宋体" w:eastAsia="宋体" w:cs="宋体"/>
                <w:i w:val="0"/>
                <w:iCs w:val="0"/>
                <w:color w:val="auto"/>
                <w:sz w:val="21"/>
                <w:szCs w:val="21"/>
                <w:highlight w:val="none"/>
                <w:u w:val="none"/>
              </w:rPr>
            </w:pPr>
          </w:p>
        </w:tc>
        <w:tc>
          <w:tcPr>
            <w:tcW w:w="6945" w:type="dxa"/>
            <w:tcBorders>
              <w:top w:val="single" w:color="000000" w:sz="4" w:space="0"/>
              <w:left w:val="nil"/>
              <w:bottom w:val="single" w:color="000000" w:sz="4" w:space="0"/>
              <w:right w:val="single" w:color="000000" w:sz="4" w:space="0"/>
            </w:tcBorders>
            <w:noWrap w:val="0"/>
            <w:vAlign w:val="top"/>
          </w:tcPr>
          <w:p w14:paraId="6C67A5CE">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报价分＝（评标基准价／</w:t>
            </w:r>
            <w:r>
              <w:rPr>
                <w:rStyle w:val="84"/>
                <w:color w:val="auto"/>
                <w:highlight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40</w:t>
            </w:r>
            <w:r>
              <w:rPr>
                <w:rFonts w:hint="eastAsia" w:ascii="宋体" w:hAnsi="宋体" w:eastAsia="宋体" w:cs="宋体"/>
                <w:i w:val="0"/>
                <w:iCs w:val="0"/>
                <w:color w:val="auto"/>
                <w:kern w:val="0"/>
                <w:sz w:val="21"/>
                <w:szCs w:val="21"/>
                <w:highlight w:val="none"/>
                <w:u w:val="none"/>
                <w:lang w:val="en-US" w:eastAsia="zh-CN" w:bidi="ar"/>
              </w:rPr>
              <w:t>，计算结果保留</w:t>
            </w:r>
            <w:r>
              <w:rPr>
                <w:rFonts w:hint="default" w:ascii="Times New Roman" w:hAnsi="Times New Roman" w:eastAsia="宋体" w:cs="Times New Roman"/>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位小数（第三位小数四舍五入）。</w:t>
            </w:r>
          </w:p>
        </w:tc>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A4CBF">
            <w:pPr>
              <w:jc w:val="center"/>
              <w:rPr>
                <w:rFonts w:hint="default" w:ascii="Times New Roman" w:hAnsi="Times New Roman" w:eastAsia="宋体" w:cs="Times New Roman"/>
                <w:i w:val="0"/>
                <w:iCs w:val="0"/>
                <w:color w:val="auto"/>
                <w:sz w:val="21"/>
                <w:szCs w:val="21"/>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DDDEC">
            <w:pPr>
              <w:jc w:val="center"/>
              <w:rPr>
                <w:rFonts w:hint="default" w:ascii="Times New Roman" w:hAnsi="Times New Roman" w:eastAsia="宋体" w:cs="Times New Roman"/>
                <w:i w:val="0"/>
                <w:iCs w:val="0"/>
                <w:color w:val="auto"/>
                <w:sz w:val="21"/>
                <w:szCs w:val="21"/>
                <w:highlight w:val="none"/>
                <w:u w:val="none"/>
              </w:rPr>
            </w:pPr>
          </w:p>
        </w:tc>
      </w:tr>
      <w:tr w14:paraId="0C3B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single" w:color="000000" w:sz="4" w:space="0"/>
              <w:left w:val="single" w:color="000000" w:sz="4" w:space="0"/>
              <w:bottom w:val="single" w:color="000000" w:sz="4" w:space="0"/>
              <w:right w:val="nil"/>
            </w:tcBorders>
            <w:noWrap w:val="0"/>
            <w:vAlign w:val="center"/>
          </w:tcPr>
          <w:p w14:paraId="63DC73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D4CB9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综合得分</w:t>
            </w:r>
          </w:p>
        </w:tc>
        <w:tc>
          <w:tcPr>
            <w:tcW w:w="6945" w:type="dxa"/>
            <w:tcBorders>
              <w:top w:val="single" w:color="000000" w:sz="4" w:space="0"/>
              <w:left w:val="nil"/>
              <w:bottom w:val="single" w:color="000000" w:sz="4" w:space="0"/>
              <w:right w:val="single" w:color="000000" w:sz="4" w:space="0"/>
            </w:tcBorders>
            <w:noWrap w:val="0"/>
            <w:vAlign w:val="center"/>
          </w:tcPr>
          <w:p w14:paraId="756F631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投标单位综合得分</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商务技术分</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报价分</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2C9B76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分</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6685B9F7">
            <w:pPr>
              <w:rPr>
                <w:rFonts w:hint="eastAsia" w:ascii="宋体" w:hAnsi="宋体" w:eastAsia="宋体" w:cs="宋体"/>
                <w:i w:val="0"/>
                <w:iCs w:val="0"/>
                <w:color w:val="auto"/>
                <w:sz w:val="22"/>
                <w:szCs w:val="22"/>
                <w:highlight w:val="none"/>
                <w:u w:val="none"/>
              </w:rPr>
            </w:pPr>
          </w:p>
        </w:tc>
      </w:tr>
    </w:tbl>
    <w:p w14:paraId="2180018C">
      <w:pPr>
        <w:rPr>
          <w:rFonts w:hint="eastAsia" w:ascii="宋体" w:hAnsi="宋体" w:cs="宋体"/>
          <w:color w:val="auto"/>
          <w:szCs w:val="21"/>
          <w:highlight w:val="none"/>
        </w:rPr>
      </w:pPr>
    </w:p>
    <w:p w14:paraId="21D8A4DC">
      <w:pPr>
        <w:spacing w:line="42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以上评分内容仅限对未打“★”条款进行评分</w:t>
      </w:r>
      <w:r>
        <w:rPr>
          <w:rFonts w:hint="eastAsia" w:ascii="宋体" w:hAnsi="宋体" w:cs="宋体"/>
          <w:b/>
          <w:bCs/>
          <w:color w:val="auto"/>
          <w:szCs w:val="21"/>
          <w:highlight w:val="none"/>
        </w:rPr>
        <w:t>。</w:t>
      </w:r>
    </w:p>
    <w:p w14:paraId="7C103D18">
      <w:pPr>
        <w:spacing w:line="420" w:lineRule="exact"/>
        <w:rPr>
          <w:rFonts w:hint="eastAsia" w:ascii="宋体" w:hAnsi="宋体" w:cs="宋体"/>
          <w:color w:val="auto"/>
          <w:szCs w:val="21"/>
          <w:highlight w:val="none"/>
        </w:rPr>
      </w:pPr>
    </w:p>
    <w:p w14:paraId="5A7A6E6B">
      <w:pPr>
        <w:pStyle w:val="2"/>
        <w:tabs>
          <w:tab w:val="left" w:pos="360"/>
        </w:tabs>
        <w:spacing w:after="200" w:line="240" w:lineRule="auto"/>
        <w:jc w:val="center"/>
        <w:rPr>
          <w:rFonts w:hint="eastAsia"/>
          <w:color w:val="auto"/>
          <w:sz w:val="36"/>
          <w:highlight w:val="none"/>
        </w:rPr>
      </w:pPr>
      <w:r>
        <w:rPr>
          <w:rFonts w:hint="eastAsia"/>
          <w:color w:val="auto"/>
          <w:sz w:val="36"/>
          <w:highlight w:val="none"/>
        </w:rPr>
        <w:br w:type="page"/>
      </w:r>
      <w:bookmarkStart w:id="84" w:name="_Toc10608"/>
      <w:r>
        <w:rPr>
          <w:rFonts w:hint="eastAsia"/>
          <w:color w:val="auto"/>
          <w:sz w:val="36"/>
          <w:highlight w:val="none"/>
        </w:rPr>
        <w:t>第七章  合同主要条款</w:t>
      </w:r>
      <w:bookmarkEnd w:id="84"/>
    </w:p>
    <w:p w14:paraId="397CADF9">
      <w:pPr>
        <w:widowControl/>
        <w:spacing w:after="330"/>
        <w:ind w:firstLine="482" w:firstLineChars="200"/>
        <w:jc w:val="center"/>
        <w:rPr>
          <w:rFonts w:ascii="Verdana" w:hAnsi="Verdana" w:cs="Arial"/>
          <w:b/>
          <w:color w:val="auto"/>
          <w:kern w:val="0"/>
          <w:sz w:val="24"/>
          <w:highlight w:val="none"/>
        </w:rPr>
      </w:pPr>
      <w:r>
        <w:rPr>
          <w:rFonts w:ascii="Verdana" w:hAnsi="Verdana" w:cs="Arial"/>
          <w:b/>
          <w:color w:val="auto"/>
          <w:kern w:val="0"/>
          <w:sz w:val="24"/>
          <w:highlight w:val="none"/>
        </w:rPr>
        <w:t>（样本）</w:t>
      </w:r>
    </w:p>
    <w:p w14:paraId="104906DD">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供方：________________________________</w:t>
      </w:r>
    </w:p>
    <w:p w14:paraId="4A6E926E">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需方：________________________________</w:t>
      </w:r>
    </w:p>
    <w:p w14:paraId="08FA277B">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供、需双方根据__</w:t>
      </w:r>
      <w:r>
        <w:rPr>
          <w:rFonts w:hint="eastAsia" w:ascii="宋体" w:hAnsi="宋体" w:cs="宋体"/>
          <w:color w:val="auto"/>
          <w:kern w:val="0"/>
          <w:szCs w:val="21"/>
          <w:highlight w:val="none"/>
          <w:u w:val="single"/>
        </w:rPr>
        <w:t>_ _</w:t>
      </w:r>
      <w:r>
        <w:rPr>
          <w:rFonts w:hint="eastAsia" w:ascii="宋体" w:hAnsi="宋体" w:cs="宋体"/>
          <w:color w:val="auto"/>
          <w:kern w:val="0"/>
          <w:szCs w:val="21"/>
          <w:highlight w:val="none"/>
        </w:rPr>
        <w:t>年____月____日浙江省义乌市国企采购</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项目成交结果和投标文件的要求，依据《中华人民共和国民法典》并经双方协调一致，订立本采购合同。</w:t>
      </w:r>
    </w:p>
    <w:p w14:paraId="6BF8A007">
      <w:pPr>
        <w:widowControl/>
        <w:spacing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一、合同文件组成</w:t>
      </w:r>
    </w:p>
    <w:p w14:paraId="4681ACFD">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招标文件及其补充文件、询标承诺、询疑答复、投标响应文件、双方来函。合同文件组成的所有内容是构成合同不可分割的部分，与合同具有同等法律效力。</w:t>
      </w:r>
    </w:p>
    <w:p w14:paraId="22A90E8E">
      <w:pPr>
        <w:widowControl/>
        <w:spacing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二、合同金额</w:t>
      </w:r>
    </w:p>
    <w:p w14:paraId="39B62FD5">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合同总价中须包括___________________及合同中明示或暗示的所有一般风险、责任和义务等一切应由采购人支付的费用。</w:t>
      </w:r>
    </w:p>
    <w:tbl>
      <w:tblPr>
        <w:tblStyle w:val="38"/>
        <w:tblW w:w="1009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835"/>
        <w:gridCol w:w="1741"/>
        <w:gridCol w:w="967"/>
        <w:gridCol w:w="1741"/>
      </w:tblGrid>
      <w:tr w14:paraId="3969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813" w:type="dxa"/>
            <w:noWrap w:val="0"/>
            <w:vAlign w:val="center"/>
          </w:tcPr>
          <w:p w14:paraId="172DEB00">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835" w:type="dxa"/>
            <w:noWrap w:val="0"/>
            <w:vAlign w:val="center"/>
          </w:tcPr>
          <w:p w14:paraId="1B52000D">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1741" w:type="dxa"/>
            <w:noWrap w:val="0"/>
            <w:vAlign w:val="center"/>
          </w:tcPr>
          <w:p w14:paraId="5FEF33D1">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投标单价（元）</w:t>
            </w:r>
          </w:p>
        </w:tc>
        <w:tc>
          <w:tcPr>
            <w:tcW w:w="967" w:type="dxa"/>
            <w:noWrap w:val="0"/>
            <w:vAlign w:val="center"/>
          </w:tcPr>
          <w:p w14:paraId="22E68CE6">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1741" w:type="dxa"/>
            <w:noWrap w:val="0"/>
            <w:vAlign w:val="center"/>
          </w:tcPr>
          <w:p w14:paraId="192AAEBC">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投标总价（元）</w:t>
            </w:r>
          </w:p>
        </w:tc>
      </w:tr>
      <w:tr w14:paraId="6D59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13" w:type="dxa"/>
            <w:noWrap w:val="0"/>
            <w:vAlign w:val="center"/>
          </w:tcPr>
          <w:p w14:paraId="3E5F842A">
            <w:pPr>
              <w:spacing w:line="340" w:lineRule="exact"/>
              <w:jc w:val="center"/>
              <w:rPr>
                <w:rFonts w:ascii="宋体" w:hAnsi="宋体" w:cs="宋体"/>
                <w:color w:val="auto"/>
                <w:szCs w:val="21"/>
                <w:highlight w:val="none"/>
              </w:rPr>
            </w:pPr>
          </w:p>
        </w:tc>
        <w:tc>
          <w:tcPr>
            <w:tcW w:w="4835" w:type="dxa"/>
            <w:noWrap w:val="0"/>
            <w:vAlign w:val="center"/>
          </w:tcPr>
          <w:p w14:paraId="00C18EBF">
            <w:pPr>
              <w:spacing w:line="340" w:lineRule="exact"/>
              <w:jc w:val="center"/>
              <w:rPr>
                <w:rFonts w:ascii="宋体" w:hAnsi="宋体" w:cs="宋体"/>
                <w:color w:val="auto"/>
                <w:szCs w:val="21"/>
                <w:highlight w:val="none"/>
              </w:rPr>
            </w:pPr>
          </w:p>
        </w:tc>
        <w:tc>
          <w:tcPr>
            <w:tcW w:w="1741" w:type="dxa"/>
            <w:noWrap w:val="0"/>
            <w:vAlign w:val="center"/>
          </w:tcPr>
          <w:p w14:paraId="5703E38D">
            <w:pPr>
              <w:spacing w:line="340" w:lineRule="exact"/>
              <w:jc w:val="center"/>
              <w:rPr>
                <w:rFonts w:ascii="宋体" w:hAnsi="宋体" w:cs="宋体"/>
                <w:color w:val="auto"/>
                <w:szCs w:val="21"/>
                <w:highlight w:val="none"/>
              </w:rPr>
            </w:pPr>
          </w:p>
        </w:tc>
        <w:tc>
          <w:tcPr>
            <w:tcW w:w="967" w:type="dxa"/>
            <w:noWrap w:val="0"/>
            <w:vAlign w:val="center"/>
          </w:tcPr>
          <w:p w14:paraId="63F1F64A">
            <w:pPr>
              <w:spacing w:line="340" w:lineRule="exact"/>
              <w:jc w:val="center"/>
              <w:rPr>
                <w:rFonts w:ascii="宋体" w:hAnsi="宋体" w:cs="宋体"/>
                <w:color w:val="auto"/>
                <w:szCs w:val="21"/>
                <w:highlight w:val="none"/>
              </w:rPr>
            </w:pPr>
          </w:p>
        </w:tc>
        <w:tc>
          <w:tcPr>
            <w:tcW w:w="1741" w:type="dxa"/>
            <w:noWrap w:val="0"/>
            <w:vAlign w:val="top"/>
          </w:tcPr>
          <w:p w14:paraId="28A77B25">
            <w:pPr>
              <w:spacing w:line="340" w:lineRule="exact"/>
              <w:rPr>
                <w:rFonts w:ascii="宋体" w:hAnsi="宋体" w:cs="宋体"/>
                <w:color w:val="auto"/>
                <w:szCs w:val="21"/>
                <w:highlight w:val="none"/>
              </w:rPr>
            </w:pPr>
          </w:p>
        </w:tc>
      </w:tr>
      <w:tr w14:paraId="76A8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813" w:type="dxa"/>
            <w:noWrap w:val="0"/>
            <w:vAlign w:val="center"/>
          </w:tcPr>
          <w:p w14:paraId="4670F607">
            <w:pPr>
              <w:spacing w:line="340" w:lineRule="exact"/>
              <w:jc w:val="center"/>
              <w:rPr>
                <w:rFonts w:ascii="宋体" w:hAnsi="宋体" w:cs="宋体"/>
                <w:color w:val="auto"/>
                <w:szCs w:val="21"/>
                <w:highlight w:val="none"/>
              </w:rPr>
            </w:pPr>
          </w:p>
        </w:tc>
        <w:tc>
          <w:tcPr>
            <w:tcW w:w="4835" w:type="dxa"/>
            <w:noWrap w:val="0"/>
            <w:vAlign w:val="center"/>
          </w:tcPr>
          <w:p w14:paraId="383D44F8">
            <w:pPr>
              <w:spacing w:line="340" w:lineRule="exact"/>
              <w:jc w:val="center"/>
              <w:rPr>
                <w:rFonts w:ascii="宋体" w:hAnsi="宋体" w:cs="宋体"/>
                <w:color w:val="auto"/>
                <w:szCs w:val="21"/>
                <w:highlight w:val="none"/>
              </w:rPr>
            </w:pPr>
          </w:p>
        </w:tc>
        <w:tc>
          <w:tcPr>
            <w:tcW w:w="1741" w:type="dxa"/>
            <w:noWrap w:val="0"/>
            <w:vAlign w:val="top"/>
          </w:tcPr>
          <w:p w14:paraId="5CC56A6B">
            <w:pPr>
              <w:spacing w:line="340" w:lineRule="exact"/>
              <w:jc w:val="center"/>
              <w:rPr>
                <w:rFonts w:ascii="宋体" w:hAnsi="宋体" w:cs="宋体"/>
                <w:color w:val="auto"/>
                <w:szCs w:val="21"/>
                <w:highlight w:val="none"/>
              </w:rPr>
            </w:pPr>
          </w:p>
        </w:tc>
        <w:tc>
          <w:tcPr>
            <w:tcW w:w="967" w:type="dxa"/>
            <w:noWrap w:val="0"/>
            <w:vAlign w:val="center"/>
          </w:tcPr>
          <w:p w14:paraId="4F9B4332">
            <w:pPr>
              <w:spacing w:line="340" w:lineRule="exact"/>
              <w:jc w:val="center"/>
              <w:rPr>
                <w:rFonts w:ascii="宋体" w:hAnsi="宋体" w:cs="宋体"/>
                <w:color w:val="auto"/>
                <w:szCs w:val="21"/>
                <w:highlight w:val="none"/>
              </w:rPr>
            </w:pPr>
          </w:p>
        </w:tc>
        <w:tc>
          <w:tcPr>
            <w:tcW w:w="1741" w:type="dxa"/>
            <w:noWrap w:val="0"/>
            <w:vAlign w:val="top"/>
          </w:tcPr>
          <w:p w14:paraId="22C5532E">
            <w:pPr>
              <w:spacing w:line="340" w:lineRule="exact"/>
              <w:rPr>
                <w:rFonts w:ascii="宋体" w:hAnsi="宋体" w:cs="宋体"/>
                <w:color w:val="auto"/>
                <w:szCs w:val="21"/>
                <w:highlight w:val="none"/>
              </w:rPr>
            </w:pPr>
          </w:p>
        </w:tc>
      </w:tr>
      <w:tr w14:paraId="06B9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813" w:type="dxa"/>
            <w:noWrap w:val="0"/>
            <w:vAlign w:val="center"/>
          </w:tcPr>
          <w:p w14:paraId="676A69E5">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9284" w:type="dxa"/>
            <w:gridSpan w:val="4"/>
            <w:noWrap w:val="0"/>
            <w:vAlign w:val="center"/>
          </w:tcPr>
          <w:p w14:paraId="2FE1066A">
            <w:pPr>
              <w:spacing w:line="340" w:lineRule="exact"/>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04681DDD">
            <w:pPr>
              <w:spacing w:line="340" w:lineRule="exact"/>
              <w:rPr>
                <w:rFonts w:ascii="宋体" w:hAnsi="宋体" w:cs="宋体"/>
                <w:color w:val="auto"/>
                <w:szCs w:val="21"/>
                <w:highlight w:val="non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tc>
      </w:tr>
    </w:tbl>
    <w:p w14:paraId="4C337939">
      <w:pPr>
        <w:widowControl/>
        <w:spacing w:line="340" w:lineRule="exact"/>
        <w:ind w:right="480"/>
        <w:jc w:val="right"/>
        <w:rPr>
          <w:rFonts w:ascii="宋体" w:hAnsi="宋体" w:cs="宋体"/>
          <w:color w:val="auto"/>
          <w:kern w:val="0"/>
          <w:szCs w:val="21"/>
          <w:highlight w:val="none"/>
        </w:rPr>
      </w:pPr>
      <w:r>
        <w:rPr>
          <w:rFonts w:hint="eastAsia" w:ascii="宋体" w:hAnsi="宋体" w:cs="宋体"/>
          <w:color w:val="auto"/>
          <w:kern w:val="0"/>
          <w:szCs w:val="21"/>
          <w:highlight w:val="none"/>
        </w:rPr>
        <w:t>单位：人民币元</w:t>
      </w:r>
    </w:p>
    <w:p w14:paraId="0FBF4875">
      <w:pPr>
        <w:widowControl/>
        <w:snapToGrid w:val="0"/>
        <w:spacing w:before="120" w:after="120" w:line="340" w:lineRule="exact"/>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三、技术资料</w:t>
      </w:r>
    </w:p>
    <w:p w14:paraId="12D2C9EA">
      <w:pPr>
        <w:widowControl/>
        <w:snapToGrid w:val="0"/>
        <w:spacing w:before="120" w:after="120" w:line="340" w:lineRule="exact"/>
        <w:ind w:left="407" w:leftChars="194"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1、供方应按招标文件规定的时间向需方提供使用货物的有关技术资料。</w:t>
      </w:r>
    </w:p>
    <w:p w14:paraId="5EFB7652">
      <w:pPr>
        <w:widowControl/>
        <w:snapToGrid w:val="0"/>
        <w:spacing w:before="120" w:after="120" w:line="340" w:lineRule="exact"/>
        <w:ind w:left="78" w:leftChars="37"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2、没有需方事先书面同意，供方不得将由需方提供的有关合同或任何合同条文、规格、计划、图纸、样品或资料提供</w:t>
      </w:r>
      <w:r>
        <w:rPr>
          <w:rFonts w:hint="eastAsia" w:ascii="宋体" w:hAnsi="宋体" w:cs="宋体"/>
          <w:color w:val="auto"/>
          <w:kern w:val="0"/>
          <w:szCs w:val="21"/>
          <w:highlight w:val="none"/>
          <w:lang w:eastAsia="zh-CN"/>
        </w:rPr>
        <w:t>给予</w:t>
      </w:r>
      <w:r>
        <w:rPr>
          <w:rFonts w:hint="eastAsia" w:ascii="宋体" w:hAnsi="宋体" w:cs="宋体"/>
          <w:color w:val="auto"/>
          <w:kern w:val="0"/>
          <w:szCs w:val="21"/>
          <w:highlight w:val="none"/>
        </w:rPr>
        <w:t>履行本合同无关的任何其他人。即使向履行本合同有关的人员提供，也应注意保密并限于履行合同的必需范围。</w:t>
      </w:r>
    </w:p>
    <w:p w14:paraId="2216F792">
      <w:pPr>
        <w:widowControl/>
        <w:snapToGrid w:val="0"/>
        <w:spacing w:before="120" w:after="120" w:line="340" w:lineRule="exact"/>
        <w:ind w:left="409" w:leftChars="195" w:firstLine="103" w:firstLineChars="49"/>
        <w:jc w:val="left"/>
        <w:rPr>
          <w:rFonts w:ascii="宋体" w:hAnsi="宋体" w:cs="宋体"/>
          <w:b/>
          <w:color w:val="auto"/>
          <w:kern w:val="0"/>
          <w:szCs w:val="21"/>
          <w:highlight w:val="none"/>
        </w:rPr>
      </w:pPr>
      <w:r>
        <w:rPr>
          <w:rFonts w:hint="eastAsia" w:ascii="宋体" w:hAnsi="宋体" w:cs="宋体"/>
          <w:b/>
          <w:color w:val="auto"/>
          <w:kern w:val="0"/>
          <w:szCs w:val="21"/>
          <w:highlight w:val="none"/>
        </w:rPr>
        <w:t>四、知识产权</w:t>
      </w:r>
    </w:p>
    <w:p w14:paraId="6B7D43D1">
      <w:pPr>
        <w:widowControl/>
        <w:snapToGrid w:val="0"/>
        <w:spacing w:before="120" w:after="120" w:line="340" w:lineRule="exact"/>
        <w:ind w:left="78" w:leftChars="37"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供方应保证所提供的货物或其任何一部分均不会侵犯任何第三方的知识产权。如供应方提供的货物或其任一部分产生知识产权纠纷的，</w:t>
      </w:r>
      <w:r>
        <w:rPr>
          <w:rFonts w:hint="eastAsia" w:ascii="宋体" w:hAnsi="宋体" w:cs="宋体"/>
          <w:color w:val="auto"/>
          <w:kern w:val="0"/>
          <w:szCs w:val="21"/>
          <w:highlight w:val="none"/>
          <w:lang w:eastAsia="zh-CN"/>
        </w:rPr>
        <w:t>由</w:t>
      </w:r>
      <w:r>
        <w:rPr>
          <w:rFonts w:hint="eastAsia" w:ascii="宋体" w:hAnsi="宋体" w:cs="宋体"/>
          <w:color w:val="auto"/>
          <w:kern w:val="0"/>
          <w:szCs w:val="21"/>
          <w:highlight w:val="none"/>
        </w:rPr>
        <w:t>供应方承担相应法律责任，如该纠纷对需方产生不良影响或造成损失的，供应方应承担赔偿责任。</w:t>
      </w:r>
    </w:p>
    <w:p w14:paraId="286CF18D">
      <w:pPr>
        <w:widowControl/>
        <w:snapToGrid w:val="0"/>
        <w:spacing w:before="120" w:after="120" w:line="340" w:lineRule="exact"/>
        <w:ind w:firstLine="413" w:firstLineChars="196"/>
        <w:jc w:val="left"/>
        <w:rPr>
          <w:rFonts w:ascii="宋体" w:hAnsi="宋体" w:cs="宋体"/>
          <w:color w:val="auto"/>
          <w:kern w:val="0"/>
          <w:szCs w:val="21"/>
          <w:highlight w:val="none"/>
          <w:u w:val="single"/>
        </w:rPr>
      </w:pPr>
      <w:r>
        <w:rPr>
          <w:rFonts w:hint="eastAsia" w:ascii="宋体" w:hAnsi="宋体" w:cs="宋体"/>
          <w:b/>
          <w:color w:val="auto"/>
          <w:kern w:val="0"/>
          <w:szCs w:val="21"/>
          <w:highlight w:val="none"/>
        </w:rPr>
        <w:t>五、产权担保</w:t>
      </w:r>
    </w:p>
    <w:p w14:paraId="5EAC5448">
      <w:pPr>
        <w:widowControl/>
        <w:snapToGrid w:val="0"/>
        <w:spacing w:before="120" w:after="120" w:line="340" w:lineRule="exact"/>
        <w:ind w:firstLine="413"/>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供方保证所交付的货物的所有权完全属于供方且无任何抵押、查封等产权瑕疵。</w:t>
      </w:r>
    </w:p>
    <w:p w14:paraId="6CEA1804">
      <w:pPr>
        <w:widowControl/>
        <w:snapToGrid w:val="0"/>
        <w:spacing w:before="120" w:after="120" w:line="340" w:lineRule="exact"/>
        <w:ind w:firstLine="413" w:firstLineChars="196"/>
        <w:jc w:val="left"/>
        <w:rPr>
          <w:rFonts w:ascii="宋体" w:hAnsi="宋体" w:cs="宋体"/>
          <w:color w:val="auto"/>
          <w:kern w:val="0"/>
          <w:szCs w:val="21"/>
          <w:highlight w:val="none"/>
        </w:rPr>
      </w:pPr>
      <w:r>
        <w:rPr>
          <w:rFonts w:hint="eastAsia" w:ascii="宋体" w:hAnsi="宋体" w:cs="宋体"/>
          <w:b/>
          <w:color w:val="auto"/>
          <w:kern w:val="0"/>
          <w:szCs w:val="21"/>
          <w:highlight w:val="none"/>
        </w:rPr>
        <w:t>六、履约保证金：无</w:t>
      </w:r>
      <w:r>
        <w:rPr>
          <w:rFonts w:hint="eastAsia" w:ascii="宋体" w:hAnsi="宋体" w:cs="宋体"/>
          <w:color w:val="auto"/>
          <w:kern w:val="0"/>
          <w:szCs w:val="21"/>
          <w:highlight w:val="none"/>
        </w:rPr>
        <w:t>。</w:t>
      </w:r>
    </w:p>
    <w:p w14:paraId="19759D89">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七、转包或分包</w:t>
      </w:r>
    </w:p>
    <w:p w14:paraId="44BD5512">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1、本合同范围的货物，应由供方直接供应，不得转让他人供应；</w:t>
      </w:r>
    </w:p>
    <w:p w14:paraId="2E3B1ACD">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2、非经需方同意，供方不得将本合同范围的货物全部或部分分包给他人供应；</w:t>
      </w:r>
    </w:p>
    <w:p w14:paraId="10E93698">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3、如有转让和或对货物的非法分包行为，需方</w:t>
      </w:r>
      <w:r>
        <w:rPr>
          <w:rFonts w:hint="eastAsia" w:ascii="宋体" w:hAnsi="宋体" w:cs="宋体"/>
          <w:color w:val="auto"/>
          <w:kern w:val="0"/>
          <w:szCs w:val="21"/>
          <w:highlight w:val="none"/>
          <w:lang w:eastAsia="zh-CN"/>
        </w:rPr>
        <w:t>终止</w:t>
      </w:r>
      <w:r>
        <w:rPr>
          <w:rFonts w:hint="eastAsia" w:ascii="宋体" w:hAnsi="宋体" w:cs="宋体"/>
          <w:color w:val="auto"/>
          <w:kern w:val="0"/>
          <w:szCs w:val="21"/>
          <w:highlight w:val="none"/>
        </w:rPr>
        <w:t>合同，并追究供方的违约责任。</w:t>
      </w:r>
    </w:p>
    <w:p w14:paraId="096843E5">
      <w:pPr>
        <w:widowControl/>
        <w:spacing w:line="340" w:lineRule="exact"/>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八、售后服务</w:t>
      </w:r>
    </w:p>
    <w:p w14:paraId="28E1DAA9">
      <w:pPr>
        <w:widowControl/>
        <w:snapToGrid w:val="0"/>
        <w:spacing w:before="120" w:after="120" w:line="340" w:lineRule="exact"/>
        <w:ind w:firstLine="480"/>
        <w:jc w:val="left"/>
        <w:rPr>
          <w:rFonts w:ascii="宋体" w:hAnsi="宋体" w:cs="宋体"/>
          <w:b/>
          <w:color w:val="auto"/>
          <w:kern w:val="0"/>
          <w:szCs w:val="21"/>
          <w:highlight w:val="none"/>
        </w:rPr>
      </w:pPr>
    </w:p>
    <w:p w14:paraId="22F1E898">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九、交货与工期要求</w:t>
      </w:r>
    </w:p>
    <w:p w14:paraId="34A94DE0">
      <w:pPr>
        <w:widowControl/>
        <w:snapToGrid w:val="0"/>
        <w:spacing w:before="120" w:after="120" w:line="340" w:lineRule="exact"/>
        <w:ind w:firstLine="48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1、交货期：</w:t>
      </w:r>
      <w:r>
        <w:rPr>
          <w:rFonts w:hint="eastAsia" w:ascii="宋体" w:hAnsi="宋体" w:cs="宋体"/>
          <w:b/>
          <w:color w:val="auto"/>
          <w:kern w:val="0"/>
          <w:szCs w:val="21"/>
          <w:highlight w:val="none"/>
        </w:rPr>
        <w:t>_____________________</w:t>
      </w:r>
      <w:r>
        <w:rPr>
          <w:rFonts w:hint="eastAsia" w:ascii="宋体" w:hAnsi="宋体" w:cs="宋体"/>
          <w:bCs/>
          <w:color w:val="auto"/>
          <w:kern w:val="0"/>
          <w:szCs w:val="21"/>
          <w:highlight w:val="none"/>
        </w:rPr>
        <w:t xml:space="preserve"> </w:t>
      </w:r>
      <w:r>
        <w:rPr>
          <w:rFonts w:hint="eastAsia" w:ascii="宋体" w:hAnsi="宋体" w:cs="宋体"/>
          <w:bCs/>
          <w:color w:val="auto"/>
          <w:kern w:val="0"/>
          <w:szCs w:val="21"/>
          <w:highlight w:val="none"/>
          <w:lang w:eastAsia="zh-CN"/>
        </w:rPr>
        <w:t>（</w:t>
      </w:r>
      <w:r>
        <w:rPr>
          <w:rFonts w:hint="eastAsia" w:ascii="宋体" w:hAnsi="宋体" w:cs="宋体"/>
          <w:b/>
          <w:color w:val="auto"/>
          <w:kern w:val="0"/>
          <w:szCs w:val="21"/>
          <w:highlight w:val="none"/>
        </w:rPr>
        <w:t>与招标文件保持一致</w:t>
      </w:r>
      <w:r>
        <w:rPr>
          <w:rFonts w:hint="eastAsia" w:ascii="宋体" w:hAnsi="宋体" w:cs="宋体"/>
          <w:b/>
          <w:color w:val="auto"/>
          <w:kern w:val="0"/>
          <w:szCs w:val="21"/>
          <w:highlight w:val="none"/>
          <w:lang w:eastAsia="zh-CN"/>
        </w:rPr>
        <w:t>）</w:t>
      </w:r>
    </w:p>
    <w:p w14:paraId="6CB3BEF2">
      <w:pPr>
        <w:widowControl/>
        <w:snapToGrid w:val="0"/>
        <w:spacing w:before="120" w:after="120" w:line="340" w:lineRule="exact"/>
        <w:ind w:firstLine="480"/>
        <w:jc w:val="left"/>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2、交货地方： </w:t>
      </w:r>
    </w:p>
    <w:p w14:paraId="40A263F6">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Cs/>
          <w:color w:val="auto"/>
          <w:kern w:val="0"/>
          <w:szCs w:val="21"/>
          <w:highlight w:val="none"/>
        </w:rPr>
        <w:t>3、交货方式：</w:t>
      </w:r>
      <w:r>
        <w:rPr>
          <w:rFonts w:hint="eastAsia" w:ascii="宋体" w:hAnsi="宋体" w:cs="宋体"/>
          <w:b/>
          <w:color w:val="auto"/>
          <w:kern w:val="0"/>
          <w:szCs w:val="21"/>
          <w:highlight w:val="none"/>
        </w:rPr>
        <w:t xml:space="preserve"> </w:t>
      </w:r>
    </w:p>
    <w:p w14:paraId="7C3C6F26">
      <w:pPr>
        <w:widowControl/>
        <w:snapToGrid w:val="0"/>
        <w:spacing w:before="120" w:after="120" w:line="340" w:lineRule="exact"/>
        <w:ind w:firstLine="480"/>
        <w:jc w:val="left"/>
        <w:rPr>
          <w:rFonts w:ascii="宋体" w:hAnsi="宋体" w:cs="宋体"/>
          <w:bCs/>
          <w:color w:val="auto"/>
          <w:kern w:val="0"/>
          <w:szCs w:val="21"/>
          <w:highlight w:val="none"/>
        </w:rPr>
      </w:pPr>
      <w:r>
        <w:rPr>
          <w:rFonts w:ascii="宋体" w:hAnsi="宋体" w:cs="宋体"/>
          <w:bCs/>
          <w:color w:val="auto"/>
          <w:kern w:val="0"/>
          <w:szCs w:val="21"/>
          <w:highlight w:val="none"/>
        </w:rPr>
        <w:t>4</w:t>
      </w:r>
      <w:r>
        <w:rPr>
          <w:rFonts w:hint="eastAsia" w:ascii="宋体" w:hAnsi="宋体" w:cs="宋体"/>
          <w:bCs/>
          <w:color w:val="auto"/>
          <w:kern w:val="0"/>
          <w:szCs w:val="21"/>
          <w:highlight w:val="none"/>
        </w:rPr>
        <w:t>、</w:t>
      </w:r>
      <w:r>
        <w:rPr>
          <w:rFonts w:ascii="宋体" w:hAnsi="宋体" w:cs="宋体"/>
          <w:bCs/>
          <w:color w:val="auto"/>
          <w:kern w:val="0"/>
          <w:szCs w:val="21"/>
          <w:highlight w:val="none"/>
        </w:rPr>
        <w:t>工期要求</w:t>
      </w:r>
      <w:r>
        <w:rPr>
          <w:rFonts w:hint="eastAsia" w:ascii="宋体" w:hAnsi="宋体" w:cs="宋体"/>
          <w:bCs/>
          <w:color w:val="auto"/>
          <w:kern w:val="0"/>
          <w:szCs w:val="21"/>
          <w:highlight w:val="none"/>
        </w:rPr>
        <w:t>：</w:t>
      </w:r>
    </w:p>
    <w:p w14:paraId="2DF7C5E9">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十、货款支付</w:t>
      </w:r>
    </w:p>
    <w:p w14:paraId="4D9651C1">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1、付款方式：_______________________</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与招标文件保持一致</w:t>
      </w:r>
      <w:r>
        <w:rPr>
          <w:rFonts w:hint="eastAsia" w:ascii="宋体" w:hAnsi="宋体" w:cs="宋体"/>
          <w:b/>
          <w:color w:val="auto"/>
          <w:kern w:val="0"/>
          <w:szCs w:val="21"/>
          <w:highlight w:val="none"/>
          <w:lang w:eastAsia="zh-CN"/>
        </w:rPr>
        <w:t>）</w:t>
      </w:r>
    </w:p>
    <w:p w14:paraId="41DB670A">
      <w:pPr>
        <w:widowControl/>
        <w:spacing w:line="34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2、当采购数量与实际使用数量不一致时，供方应根据实际使用量供货，合同的最终结算金额按实际使用量乘以中标单价进行计算。</w:t>
      </w:r>
    </w:p>
    <w:p w14:paraId="2DCDCE31">
      <w:pPr>
        <w:pStyle w:val="17"/>
        <w:numPr>
          <w:ilvl w:val="0"/>
          <w:numId w:val="0"/>
        </w:numPr>
        <w:spacing w:line="440" w:lineRule="exact"/>
        <w:ind w:firstLine="388" w:firstLineChars="200"/>
        <w:rPr>
          <w:color w:val="auto"/>
          <w:highlight w:val="none"/>
        </w:rPr>
      </w:pPr>
      <w:r>
        <w:rPr>
          <w:rFonts w:hint="eastAsia" w:hAnsi="宋体" w:cs="宋体"/>
          <w:color w:val="auto"/>
          <w:spacing w:val="-8"/>
          <w:highlight w:val="none"/>
          <w:lang w:val="en-US" w:eastAsia="zh-CN"/>
        </w:rPr>
        <w:t>3、中标单位需提供13%的增值税专用发票。</w:t>
      </w:r>
    </w:p>
    <w:p w14:paraId="44977217">
      <w:pPr>
        <w:widowControl/>
        <w:snapToGrid w:val="0"/>
        <w:spacing w:before="156" w:beforeLines="50" w:after="156" w:afterLines="5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十一、税费</w:t>
      </w:r>
    </w:p>
    <w:p w14:paraId="1AF7E878">
      <w:pPr>
        <w:widowControl/>
        <w:snapToGrid w:val="0"/>
        <w:spacing w:before="156" w:beforeLines="50" w:after="156" w:afterLines="50"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本合同执行中相关的一切税费均由供方负担。</w:t>
      </w:r>
    </w:p>
    <w:p w14:paraId="6AEB167C">
      <w:pPr>
        <w:widowControl/>
        <w:snapToGrid w:val="0"/>
        <w:spacing w:before="120" w:after="120" w:line="340" w:lineRule="exact"/>
        <w:ind w:left="409" w:leftChars="195" w:firstLine="103" w:firstLineChars="49"/>
        <w:jc w:val="left"/>
        <w:rPr>
          <w:rFonts w:ascii="宋体" w:hAnsi="宋体" w:cs="宋体"/>
          <w:color w:val="auto"/>
          <w:kern w:val="0"/>
          <w:szCs w:val="21"/>
          <w:highlight w:val="none"/>
        </w:rPr>
      </w:pPr>
      <w:r>
        <w:rPr>
          <w:rFonts w:hint="eastAsia" w:ascii="宋体" w:hAnsi="宋体" w:cs="宋体"/>
          <w:b/>
          <w:color w:val="auto"/>
          <w:kern w:val="0"/>
          <w:szCs w:val="21"/>
          <w:highlight w:val="none"/>
        </w:rPr>
        <w:t>十二、质量保证</w:t>
      </w:r>
    </w:p>
    <w:p w14:paraId="03A95574">
      <w:pPr>
        <w:widowControl/>
        <w:snapToGrid w:val="0"/>
        <w:spacing w:line="440" w:lineRule="exact"/>
        <w:ind w:left="77"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1、供方应按招标文件规定的货物性能、技术参数要求、质量标准向需方提供未经使用的全新产品。且提供的产品也必须满足供应方在投标文件中承诺的货物性能、技术参数要求、质量标准。</w:t>
      </w:r>
    </w:p>
    <w:p w14:paraId="3D70F056">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2、供方提供的货物在质保期内因货物本身的质量问题发生故障，供方应负责免费更换。对达不到招标文件及投标文件要求者，根据实际情况，经双方协商，可按以下办法处理：</w:t>
      </w:r>
    </w:p>
    <w:p w14:paraId="300C7D71">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①更换：更换后的产品需满足招标文件及投标文件要求，由供方承担所发生的全部费用。</w:t>
      </w:r>
    </w:p>
    <w:p w14:paraId="3A203F3B">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②贬值处理：由供需双方合议定价。</w:t>
      </w:r>
    </w:p>
    <w:p w14:paraId="1AC1211A">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③退货处理：供方应退还需方支付的合同款，同时应承担该货物的直接费用（运输、保险、检验、</w:t>
      </w:r>
      <w:r>
        <w:rPr>
          <w:rFonts w:hint="eastAsia" w:ascii="宋体" w:hAnsi="宋体" w:cs="宋体"/>
          <w:color w:val="auto"/>
          <w:kern w:val="0"/>
          <w:szCs w:val="21"/>
          <w:highlight w:val="none"/>
          <w:lang w:eastAsia="zh-CN"/>
        </w:rPr>
        <w:t>贷款利息</w:t>
      </w:r>
      <w:r>
        <w:rPr>
          <w:rFonts w:hint="eastAsia" w:ascii="宋体" w:hAnsi="宋体" w:cs="宋体"/>
          <w:color w:val="auto"/>
          <w:kern w:val="0"/>
          <w:szCs w:val="21"/>
          <w:highlight w:val="none"/>
        </w:rPr>
        <w:t>及银行手续费等）。</w:t>
      </w:r>
    </w:p>
    <w:p w14:paraId="279B2F1B">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如需方与供方无法达成一致意见的，需方有权单方解除本合同，供方应退还需方支付的合同款，同时应承担该货物的直接费用（运输、保险、检验、</w:t>
      </w:r>
      <w:r>
        <w:rPr>
          <w:rFonts w:hint="eastAsia" w:ascii="宋体" w:hAnsi="宋体" w:cs="宋体"/>
          <w:color w:val="auto"/>
          <w:kern w:val="0"/>
          <w:szCs w:val="21"/>
          <w:highlight w:val="none"/>
          <w:lang w:eastAsia="zh-CN"/>
        </w:rPr>
        <w:t>贷款利息</w:t>
      </w:r>
      <w:r>
        <w:rPr>
          <w:rFonts w:hint="eastAsia" w:ascii="宋体" w:hAnsi="宋体" w:cs="宋体"/>
          <w:color w:val="auto"/>
          <w:kern w:val="0"/>
          <w:szCs w:val="21"/>
          <w:highlight w:val="none"/>
        </w:rPr>
        <w:t>及银行手续费等），此外由此产生的一切损失和费用也均由供方承担。</w:t>
      </w:r>
    </w:p>
    <w:p w14:paraId="3A656B3C">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3、如在使用过程中发生质量问题，供方在接到需方通知后在</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小时内到达需方现场。</w:t>
      </w:r>
    </w:p>
    <w:p w14:paraId="328E738D">
      <w:pPr>
        <w:widowControl/>
        <w:snapToGrid w:val="0"/>
        <w:spacing w:before="60" w:after="60"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4、供方</w:t>
      </w:r>
      <w:r>
        <w:rPr>
          <w:rFonts w:hint="eastAsia"/>
          <w:color w:val="auto"/>
          <w:highlight w:val="none"/>
        </w:rPr>
        <w:t>须对合同中规定的设备及软件提供</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的质保期，硬件设备质保期按每个</w:t>
      </w:r>
      <w:r>
        <w:rPr>
          <w:rFonts w:hAnsi="宋体" w:cs="System"/>
          <w:color w:val="auto"/>
          <w:kern w:val="0"/>
          <w:highlight w:val="none"/>
        </w:rPr>
        <w:t>收费区域</w:t>
      </w:r>
      <w:r>
        <w:rPr>
          <w:rFonts w:hint="eastAsia"/>
          <w:color w:val="auto"/>
          <w:highlight w:val="none"/>
        </w:rPr>
        <w:t>通过验收合格次日起算，软件质保期按整个项目验收合格之日起算。</w:t>
      </w:r>
      <w:r>
        <w:rPr>
          <w:rFonts w:hint="eastAsia" w:ascii="宋体" w:hAnsi="宋体" w:cs="宋体"/>
          <w:color w:val="auto"/>
          <w:kern w:val="0"/>
          <w:szCs w:val="21"/>
          <w:highlight w:val="none"/>
        </w:rPr>
        <w:t>在质保期内，供方应对货物因自身原因出现的质量及安全问题负责处理解决并承担一切费用。</w:t>
      </w:r>
    </w:p>
    <w:p w14:paraId="0401651B">
      <w:pPr>
        <w:widowControl/>
        <w:snapToGrid w:val="0"/>
        <w:spacing w:before="60" w:after="6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十三、违约责任</w:t>
      </w:r>
    </w:p>
    <w:p w14:paraId="6CA9AF78">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1、需方无正当理由拒收货物的，需方向供方偿付拒收货款总值的百分之</w:t>
      </w:r>
      <w:r>
        <w:rPr>
          <w:rFonts w:hint="eastAsia" w:ascii="宋体" w:hAnsi="宋体" w:cs="宋体"/>
          <w:color w:val="auto"/>
          <w:kern w:val="0"/>
          <w:szCs w:val="21"/>
          <w:highlight w:val="none"/>
          <w:u w:val="single"/>
        </w:rPr>
        <w:t>_</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_</w:t>
      </w:r>
      <w:r>
        <w:rPr>
          <w:rFonts w:hint="eastAsia" w:ascii="宋体" w:hAnsi="宋体" w:cs="宋体"/>
          <w:color w:val="auto"/>
          <w:kern w:val="0"/>
          <w:szCs w:val="21"/>
          <w:highlight w:val="none"/>
        </w:rPr>
        <w:t>违约金。</w:t>
      </w:r>
    </w:p>
    <w:p w14:paraId="7B67C415">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2、需方无故逾期验收和办理货款支付手续的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需方应按逾期付款总额每日千分之</w:t>
      </w:r>
      <w:r>
        <w:rPr>
          <w:rFonts w:hint="eastAsia" w:ascii="宋体" w:hAnsi="宋体" w:cs="宋体"/>
          <w:color w:val="auto"/>
          <w:kern w:val="0"/>
          <w:szCs w:val="21"/>
          <w:highlight w:val="none"/>
          <w:u w:val="single"/>
        </w:rPr>
        <w:t>_</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_</w:t>
      </w:r>
      <w:r>
        <w:rPr>
          <w:rFonts w:hint="eastAsia" w:ascii="宋体" w:hAnsi="宋体" w:cs="宋体"/>
          <w:color w:val="auto"/>
          <w:kern w:val="0"/>
          <w:szCs w:val="21"/>
          <w:highlight w:val="none"/>
        </w:rPr>
        <w:t>向供方支付违约金。</w:t>
      </w:r>
    </w:p>
    <w:p w14:paraId="26D3A4B1">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3、供方逾期交付货物的，供方应按逾期交货总额的每日千分之</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向需方支付违约金，由需方从待付货款中扣除。逾期超过约定日期</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个工作日不能交货的，需方可解除本合同。供方因逾期交货或因其他违约行为导致需方解除合同的，供方应向需方支付合同总值</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%的违约金，如造成需方损失超过违约金的，超出部分由供方继续承担赔偿责任。 </w:t>
      </w:r>
    </w:p>
    <w:p w14:paraId="57B3A50B">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供方所交的货物品种、型号、规格、技术参数、质量不符合合同规定、供方投标文件及招标文件规定标准的，需方有权拒收该货物，供方愿意更换货物但逾期交货的，按供方逾期交货处理。供方拒绝更换货物的，需方可单方面解除合同。</w:t>
      </w:r>
    </w:p>
    <w:p w14:paraId="46720C5D">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5、供方原因不能按期指导安装验收完毕的，供方向需方每日偿付货款总额</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‰的违约金。</w:t>
      </w:r>
    </w:p>
    <w:p w14:paraId="071C78FD">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6、未按规定提供完整的技术资料处以货款总额</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‰的违约金。</w:t>
      </w:r>
    </w:p>
    <w:p w14:paraId="379F9ACC">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7、未按招标文件约定派驻相关专业的技术人员进行安装调试指导的，每发现一次处以货款总额</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‰的违约金。</w:t>
      </w:r>
    </w:p>
    <w:p w14:paraId="5FCB8C58">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十四、不可抗力事件处理</w:t>
      </w:r>
    </w:p>
    <w:p w14:paraId="142D1EC2">
      <w:pPr>
        <w:widowControl/>
        <w:snapToGrid w:val="0"/>
        <w:spacing w:before="120" w:after="120"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1、在合同有效期内，任何一方因不可抗力事件导致不能履行合同，则合同履行期可延长，其延长期与不可抗力影响期相同。</w:t>
      </w:r>
    </w:p>
    <w:p w14:paraId="145798DC">
      <w:pPr>
        <w:widowControl/>
        <w:snapToGrid w:val="0"/>
        <w:spacing w:before="120" w:after="120" w:line="340" w:lineRule="exact"/>
        <w:ind w:left="479" w:leftChars="228"/>
        <w:jc w:val="left"/>
        <w:rPr>
          <w:rFonts w:ascii="宋体" w:hAnsi="宋体" w:cs="宋体"/>
          <w:color w:val="auto"/>
          <w:kern w:val="0"/>
          <w:szCs w:val="21"/>
          <w:highlight w:val="none"/>
        </w:rPr>
      </w:pPr>
      <w:r>
        <w:rPr>
          <w:rFonts w:hint="eastAsia" w:ascii="宋体" w:hAnsi="宋体" w:cs="宋体"/>
          <w:color w:val="auto"/>
          <w:kern w:val="0"/>
          <w:szCs w:val="21"/>
          <w:highlight w:val="none"/>
        </w:rPr>
        <w:t>2、不可抗力事件发生后，应立即通知对方，并寄送有关权威机构出具的证明。</w:t>
      </w:r>
    </w:p>
    <w:p w14:paraId="3F9B02D1">
      <w:pPr>
        <w:widowControl/>
        <w:snapToGrid w:val="0"/>
        <w:spacing w:before="120" w:after="120" w:line="340" w:lineRule="exact"/>
        <w:ind w:left="479" w:leftChars="228"/>
        <w:jc w:val="left"/>
        <w:rPr>
          <w:rFonts w:ascii="宋体" w:hAnsi="宋体" w:cs="宋体"/>
          <w:color w:val="auto"/>
          <w:kern w:val="0"/>
          <w:szCs w:val="21"/>
          <w:highlight w:val="none"/>
        </w:rPr>
      </w:pPr>
      <w:r>
        <w:rPr>
          <w:rFonts w:hint="eastAsia" w:ascii="宋体" w:hAnsi="宋体" w:cs="宋体"/>
          <w:color w:val="auto"/>
          <w:kern w:val="0"/>
          <w:szCs w:val="21"/>
          <w:highlight w:val="none"/>
        </w:rPr>
        <w:t>3、不可抗力事件延续</w:t>
      </w:r>
      <w:r>
        <w:rPr>
          <w:rFonts w:hint="eastAsia" w:ascii="宋体" w:hAnsi="宋体" w:cs="宋体"/>
          <w:color w:val="auto"/>
          <w:szCs w:val="21"/>
          <w:highlight w:val="none"/>
        </w:rPr>
        <w:t>_____</w:t>
      </w:r>
      <w:r>
        <w:rPr>
          <w:rFonts w:hint="eastAsia" w:ascii="宋体" w:hAnsi="宋体" w:cs="宋体"/>
          <w:color w:val="auto"/>
          <w:kern w:val="0"/>
          <w:szCs w:val="21"/>
          <w:highlight w:val="none"/>
        </w:rPr>
        <w:t>天以上，双方应通过友好协商，确定是否继续履行合同。</w:t>
      </w:r>
    </w:p>
    <w:p w14:paraId="792E5A7D">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十五、诉讼</w:t>
      </w:r>
    </w:p>
    <w:p w14:paraId="4661D574">
      <w:pPr>
        <w:widowControl/>
        <w:snapToGrid w:val="0"/>
        <w:spacing w:before="120" w:after="120"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本合同项目所在地为义乌市，本合同发生争议产生的诉讼，可向项目所在地有管辖权的法院提起诉讼。</w:t>
      </w:r>
    </w:p>
    <w:p w14:paraId="69FC580D">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六、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2773B09D">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十七、合同生效及其它</w:t>
      </w:r>
    </w:p>
    <w:p w14:paraId="68D551F8">
      <w:pPr>
        <w:widowControl/>
        <w:snapToGrid w:val="0"/>
        <w:spacing w:before="120" w:after="120"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1、合同经双方法定代表人或授权代表签字并加盖单位公章后生效。</w:t>
      </w:r>
    </w:p>
    <w:p w14:paraId="20D99A30">
      <w:pPr>
        <w:widowControl/>
        <w:snapToGrid w:val="0"/>
        <w:spacing w:before="120" w:after="120" w:line="340" w:lineRule="exact"/>
        <w:ind w:left="479" w:leftChars="228"/>
        <w:jc w:val="left"/>
        <w:rPr>
          <w:rFonts w:ascii="宋体" w:hAnsi="宋体" w:cs="宋体"/>
          <w:color w:val="auto"/>
          <w:kern w:val="0"/>
          <w:szCs w:val="21"/>
          <w:highlight w:val="none"/>
        </w:rPr>
      </w:pPr>
      <w:r>
        <w:rPr>
          <w:rFonts w:hint="eastAsia" w:ascii="宋体" w:hAnsi="宋体" w:cs="宋体"/>
          <w:color w:val="auto"/>
          <w:kern w:val="0"/>
          <w:szCs w:val="21"/>
          <w:highlight w:val="none"/>
        </w:rPr>
        <w:t>2、本合同未尽事宜，遵照《民法典》有关条文执行。</w:t>
      </w:r>
    </w:p>
    <w:p w14:paraId="2FAB671C">
      <w:pPr>
        <w:widowControl/>
        <w:spacing w:line="340" w:lineRule="exact"/>
        <w:ind w:firstLine="48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十八、本合同一式____份，供需双方各执____份，义乌产权交易所有限公司执一份，均具同等效力。</w:t>
      </w:r>
    </w:p>
    <w:p w14:paraId="6CA436E4">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供    方：________________________  需    方：________________________</w:t>
      </w:r>
    </w:p>
    <w:p w14:paraId="173C4733">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地    址：________________________  地    址：________________________</w:t>
      </w:r>
    </w:p>
    <w:p w14:paraId="0CD51A76">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法定代表人：______________________  法定代表人：______________________</w:t>
      </w:r>
    </w:p>
    <w:p w14:paraId="579E4AA1">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授权代表：_____________________</w:t>
      </w:r>
      <w:r>
        <w:rPr>
          <w:rFonts w:hint="eastAsia" w:ascii="宋体" w:hAnsi="宋体" w:cs="宋体"/>
          <w:color w:val="auto"/>
          <w:kern w:val="0"/>
          <w:szCs w:val="21"/>
          <w:highlight w:val="none"/>
          <w:u w:val="single"/>
        </w:rPr>
        <w:t xml:space="preserve">  _</w:t>
      </w:r>
      <w:r>
        <w:rPr>
          <w:rFonts w:hint="eastAsia" w:ascii="宋体" w:hAnsi="宋体" w:cs="宋体"/>
          <w:color w:val="auto"/>
          <w:kern w:val="0"/>
          <w:szCs w:val="21"/>
          <w:highlight w:val="none"/>
        </w:rPr>
        <w:t xml:space="preserve">  授权代表：____________________</w:t>
      </w:r>
      <w:r>
        <w:rPr>
          <w:rFonts w:hint="eastAsia" w:ascii="宋体" w:hAnsi="宋体" w:cs="宋体"/>
          <w:color w:val="auto"/>
          <w:kern w:val="0"/>
          <w:szCs w:val="21"/>
          <w:highlight w:val="none"/>
          <w:u w:val="single"/>
        </w:rPr>
        <w:t xml:space="preserve">    </w:t>
      </w:r>
    </w:p>
    <w:p w14:paraId="5CD05C1D">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电    话：________________________  电    话：________________________</w:t>
      </w:r>
    </w:p>
    <w:p w14:paraId="5412AE24">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账户名称</w:t>
      </w:r>
      <w:r>
        <w:rPr>
          <w:rFonts w:hint="eastAsia" w:ascii="宋体" w:hAnsi="宋体" w:cs="宋体"/>
          <w:color w:val="auto"/>
          <w:kern w:val="0"/>
          <w:szCs w:val="21"/>
          <w:highlight w:val="none"/>
        </w:rPr>
        <w:t xml:space="preserve">：________________________  </w:t>
      </w:r>
      <w:r>
        <w:rPr>
          <w:rFonts w:hint="eastAsia" w:ascii="宋体" w:hAnsi="宋体" w:cs="宋体"/>
          <w:color w:val="auto"/>
          <w:kern w:val="0"/>
          <w:szCs w:val="21"/>
          <w:highlight w:val="none"/>
          <w:lang w:eastAsia="zh-CN"/>
        </w:rPr>
        <w:t>账户名称</w:t>
      </w:r>
      <w:r>
        <w:rPr>
          <w:rFonts w:hint="eastAsia" w:ascii="宋体" w:hAnsi="宋体" w:cs="宋体"/>
          <w:color w:val="auto"/>
          <w:kern w:val="0"/>
          <w:szCs w:val="21"/>
          <w:highlight w:val="none"/>
        </w:rPr>
        <w:t>：________________________</w:t>
      </w:r>
    </w:p>
    <w:p w14:paraId="43A1B43A">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开户银行：________________________  开户银行：________________________</w:t>
      </w:r>
    </w:p>
    <w:p w14:paraId="466A5C32">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帐    号：________________________  帐    号：________________________</w:t>
      </w:r>
    </w:p>
    <w:p w14:paraId="59132F33">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签约时间：________________________  签约地点：________________________</w:t>
      </w:r>
    </w:p>
    <w:p w14:paraId="03E4B6A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0A2F6571">
      <w:pPr>
        <w:widowControl/>
        <w:spacing w:line="360" w:lineRule="auto"/>
        <w:ind w:firstLine="210" w:firstLineChars="100"/>
        <w:jc w:val="left"/>
        <w:rPr>
          <w:rFonts w:hint="eastAsia" w:ascii="宋体" w:hAnsi="宋体" w:cs="宋体"/>
          <w:color w:val="auto"/>
          <w:kern w:val="0"/>
          <w:szCs w:val="21"/>
          <w:highlight w:val="none"/>
        </w:rPr>
      </w:pPr>
    </w:p>
    <w:p w14:paraId="78870ADD">
      <w:pPr>
        <w:widowControl/>
        <w:spacing w:line="360" w:lineRule="auto"/>
        <w:ind w:firstLine="210" w:firstLineChars="100"/>
        <w:jc w:val="left"/>
        <w:rPr>
          <w:rFonts w:hint="eastAsia" w:ascii="宋体" w:hAnsi="宋体" w:cs="宋体"/>
          <w:color w:val="auto"/>
          <w:kern w:val="0"/>
          <w:szCs w:val="21"/>
          <w:highlight w:val="none"/>
        </w:rPr>
      </w:pPr>
    </w:p>
    <w:p w14:paraId="48BC9F22">
      <w:pPr>
        <w:widowControl/>
        <w:spacing w:line="360" w:lineRule="auto"/>
        <w:rPr>
          <w:rFonts w:hint="eastAsia" w:ascii="宋体" w:hAnsi="宋体"/>
          <w:b/>
          <w:color w:val="auto"/>
          <w:sz w:val="36"/>
          <w:szCs w:val="36"/>
          <w:highlight w:val="none"/>
        </w:rPr>
      </w:pPr>
    </w:p>
    <w:p w14:paraId="2190E628">
      <w:pPr>
        <w:rPr>
          <w:rFonts w:hint="eastAsia" w:ascii="宋体" w:hAnsi="宋体"/>
          <w:b/>
          <w:color w:val="auto"/>
          <w:sz w:val="36"/>
          <w:szCs w:val="36"/>
          <w:highlight w:val="none"/>
        </w:rPr>
      </w:pPr>
    </w:p>
    <w:p w14:paraId="32A4F757">
      <w:pPr>
        <w:pStyle w:val="2"/>
        <w:tabs>
          <w:tab w:val="left" w:pos="360"/>
        </w:tabs>
        <w:spacing w:after="200" w:line="240" w:lineRule="auto"/>
        <w:jc w:val="center"/>
        <w:rPr>
          <w:rFonts w:hint="eastAsia"/>
          <w:color w:val="auto"/>
          <w:sz w:val="36"/>
          <w:highlight w:val="none"/>
        </w:rPr>
      </w:pPr>
      <w:r>
        <w:rPr>
          <w:rFonts w:hint="eastAsia"/>
          <w:color w:val="auto"/>
          <w:sz w:val="36"/>
          <w:highlight w:val="none"/>
        </w:rPr>
        <w:br w:type="page"/>
      </w:r>
      <w:bookmarkStart w:id="85" w:name="_Toc28956"/>
      <w:r>
        <w:rPr>
          <w:rFonts w:hint="eastAsia"/>
          <w:color w:val="auto"/>
          <w:sz w:val="36"/>
          <w:highlight w:val="none"/>
        </w:rPr>
        <w:t>第八章  投标文件部分格式</w:t>
      </w:r>
      <w:bookmarkEnd w:id="85"/>
    </w:p>
    <w:p w14:paraId="0959ECCB">
      <w:pPr>
        <w:pStyle w:val="3"/>
        <w:spacing w:before="120" w:after="120" w:line="360" w:lineRule="auto"/>
        <w:rPr>
          <w:rFonts w:hint="eastAsia" w:ascii="宋体" w:hAnsi="宋体" w:eastAsia="宋体" w:cs="宋体"/>
          <w:color w:val="auto"/>
          <w:sz w:val="21"/>
          <w:szCs w:val="21"/>
          <w:highlight w:val="none"/>
        </w:rPr>
      </w:pPr>
      <w:bookmarkStart w:id="86" w:name="_Toc9029"/>
      <w:r>
        <w:rPr>
          <w:rFonts w:hint="eastAsia" w:ascii="宋体" w:hAnsi="宋体" w:eastAsia="宋体" w:cs="宋体"/>
          <w:color w:val="auto"/>
          <w:sz w:val="21"/>
          <w:szCs w:val="21"/>
          <w:highlight w:val="none"/>
        </w:rPr>
        <w:t>一、资格响应文件、商务技术响应文件部分格式</w:t>
      </w:r>
      <w:bookmarkEnd w:id="86"/>
    </w:p>
    <w:p w14:paraId="0AF3802A">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1.法定代表人授权书和被授权人身份证复印件［适用于非法定代表人参加投标的,说明：法定代表人以营业执照载明的人员为准］</w:t>
      </w:r>
    </w:p>
    <w:p w14:paraId="519001A3">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2.义乌市国企采购项目投标承诺书</w:t>
      </w:r>
    </w:p>
    <w:p w14:paraId="1F2E33D5">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3.货物简要说明一览表</w:t>
      </w:r>
    </w:p>
    <w:p w14:paraId="336C98F4">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4.规范偏离表</w:t>
      </w:r>
    </w:p>
    <w:p w14:paraId="72ED299B">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5.产品质量保证承诺书和售后服务承诺书</w:t>
      </w:r>
    </w:p>
    <w:p w14:paraId="50A4AD4C">
      <w:pPr>
        <w:tabs>
          <w:tab w:val="left" w:pos="1050"/>
        </w:tabs>
        <w:spacing w:line="520" w:lineRule="exact"/>
        <w:ind w:left="528"/>
        <w:rPr>
          <w:rFonts w:hint="eastAsia" w:ascii="宋体" w:hAnsi="宋体" w:cs="宋体"/>
          <w:color w:val="auto"/>
          <w:szCs w:val="21"/>
          <w:highlight w:val="none"/>
        </w:rPr>
      </w:pPr>
    </w:p>
    <w:p w14:paraId="20663258">
      <w:pPr>
        <w:tabs>
          <w:tab w:val="left" w:pos="1050"/>
        </w:tabs>
        <w:spacing w:line="520" w:lineRule="exact"/>
        <w:ind w:left="528"/>
        <w:rPr>
          <w:rFonts w:hint="eastAsia" w:ascii="宋体" w:hAnsi="宋体" w:cs="宋体"/>
          <w:color w:val="auto"/>
          <w:szCs w:val="21"/>
          <w:highlight w:val="none"/>
        </w:rPr>
      </w:pPr>
    </w:p>
    <w:p w14:paraId="5E32CBE8">
      <w:pPr>
        <w:pStyle w:val="3"/>
        <w:spacing w:before="120" w:after="120" w:line="360" w:lineRule="auto"/>
        <w:rPr>
          <w:rFonts w:hint="eastAsia" w:ascii="宋体" w:hAnsi="宋体" w:eastAsia="宋体" w:cs="宋体"/>
          <w:color w:val="auto"/>
          <w:sz w:val="21"/>
          <w:szCs w:val="21"/>
          <w:highlight w:val="none"/>
        </w:rPr>
      </w:pPr>
      <w:bookmarkStart w:id="87" w:name="_Toc7214"/>
      <w:r>
        <w:rPr>
          <w:rFonts w:hint="eastAsia" w:ascii="宋体" w:hAnsi="宋体" w:eastAsia="宋体" w:cs="宋体"/>
          <w:color w:val="auto"/>
          <w:sz w:val="21"/>
          <w:szCs w:val="21"/>
          <w:highlight w:val="none"/>
        </w:rPr>
        <w:t>二、报价响应文件部分格式</w:t>
      </w:r>
      <w:bookmarkEnd w:id="87"/>
    </w:p>
    <w:p w14:paraId="393ED5D0">
      <w:pPr>
        <w:tabs>
          <w:tab w:val="left" w:pos="108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1.开标一览表格式</w:t>
      </w:r>
    </w:p>
    <w:p w14:paraId="5BF22449">
      <w:pPr>
        <w:spacing w:line="340" w:lineRule="exact"/>
        <w:rPr>
          <w:rFonts w:hint="eastAsia" w:ascii="宋体" w:hAnsi="宋体" w:cs="宋体"/>
          <w:color w:val="auto"/>
          <w:szCs w:val="21"/>
          <w:highlight w:val="none"/>
        </w:rPr>
      </w:pPr>
    </w:p>
    <w:p w14:paraId="505BC10C">
      <w:pPr>
        <w:spacing w:line="340" w:lineRule="exact"/>
        <w:rPr>
          <w:rFonts w:hint="eastAsia" w:ascii="宋体" w:hAnsi="宋体" w:cs="宋体"/>
          <w:color w:val="auto"/>
          <w:szCs w:val="21"/>
          <w:highlight w:val="none"/>
        </w:rPr>
      </w:pPr>
    </w:p>
    <w:p w14:paraId="1EC4AA10">
      <w:pPr>
        <w:pStyle w:val="3"/>
        <w:spacing w:before="120" w:after="120" w:line="360" w:lineRule="auto"/>
        <w:rPr>
          <w:rFonts w:hint="eastAsia" w:ascii="宋体" w:hAnsi="宋体" w:eastAsia="宋体" w:cs="宋体"/>
          <w:color w:val="auto"/>
          <w:sz w:val="21"/>
          <w:szCs w:val="21"/>
          <w:highlight w:val="none"/>
        </w:rPr>
      </w:pPr>
      <w:bookmarkStart w:id="88" w:name="_Toc17009"/>
      <w:r>
        <w:rPr>
          <w:rFonts w:hint="eastAsia" w:ascii="宋体" w:hAnsi="宋体" w:eastAsia="宋体" w:cs="宋体"/>
          <w:color w:val="auto"/>
          <w:sz w:val="21"/>
          <w:szCs w:val="21"/>
          <w:highlight w:val="none"/>
        </w:rPr>
        <w:t>三、质疑函范本</w:t>
      </w:r>
      <w:bookmarkEnd w:id="88"/>
    </w:p>
    <w:p w14:paraId="5117AE73">
      <w:pPr>
        <w:spacing w:line="340" w:lineRule="exact"/>
        <w:rPr>
          <w:rFonts w:hint="eastAsia" w:ascii="宋体" w:hAnsi="宋体" w:cs="宋体"/>
          <w:color w:val="auto"/>
          <w:szCs w:val="21"/>
          <w:highlight w:val="none"/>
        </w:rPr>
      </w:pPr>
    </w:p>
    <w:p w14:paraId="21281112">
      <w:pPr>
        <w:spacing w:line="340" w:lineRule="exact"/>
        <w:rPr>
          <w:rFonts w:hint="eastAsia" w:ascii="宋体" w:hAnsi="宋体" w:cs="宋体"/>
          <w:color w:val="auto"/>
          <w:szCs w:val="21"/>
          <w:highlight w:val="none"/>
        </w:rPr>
      </w:pPr>
    </w:p>
    <w:p w14:paraId="568D9B93">
      <w:pPr>
        <w:spacing w:line="340" w:lineRule="exact"/>
        <w:rPr>
          <w:rFonts w:ascii="宋体" w:cs="宋体"/>
          <w:color w:val="auto"/>
          <w:sz w:val="24"/>
          <w:highlight w:val="none"/>
        </w:rPr>
      </w:pPr>
    </w:p>
    <w:p w14:paraId="716A88B5">
      <w:pPr>
        <w:spacing w:line="340" w:lineRule="exact"/>
        <w:rPr>
          <w:rFonts w:ascii="宋体" w:cs="宋体"/>
          <w:color w:val="auto"/>
          <w:sz w:val="24"/>
          <w:highlight w:val="none"/>
        </w:rPr>
      </w:pPr>
    </w:p>
    <w:p w14:paraId="6A783277">
      <w:pPr>
        <w:spacing w:line="340" w:lineRule="exact"/>
        <w:rPr>
          <w:rFonts w:ascii="宋体" w:cs="宋体"/>
          <w:color w:val="auto"/>
          <w:sz w:val="24"/>
          <w:highlight w:val="none"/>
        </w:rPr>
      </w:pPr>
    </w:p>
    <w:p w14:paraId="1B89F57D">
      <w:pPr>
        <w:spacing w:line="340" w:lineRule="exact"/>
        <w:rPr>
          <w:rFonts w:ascii="宋体" w:cs="宋体"/>
          <w:color w:val="auto"/>
          <w:sz w:val="24"/>
          <w:highlight w:val="none"/>
        </w:rPr>
      </w:pPr>
    </w:p>
    <w:p w14:paraId="3233D7BD">
      <w:pPr>
        <w:spacing w:line="340" w:lineRule="exact"/>
        <w:rPr>
          <w:rFonts w:ascii="宋体" w:cs="宋体"/>
          <w:color w:val="auto"/>
          <w:sz w:val="24"/>
          <w:highlight w:val="none"/>
        </w:rPr>
      </w:pPr>
    </w:p>
    <w:p w14:paraId="1CC26994">
      <w:pPr>
        <w:spacing w:line="340" w:lineRule="exact"/>
        <w:rPr>
          <w:rFonts w:ascii="宋体" w:cs="宋体"/>
          <w:color w:val="auto"/>
          <w:sz w:val="24"/>
          <w:highlight w:val="none"/>
        </w:rPr>
      </w:pPr>
    </w:p>
    <w:p w14:paraId="1A57C1BE">
      <w:pPr>
        <w:spacing w:line="340" w:lineRule="exact"/>
        <w:rPr>
          <w:rFonts w:ascii="宋体" w:cs="宋体"/>
          <w:color w:val="auto"/>
          <w:sz w:val="24"/>
          <w:highlight w:val="none"/>
        </w:rPr>
      </w:pPr>
    </w:p>
    <w:p w14:paraId="06DD2356">
      <w:pPr>
        <w:spacing w:line="340" w:lineRule="exact"/>
        <w:rPr>
          <w:rFonts w:ascii="宋体" w:cs="宋体"/>
          <w:color w:val="auto"/>
          <w:sz w:val="24"/>
          <w:highlight w:val="none"/>
        </w:rPr>
      </w:pPr>
    </w:p>
    <w:p w14:paraId="69166FF4">
      <w:pPr>
        <w:spacing w:line="340" w:lineRule="exact"/>
        <w:rPr>
          <w:rFonts w:ascii="宋体" w:cs="宋体"/>
          <w:color w:val="auto"/>
          <w:sz w:val="24"/>
          <w:highlight w:val="none"/>
        </w:rPr>
      </w:pPr>
    </w:p>
    <w:p w14:paraId="7BDE289C">
      <w:pPr>
        <w:spacing w:line="340" w:lineRule="exact"/>
        <w:rPr>
          <w:rFonts w:ascii="宋体" w:cs="宋体"/>
          <w:color w:val="auto"/>
          <w:sz w:val="24"/>
          <w:highlight w:val="none"/>
        </w:rPr>
      </w:pPr>
    </w:p>
    <w:p w14:paraId="6E0C5E72">
      <w:pPr>
        <w:pStyle w:val="3"/>
        <w:spacing w:before="120" w:after="120" w:line="360" w:lineRule="auto"/>
        <w:rPr>
          <w:rFonts w:hint="eastAsia" w:ascii="宋体" w:hAnsi="宋体" w:eastAsia="宋体" w:cs="宋体"/>
          <w:color w:val="auto"/>
          <w:sz w:val="21"/>
          <w:szCs w:val="21"/>
          <w:highlight w:val="none"/>
        </w:rPr>
      </w:pPr>
    </w:p>
    <w:p w14:paraId="1DF7370F">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497314F3">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70703620">
      <w:pPr>
        <w:jc w:val="center"/>
        <w:rPr>
          <w:rFonts w:hint="eastAsia" w:ascii="宋体" w:hAnsi="宋体"/>
          <w:color w:val="auto"/>
          <w:sz w:val="24"/>
          <w:highlight w:val="none"/>
          <w:u w:val="single"/>
        </w:rPr>
      </w:pPr>
    </w:p>
    <w:p w14:paraId="7A4C658C">
      <w:pPr>
        <w:jc w:val="center"/>
        <w:rPr>
          <w:rFonts w:hint="eastAsia" w:ascii="宋体" w:hAnsi="宋体"/>
          <w:color w:val="auto"/>
          <w:sz w:val="24"/>
          <w:highlight w:val="none"/>
          <w:u w:val="single"/>
        </w:rPr>
      </w:pPr>
    </w:p>
    <w:p w14:paraId="6E06D311">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1A80C122">
      <w:pPr>
        <w:rPr>
          <w:rFonts w:hint="eastAsia" w:ascii="宋体" w:hAnsi="宋体"/>
          <w:color w:val="auto"/>
          <w:sz w:val="52"/>
          <w:highlight w:val="none"/>
        </w:rPr>
      </w:pPr>
    </w:p>
    <w:p w14:paraId="18427083">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609698FF">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19DD020C">
      <w:pPr>
        <w:jc w:val="center"/>
        <w:rPr>
          <w:rFonts w:hint="eastAsia" w:ascii="宋体" w:hAnsi="宋体"/>
          <w:b/>
          <w:bCs/>
          <w:color w:val="auto"/>
          <w:sz w:val="28"/>
          <w:highlight w:val="none"/>
        </w:rPr>
      </w:pPr>
    </w:p>
    <w:p w14:paraId="68E96C05">
      <w:pPr>
        <w:jc w:val="center"/>
        <w:rPr>
          <w:rFonts w:hint="eastAsia" w:ascii="宋体" w:hAnsi="宋体"/>
          <w:b/>
          <w:bCs/>
          <w:color w:val="auto"/>
          <w:sz w:val="28"/>
          <w:highlight w:val="none"/>
        </w:rPr>
      </w:pPr>
    </w:p>
    <w:p w14:paraId="6687B0EE">
      <w:pPr>
        <w:jc w:val="center"/>
        <w:rPr>
          <w:rFonts w:hint="eastAsia" w:ascii="宋体" w:hAnsi="宋体"/>
          <w:b/>
          <w:bCs/>
          <w:color w:val="auto"/>
          <w:sz w:val="28"/>
          <w:highlight w:val="none"/>
        </w:rPr>
      </w:pPr>
    </w:p>
    <w:p w14:paraId="766F77B0">
      <w:pPr>
        <w:jc w:val="center"/>
        <w:rPr>
          <w:rFonts w:hint="eastAsia" w:ascii="宋体" w:hAnsi="宋体"/>
          <w:b/>
          <w:bCs/>
          <w:color w:val="auto"/>
          <w:sz w:val="28"/>
          <w:highlight w:val="none"/>
        </w:rPr>
      </w:pPr>
    </w:p>
    <w:p w14:paraId="34287AB4">
      <w:pPr>
        <w:rPr>
          <w:rFonts w:hint="eastAsia" w:ascii="宋体" w:hAnsi="宋体"/>
          <w:b/>
          <w:bCs/>
          <w:color w:val="auto"/>
          <w:sz w:val="28"/>
          <w:highlight w:val="none"/>
        </w:rPr>
      </w:pPr>
    </w:p>
    <w:p w14:paraId="3C770A16">
      <w:pPr>
        <w:jc w:val="center"/>
        <w:rPr>
          <w:rFonts w:hint="eastAsia" w:ascii="宋体" w:hAnsi="宋体"/>
          <w:b/>
          <w:bCs/>
          <w:color w:val="auto"/>
          <w:sz w:val="28"/>
          <w:highlight w:val="none"/>
        </w:rPr>
      </w:pPr>
    </w:p>
    <w:p w14:paraId="4C3D81B8">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2F4717ED">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08FB9264">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677FB482">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23C83BF9">
      <w:pPr>
        <w:rPr>
          <w:rFonts w:hint="eastAsia"/>
          <w:b/>
          <w:bCs/>
          <w:color w:val="auto"/>
          <w:sz w:val="36"/>
          <w:highlight w:val="none"/>
        </w:rPr>
      </w:pPr>
    </w:p>
    <w:p w14:paraId="290A7610">
      <w:pPr>
        <w:spacing w:line="48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法定代表人授权书（格式）</w:t>
      </w:r>
    </w:p>
    <w:p w14:paraId="6D616AEA">
      <w:pPr>
        <w:spacing w:line="480" w:lineRule="auto"/>
        <w:jc w:val="center"/>
        <w:rPr>
          <w:rFonts w:hint="eastAsia" w:ascii="宋体" w:hAnsi="宋体" w:cs="宋体"/>
          <w:b/>
          <w:color w:val="auto"/>
          <w:sz w:val="48"/>
          <w:highlight w:val="none"/>
        </w:rPr>
      </w:pPr>
    </w:p>
    <w:p w14:paraId="3125D22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1047573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3826E2F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758B4E4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6A1C7B51">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7464AF3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5BB9EB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6164E6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2048F086">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3AE45D9D">
      <w:pPr>
        <w:spacing w:line="360" w:lineRule="auto"/>
        <w:rPr>
          <w:rFonts w:hint="eastAsia" w:ascii="宋体" w:hAnsi="宋体" w:cs="宋体"/>
          <w:color w:val="auto"/>
          <w:sz w:val="24"/>
          <w:highlight w:val="none"/>
        </w:rPr>
      </w:pPr>
    </w:p>
    <w:p w14:paraId="1B1BA76C">
      <w:pPr>
        <w:spacing w:line="360" w:lineRule="auto"/>
        <w:rPr>
          <w:rFonts w:hint="eastAsia" w:ascii="宋体" w:hAnsi="宋体" w:cs="宋体"/>
          <w:color w:val="auto"/>
          <w:sz w:val="24"/>
          <w:highlight w:val="none"/>
        </w:rPr>
      </w:pPr>
    </w:p>
    <w:p w14:paraId="174BF8D4">
      <w:pPr>
        <w:spacing w:line="360" w:lineRule="auto"/>
        <w:rPr>
          <w:rFonts w:hint="eastAsia" w:ascii="宋体" w:hAnsi="宋体" w:cs="宋体"/>
          <w:color w:val="auto"/>
          <w:sz w:val="24"/>
          <w:highlight w:val="none"/>
        </w:rPr>
      </w:pPr>
    </w:p>
    <w:p w14:paraId="6A4FB7C3">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投标人（盖电子签章）：</w:t>
      </w:r>
    </w:p>
    <w:p w14:paraId="7B287ADB">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09F6A76E">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873B1EE">
      <w:pPr>
        <w:spacing w:line="360" w:lineRule="auto"/>
        <w:rPr>
          <w:rFonts w:hint="eastAsia" w:ascii="宋体" w:hAnsi="宋体" w:cs="宋体"/>
          <w:color w:val="auto"/>
          <w:sz w:val="24"/>
          <w:highlight w:val="none"/>
        </w:rPr>
      </w:pPr>
    </w:p>
    <w:p w14:paraId="78F433A2">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注：该表格适用于非法定代表人作为投标方代表参加投标的。</w:t>
      </w:r>
    </w:p>
    <w:p w14:paraId="44C91EE0">
      <w:pPr>
        <w:jc w:val="center"/>
        <w:rPr>
          <w:rFonts w:hint="eastAsia" w:ascii="宋体" w:hAnsi="宋体" w:cs="宋体"/>
          <w:b/>
          <w:bCs/>
          <w:color w:val="auto"/>
          <w:sz w:val="36"/>
          <w:highlight w:val="none"/>
        </w:rPr>
      </w:pPr>
    </w:p>
    <w:p w14:paraId="1A40EDAC">
      <w:pPr>
        <w:spacing w:line="360" w:lineRule="auto"/>
        <w:jc w:val="center"/>
        <w:outlineLvl w:val="2"/>
        <w:rPr>
          <w:rFonts w:ascii="宋体" w:hAnsi="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cs="宋体"/>
          <w:b/>
          <w:color w:val="auto"/>
          <w:sz w:val="32"/>
          <w:szCs w:val="32"/>
          <w:highlight w:val="none"/>
        </w:rPr>
        <w:t>义乌市国企采购项目投标承诺书</w:t>
      </w:r>
    </w:p>
    <w:p w14:paraId="720C8EB5">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176CAD56">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2.自愿接受义乌市财政局（以下简称市财政局）的管理，并严格遵守市财政局制定的招投标管理制度、规范和纪律。</w:t>
      </w:r>
    </w:p>
    <w:p w14:paraId="43E413FC">
      <w:pPr>
        <w:pStyle w:val="17"/>
        <w:spacing w:line="360" w:lineRule="exact"/>
        <w:ind w:firstLine="464" w:firstLineChars="200"/>
        <w:rPr>
          <w:rFonts w:hint="eastAsia" w:hAnsi="宋体" w:cs="宋体"/>
          <w:color w:val="auto"/>
          <w:w w:val="97"/>
          <w:sz w:val="24"/>
          <w:szCs w:val="24"/>
          <w:highlight w:val="none"/>
        </w:rPr>
      </w:pPr>
      <w:r>
        <w:rPr>
          <w:rFonts w:hint="eastAsia" w:hAnsi="宋体" w:cs="宋体"/>
          <w:color w:val="auto"/>
          <w:w w:val="97"/>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0E98E873">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4A3501BE">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10E962F8">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0509CE34">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7.在备案、招标、投标、报名、开标、评标、询标、中标、签订合同、合同备案等招投标预备和进行的全过程中提供的资料均真实、有效，不弄虚作假。</w:t>
      </w:r>
    </w:p>
    <w:p w14:paraId="0DE54DAE">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8.我方已详细审核全部招标文件，包括修改文件(如果有的话)，及有关附件，我方同意放弃提出含糊不清或误解的权力。 </w:t>
      </w:r>
    </w:p>
    <w:p w14:paraId="228E65D4">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204F1112">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5BF049D7">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492B258C">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03151F88">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2E7E2B26">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14.严格遵守开标会议纪律，不在开标会场吵闹、滋事，服从工作人员指挥。</w:t>
      </w:r>
    </w:p>
    <w:p w14:paraId="4AAC3B70">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6FCD4F6B">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62A48931">
      <w:pPr>
        <w:rPr>
          <w:rFonts w:hint="eastAsia"/>
          <w:color w:val="auto"/>
          <w:szCs w:val="20"/>
          <w:highlight w:val="none"/>
        </w:rPr>
      </w:pPr>
    </w:p>
    <w:p w14:paraId="12BC6277">
      <w:pPr>
        <w:pStyle w:val="17"/>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投标人（电子签章）：法定代表人或其授权的委托代理人（签字或盖章）：   年   月   日</w:t>
      </w:r>
    </w:p>
    <w:p w14:paraId="108C0080">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货物简要说明一览表</w:t>
      </w:r>
    </w:p>
    <w:p w14:paraId="0D254AFD">
      <w:pPr>
        <w:spacing w:before="156" w:beforeLines="50" w:after="156" w:afterLines="50"/>
        <w:rPr>
          <w:rFonts w:ascii="宋体" w:hAnsi="宋体" w:cs="宋体"/>
          <w:color w:val="auto"/>
          <w:sz w:val="24"/>
          <w:highlight w:val="none"/>
        </w:rPr>
      </w:pPr>
      <w:r>
        <w:rPr>
          <w:rFonts w:hint="eastAsia" w:ascii="宋体" w:hAnsi="宋体" w:cs="宋体"/>
          <w:color w:val="auto"/>
          <w:sz w:val="24"/>
          <w:highlight w:val="none"/>
        </w:rPr>
        <w:t xml:space="preserve">投标方名称（盖电子签章）：___________________        </w:t>
      </w:r>
      <w:r>
        <w:rPr>
          <w:rFonts w:hint="eastAsia" w:ascii="宋体" w:hAnsi="宋体" w:cs="宋体"/>
          <w:bCs/>
          <w:color w:val="auto"/>
          <w:sz w:val="24"/>
          <w:highlight w:val="none"/>
        </w:rPr>
        <w:t>采购</w:t>
      </w:r>
      <w:r>
        <w:rPr>
          <w:rFonts w:hint="eastAsia" w:ascii="宋体" w:hAnsi="宋体" w:cs="宋体"/>
          <w:color w:val="auto"/>
          <w:sz w:val="24"/>
          <w:highlight w:val="none"/>
        </w:rPr>
        <w:t>编号：_____________</w:t>
      </w:r>
    </w:p>
    <w:tbl>
      <w:tblPr>
        <w:tblStyle w:val="3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6D8B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04F9771">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260" w:type="dxa"/>
            <w:noWrap w:val="0"/>
            <w:vAlign w:val="top"/>
          </w:tcPr>
          <w:p w14:paraId="114E4A9F">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产品名称</w:t>
            </w:r>
          </w:p>
        </w:tc>
        <w:tc>
          <w:tcPr>
            <w:tcW w:w="855" w:type="dxa"/>
            <w:noWrap w:val="0"/>
            <w:vAlign w:val="center"/>
          </w:tcPr>
          <w:p w14:paraId="0BCD5BFC">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产地</w:t>
            </w:r>
          </w:p>
        </w:tc>
        <w:tc>
          <w:tcPr>
            <w:tcW w:w="2745" w:type="dxa"/>
            <w:noWrap w:val="0"/>
            <w:vAlign w:val="center"/>
          </w:tcPr>
          <w:p w14:paraId="1BA4DDB1">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型号规格及技术参数</w:t>
            </w:r>
          </w:p>
        </w:tc>
        <w:tc>
          <w:tcPr>
            <w:tcW w:w="825" w:type="dxa"/>
            <w:noWrap w:val="0"/>
            <w:vAlign w:val="center"/>
          </w:tcPr>
          <w:p w14:paraId="2C0228ED">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2955" w:type="dxa"/>
            <w:noWrap w:val="0"/>
            <w:vAlign w:val="center"/>
          </w:tcPr>
          <w:p w14:paraId="3F3A58AD">
            <w:pPr>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性能说明及其他</w:t>
            </w:r>
          </w:p>
        </w:tc>
      </w:tr>
      <w:tr w14:paraId="33A2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60D9C2A">
            <w:pPr>
              <w:spacing w:line="360" w:lineRule="auto"/>
              <w:jc w:val="center"/>
              <w:rPr>
                <w:rFonts w:ascii="宋体" w:hAnsi="宋体" w:eastAsia="宋体" w:cs="宋体"/>
                <w:b/>
                <w:bCs/>
                <w:color w:val="auto"/>
                <w:sz w:val="24"/>
                <w:highlight w:val="none"/>
              </w:rPr>
            </w:pPr>
          </w:p>
        </w:tc>
        <w:tc>
          <w:tcPr>
            <w:tcW w:w="1260" w:type="dxa"/>
            <w:noWrap w:val="0"/>
            <w:vAlign w:val="top"/>
          </w:tcPr>
          <w:p w14:paraId="57156C99">
            <w:pPr>
              <w:spacing w:line="360" w:lineRule="auto"/>
              <w:jc w:val="center"/>
              <w:rPr>
                <w:rFonts w:ascii="宋体" w:hAnsi="宋体" w:eastAsia="宋体" w:cs="宋体"/>
                <w:b/>
                <w:bCs/>
                <w:color w:val="auto"/>
                <w:sz w:val="24"/>
                <w:highlight w:val="none"/>
              </w:rPr>
            </w:pPr>
          </w:p>
        </w:tc>
        <w:tc>
          <w:tcPr>
            <w:tcW w:w="855" w:type="dxa"/>
            <w:noWrap w:val="0"/>
            <w:vAlign w:val="center"/>
          </w:tcPr>
          <w:p w14:paraId="315565DC">
            <w:pPr>
              <w:spacing w:line="360" w:lineRule="auto"/>
              <w:jc w:val="center"/>
              <w:rPr>
                <w:rFonts w:ascii="宋体" w:hAnsi="宋体" w:eastAsia="宋体" w:cs="宋体"/>
                <w:b/>
                <w:bCs/>
                <w:color w:val="auto"/>
                <w:sz w:val="24"/>
                <w:highlight w:val="none"/>
              </w:rPr>
            </w:pPr>
          </w:p>
        </w:tc>
        <w:tc>
          <w:tcPr>
            <w:tcW w:w="2745" w:type="dxa"/>
            <w:noWrap w:val="0"/>
            <w:vAlign w:val="center"/>
          </w:tcPr>
          <w:p w14:paraId="71B8BDC7">
            <w:pPr>
              <w:spacing w:line="360" w:lineRule="auto"/>
              <w:jc w:val="center"/>
              <w:rPr>
                <w:rFonts w:ascii="宋体" w:hAnsi="宋体" w:eastAsia="宋体" w:cs="宋体"/>
                <w:b/>
                <w:bCs/>
                <w:color w:val="auto"/>
                <w:sz w:val="24"/>
                <w:highlight w:val="none"/>
              </w:rPr>
            </w:pPr>
          </w:p>
        </w:tc>
        <w:tc>
          <w:tcPr>
            <w:tcW w:w="825" w:type="dxa"/>
            <w:noWrap w:val="0"/>
            <w:vAlign w:val="center"/>
          </w:tcPr>
          <w:p w14:paraId="627792EE">
            <w:pPr>
              <w:spacing w:line="360" w:lineRule="auto"/>
              <w:jc w:val="center"/>
              <w:rPr>
                <w:rFonts w:ascii="宋体" w:hAnsi="宋体" w:eastAsia="宋体" w:cs="宋体"/>
                <w:b/>
                <w:bCs/>
                <w:color w:val="auto"/>
                <w:sz w:val="24"/>
                <w:highlight w:val="none"/>
              </w:rPr>
            </w:pPr>
          </w:p>
        </w:tc>
        <w:tc>
          <w:tcPr>
            <w:tcW w:w="2955" w:type="dxa"/>
            <w:noWrap w:val="0"/>
            <w:vAlign w:val="top"/>
          </w:tcPr>
          <w:p w14:paraId="7744BD42">
            <w:pPr>
              <w:rPr>
                <w:rFonts w:ascii="宋体" w:hAnsi="宋体" w:eastAsia="宋体" w:cs="宋体"/>
                <w:color w:val="auto"/>
                <w:sz w:val="24"/>
                <w:highlight w:val="none"/>
              </w:rPr>
            </w:pPr>
          </w:p>
        </w:tc>
      </w:tr>
      <w:tr w14:paraId="7889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69B8400">
            <w:pPr>
              <w:spacing w:line="360" w:lineRule="auto"/>
              <w:jc w:val="center"/>
              <w:rPr>
                <w:rFonts w:ascii="宋体" w:hAnsi="宋体" w:eastAsia="宋体" w:cs="宋体"/>
                <w:b/>
                <w:bCs/>
                <w:color w:val="auto"/>
                <w:sz w:val="24"/>
                <w:highlight w:val="none"/>
              </w:rPr>
            </w:pPr>
          </w:p>
        </w:tc>
        <w:tc>
          <w:tcPr>
            <w:tcW w:w="1260" w:type="dxa"/>
            <w:noWrap w:val="0"/>
            <w:vAlign w:val="top"/>
          </w:tcPr>
          <w:p w14:paraId="4B2E9CDE">
            <w:pPr>
              <w:spacing w:line="360" w:lineRule="auto"/>
              <w:jc w:val="center"/>
              <w:rPr>
                <w:rFonts w:ascii="宋体" w:hAnsi="宋体" w:eastAsia="宋体" w:cs="宋体"/>
                <w:b/>
                <w:bCs/>
                <w:color w:val="auto"/>
                <w:sz w:val="24"/>
                <w:highlight w:val="none"/>
              </w:rPr>
            </w:pPr>
          </w:p>
        </w:tc>
        <w:tc>
          <w:tcPr>
            <w:tcW w:w="855" w:type="dxa"/>
            <w:noWrap w:val="0"/>
            <w:vAlign w:val="center"/>
          </w:tcPr>
          <w:p w14:paraId="3633E548">
            <w:pPr>
              <w:spacing w:line="360" w:lineRule="auto"/>
              <w:jc w:val="center"/>
              <w:rPr>
                <w:rFonts w:ascii="宋体" w:hAnsi="宋体" w:eastAsia="宋体" w:cs="宋体"/>
                <w:b/>
                <w:bCs/>
                <w:color w:val="auto"/>
                <w:sz w:val="24"/>
                <w:highlight w:val="none"/>
              </w:rPr>
            </w:pPr>
          </w:p>
        </w:tc>
        <w:tc>
          <w:tcPr>
            <w:tcW w:w="2745" w:type="dxa"/>
            <w:noWrap w:val="0"/>
            <w:vAlign w:val="center"/>
          </w:tcPr>
          <w:p w14:paraId="5254EBBB">
            <w:pPr>
              <w:spacing w:line="360" w:lineRule="auto"/>
              <w:jc w:val="center"/>
              <w:rPr>
                <w:rFonts w:ascii="宋体" w:hAnsi="宋体" w:eastAsia="宋体" w:cs="宋体"/>
                <w:b/>
                <w:bCs/>
                <w:color w:val="auto"/>
                <w:sz w:val="24"/>
                <w:highlight w:val="none"/>
              </w:rPr>
            </w:pPr>
          </w:p>
        </w:tc>
        <w:tc>
          <w:tcPr>
            <w:tcW w:w="825" w:type="dxa"/>
            <w:noWrap w:val="0"/>
            <w:vAlign w:val="center"/>
          </w:tcPr>
          <w:p w14:paraId="7F59B729">
            <w:pPr>
              <w:spacing w:line="360" w:lineRule="auto"/>
              <w:jc w:val="center"/>
              <w:rPr>
                <w:rFonts w:ascii="宋体" w:hAnsi="宋体" w:eastAsia="宋体" w:cs="宋体"/>
                <w:b/>
                <w:bCs/>
                <w:color w:val="auto"/>
                <w:sz w:val="24"/>
                <w:highlight w:val="none"/>
              </w:rPr>
            </w:pPr>
          </w:p>
        </w:tc>
        <w:tc>
          <w:tcPr>
            <w:tcW w:w="2955" w:type="dxa"/>
            <w:noWrap w:val="0"/>
            <w:vAlign w:val="top"/>
          </w:tcPr>
          <w:p w14:paraId="0625E0E9">
            <w:pPr>
              <w:rPr>
                <w:rFonts w:ascii="宋体" w:hAnsi="宋体" w:eastAsia="宋体" w:cs="宋体"/>
                <w:color w:val="auto"/>
                <w:sz w:val="24"/>
                <w:highlight w:val="none"/>
              </w:rPr>
            </w:pPr>
          </w:p>
        </w:tc>
      </w:tr>
      <w:tr w14:paraId="3215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C47438A">
            <w:pPr>
              <w:spacing w:line="360" w:lineRule="auto"/>
              <w:jc w:val="center"/>
              <w:rPr>
                <w:rFonts w:ascii="宋体" w:hAnsi="宋体" w:eastAsia="宋体" w:cs="宋体"/>
                <w:b/>
                <w:bCs/>
                <w:color w:val="auto"/>
                <w:sz w:val="24"/>
                <w:highlight w:val="none"/>
              </w:rPr>
            </w:pPr>
          </w:p>
        </w:tc>
        <w:tc>
          <w:tcPr>
            <w:tcW w:w="1260" w:type="dxa"/>
            <w:noWrap w:val="0"/>
            <w:vAlign w:val="top"/>
          </w:tcPr>
          <w:p w14:paraId="7F69139A">
            <w:pPr>
              <w:spacing w:line="360" w:lineRule="auto"/>
              <w:jc w:val="center"/>
              <w:rPr>
                <w:rFonts w:ascii="宋体" w:hAnsi="宋体" w:eastAsia="宋体" w:cs="宋体"/>
                <w:b/>
                <w:bCs/>
                <w:color w:val="auto"/>
                <w:sz w:val="24"/>
                <w:highlight w:val="none"/>
              </w:rPr>
            </w:pPr>
          </w:p>
        </w:tc>
        <w:tc>
          <w:tcPr>
            <w:tcW w:w="855" w:type="dxa"/>
            <w:noWrap w:val="0"/>
            <w:vAlign w:val="center"/>
          </w:tcPr>
          <w:p w14:paraId="369A468E">
            <w:pPr>
              <w:spacing w:line="360" w:lineRule="auto"/>
              <w:jc w:val="center"/>
              <w:rPr>
                <w:rFonts w:ascii="宋体" w:hAnsi="宋体" w:eastAsia="宋体" w:cs="宋体"/>
                <w:b/>
                <w:bCs/>
                <w:color w:val="auto"/>
                <w:sz w:val="24"/>
                <w:highlight w:val="none"/>
              </w:rPr>
            </w:pPr>
          </w:p>
        </w:tc>
        <w:tc>
          <w:tcPr>
            <w:tcW w:w="2745" w:type="dxa"/>
            <w:noWrap w:val="0"/>
            <w:vAlign w:val="center"/>
          </w:tcPr>
          <w:p w14:paraId="05FDF847">
            <w:pPr>
              <w:spacing w:line="360" w:lineRule="auto"/>
              <w:jc w:val="center"/>
              <w:rPr>
                <w:rFonts w:ascii="宋体" w:hAnsi="宋体" w:eastAsia="宋体" w:cs="宋体"/>
                <w:b/>
                <w:bCs/>
                <w:color w:val="auto"/>
                <w:sz w:val="24"/>
                <w:highlight w:val="none"/>
              </w:rPr>
            </w:pPr>
          </w:p>
        </w:tc>
        <w:tc>
          <w:tcPr>
            <w:tcW w:w="825" w:type="dxa"/>
            <w:noWrap w:val="0"/>
            <w:vAlign w:val="center"/>
          </w:tcPr>
          <w:p w14:paraId="3672B20A">
            <w:pPr>
              <w:spacing w:line="360" w:lineRule="auto"/>
              <w:jc w:val="center"/>
              <w:rPr>
                <w:rFonts w:ascii="宋体" w:hAnsi="宋体" w:eastAsia="宋体" w:cs="宋体"/>
                <w:b/>
                <w:bCs/>
                <w:color w:val="auto"/>
                <w:sz w:val="24"/>
                <w:highlight w:val="none"/>
              </w:rPr>
            </w:pPr>
          </w:p>
        </w:tc>
        <w:tc>
          <w:tcPr>
            <w:tcW w:w="2955" w:type="dxa"/>
            <w:noWrap w:val="0"/>
            <w:vAlign w:val="top"/>
          </w:tcPr>
          <w:p w14:paraId="28335CA6">
            <w:pPr>
              <w:rPr>
                <w:rFonts w:ascii="宋体" w:hAnsi="宋体" w:eastAsia="宋体" w:cs="宋体"/>
                <w:color w:val="auto"/>
                <w:sz w:val="24"/>
                <w:highlight w:val="none"/>
              </w:rPr>
            </w:pPr>
          </w:p>
        </w:tc>
      </w:tr>
      <w:tr w14:paraId="3C35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7EF7F7C">
            <w:pPr>
              <w:spacing w:line="360" w:lineRule="auto"/>
              <w:jc w:val="center"/>
              <w:rPr>
                <w:rFonts w:ascii="宋体" w:hAnsi="宋体" w:eastAsia="宋体" w:cs="宋体"/>
                <w:b/>
                <w:bCs/>
                <w:color w:val="auto"/>
                <w:sz w:val="24"/>
                <w:highlight w:val="none"/>
              </w:rPr>
            </w:pPr>
          </w:p>
        </w:tc>
        <w:tc>
          <w:tcPr>
            <w:tcW w:w="1260" w:type="dxa"/>
            <w:noWrap w:val="0"/>
            <w:vAlign w:val="top"/>
          </w:tcPr>
          <w:p w14:paraId="0CD59A5B">
            <w:pPr>
              <w:spacing w:line="360" w:lineRule="auto"/>
              <w:jc w:val="center"/>
              <w:rPr>
                <w:rFonts w:ascii="宋体" w:hAnsi="宋体" w:eastAsia="宋体" w:cs="宋体"/>
                <w:b/>
                <w:bCs/>
                <w:color w:val="auto"/>
                <w:sz w:val="24"/>
                <w:highlight w:val="none"/>
              </w:rPr>
            </w:pPr>
          </w:p>
        </w:tc>
        <w:tc>
          <w:tcPr>
            <w:tcW w:w="855" w:type="dxa"/>
            <w:noWrap w:val="0"/>
            <w:vAlign w:val="center"/>
          </w:tcPr>
          <w:p w14:paraId="36F4A47A">
            <w:pPr>
              <w:spacing w:line="360" w:lineRule="auto"/>
              <w:jc w:val="center"/>
              <w:rPr>
                <w:rFonts w:ascii="宋体" w:hAnsi="宋体" w:eastAsia="宋体" w:cs="宋体"/>
                <w:b/>
                <w:bCs/>
                <w:color w:val="auto"/>
                <w:sz w:val="24"/>
                <w:highlight w:val="none"/>
              </w:rPr>
            </w:pPr>
          </w:p>
        </w:tc>
        <w:tc>
          <w:tcPr>
            <w:tcW w:w="2745" w:type="dxa"/>
            <w:noWrap w:val="0"/>
            <w:vAlign w:val="center"/>
          </w:tcPr>
          <w:p w14:paraId="50B9B15C">
            <w:pPr>
              <w:spacing w:line="360" w:lineRule="auto"/>
              <w:jc w:val="center"/>
              <w:rPr>
                <w:rFonts w:ascii="宋体" w:hAnsi="宋体" w:eastAsia="宋体" w:cs="宋体"/>
                <w:b/>
                <w:bCs/>
                <w:color w:val="auto"/>
                <w:sz w:val="24"/>
                <w:highlight w:val="none"/>
              </w:rPr>
            </w:pPr>
          </w:p>
        </w:tc>
        <w:tc>
          <w:tcPr>
            <w:tcW w:w="825" w:type="dxa"/>
            <w:noWrap w:val="0"/>
            <w:vAlign w:val="center"/>
          </w:tcPr>
          <w:p w14:paraId="2C12FF76">
            <w:pPr>
              <w:spacing w:line="360" w:lineRule="auto"/>
              <w:jc w:val="center"/>
              <w:rPr>
                <w:rFonts w:ascii="宋体" w:hAnsi="宋体" w:eastAsia="宋体" w:cs="宋体"/>
                <w:b/>
                <w:bCs/>
                <w:color w:val="auto"/>
                <w:sz w:val="24"/>
                <w:highlight w:val="none"/>
              </w:rPr>
            </w:pPr>
          </w:p>
        </w:tc>
        <w:tc>
          <w:tcPr>
            <w:tcW w:w="2955" w:type="dxa"/>
            <w:noWrap w:val="0"/>
            <w:vAlign w:val="top"/>
          </w:tcPr>
          <w:p w14:paraId="7DBA2A57">
            <w:pPr>
              <w:rPr>
                <w:rFonts w:ascii="宋体" w:hAnsi="宋体" w:eastAsia="宋体" w:cs="宋体"/>
                <w:color w:val="auto"/>
                <w:sz w:val="24"/>
                <w:highlight w:val="none"/>
              </w:rPr>
            </w:pPr>
          </w:p>
        </w:tc>
      </w:tr>
      <w:tr w14:paraId="11ED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F371B24">
            <w:pPr>
              <w:spacing w:line="360" w:lineRule="auto"/>
              <w:jc w:val="center"/>
              <w:rPr>
                <w:rFonts w:ascii="宋体" w:hAnsi="宋体" w:eastAsia="宋体" w:cs="宋体"/>
                <w:b/>
                <w:bCs/>
                <w:color w:val="auto"/>
                <w:sz w:val="24"/>
                <w:highlight w:val="none"/>
              </w:rPr>
            </w:pPr>
          </w:p>
        </w:tc>
        <w:tc>
          <w:tcPr>
            <w:tcW w:w="1260" w:type="dxa"/>
            <w:noWrap w:val="0"/>
            <w:vAlign w:val="top"/>
          </w:tcPr>
          <w:p w14:paraId="7B48F488">
            <w:pPr>
              <w:spacing w:line="360" w:lineRule="auto"/>
              <w:jc w:val="center"/>
              <w:rPr>
                <w:rFonts w:ascii="宋体" w:hAnsi="宋体" w:eastAsia="宋体" w:cs="宋体"/>
                <w:b/>
                <w:bCs/>
                <w:color w:val="auto"/>
                <w:sz w:val="24"/>
                <w:highlight w:val="none"/>
              </w:rPr>
            </w:pPr>
          </w:p>
        </w:tc>
        <w:tc>
          <w:tcPr>
            <w:tcW w:w="855" w:type="dxa"/>
            <w:noWrap w:val="0"/>
            <w:vAlign w:val="center"/>
          </w:tcPr>
          <w:p w14:paraId="6CAD388E">
            <w:pPr>
              <w:spacing w:line="360" w:lineRule="auto"/>
              <w:jc w:val="center"/>
              <w:rPr>
                <w:rFonts w:ascii="宋体" w:hAnsi="宋体" w:eastAsia="宋体" w:cs="宋体"/>
                <w:b/>
                <w:bCs/>
                <w:color w:val="auto"/>
                <w:sz w:val="24"/>
                <w:highlight w:val="none"/>
              </w:rPr>
            </w:pPr>
          </w:p>
        </w:tc>
        <w:tc>
          <w:tcPr>
            <w:tcW w:w="2745" w:type="dxa"/>
            <w:noWrap w:val="0"/>
            <w:vAlign w:val="center"/>
          </w:tcPr>
          <w:p w14:paraId="0905AEA3">
            <w:pPr>
              <w:spacing w:line="360" w:lineRule="auto"/>
              <w:jc w:val="center"/>
              <w:rPr>
                <w:rFonts w:ascii="宋体" w:hAnsi="宋体" w:eastAsia="宋体" w:cs="宋体"/>
                <w:b/>
                <w:bCs/>
                <w:color w:val="auto"/>
                <w:sz w:val="24"/>
                <w:highlight w:val="none"/>
              </w:rPr>
            </w:pPr>
          </w:p>
        </w:tc>
        <w:tc>
          <w:tcPr>
            <w:tcW w:w="825" w:type="dxa"/>
            <w:noWrap w:val="0"/>
            <w:vAlign w:val="center"/>
          </w:tcPr>
          <w:p w14:paraId="552C0209">
            <w:pPr>
              <w:spacing w:line="360" w:lineRule="auto"/>
              <w:jc w:val="center"/>
              <w:rPr>
                <w:rFonts w:ascii="宋体" w:hAnsi="宋体" w:eastAsia="宋体" w:cs="宋体"/>
                <w:b/>
                <w:bCs/>
                <w:color w:val="auto"/>
                <w:sz w:val="24"/>
                <w:highlight w:val="none"/>
              </w:rPr>
            </w:pPr>
          </w:p>
        </w:tc>
        <w:tc>
          <w:tcPr>
            <w:tcW w:w="2955" w:type="dxa"/>
            <w:noWrap w:val="0"/>
            <w:vAlign w:val="top"/>
          </w:tcPr>
          <w:p w14:paraId="5A9DA0D5">
            <w:pPr>
              <w:rPr>
                <w:rFonts w:ascii="宋体" w:hAnsi="宋体" w:eastAsia="宋体" w:cs="宋体"/>
                <w:color w:val="auto"/>
                <w:sz w:val="24"/>
                <w:highlight w:val="none"/>
              </w:rPr>
            </w:pPr>
          </w:p>
        </w:tc>
      </w:tr>
      <w:tr w14:paraId="270F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89BAB23">
            <w:pPr>
              <w:spacing w:line="360" w:lineRule="auto"/>
              <w:jc w:val="center"/>
              <w:rPr>
                <w:rFonts w:ascii="宋体" w:hAnsi="宋体" w:eastAsia="宋体" w:cs="宋体"/>
                <w:b/>
                <w:bCs/>
                <w:color w:val="auto"/>
                <w:sz w:val="24"/>
                <w:highlight w:val="none"/>
              </w:rPr>
            </w:pPr>
          </w:p>
        </w:tc>
        <w:tc>
          <w:tcPr>
            <w:tcW w:w="1260" w:type="dxa"/>
            <w:noWrap w:val="0"/>
            <w:vAlign w:val="top"/>
          </w:tcPr>
          <w:p w14:paraId="7C3F069B">
            <w:pPr>
              <w:spacing w:line="360" w:lineRule="auto"/>
              <w:jc w:val="center"/>
              <w:rPr>
                <w:rFonts w:ascii="宋体" w:hAnsi="宋体" w:eastAsia="宋体" w:cs="宋体"/>
                <w:b/>
                <w:bCs/>
                <w:color w:val="auto"/>
                <w:sz w:val="24"/>
                <w:highlight w:val="none"/>
              </w:rPr>
            </w:pPr>
          </w:p>
        </w:tc>
        <w:tc>
          <w:tcPr>
            <w:tcW w:w="855" w:type="dxa"/>
            <w:noWrap w:val="0"/>
            <w:vAlign w:val="center"/>
          </w:tcPr>
          <w:p w14:paraId="6DA0834E">
            <w:pPr>
              <w:spacing w:line="360" w:lineRule="auto"/>
              <w:jc w:val="center"/>
              <w:rPr>
                <w:rFonts w:ascii="宋体" w:hAnsi="宋体" w:eastAsia="宋体" w:cs="宋体"/>
                <w:b/>
                <w:bCs/>
                <w:color w:val="auto"/>
                <w:sz w:val="24"/>
                <w:highlight w:val="none"/>
              </w:rPr>
            </w:pPr>
          </w:p>
        </w:tc>
        <w:tc>
          <w:tcPr>
            <w:tcW w:w="2745" w:type="dxa"/>
            <w:noWrap w:val="0"/>
            <w:vAlign w:val="center"/>
          </w:tcPr>
          <w:p w14:paraId="4F8BC6F4">
            <w:pPr>
              <w:spacing w:line="360" w:lineRule="auto"/>
              <w:jc w:val="center"/>
              <w:rPr>
                <w:rFonts w:ascii="宋体" w:hAnsi="宋体" w:eastAsia="宋体" w:cs="宋体"/>
                <w:b/>
                <w:bCs/>
                <w:color w:val="auto"/>
                <w:sz w:val="24"/>
                <w:highlight w:val="none"/>
              </w:rPr>
            </w:pPr>
          </w:p>
        </w:tc>
        <w:tc>
          <w:tcPr>
            <w:tcW w:w="825" w:type="dxa"/>
            <w:noWrap w:val="0"/>
            <w:vAlign w:val="center"/>
          </w:tcPr>
          <w:p w14:paraId="3016894A">
            <w:pPr>
              <w:spacing w:line="360" w:lineRule="auto"/>
              <w:jc w:val="center"/>
              <w:rPr>
                <w:rFonts w:ascii="宋体" w:hAnsi="宋体" w:eastAsia="宋体" w:cs="宋体"/>
                <w:b/>
                <w:bCs/>
                <w:color w:val="auto"/>
                <w:sz w:val="24"/>
                <w:highlight w:val="none"/>
              </w:rPr>
            </w:pPr>
          </w:p>
        </w:tc>
        <w:tc>
          <w:tcPr>
            <w:tcW w:w="2955" w:type="dxa"/>
            <w:noWrap w:val="0"/>
            <w:vAlign w:val="top"/>
          </w:tcPr>
          <w:p w14:paraId="1E58CD16">
            <w:pPr>
              <w:rPr>
                <w:rFonts w:ascii="宋体" w:hAnsi="宋体" w:eastAsia="宋体" w:cs="宋体"/>
                <w:color w:val="auto"/>
                <w:sz w:val="24"/>
                <w:highlight w:val="none"/>
              </w:rPr>
            </w:pPr>
          </w:p>
        </w:tc>
      </w:tr>
      <w:tr w14:paraId="2182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40FB8B0">
            <w:pPr>
              <w:spacing w:line="360" w:lineRule="auto"/>
              <w:jc w:val="center"/>
              <w:rPr>
                <w:rFonts w:ascii="宋体" w:hAnsi="宋体" w:eastAsia="宋体" w:cs="宋体"/>
                <w:b/>
                <w:bCs/>
                <w:color w:val="auto"/>
                <w:sz w:val="24"/>
                <w:highlight w:val="none"/>
              </w:rPr>
            </w:pPr>
          </w:p>
        </w:tc>
        <w:tc>
          <w:tcPr>
            <w:tcW w:w="1260" w:type="dxa"/>
            <w:noWrap w:val="0"/>
            <w:vAlign w:val="top"/>
          </w:tcPr>
          <w:p w14:paraId="5CEF6D6D">
            <w:pPr>
              <w:spacing w:line="360" w:lineRule="auto"/>
              <w:jc w:val="center"/>
              <w:rPr>
                <w:rFonts w:ascii="宋体" w:hAnsi="宋体" w:eastAsia="宋体" w:cs="宋体"/>
                <w:b/>
                <w:bCs/>
                <w:color w:val="auto"/>
                <w:sz w:val="24"/>
                <w:highlight w:val="none"/>
              </w:rPr>
            </w:pPr>
          </w:p>
        </w:tc>
        <w:tc>
          <w:tcPr>
            <w:tcW w:w="855" w:type="dxa"/>
            <w:noWrap w:val="0"/>
            <w:vAlign w:val="center"/>
          </w:tcPr>
          <w:p w14:paraId="2C02826C">
            <w:pPr>
              <w:spacing w:line="360" w:lineRule="auto"/>
              <w:jc w:val="center"/>
              <w:rPr>
                <w:rFonts w:ascii="宋体" w:hAnsi="宋体" w:eastAsia="宋体" w:cs="宋体"/>
                <w:b/>
                <w:bCs/>
                <w:color w:val="auto"/>
                <w:sz w:val="24"/>
                <w:highlight w:val="none"/>
              </w:rPr>
            </w:pPr>
          </w:p>
        </w:tc>
        <w:tc>
          <w:tcPr>
            <w:tcW w:w="2745" w:type="dxa"/>
            <w:noWrap w:val="0"/>
            <w:vAlign w:val="center"/>
          </w:tcPr>
          <w:p w14:paraId="24B0A3E2">
            <w:pPr>
              <w:spacing w:line="360" w:lineRule="auto"/>
              <w:jc w:val="center"/>
              <w:rPr>
                <w:rFonts w:ascii="宋体" w:hAnsi="宋体" w:eastAsia="宋体" w:cs="宋体"/>
                <w:b/>
                <w:bCs/>
                <w:color w:val="auto"/>
                <w:sz w:val="24"/>
                <w:highlight w:val="none"/>
              </w:rPr>
            </w:pPr>
          </w:p>
        </w:tc>
        <w:tc>
          <w:tcPr>
            <w:tcW w:w="825" w:type="dxa"/>
            <w:noWrap w:val="0"/>
            <w:vAlign w:val="center"/>
          </w:tcPr>
          <w:p w14:paraId="627742B6">
            <w:pPr>
              <w:spacing w:line="360" w:lineRule="auto"/>
              <w:jc w:val="center"/>
              <w:rPr>
                <w:rFonts w:ascii="宋体" w:hAnsi="宋体" w:eastAsia="宋体" w:cs="宋体"/>
                <w:b/>
                <w:bCs/>
                <w:color w:val="auto"/>
                <w:sz w:val="24"/>
                <w:highlight w:val="none"/>
              </w:rPr>
            </w:pPr>
          </w:p>
        </w:tc>
        <w:tc>
          <w:tcPr>
            <w:tcW w:w="2955" w:type="dxa"/>
            <w:noWrap w:val="0"/>
            <w:vAlign w:val="top"/>
          </w:tcPr>
          <w:p w14:paraId="710E8C99">
            <w:pPr>
              <w:rPr>
                <w:rFonts w:ascii="宋体" w:hAnsi="宋体" w:eastAsia="宋体" w:cs="宋体"/>
                <w:color w:val="auto"/>
                <w:sz w:val="24"/>
                <w:highlight w:val="none"/>
              </w:rPr>
            </w:pPr>
          </w:p>
        </w:tc>
      </w:tr>
      <w:tr w14:paraId="7711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BB723CD">
            <w:pPr>
              <w:spacing w:line="360" w:lineRule="auto"/>
              <w:jc w:val="center"/>
              <w:rPr>
                <w:rFonts w:ascii="宋体" w:hAnsi="宋体" w:eastAsia="宋体" w:cs="宋体"/>
                <w:b/>
                <w:bCs/>
                <w:color w:val="auto"/>
                <w:sz w:val="24"/>
                <w:highlight w:val="none"/>
              </w:rPr>
            </w:pPr>
          </w:p>
        </w:tc>
        <w:tc>
          <w:tcPr>
            <w:tcW w:w="1260" w:type="dxa"/>
            <w:noWrap w:val="0"/>
            <w:vAlign w:val="top"/>
          </w:tcPr>
          <w:p w14:paraId="299D1930">
            <w:pPr>
              <w:spacing w:line="360" w:lineRule="auto"/>
              <w:jc w:val="center"/>
              <w:rPr>
                <w:rFonts w:ascii="宋体" w:hAnsi="宋体" w:eastAsia="宋体" w:cs="宋体"/>
                <w:b/>
                <w:bCs/>
                <w:color w:val="auto"/>
                <w:sz w:val="24"/>
                <w:highlight w:val="none"/>
              </w:rPr>
            </w:pPr>
          </w:p>
        </w:tc>
        <w:tc>
          <w:tcPr>
            <w:tcW w:w="855" w:type="dxa"/>
            <w:noWrap w:val="0"/>
            <w:vAlign w:val="center"/>
          </w:tcPr>
          <w:p w14:paraId="1D82F063">
            <w:pPr>
              <w:spacing w:line="360" w:lineRule="auto"/>
              <w:jc w:val="center"/>
              <w:rPr>
                <w:rFonts w:ascii="宋体" w:hAnsi="宋体" w:eastAsia="宋体" w:cs="宋体"/>
                <w:b/>
                <w:bCs/>
                <w:color w:val="auto"/>
                <w:sz w:val="24"/>
                <w:highlight w:val="none"/>
              </w:rPr>
            </w:pPr>
          </w:p>
        </w:tc>
        <w:tc>
          <w:tcPr>
            <w:tcW w:w="2745" w:type="dxa"/>
            <w:noWrap w:val="0"/>
            <w:vAlign w:val="center"/>
          </w:tcPr>
          <w:p w14:paraId="20E7D7A2">
            <w:pPr>
              <w:spacing w:line="360" w:lineRule="auto"/>
              <w:jc w:val="center"/>
              <w:rPr>
                <w:rFonts w:ascii="宋体" w:hAnsi="宋体" w:eastAsia="宋体" w:cs="宋体"/>
                <w:b/>
                <w:bCs/>
                <w:color w:val="auto"/>
                <w:sz w:val="24"/>
                <w:highlight w:val="none"/>
              </w:rPr>
            </w:pPr>
          </w:p>
        </w:tc>
        <w:tc>
          <w:tcPr>
            <w:tcW w:w="825" w:type="dxa"/>
            <w:noWrap w:val="0"/>
            <w:vAlign w:val="center"/>
          </w:tcPr>
          <w:p w14:paraId="3527C6B1">
            <w:pPr>
              <w:spacing w:line="360" w:lineRule="auto"/>
              <w:jc w:val="center"/>
              <w:rPr>
                <w:rFonts w:ascii="宋体" w:hAnsi="宋体" w:eastAsia="宋体" w:cs="宋体"/>
                <w:b/>
                <w:bCs/>
                <w:color w:val="auto"/>
                <w:sz w:val="24"/>
                <w:highlight w:val="none"/>
              </w:rPr>
            </w:pPr>
          </w:p>
        </w:tc>
        <w:tc>
          <w:tcPr>
            <w:tcW w:w="2955" w:type="dxa"/>
            <w:noWrap w:val="0"/>
            <w:vAlign w:val="top"/>
          </w:tcPr>
          <w:p w14:paraId="249C3AE2">
            <w:pPr>
              <w:rPr>
                <w:rFonts w:ascii="宋体" w:hAnsi="宋体" w:eastAsia="宋体" w:cs="宋体"/>
                <w:color w:val="auto"/>
                <w:sz w:val="24"/>
                <w:highlight w:val="none"/>
              </w:rPr>
            </w:pPr>
          </w:p>
        </w:tc>
      </w:tr>
      <w:tr w14:paraId="6BEC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0F98324">
            <w:pPr>
              <w:spacing w:line="360" w:lineRule="auto"/>
              <w:jc w:val="center"/>
              <w:rPr>
                <w:rFonts w:ascii="宋体" w:hAnsi="宋体" w:eastAsia="宋体" w:cs="宋体"/>
                <w:b/>
                <w:bCs/>
                <w:color w:val="auto"/>
                <w:sz w:val="24"/>
                <w:highlight w:val="none"/>
              </w:rPr>
            </w:pPr>
          </w:p>
        </w:tc>
        <w:tc>
          <w:tcPr>
            <w:tcW w:w="1260" w:type="dxa"/>
            <w:noWrap w:val="0"/>
            <w:vAlign w:val="top"/>
          </w:tcPr>
          <w:p w14:paraId="025DB172">
            <w:pPr>
              <w:spacing w:line="360" w:lineRule="auto"/>
              <w:jc w:val="center"/>
              <w:rPr>
                <w:rFonts w:ascii="宋体" w:hAnsi="宋体" w:eastAsia="宋体" w:cs="宋体"/>
                <w:b/>
                <w:bCs/>
                <w:color w:val="auto"/>
                <w:sz w:val="24"/>
                <w:highlight w:val="none"/>
              </w:rPr>
            </w:pPr>
          </w:p>
        </w:tc>
        <w:tc>
          <w:tcPr>
            <w:tcW w:w="855" w:type="dxa"/>
            <w:noWrap w:val="0"/>
            <w:vAlign w:val="center"/>
          </w:tcPr>
          <w:p w14:paraId="36132996">
            <w:pPr>
              <w:spacing w:line="360" w:lineRule="auto"/>
              <w:jc w:val="center"/>
              <w:rPr>
                <w:rFonts w:ascii="宋体" w:hAnsi="宋体" w:eastAsia="宋体" w:cs="宋体"/>
                <w:b/>
                <w:bCs/>
                <w:color w:val="auto"/>
                <w:sz w:val="24"/>
                <w:highlight w:val="none"/>
              </w:rPr>
            </w:pPr>
          </w:p>
        </w:tc>
        <w:tc>
          <w:tcPr>
            <w:tcW w:w="2745" w:type="dxa"/>
            <w:noWrap w:val="0"/>
            <w:vAlign w:val="center"/>
          </w:tcPr>
          <w:p w14:paraId="51204DB5">
            <w:pPr>
              <w:spacing w:line="360" w:lineRule="auto"/>
              <w:jc w:val="center"/>
              <w:rPr>
                <w:rFonts w:ascii="宋体" w:hAnsi="宋体" w:eastAsia="宋体" w:cs="宋体"/>
                <w:b/>
                <w:bCs/>
                <w:color w:val="auto"/>
                <w:sz w:val="24"/>
                <w:highlight w:val="none"/>
              </w:rPr>
            </w:pPr>
          </w:p>
        </w:tc>
        <w:tc>
          <w:tcPr>
            <w:tcW w:w="825" w:type="dxa"/>
            <w:noWrap w:val="0"/>
            <w:vAlign w:val="center"/>
          </w:tcPr>
          <w:p w14:paraId="28C0AB86">
            <w:pPr>
              <w:spacing w:line="360" w:lineRule="auto"/>
              <w:jc w:val="center"/>
              <w:rPr>
                <w:rFonts w:ascii="宋体" w:hAnsi="宋体" w:eastAsia="宋体" w:cs="宋体"/>
                <w:b/>
                <w:bCs/>
                <w:color w:val="auto"/>
                <w:sz w:val="24"/>
                <w:highlight w:val="none"/>
              </w:rPr>
            </w:pPr>
          </w:p>
        </w:tc>
        <w:tc>
          <w:tcPr>
            <w:tcW w:w="2955" w:type="dxa"/>
            <w:noWrap w:val="0"/>
            <w:vAlign w:val="top"/>
          </w:tcPr>
          <w:p w14:paraId="41278BDF">
            <w:pPr>
              <w:rPr>
                <w:rFonts w:ascii="宋体" w:hAnsi="宋体" w:eastAsia="宋体" w:cs="宋体"/>
                <w:color w:val="auto"/>
                <w:sz w:val="24"/>
                <w:highlight w:val="none"/>
              </w:rPr>
            </w:pPr>
          </w:p>
        </w:tc>
      </w:tr>
      <w:tr w14:paraId="360A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2D977B0">
            <w:pPr>
              <w:spacing w:line="360" w:lineRule="auto"/>
              <w:jc w:val="center"/>
              <w:rPr>
                <w:rFonts w:ascii="宋体" w:hAnsi="宋体" w:eastAsia="宋体" w:cs="宋体"/>
                <w:b/>
                <w:bCs/>
                <w:color w:val="auto"/>
                <w:sz w:val="24"/>
                <w:highlight w:val="none"/>
              </w:rPr>
            </w:pPr>
          </w:p>
        </w:tc>
        <w:tc>
          <w:tcPr>
            <w:tcW w:w="1260" w:type="dxa"/>
            <w:noWrap w:val="0"/>
            <w:vAlign w:val="top"/>
          </w:tcPr>
          <w:p w14:paraId="4A2493B9">
            <w:pPr>
              <w:spacing w:line="360" w:lineRule="auto"/>
              <w:jc w:val="center"/>
              <w:rPr>
                <w:rFonts w:ascii="宋体" w:hAnsi="宋体" w:eastAsia="宋体" w:cs="宋体"/>
                <w:b/>
                <w:bCs/>
                <w:color w:val="auto"/>
                <w:sz w:val="24"/>
                <w:highlight w:val="none"/>
              </w:rPr>
            </w:pPr>
          </w:p>
        </w:tc>
        <w:tc>
          <w:tcPr>
            <w:tcW w:w="855" w:type="dxa"/>
            <w:noWrap w:val="0"/>
            <w:vAlign w:val="center"/>
          </w:tcPr>
          <w:p w14:paraId="30527572">
            <w:pPr>
              <w:spacing w:line="360" w:lineRule="auto"/>
              <w:jc w:val="center"/>
              <w:rPr>
                <w:rFonts w:ascii="宋体" w:hAnsi="宋体" w:eastAsia="宋体" w:cs="宋体"/>
                <w:b/>
                <w:bCs/>
                <w:color w:val="auto"/>
                <w:sz w:val="24"/>
                <w:highlight w:val="none"/>
              </w:rPr>
            </w:pPr>
          </w:p>
        </w:tc>
        <w:tc>
          <w:tcPr>
            <w:tcW w:w="2745" w:type="dxa"/>
            <w:noWrap w:val="0"/>
            <w:vAlign w:val="center"/>
          </w:tcPr>
          <w:p w14:paraId="02534081">
            <w:pPr>
              <w:spacing w:line="360" w:lineRule="auto"/>
              <w:jc w:val="center"/>
              <w:rPr>
                <w:rFonts w:ascii="宋体" w:hAnsi="宋体" w:eastAsia="宋体" w:cs="宋体"/>
                <w:b/>
                <w:bCs/>
                <w:color w:val="auto"/>
                <w:sz w:val="24"/>
                <w:highlight w:val="none"/>
              </w:rPr>
            </w:pPr>
          </w:p>
        </w:tc>
        <w:tc>
          <w:tcPr>
            <w:tcW w:w="825" w:type="dxa"/>
            <w:noWrap w:val="0"/>
            <w:vAlign w:val="center"/>
          </w:tcPr>
          <w:p w14:paraId="14D656CF">
            <w:pPr>
              <w:spacing w:line="360" w:lineRule="auto"/>
              <w:jc w:val="center"/>
              <w:rPr>
                <w:rFonts w:ascii="宋体" w:hAnsi="宋体" w:eastAsia="宋体" w:cs="宋体"/>
                <w:b/>
                <w:bCs/>
                <w:color w:val="auto"/>
                <w:sz w:val="24"/>
                <w:highlight w:val="none"/>
              </w:rPr>
            </w:pPr>
          </w:p>
        </w:tc>
        <w:tc>
          <w:tcPr>
            <w:tcW w:w="2955" w:type="dxa"/>
            <w:noWrap w:val="0"/>
            <w:vAlign w:val="top"/>
          </w:tcPr>
          <w:p w14:paraId="1CA425EB">
            <w:pPr>
              <w:rPr>
                <w:rFonts w:ascii="宋体" w:hAnsi="宋体" w:eastAsia="宋体" w:cs="宋体"/>
                <w:color w:val="auto"/>
                <w:sz w:val="24"/>
                <w:highlight w:val="none"/>
              </w:rPr>
            </w:pPr>
          </w:p>
        </w:tc>
      </w:tr>
      <w:tr w14:paraId="0F92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1F13B69">
            <w:pPr>
              <w:spacing w:line="360" w:lineRule="auto"/>
              <w:jc w:val="center"/>
              <w:rPr>
                <w:rFonts w:ascii="宋体" w:hAnsi="宋体" w:eastAsia="宋体" w:cs="宋体"/>
                <w:b/>
                <w:bCs/>
                <w:color w:val="auto"/>
                <w:sz w:val="24"/>
                <w:highlight w:val="none"/>
              </w:rPr>
            </w:pPr>
          </w:p>
        </w:tc>
        <w:tc>
          <w:tcPr>
            <w:tcW w:w="1260" w:type="dxa"/>
            <w:noWrap w:val="0"/>
            <w:vAlign w:val="top"/>
          </w:tcPr>
          <w:p w14:paraId="289B4C3F">
            <w:pPr>
              <w:spacing w:line="360" w:lineRule="auto"/>
              <w:jc w:val="center"/>
              <w:rPr>
                <w:rFonts w:ascii="宋体" w:hAnsi="宋体" w:eastAsia="宋体" w:cs="宋体"/>
                <w:b/>
                <w:bCs/>
                <w:color w:val="auto"/>
                <w:sz w:val="24"/>
                <w:highlight w:val="none"/>
              </w:rPr>
            </w:pPr>
          </w:p>
        </w:tc>
        <w:tc>
          <w:tcPr>
            <w:tcW w:w="855" w:type="dxa"/>
            <w:noWrap w:val="0"/>
            <w:vAlign w:val="center"/>
          </w:tcPr>
          <w:p w14:paraId="60D73FCD">
            <w:pPr>
              <w:spacing w:line="360" w:lineRule="auto"/>
              <w:jc w:val="center"/>
              <w:rPr>
                <w:rFonts w:ascii="宋体" w:hAnsi="宋体" w:eastAsia="宋体" w:cs="宋体"/>
                <w:b/>
                <w:bCs/>
                <w:color w:val="auto"/>
                <w:sz w:val="24"/>
                <w:highlight w:val="none"/>
              </w:rPr>
            </w:pPr>
          </w:p>
        </w:tc>
        <w:tc>
          <w:tcPr>
            <w:tcW w:w="2745" w:type="dxa"/>
            <w:noWrap w:val="0"/>
            <w:vAlign w:val="center"/>
          </w:tcPr>
          <w:p w14:paraId="349D0AF1">
            <w:pPr>
              <w:spacing w:line="360" w:lineRule="auto"/>
              <w:jc w:val="center"/>
              <w:rPr>
                <w:rFonts w:ascii="宋体" w:hAnsi="宋体" w:eastAsia="宋体" w:cs="宋体"/>
                <w:b/>
                <w:bCs/>
                <w:color w:val="auto"/>
                <w:sz w:val="24"/>
                <w:highlight w:val="none"/>
              </w:rPr>
            </w:pPr>
          </w:p>
        </w:tc>
        <w:tc>
          <w:tcPr>
            <w:tcW w:w="825" w:type="dxa"/>
            <w:noWrap w:val="0"/>
            <w:vAlign w:val="center"/>
          </w:tcPr>
          <w:p w14:paraId="7A8AA80A">
            <w:pPr>
              <w:spacing w:line="360" w:lineRule="auto"/>
              <w:jc w:val="center"/>
              <w:rPr>
                <w:rFonts w:ascii="宋体" w:hAnsi="宋体" w:eastAsia="宋体" w:cs="宋体"/>
                <w:b/>
                <w:bCs/>
                <w:color w:val="auto"/>
                <w:sz w:val="24"/>
                <w:highlight w:val="none"/>
              </w:rPr>
            </w:pPr>
          </w:p>
        </w:tc>
        <w:tc>
          <w:tcPr>
            <w:tcW w:w="2955" w:type="dxa"/>
            <w:noWrap w:val="0"/>
            <w:vAlign w:val="top"/>
          </w:tcPr>
          <w:p w14:paraId="5F85541E">
            <w:pPr>
              <w:rPr>
                <w:rFonts w:ascii="宋体" w:hAnsi="宋体" w:eastAsia="宋体" w:cs="宋体"/>
                <w:color w:val="auto"/>
                <w:sz w:val="24"/>
                <w:highlight w:val="none"/>
              </w:rPr>
            </w:pPr>
          </w:p>
        </w:tc>
      </w:tr>
      <w:tr w14:paraId="3C9A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B3B1B73">
            <w:pPr>
              <w:spacing w:line="360" w:lineRule="auto"/>
              <w:jc w:val="center"/>
              <w:rPr>
                <w:rFonts w:ascii="宋体" w:hAnsi="宋体" w:eastAsia="宋体" w:cs="宋体"/>
                <w:b/>
                <w:bCs/>
                <w:color w:val="auto"/>
                <w:sz w:val="24"/>
                <w:highlight w:val="none"/>
              </w:rPr>
            </w:pPr>
          </w:p>
        </w:tc>
        <w:tc>
          <w:tcPr>
            <w:tcW w:w="1260" w:type="dxa"/>
            <w:noWrap w:val="0"/>
            <w:vAlign w:val="top"/>
          </w:tcPr>
          <w:p w14:paraId="518A7DA4">
            <w:pPr>
              <w:spacing w:line="360" w:lineRule="auto"/>
              <w:jc w:val="center"/>
              <w:rPr>
                <w:rFonts w:ascii="宋体" w:hAnsi="宋体" w:eastAsia="宋体" w:cs="宋体"/>
                <w:b/>
                <w:bCs/>
                <w:color w:val="auto"/>
                <w:sz w:val="24"/>
                <w:highlight w:val="none"/>
              </w:rPr>
            </w:pPr>
          </w:p>
        </w:tc>
        <w:tc>
          <w:tcPr>
            <w:tcW w:w="855" w:type="dxa"/>
            <w:noWrap w:val="0"/>
            <w:vAlign w:val="center"/>
          </w:tcPr>
          <w:p w14:paraId="525CBE6F">
            <w:pPr>
              <w:spacing w:line="360" w:lineRule="auto"/>
              <w:jc w:val="center"/>
              <w:rPr>
                <w:rFonts w:ascii="宋体" w:hAnsi="宋体" w:eastAsia="宋体" w:cs="宋体"/>
                <w:b/>
                <w:bCs/>
                <w:color w:val="auto"/>
                <w:sz w:val="24"/>
                <w:highlight w:val="none"/>
              </w:rPr>
            </w:pPr>
          </w:p>
        </w:tc>
        <w:tc>
          <w:tcPr>
            <w:tcW w:w="2745" w:type="dxa"/>
            <w:noWrap w:val="0"/>
            <w:vAlign w:val="center"/>
          </w:tcPr>
          <w:p w14:paraId="7E287ED7">
            <w:pPr>
              <w:spacing w:line="360" w:lineRule="auto"/>
              <w:jc w:val="center"/>
              <w:rPr>
                <w:rFonts w:ascii="宋体" w:hAnsi="宋体" w:eastAsia="宋体" w:cs="宋体"/>
                <w:b/>
                <w:bCs/>
                <w:color w:val="auto"/>
                <w:sz w:val="24"/>
                <w:highlight w:val="none"/>
              </w:rPr>
            </w:pPr>
          </w:p>
        </w:tc>
        <w:tc>
          <w:tcPr>
            <w:tcW w:w="825" w:type="dxa"/>
            <w:noWrap w:val="0"/>
            <w:vAlign w:val="center"/>
          </w:tcPr>
          <w:p w14:paraId="68AC7327">
            <w:pPr>
              <w:spacing w:line="360" w:lineRule="auto"/>
              <w:jc w:val="center"/>
              <w:rPr>
                <w:rFonts w:ascii="宋体" w:hAnsi="宋体" w:eastAsia="宋体" w:cs="宋体"/>
                <w:b/>
                <w:bCs/>
                <w:color w:val="auto"/>
                <w:sz w:val="24"/>
                <w:highlight w:val="none"/>
              </w:rPr>
            </w:pPr>
          </w:p>
        </w:tc>
        <w:tc>
          <w:tcPr>
            <w:tcW w:w="2955" w:type="dxa"/>
            <w:noWrap w:val="0"/>
            <w:vAlign w:val="top"/>
          </w:tcPr>
          <w:p w14:paraId="72DDE641">
            <w:pPr>
              <w:rPr>
                <w:rFonts w:ascii="宋体" w:hAnsi="宋体" w:eastAsia="宋体" w:cs="宋体"/>
                <w:color w:val="auto"/>
                <w:sz w:val="24"/>
                <w:highlight w:val="none"/>
              </w:rPr>
            </w:pPr>
          </w:p>
        </w:tc>
      </w:tr>
      <w:tr w14:paraId="60AF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6AA7B03">
            <w:pPr>
              <w:spacing w:line="360" w:lineRule="auto"/>
              <w:jc w:val="center"/>
              <w:rPr>
                <w:rFonts w:ascii="宋体" w:hAnsi="宋体" w:eastAsia="宋体" w:cs="宋体"/>
                <w:b/>
                <w:bCs/>
                <w:color w:val="auto"/>
                <w:sz w:val="24"/>
                <w:highlight w:val="none"/>
              </w:rPr>
            </w:pPr>
          </w:p>
        </w:tc>
        <w:tc>
          <w:tcPr>
            <w:tcW w:w="1260" w:type="dxa"/>
            <w:noWrap w:val="0"/>
            <w:vAlign w:val="top"/>
          </w:tcPr>
          <w:p w14:paraId="24EEF73E">
            <w:pPr>
              <w:spacing w:line="360" w:lineRule="auto"/>
              <w:jc w:val="center"/>
              <w:rPr>
                <w:rFonts w:ascii="宋体" w:hAnsi="宋体" w:eastAsia="宋体" w:cs="宋体"/>
                <w:b/>
                <w:bCs/>
                <w:color w:val="auto"/>
                <w:sz w:val="24"/>
                <w:highlight w:val="none"/>
              </w:rPr>
            </w:pPr>
          </w:p>
        </w:tc>
        <w:tc>
          <w:tcPr>
            <w:tcW w:w="855" w:type="dxa"/>
            <w:noWrap w:val="0"/>
            <w:vAlign w:val="center"/>
          </w:tcPr>
          <w:p w14:paraId="5E450E1E">
            <w:pPr>
              <w:spacing w:line="360" w:lineRule="auto"/>
              <w:jc w:val="center"/>
              <w:rPr>
                <w:rFonts w:ascii="宋体" w:hAnsi="宋体" w:eastAsia="宋体" w:cs="宋体"/>
                <w:b/>
                <w:bCs/>
                <w:color w:val="auto"/>
                <w:sz w:val="24"/>
                <w:highlight w:val="none"/>
              </w:rPr>
            </w:pPr>
          </w:p>
        </w:tc>
        <w:tc>
          <w:tcPr>
            <w:tcW w:w="2745" w:type="dxa"/>
            <w:noWrap w:val="0"/>
            <w:vAlign w:val="center"/>
          </w:tcPr>
          <w:p w14:paraId="13331CA6">
            <w:pPr>
              <w:spacing w:line="360" w:lineRule="auto"/>
              <w:jc w:val="center"/>
              <w:rPr>
                <w:rFonts w:ascii="宋体" w:hAnsi="宋体" w:eastAsia="宋体" w:cs="宋体"/>
                <w:b/>
                <w:bCs/>
                <w:color w:val="auto"/>
                <w:sz w:val="24"/>
                <w:highlight w:val="none"/>
              </w:rPr>
            </w:pPr>
          </w:p>
        </w:tc>
        <w:tc>
          <w:tcPr>
            <w:tcW w:w="825" w:type="dxa"/>
            <w:noWrap w:val="0"/>
            <w:vAlign w:val="center"/>
          </w:tcPr>
          <w:p w14:paraId="55FCA841">
            <w:pPr>
              <w:spacing w:line="360" w:lineRule="auto"/>
              <w:jc w:val="center"/>
              <w:rPr>
                <w:rFonts w:ascii="宋体" w:hAnsi="宋体" w:eastAsia="宋体" w:cs="宋体"/>
                <w:b/>
                <w:bCs/>
                <w:color w:val="auto"/>
                <w:sz w:val="24"/>
                <w:highlight w:val="none"/>
              </w:rPr>
            </w:pPr>
          </w:p>
        </w:tc>
        <w:tc>
          <w:tcPr>
            <w:tcW w:w="2955" w:type="dxa"/>
            <w:noWrap w:val="0"/>
            <w:vAlign w:val="top"/>
          </w:tcPr>
          <w:p w14:paraId="591AF1CB">
            <w:pPr>
              <w:rPr>
                <w:rFonts w:ascii="宋体" w:hAnsi="宋体" w:eastAsia="宋体" w:cs="宋体"/>
                <w:color w:val="auto"/>
                <w:sz w:val="24"/>
                <w:highlight w:val="none"/>
              </w:rPr>
            </w:pPr>
          </w:p>
        </w:tc>
      </w:tr>
      <w:tr w14:paraId="270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AC4F7D5">
            <w:pPr>
              <w:spacing w:line="360" w:lineRule="auto"/>
              <w:jc w:val="center"/>
              <w:rPr>
                <w:rFonts w:ascii="宋体" w:hAnsi="宋体" w:eastAsia="宋体" w:cs="宋体"/>
                <w:b/>
                <w:bCs/>
                <w:color w:val="auto"/>
                <w:sz w:val="24"/>
                <w:highlight w:val="none"/>
              </w:rPr>
            </w:pPr>
          </w:p>
        </w:tc>
        <w:tc>
          <w:tcPr>
            <w:tcW w:w="1260" w:type="dxa"/>
            <w:noWrap w:val="0"/>
            <w:vAlign w:val="top"/>
          </w:tcPr>
          <w:p w14:paraId="4A934E0F">
            <w:pPr>
              <w:spacing w:line="360" w:lineRule="auto"/>
              <w:jc w:val="center"/>
              <w:rPr>
                <w:rFonts w:ascii="宋体" w:hAnsi="宋体" w:eastAsia="宋体" w:cs="宋体"/>
                <w:b/>
                <w:bCs/>
                <w:color w:val="auto"/>
                <w:sz w:val="24"/>
                <w:highlight w:val="none"/>
              </w:rPr>
            </w:pPr>
          </w:p>
        </w:tc>
        <w:tc>
          <w:tcPr>
            <w:tcW w:w="855" w:type="dxa"/>
            <w:noWrap w:val="0"/>
            <w:vAlign w:val="center"/>
          </w:tcPr>
          <w:p w14:paraId="3AF2913D">
            <w:pPr>
              <w:spacing w:line="360" w:lineRule="auto"/>
              <w:jc w:val="center"/>
              <w:rPr>
                <w:rFonts w:ascii="宋体" w:hAnsi="宋体" w:eastAsia="宋体" w:cs="宋体"/>
                <w:b/>
                <w:bCs/>
                <w:color w:val="auto"/>
                <w:sz w:val="24"/>
                <w:highlight w:val="none"/>
              </w:rPr>
            </w:pPr>
          </w:p>
        </w:tc>
        <w:tc>
          <w:tcPr>
            <w:tcW w:w="2745" w:type="dxa"/>
            <w:noWrap w:val="0"/>
            <w:vAlign w:val="center"/>
          </w:tcPr>
          <w:p w14:paraId="1C73D1D1">
            <w:pPr>
              <w:spacing w:line="360" w:lineRule="auto"/>
              <w:jc w:val="center"/>
              <w:rPr>
                <w:rFonts w:ascii="宋体" w:hAnsi="宋体" w:eastAsia="宋体" w:cs="宋体"/>
                <w:b/>
                <w:bCs/>
                <w:color w:val="auto"/>
                <w:sz w:val="24"/>
                <w:highlight w:val="none"/>
              </w:rPr>
            </w:pPr>
          </w:p>
        </w:tc>
        <w:tc>
          <w:tcPr>
            <w:tcW w:w="825" w:type="dxa"/>
            <w:noWrap w:val="0"/>
            <w:vAlign w:val="center"/>
          </w:tcPr>
          <w:p w14:paraId="285F303D">
            <w:pPr>
              <w:spacing w:line="360" w:lineRule="auto"/>
              <w:jc w:val="center"/>
              <w:rPr>
                <w:rFonts w:ascii="宋体" w:hAnsi="宋体" w:eastAsia="宋体" w:cs="宋体"/>
                <w:b/>
                <w:bCs/>
                <w:color w:val="auto"/>
                <w:sz w:val="24"/>
                <w:highlight w:val="none"/>
              </w:rPr>
            </w:pPr>
          </w:p>
        </w:tc>
        <w:tc>
          <w:tcPr>
            <w:tcW w:w="2955" w:type="dxa"/>
            <w:noWrap w:val="0"/>
            <w:vAlign w:val="top"/>
          </w:tcPr>
          <w:p w14:paraId="3E9CAC32">
            <w:pPr>
              <w:rPr>
                <w:rFonts w:ascii="宋体" w:hAnsi="宋体" w:eastAsia="宋体" w:cs="宋体"/>
                <w:color w:val="auto"/>
                <w:sz w:val="24"/>
                <w:highlight w:val="none"/>
              </w:rPr>
            </w:pPr>
          </w:p>
        </w:tc>
      </w:tr>
      <w:tr w14:paraId="7E8A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7F9A556">
            <w:pPr>
              <w:spacing w:line="360" w:lineRule="auto"/>
              <w:jc w:val="center"/>
              <w:rPr>
                <w:rFonts w:ascii="宋体" w:hAnsi="宋体" w:eastAsia="宋体" w:cs="宋体"/>
                <w:b/>
                <w:bCs/>
                <w:color w:val="auto"/>
                <w:sz w:val="24"/>
                <w:highlight w:val="none"/>
              </w:rPr>
            </w:pPr>
          </w:p>
        </w:tc>
        <w:tc>
          <w:tcPr>
            <w:tcW w:w="1260" w:type="dxa"/>
            <w:noWrap w:val="0"/>
            <w:vAlign w:val="top"/>
          </w:tcPr>
          <w:p w14:paraId="695A0030">
            <w:pPr>
              <w:spacing w:line="360" w:lineRule="auto"/>
              <w:jc w:val="center"/>
              <w:rPr>
                <w:rFonts w:ascii="宋体" w:hAnsi="宋体" w:eastAsia="宋体" w:cs="宋体"/>
                <w:b/>
                <w:bCs/>
                <w:color w:val="auto"/>
                <w:sz w:val="24"/>
                <w:highlight w:val="none"/>
              </w:rPr>
            </w:pPr>
          </w:p>
        </w:tc>
        <w:tc>
          <w:tcPr>
            <w:tcW w:w="855" w:type="dxa"/>
            <w:noWrap w:val="0"/>
            <w:vAlign w:val="center"/>
          </w:tcPr>
          <w:p w14:paraId="35DFE06F">
            <w:pPr>
              <w:spacing w:line="360" w:lineRule="auto"/>
              <w:jc w:val="center"/>
              <w:rPr>
                <w:rFonts w:ascii="宋体" w:hAnsi="宋体" w:eastAsia="宋体" w:cs="宋体"/>
                <w:b/>
                <w:bCs/>
                <w:color w:val="auto"/>
                <w:sz w:val="24"/>
                <w:highlight w:val="none"/>
              </w:rPr>
            </w:pPr>
          </w:p>
        </w:tc>
        <w:tc>
          <w:tcPr>
            <w:tcW w:w="2745" w:type="dxa"/>
            <w:noWrap w:val="0"/>
            <w:vAlign w:val="center"/>
          </w:tcPr>
          <w:p w14:paraId="30699BF6">
            <w:pPr>
              <w:spacing w:line="360" w:lineRule="auto"/>
              <w:jc w:val="center"/>
              <w:rPr>
                <w:rFonts w:ascii="宋体" w:hAnsi="宋体" w:eastAsia="宋体" w:cs="宋体"/>
                <w:b/>
                <w:bCs/>
                <w:color w:val="auto"/>
                <w:sz w:val="24"/>
                <w:highlight w:val="none"/>
              </w:rPr>
            </w:pPr>
          </w:p>
        </w:tc>
        <w:tc>
          <w:tcPr>
            <w:tcW w:w="825" w:type="dxa"/>
            <w:noWrap w:val="0"/>
            <w:vAlign w:val="center"/>
          </w:tcPr>
          <w:p w14:paraId="401D9E0E">
            <w:pPr>
              <w:spacing w:line="360" w:lineRule="auto"/>
              <w:jc w:val="center"/>
              <w:rPr>
                <w:rFonts w:ascii="宋体" w:hAnsi="宋体" w:eastAsia="宋体" w:cs="宋体"/>
                <w:b/>
                <w:bCs/>
                <w:color w:val="auto"/>
                <w:sz w:val="24"/>
                <w:highlight w:val="none"/>
              </w:rPr>
            </w:pPr>
          </w:p>
        </w:tc>
        <w:tc>
          <w:tcPr>
            <w:tcW w:w="2955" w:type="dxa"/>
            <w:noWrap w:val="0"/>
            <w:vAlign w:val="top"/>
          </w:tcPr>
          <w:p w14:paraId="1740F545">
            <w:pPr>
              <w:rPr>
                <w:rFonts w:ascii="宋体" w:hAnsi="宋体" w:eastAsia="宋体" w:cs="宋体"/>
                <w:color w:val="auto"/>
                <w:sz w:val="24"/>
                <w:highlight w:val="none"/>
              </w:rPr>
            </w:pPr>
          </w:p>
        </w:tc>
      </w:tr>
      <w:tr w14:paraId="48B8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7796E9C">
            <w:pPr>
              <w:spacing w:line="360" w:lineRule="auto"/>
              <w:jc w:val="center"/>
              <w:rPr>
                <w:rFonts w:ascii="宋体" w:hAnsi="宋体" w:eastAsia="宋体" w:cs="宋体"/>
                <w:b/>
                <w:bCs/>
                <w:color w:val="auto"/>
                <w:sz w:val="24"/>
                <w:highlight w:val="none"/>
              </w:rPr>
            </w:pPr>
          </w:p>
        </w:tc>
        <w:tc>
          <w:tcPr>
            <w:tcW w:w="1260" w:type="dxa"/>
            <w:noWrap w:val="0"/>
            <w:vAlign w:val="top"/>
          </w:tcPr>
          <w:p w14:paraId="1BA1B5FF">
            <w:pPr>
              <w:spacing w:line="360" w:lineRule="auto"/>
              <w:jc w:val="center"/>
              <w:rPr>
                <w:rFonts w:ascii="宋体" w:hAnsi="宋体" w:eastAsia="宋体" w:cs="宋体"/>
                <w:b/>
                <w:bCs/>
                <w:color w:val="auto"/>
                <w:sz w:val="24"/>
                <w:highlight w:val="none"/>
              </w:rPr>
            </w:pPr>
          </w:p>
        </w:tc>
        <w:tc>
          <w:tcPr>
            <w:tcW w:w="855" w:type="dxa"/>
            <w:noWrap w:val="0"/>
            <w:vAlign w:val="center"/>
          </w:tcPr>
          <w:p w14:paraId="1847F062">
            <w:pPr>
              <w:spacing w:line="360" w:lineRule="auto"/>
              <w:jc w:val="center"/>
              <w:rPr>
                <w:rFonts w:ascii="宋体" w:hAnsi="宋体" w:eastAsia="宋体" w:cs="宋体"/>
                <w:b/>
                <w:bCs/>
                <w:color w:val="auto"/>
                <w:sz w:val="24"/>
                <w:highlight w:val="none"/>
              </w:rPr>
            </w:pPr>
          </w:p>
        </w:tc>
        <w:tc>
          <w:tcPr>
            <w:tcW w:w="2745" w:type="dxa"/>
            <w:noWrap w:val="0"/>
            <w:vAlign w:val="center"/>
          </w:tcPr>
          <w:p w14:paraId="2CE98E8F">
            <w:pPr>
              <w:spacing w:line="360" w:lineRule="auto"/>
              <w:jc w:val="center"/>
              <w:rPr>
                <w:rFonts w:ascii="宋体" w:hAnsi="宋体" w:eastAsia="宋体" w:cs="宋体"/>
                <w:b/>
                <w:bCs/>
                <w:color w:val="auto"/>
                <w:sz w:val="24"/>
                <w:highlight w:val="none"/>
              </w:rPr>
            </w:pPr>
          </w:p>
        </w:tc>
        <w:tc>
          <w:tcPr>
            <w:tcW w:w="825" w:type="dxa"/>
            <w:noWrap w:val="0"/>
            <w:vAlign w:val="center"/>
          </w:tcPr>
          <w:p w14:paraId="5465CF21">
            <w:pPr>
              <w:spacing w:line="360" w:lineRule="auto"/>
              <w:jc w:val="center"/>
              <w:rPr>
                <w:rFonts w:ascii="宋体" w:hAnsi="宋体" w:eastAsia="宋体" w:cs="宋体"/>
                <w:b/>
                <w:bCs/>
                <w:color w:val="auto"/>
                <w:sz w:val="24"/>
                <w:highlight w:val="none"/>
              </w:rPr>
            </w:pPr>
          </w:p>
        </w:tc>
        <w:tc>
          <w:tcPr>
            <w:tcW w:w="2955" w:type="dxa"/>
            <w:noWrap w:val="0"/>
            <w:vAlign w:val="top"/>
          </w:tcPr>
          <w:p w14:paraId="1918B89A">
            <w:pPr>
              <w:rPr>
                <w:rFonts w:ascii="宋体" w:hAnsi="宋体" w:eastAsia="宋体" w:cs="宋体"/>
                <w:color w:val="auto"/>
                <w:sz w:val="24"/>
                <w:highlight w:val="none"/>
              </w:rPr>
            </w:pPr>
          </w:p>
        </w:tc>
      </w:tr>
      <w:tr w14:paraId="6FF6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3DD46AE">
            <w:pPr>
              <w:spacing w:line="360" w:lineRule="auto"/>
              <w:jc w:val="center"/>
              <w:rPr>
                <w:rFonts w:ascii="宋体" w:hAnsi="宋体" w:eastAsia="宋体" w:cs="宋体"/>
                <w:b/>
                <w:bCs/>
                <w:color w:val="auto"/>
                <w:sz w:val="24"/>
                <w:highlight w:val="none"/>
              </w:rPr>
            </w:pPr>
          </w:p>
        </w:tc>
        <w:tc>
          <w:tcPr>
            <w:tcW w:w="1260" w:type="dxa"/>
            <w:noWrap w:val="0"/>
            <w:vAlign w:val="top"/>
          </w:tcPr>
          <w:p w14:paraId="56252B5A">
            <w:pPr>
              <w:spacing w:line="360" w:lineRule="auto"/>
              <w:jc w:val="center"/>
              <w:rPr>
                <w:rFonts w:ascii="宋体" w:hAnsi="宋体" w:eastAsia="宋体" w:cs="宋体"/>
                <w:b/>
                <w:bCs/>
                <w:color w:val="auto"/>
                <w:sz w:val="24"/>
                <w:highlight w:val="none"/>
              </w:rPr>
            </w:pPr>
          </w:p>
        </w:tc>
        <w:tc>
          <w:tcPr>
            <w:tcW w:w="855" w:type="dxa"/>
            <w:noWrap w:val="0"/>
            <w:vAlign w:val="center"/>
          </w:tcPr>
          <w:p w14:paraId="08ED97AE">
            <w:pPr>
              <w:spacing w:line="360" w:lineRule="auto"/>
              <w:jc w:val="center"/>
              <w:rPr>
                <w:rFonts w:ascii="宋体" w:hAnsi="宋体" w:eastAsia="宋体" w:cs="宋体"/>
                <w:b/>
                <w:bCs/>
                <w:color w:val="auto"/>
                <w:sz w:val="24"/>
                <w:highlight w:val="none"/>
              </w:rPr>
            </w:pPr>
          </w:p>
        </w:tc>
        <w:tc>
          <w:tcPr>
            <w:tcW w:w="2745" w:type="dxa"/>
            <w:noWrap w:val="0"/>
            <w:vAlign w:val="center"/>
          </w:tcPr>
          <w:p w14:paraId="491BB61B">
            <w:pPr>
              <w:spacing w:line="360" w:lineRule="auto"/>
              <w:jc w:val="center"/>
              <w:rPr>
                <w:rFonts w:ascii="宋体" w:hAnsi="宋体" w:eastAsia="宋体" w:cs="宋体"/>
                <w:b/>
                <w:bCs/>
                <w:color w:val="auto"/>
                <w:sz w:val="24"/>
                <w:highlight w:val="none"/>
              </w:rPr>
            </w:pPr>
          </w:p>
        </w:tc>
        <w:tc>
          <w:tcPr>
            <w:tcW w:w="825" w:type="dxa"/>
            <w:noWrap w:val="0"/>
            <w:vAlign w:val="center"/>
          </w:tcPr>
          <w:p w14:paraId="200B3405">
            <w:pPr>
              <w:spacing w:line="360" w:lineRule="auto"/>
              <w:jc w:val="center"/>
              <w:rPr>
                <w:rFonts w:ascii="宋体" w:hAnsi="宋体" w:eastAsia="宋体" w:cs="宋体"/>
                <w:b/>
                <w:bCs/>
                <w:color w:val="auto"/>
                <w:sz w:val="24"/>
                <w:highlight w:val="none"/>
              </w:rPr>
            </w:pPr>
          </w:p>
        </w:tc>
        <w:tc>
          <w:tcPr>
            <w:tcW w:w="2955" w:type="dxa"/>
            <w:noWrap w:val="0"/>
            <w:vAlign w:val="top"/>
          </w:tcPr>
          <w:p w14:paraId="17882E1E">
            <w:pPr>
              <w:rPr>
                <w:rFonts w:ascii="宋体" w:hAnsi="宋体" w:eastAsia="宋体" w:cs="宋体"/>
                <w:color w:val="auto"/>
                <w:sz w:val="24"/>
                <w:highlight w:val="none"/>
              </w:rPr>
            </w:pPr>
          </w:p>
        </w:tc>
      </w:tr>
      <w:tr w14:paraId="0A81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50933C2">
            <w:pPr>
              <w:spacing w:line="360" w:lineRule="auto"/>
              <w:jc w:val="center"/>
              <w:rPr>
                <w:rFonts w:ascii="宋体" w:hAnsi="宋体" w:eastAsia="宋体" w:cs="宋体"/>
                <w:b/>
                <w:bCs/>
                <w:color w:val="auto"/>
                <w:sz w:val="24"/>
                <w:highlight w:val="none"/>
              </w:rPr>
            </w:pPr>
          </w:p>
        </w:tc>
        <w:tc>
          <w:tcPr>
            <w:tcW w:w="1260" w:type="dxa"/>
            <w:noWrap w:val="0"/>
            <w:vAlign w:val="top"/>
          </w:tcPr>
          <w:p w14:paraId="5084C53B">
            <w:pPr>
              <w:spacing w:line="360" w:lineRule="auto"/>
              <w:jc w:val="center"/>
              <w:rPr>
                <w:rFonts w:ascii="宋体" w:hAnsi="宋体" w:eastAsia="宋体" w:cs="宋体"/>
                <w:b/>
                <w:bCs/>
                <w:color w:val="auto"/>
                <w:sz w:val="24"/>
                <w:highlight w:val="none"/>
              </w:rPr>
            </w:pPr>
          </w:p>
        </w:tc>
        <w:tc>
          <w:tcPr>
            <w:tcW w:w="855" w:type="dxa"/>
            <w:noWrap w:val="0"/>
            <w:vAlign w:val="center"/>
          </w:tcPr>
          <w:p w14:paraId="1D3612B0">
            <w:pPr>
              <w:spacing w:line="360" w:lineRule="auto"/>
              <w:jc w:val="center"/>
              <w:rPr>
                <w:rFonts w:ascii="宋体" w:hAnsi="宋体" w:eastAsia="宋体" w:cs="宋体"/>
                <w:b/>
                <w:bCs/>
                <w:color w:val="auto"/>
                <w:sz w:val="24"/>
                <w:highlight w:val="none"/>
              </w:rPr>
            </w:pPr>
          </w:p>
        </w:tc>
        <w:tc>
          <w:tcPr>
            <w:tcW w:w="2745" w:type="dxa"/>
            <w:noWrap w:val="0"/>
            <w:vAlign w:val="center"/>
          </w:tcPr>
          <w:p w14:paraId="3D3C0734">
            <w:pPr>
              <w:spacing w:line="360" w:lineRule="auto"/>
              <w:jc w:val="center"/>
              <w:rPr>
                <w:rFonts w:ascii="宋体" w:hAnsi="宋体" w:eastAsia="宋体" w:cs="宋体"/>
                <w:b/>
                <w:bCs/>
                <w:color w:val="auto"/>
                <w:sz w:val="24"/>
                <w:highlight w:val="none"/>
              </w:rPr>
            </w:pPr>
          </w:p>
        </w:tc>
        <w:tc>
          <w:tcPr>
            <w:tcW w:w="825" w:type="dxa"/>
            <w:noWrap w:val="0"/>
            <w:vAlign w:val="center"/>
          </w:tcPr>
          <w:p w14:paraId="18F271E6">
            <w:pPr>
              <w:spacing w:line="360" w:lineRule="auto"/>
              <w:jc w:val="center"/>
              <w:rPr>
                <w:rFonts w:ascii="宋体" w:hAnsi="宋体" w:eastAsia="宋体" w:cs="宋体"/>
                <w:b/>
                <w:bCs/>
                <w:color w:val="auto"/>
                <w:sz w:val="24"/>
                <w:highlight w:val="none"/>
              </w:rPr>
            </w:pPr>
          </w:p>
        </w:tc>
        <w:tc>
          <w:tcPr>
            <w:tcW w:w="2955" w:type="dxa"/>
            <w:noWrap w:val="0"/>
            <w:vAlign w:val="top"/>
          </w:tcPr>
          <w:p w14:paraId="2E3157A2">
            <w:pPr>
              <w:rPr>
                <w:rFonts w:ascii="宋体" w:hAnsi="宋体" w:eastAsia="宋体" w:cs="宋体"/>
                <w:color w:val="auto"/>
                <w:sz w:val="24"/>
                <w:highlight w:val="none"/>
              </w:rPr>
            </w:pPr>
          </w:p>
        </w:tc>
      </w:tr>
    </w:tbl>
    <w:p w14:paraId="03E024D8">
      <w:pPr>
        <w:pStyle w:val="17"/>
        <w:spacing w:line="400" w:lineRule="atLeast"/>
        <w:rPr>
          <w:rFonts w:hAnsi="宋体" w:cs="宋体"/>
          <w:color w:val="auto"/>
          <w:sz w:val="24"/>
          <w:highlight w:val="none"/>
        </w:rPr>
      </w:pPr>
      <w:r>
        <w:rPr>
          <w:rFonts w:hint="eastAsia" w:hAnsi="宋体" w:cs="宋体"/>
          <w:color w:val="auto"/>
          <w:sz w:val="24"/>
          <w:highlight w:val="none"/>
        </w:rPr>
        <w:t>投标方代表签字：____________________        职  务：____________</w:t>
      </w:r>
    </w:p>
    <w:p w14:paraId="0AAC494B">
      <w:pPr>
        <w:spacing w:line="360" w:lineRule="auto"/>
        <w:rPr>
          <w:rFonts w:ascii="宋体" w:hAnsi="宋体" w:cs="宋体"/>
          <w:color w:val="auto"/>
          <w:sz w:val="24"/>
          <w:highlight w:val="none"/>
        </w:rPr>
      </w:pPr>
      <w:r>
        <w:rPr>
          <w:rFonts w:hint="eastAsia" w:ascii="宋体" w:hAnsi="宋体" w:cs="宋体"/>
          <w:color w:val="auto"/>
          <w:sz w:val="24"/>
          <w:highlight w:val="none"/>
        </w:rPr>
        <w:t>日  期：________________</w:t>
      </w:r>
    </w:p>
    <w:p w14:paraId="5CD0BE72">
      <w:pPr>
        <w:spacing w:line="360" w:lineRule="auto"/>
        <w:rPr>
          <w:rFonts w:hint="eastAsia" w:ascii="宋体" w:hAnsi="宋体" w:cs="宋体"/>
          <w:color w:val="auto"/>
          <w:sz w:val="24"/>
          <w:highlight w:val="none"/>
        </w:rPr>
      </w:pPr>
    </w:p>
    <w:p w14:paraId="6AA74430">
      <w:pPr>
        <w:spacing w:line="360" w:lineRule="auto"/>
        <w:rPr>
          <w:rFonts w:ascii="宋体" w:hAnsi="宋体" w:cs="宋体"/>
          <w:color w:val="auto"/>
          <w:highlight w:val="none"/>
        </w:rPr>
      </w:pPr>
      <w:r>
        <w:rPr>
          <w:rFonts w:hint="eastAsia" w:ascii="宋体" w:hAnsi="宋体" w:cs="宋体"/>
          <w:color w:val="auto"/>
          <w:sz w:val="24"/>
          <w:highlight w:val="none"/>
        </w:rPr>
        <w:t>备注：</w:t>
      </w:r>
      <w:r>
        <w:rPr>
          <w:rFonts w:hint="eastAsia" w:ascii="宋体" w:hAnsi="宋体" w:cs="宋体"/>
          <w:b/>
          <w:bCs/>
          <w:color w:val="auto"/>
          <w:highlight w:val="none"/>
        </w:rPr>
        <w:t xml:space="preserve"> </w:t>
      </w:r>
      <w:r>
        <w:rPr>
          <w:rFonts w:hint="eastAsia" w:ascii="宋体" w:hAnsi="宋体" w:cs="宋体"/>
          <w:color w:val="auto"/>
          <w:highlight w:val="none"/>
        </w:rPr>
        <w:t>1.该表根据前面《招标货物一览表》中所列明货物清单，按每项货物详细填写。</w:t>
      </w:r>
    </w:p>
    <w:p w14:paraId="1ADC4131">
      <w:pPr>
        <w:spacing w:line="360" w:lineRule="auto"/>
        <w:ind w:firstLine="840" w:firstLineChars="400"/>
        <w:rPr>
          <w:rFonts w:ascii="宋体" w:hAnsi="宋体" w:cs="宋体"/>
          <w:color w:val="auto"/>
          <w:highlight w:val="none"/>
        </w:rPr>
      </w:pPr>
      <w:r>
        <w:rPr>
          <w:rFonts w:hint="eastAsia" w:ascii="宋体" w:hAnsi="宋体" w:cs="宋体"/>
          <w:color w:val="auto"/>
          <w:highlight w:val="none"/>
        </w:rPr>
        <w:t>2.“规格及技术参数”栏中填写所投货物化学成分、物理性能参数等技术参数。</w:t>
      </w:r>
    </w:p>
    <w:p w14:paraId="0D08F6DB">
      <w:pPr>
        <w:spacing w:line="360" w:lineRule="auto"/>
        <w:ind w:firstLine="840" w:firstLineChars="400"/>
        <w:rPr>
          <w:rFonts w:hint="eastAsia" w:ascii="宋体"/>
          <w:b/>
          <w:bCs/>
          <w:color w:val="auto"/>
          <w:sz w:val="44"/>
          <w:szCs w:val="44"/>
          <w:highlight w:val="none"/>
        </w:rPr>
      </w:pPr>
      <w:r>
        <w:rPr>
          <w:rFonts w:hint="eastAsia" w:ascii="宋体" w:hAnsi="宋体" w:cs="宋体"/>
          <w:color w:val="auto"/>
          <w:highlight w:val="none"/>
        </w:rPr>
        <w:t>3.此表可在不改变格式的情况下自行制作。</w:t>
      </w:r>
    </w:p>
    <w:p w14:paraId="0B8AD7DE">
      <w:pPr>
        <w:spacing w:line="360" w:lineRule="auto"/>
        <w:rPr>
          <w:rFonts w:hint="eastAsia" w:ascii="宋体" w:hAnsi="宋体"/>
          <w:b/>
          <w:bCs/>
          <w:color w:val="auto"/>
          <w:sz w:val="36"/>
          <w:szCs w:val="36"/>
          <w:highlight w:val="none"/>
        </w:rPr>
      </w:pPr>
    </w:p>
    <w:p w14:paraId="796076CF">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售后服务承诺书</w:t>
      </w:r>
    </w:p>
    <w:p w14:paraId="1B707AD3">
      <w:pPr>
        <w:spacing w:line="360" w:lineRule="auto"/>
        <w:rPr>
          <w:rFonts w:ascii="宋体"/>
          <w:color w:val="auto"/>
          <w:sz w:val="24"/>
          <w:highlight w:val="none"/>
        </w:rPr>
      </w:pPr>
    </w:p>
    <w:p w14:paraId="6BDD6049">
      <w:pPr>
        <w:spacing w:line="360" w:lineRule="auto"/>
        <w:rPr>
          <w:rFonts w:ascii="宋体"/>
          <w:color w:val="auto"/>
          <w:sz w:val="24"/>
          <w:highlight w:val="none"/>
        </w:rPr>
      </w:pPr>
      <w:r>
        <w:rPr>
          <w:rFonts w:ascii="宋体"/>
          <w:color w:val="auto"/>
          <w:sz w:val="24"/>
          <w:highlight w:val="none"/>
        </w:rPr>
        <w:t>1</w:t>
      </w:r>
      <w:r>
        <w:rPr>
          <w:rFonts w:hint="eastAsia" w:ascii="宋体"/>
          <w:color w:val="auto"/>
          <w:sz w:val="24"/>
          <w:highlight w:val="none"/>
        </w:rPr>
        <w:t>.保修年限、范围、保修条件</w:t>
      </w:r>
    </w:p>
    <w:p w14:paraId="1F70E69E">
      <w:pPr>
        <w:spacing w:line="360" w:lineRule="auto"/>
        <w:rPr>
          <w:rFonts w:ascii="宋体"/>
          <w:color w:val="auto"/>
          <w:sz w:val="24"/>
          <w:highlight w:val="none"/>
        </w:rPr>
      </w:pPr>
    </w:p>
    <w:p w14:paraId="53100CA3">
      <w:pPr>
        <w:spacing w:line="360" w:lineRule="auto"/>
        <w:rPr>
          <w:rFonts w:ascii="宋体"/>
          <w:color w:val="auto"/>
          <w:sz w:val="24"/>
          <w:highlight w:val="none"/>
        </w:rPr>
      </w:pPr>
    </w:p>
    <w:p w14:paraId="6B118914">
      <w:pPr>
        <w:spacing w:line="360" w:lineRule="auto"/>
        <w:rPr>
          <w:rFonts w:ascii="宋体"/>
          <w:color w:val="auto"/>
          <w:sz w:val="24"/>
          <w:highlight w:val="none"/>
        </w:rPr>
      </w:pPr>
    </w:p>
    <w:p w14:paraId="78B411A2">
      <w:pPr>
        <w:spacing w:line="360" w:lineRule="auto"/>
        <w:rPr>
          <w:rFonts w:ascii="宋体"/>
          <w:color w:val="auto"/>
          <w:sz w:val="24"/>
          <w:highlight w:val="none"/>
        </w:rPr>
      </w:pPr>
      <w:r>
        <w:rPr>
          <w:rFonts w:hint="eastAsia" w:ascii="宋体"/>
          <w:color w:val="auto"/>
          <w:sz w:val="24"/>
          <w:highlight w:val="none"/>
        </w:rPr>
        <w:t>2.解决问题、排除故障的速度</w:t>
      </w:r>
    </w:p>
    <w:p w14:paraId="656672E4">
      <w:pPr>
        <w:spacing w:line="360" w:lineRule="auto"/>
        <w:rPr>
          <w:rFonts w:ascii="宋体"/>
          <w:color w:val="auto"/>
          <w:sz w:val="24"/>
          <w:highlight w:val="none"/>
        </w:rPr>
      </w:pPr>
    </w:p>
    <w:p w14:paraId="58E876EA">
      <w:pPr>
        <w:spacing w:line="360" w:lineRule="auto"/>
        <w:rPr>
          <w:rFonts w:ascii="宋体"/>
          <w:color w:val="auto"/>
          <w:sz w:val="24"/>
          <w:highlight w:val="none"/>
        </w:rPr>
      </w:pPr>
    </w:p>
    <w:p w14:paraId="4B78C4E6">
      <w:pPr>
        <w:spacing w:line="360" w:lineRule="auto"/>
        <w:rPr>
          <w:rFonts w:ascii="宋体"/>
          <w:color w:val="auto"/>
          <w:sz w:val="24"/>
          <w:highlight w:val="none"/>
        </w:rPr>
      </w:pPr>
    </w:p>
    <w:p w14:paraId="4EE50088">
      <w:pPr>
        <w:spacing w:line="360" w:lineRule="auto"/>
        <w:rPr>
          <w:rFonts w:ascii="宋体"/>
          <w:color w:val="auto"/>
          <w:sz w:val="24"/>
          <w:highlight w:val="none"/>
        </w:rPr>
      </w:pPr>
      <w:r>
        <w:rPr>
          <w:rFonts w:hint="eastAsia" w:ascii="宋体"/>
          <w:color w:val="auto"/>
          <w:sz w:val="24"/>
          <w:highlight w:val="none"/>
        </w:rPr>
        <w:t>3.设备使用的培训、指导</w:t>
      </w:r>
    </w:p>
    <w:p w14:paraId="085947EF">
      <w:pPr>
        <w:spacing w:line="360" w:lineRule="auto"/>
        <w:rPr>
          <w:rFonts w:ascii="宋体"/>
          <w:color w:val="auto"/>
          <w:sz w:val="24"/>
          <w:highlight w:val="none"/>
        </w:rPr>
      </w:pPr>
    </w:p>
    <w:p w14:paraId="4F9C0B17">
      <w:pPr>
        <w:spacing w:line="360" w:lineRule="auto"/>
        <w:rPr>
          <w:rFonts w:ascii="宋体"/>
          <w:color w:val="auto"/>
          <w:sz w:val="24"/>
          <w:highlight w:val="none"/>
        </w:rPr>
      </w:pPr>
    </w:p>
    <w:p w14:paraId="6134F839">
      <w:pPr>
        <w:spacing w:line="360" w:lineRule="auto"/>
        <w:rPr>
          <w:rFonts w:ascii="宋体"/>
          <w:color w:val="auto"/>
          <w:sz w:val="24"/>
          <w:highlight w:val="none"/>
        </w:rPr>
      </w:pPr>
    </w:p>
    <w:p w14:paraId="65907C98">
      <w:pPr>
        <w:spacing w:line="360" w:lineRule="auto"/>
        <w:rPr>
          <w:rFonts w:ascii="宋体"/>
          <w:color w:val="auto"/>
          <w:sz w:val="24"/>
          <w:highlight w:val="none"/>
        </w:rPr>
      </w:pPr>
      <w:r>
        <w:rPr>
          <w:rFonts w:hint="eastAsia" w:ascii="宋体"/>
          <w:color w:val="auto"/>
          <w:sz w:val="24"/>
          <w:highlight w:val="none"/>
        </w:rPr>
        <w:t>4.售后服务方面的其他承诺（安装、定期巡检等）</w:t>
      </w:r>
    </w:p>
    <w:p w14:paraId="299B63DE">
      <w:pPr>
        <w:spacing w:line="360" w:lineRule="auto"/>
        <w:rPr>
          <w:rFonts w:ascii="宋体"/>
          <w:color w:val="auto"/>
          <w:sz w:val="24"/>
          <w:highlight w:val="none"/>
        </w:rPr>
      </w:pPr>
    </w:p>
    <w:p w14:paraId="7CA1C2DA">
      <w:pPr>
        <w:spacing w:line="360" w:lineRule="auto"/>
        <w:rPr>
          <w:rFonts w:ascii="宋体"/>
          <w:color w:val="auto"/>
          <w:sz w:val="24"/>
          <w:highlight w:val="none"/>
        </w:rPr>
      </w:pPr>
    </w:p>
    <w:p w14:paraId="0EBDFFCB">
      <w:pPr>
        <w:spacing w:line="360" w:lineRule="auto"/>
        <w:rPr>
          <w:rFonts w:ascii="宋体"/>
          <w:color w:val="auto"/>
          <w:sz w:val="24"/>
          <w:highlight w:val="none"/>
        </w:rPr>
      </w:pPr>
    </w:p>
    <w:p w14:paraId="5D5BC78E">
      <w:pPr>
        <w:spacing w:line="360" w:lineRule="auto"/>
        <w:rPr>
          <w:rFonts w:ascii="宋体"/>
          <w:color w:val="auto"/>
          <w:sz w:val="24"/>
          <w:highlight w:val="none"/>
        </w:rPr>
      </w:pPr>
      <w:r>
        <w:rPr>
          <w:rFonts w:hint="eastAsia" w:ascii="宋体"/>
          <w:color w:val="auto"/>
          <w:sz w:val="24"/>
          <w:highlight w:val="none"/>
        </w:rPr>
        <w:t>5.售后服务联系方式（联系人、联系电话、维修点等）</w:t>
      </w:r>
    </w:p>
    <w:p w14:paraId="3168E7E7">
      <w:pPr>
        <w:spacing w:line="360" w:lineRule="auto"/>
        <w:rPr>
          <w:rFonts w:ascii="宋体"/>
          <w:color w:val="auto"/>
          <w:sz w:val="24"/>
          <w:highlight w:val="none"/>
        </w:rPr>
      </w:pPr>
    </w:p>
    <w:p w14:paraId="4DAAA082">
      <w:pPr>
        <w:spacing w:line="360" w:lineRule="auto"/>
        <w:rPr>
          <w:rFonts w:ascii="宋体"/>
          <w:color w:val="auto"/>
          <w:sz w:val="24"/>
          <w:highlight w:val="none"/>
        </w:rPr>
      </w:pPr>
    </w:p>
    <w:p w14:paraId="384A09F7">
      <w:pPr>
        <w:spacing w:line="360" w:lineRule="auto"/>
        <w:rPr>
          <w:rFonts w:ascii="宋体"/>
          <w:color w:val="auto"/>
          <w:sz w:val="24"/>
          <w:highlight w:val="none"/>
        </w:rPr>
      </w:pPr>
    </w:p>
    <w:p w14:paraId="7506D824">
      <w:pPr>
        <w:spacing w:line="360" w:lineRule="auto"/>
        <w:rPr>
          <w:rFonts w:ascii="宋体"/>
          <w:color w:val="auto"/>
          <w:sz w:val="24"/>
          <w:highlight w:val="none"/>
        </w:rPr>
      </w:pPr>
      <w:r>
        <w:rPr>
          <w:rFonts w:hint="eastAsia" w:ascii="宋体"/>
          <w:color w:val="auto"/>
          <w:sz w:val="24"/>
          <w:highlight w:val="none"/>
        </w:rPr>
        <w:t>6.其他优惠条件</w:t>
      </w:r>
    </w:p>
    <w:p w14:paraId="7E0FDB0D">
      <w:pPr>
        <w:spacing w:line="360" w:lineRule="auto"/>
        <w:rPr>
          <w:rFonts w:ascii="宋体"/>
          <w:color w:val="auto"/>
          <w:sz w:val="24"/>
          <w:highlight w:val="none"/>
        </w:rPr>
      </w:pPr>
    </w:p>
    <w:p w14:paraId="26E4DEFD">
      <w:pPr>
        <w:spacing w:line="360" w:lineRule="auto"/>
        <w:rPr>
          <w:rFonts w:ascii="宋体"/>
          <w:color w:val="auto"/>
          <w:sz w:val="24"/>
          <w:highlight w:val="none"/>
        </w:rPr>
      </w:pPr>
    </w:p>
    <w:p w14:paraId="44497042">
      <w:pPr>
        <w:spacing w:line="360" w:lineRule="auto"/>
        <w:rPr>
          <w:rFonts w:ascii="宋体"/>
          <w:color w:val="auto"/>
          <w:sz w:val="24"/>
          <w:highlight w:val="none"/>
        </w:rPr>
      </w:pPr>
      <w:r>
        <w:rPr>
          <w:rFonts w:ascii="宋体"/>
          <w:color w:val="auto"/>
          <w:sz w:val="24"/>
          <w:highlight w:val="none"/>
        </w:rPr>
        <w:t xml:space="preserve">                       </w:t>
      </w:r>
    </w:p>
    <w:p w14:paraId="203738F5">
      <w:pPr>
        <w:spacing w:line="360" w:lineRule="auto"/>
        <w:rPr>
          <w:rFonts w:ascii="宋体"/>
          <w:color w:val="auto"/>
          <w:sz w:val="24"/>
          <w:highlight w:val="none"/>
        </w:rPr>
      </w:pPr>
    </w:p>
    <w:p w14:paraId="609BEFE2">
      <w:pPr>
        <w:spacing w:line="360" w:lineRule="auto"/>
        <w:jc w:val="center"/>
        <w:rPr>
          <w:rFonts w:ascii="宋体"/>
          <w:color w:val="auto"/>
          <w:sz w:val="24"/>
          <w:highlight w:val="none"/>
          <w:u w:val="single"/>
        </w:rPr>
      </w:pPr>
      <w:r>
        <w:rPr>
          <w:rFonts w:hint="eastAsia" w:ascii="宋体"/>
          <w:color w:val="auto"/>
          <w:sz w:val="24"/>
          <w:highlight w:val="none"/>
        </w:rPr>
        <w:t>企业名称（盖电子签章）：</w:t>
      </w:r>
      <w:r>
        <w:rPr>
          <w:rFonts w:ascii="宋体"/>
          <w:color w:val="auto"/>
          <w:sz w:val="24"/>
          <w:highlight w:val="none"/>
          <w:u w:val="single"/>
        </w:rPr>
        <w:t xml:space="preserve">                           </w:t>
      </w:r>
    </w:p>
    <w:p w14:paraId="4BD6D21C">
      <w:pPr>
        <w:spacing w:line="360" w:lineRule="auto"/>
        <w:jc w:val="center"/>
        <w:rPr>
          <w:rFonts w:ascii="宋体"/>
          <w:color w:val="auto"/>
          <w:sz w:val="24"/>
          <w:highlight w:val="none"/>
        </w:rPr>
      </w:pPr>
      <w:r>
        <w:rPr>
          <w:rFonts w:hint="eastAsia" w:ascii="宋体"/>
          <w:color w:val="auto"/>
          <w:sz w:val="24"/>
          <w:highlight w:val="none"/>
        </w:rPr>
        <w:t>签字代表</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p>
    <w:p w14:paraId="18C9A629">
      <w:pPr>
        <w:spacing w:line="360" w:lineRule="auto"/>
        <w:jc w:val="right"/>
        <w:rPr>
          <w:rFonts w:ascii="宋体"/>
          <w:color w:val="auto"/>
          <w:sz w:val="24"/>
          <w:highlight w:val="none"/>
        </w:rPr>
      </w:pP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20927A4B">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产品质量保证承诺书</w:t>
      </w:r>
    </w:p>
    <w:p w14:paraId="4E995BDA">
      <w:pPr>
        <w:spacing w:line="360" w:lineRule="auto"/>
        <w:rPr>
          <w:rFonts w:ascii="宋体" w:hAnsi="宋体"/>
          <w:b/>
          <w:color w:val="auto"/>
          <w:sz w:val="24"/>
          <w:highlight w:val="none"/>
        </w:rPr>
      </w:pPr>
      <w:r>
        <w:rPr>
          <w:rFonts w:hint="eastAsia" w:ascii="宋体" w:hAnsi="宋体"/>
          <w:b/>
          <w:color w:val="auto"/>
          <w:sz w:val="24"/>
          <w:highlight w:val="none"/>
        </w:rPr>
        <w:t xml:space="preserve"> </w:t>
      </w:r>
    </w:p>
    <w:p w14:paraId="1C959AFD">
      <w:pPr>
        <w:pStyle w:val="31"/>
        <w:snapToGrid w:val="0"/>
        <w:spacing w:line="360" w:lineRule="auto"/>
        <w:rPr>
          <w:color w:val="auto"/>
          <w:szCs w:val="18"/>
          <w:highlight w:val="none"/>
        </w:rPr>
      </w:pPr>
      <w:r>
        <w:rPr>
          <w:rFonts w:hint="eastAsia"/>
          <w:b/>
          <w:color w:val="auto"/>
          <w:highlight w:val="none"/>
        </w:rPr>
        <w:t xml:space="preserve">    </w:t>
      </w:r>
      <w:r>
        <w:rPr>
          <w:color w:val="auto"/>
          <w:szCs w:val="18"/>
          <w:highlight w:val="none"/>
        </w:rPr>
        <w:t>根据贵方为</w:t>
      </w:r>
      <w:r>
        <w:rPr>
          <w:rFonts w:hint="eastAsia"/>
          <w:color w:val="auto"/>
          <w:szCs w:val="18"/>
          <w:highlight w:val="none"/>
          <w:u w:val="single"/>
        </w:rPr>
        <w:t xml:space="preserve">      </w:t>
      </w:r>
      <w:r>
        <w:rPr>
          <w:color w:val="auto"/>
          <w:szCs w:val="18"/>
          <w:highlight w:val="none"/>
        </w:rPr>
        <w:t>年</w:t>
      </w:r>
      <w:r>
        <w:rPr>
          <w:rFonts w:hint="eastAsia"/>
          <w:color w:val="auto"/>
          <w:szCs w:val="18"/>
          <w:highlight w:val="none"/>
        </w:rPr>
        <w:t xml:space="preserve"> </w:t>
      </w:r>
      <w:r>
        <w:rPr>
          <w:rFonts w:hint="eastAsia"/>
          <w:color w:val="auto"/>
          <w:szCs w:val="18"/>
          <w:highlight w:val="none"/>
          <w:u w:val="single"/>
        </w:rPr>
        <w:t xml:space="preserve">   </w:t>
      </w:r>
      <w:r>
        <w:rPr>
          <w:color w:val="auto"/>
          <w:szCs w:val="18"/>
          <w:highlight w:val="none"/>
        </w:rPr>
        <w:t>月</w:t>
      </w:r>
      <w:r>
        <w:rPr>
          <w:rFonts w:hint="eastAsia"/>
          <w:color w:val="auto"/>
          <w:szCs w:val="18"/>
          <w:highlight w:val="none"/>
          <w:u w:val="single"/>
        </w:rPr>
        <w:t xml:space="preserve">   </w:t>
      </w:r>
      <w:r>
        <w:rPr>
          <w:rFonts w:hint="eastAsia"/>
          <w:color w:val="auto"/>
          <w:szCs w:val="18"/>
          <w:highlight w:val="none"/>
        </w:rPr>
        <w:t>日</w:t>
      </w:r>
      <w:r>
        <w:rPr>
          <w:rFonts w:hint="eastAsia"/>
          <w:color w:val="auto"/>
          <w:szCs w:val="18"/>
          <w:highlight w:val="none"/>
          <w:u w:val="single"/>
        </w:rPr>
        <w:t xml:space="preserve">          </w:t>
      </w:r>
      <w:r>
        <w:rPr>
          <w:color w:val="auto"/>
          <w:szCs w:val="18"/>
          <w:highlight w:val="none"/>
        </w:rPr>
        <w:t>（</w:t>
      </w:r>
      <w:r>
        <w:rPr>
          <w:rFonts w:hint="eastAsia"/>
          <w:color w:val="auto"/>
          <w:szCs w:val="18"/>
          <w:highlight w:val="none"/>
        </w:rPr>
        <w:t>采购</w:t>
      </w:r>
      <w:r>
        <w:rPr>
          <w:color w:val="auto"/>
          <w:szCs w:val="18"/>
          <w:highlight w:val="none"/>
        </w:rPr>
        <w:t>编号）招标项目的投标邀请，我</w:t>
      </w:r>
      <w:r>
        <w:rPr>
          <w:rFonts w:hint="eastAsia"/>
          <w:color w:val="auto"/>
          <w:szCs w:val="18"/>
          <w:highlight w:val="none"/>
        </w:rPr>
        <w:t>方</w:t>
      </w:r>
      <w:r>
        <w:rPr>
          <w:color w:val="auto"/>
          <w:szCs w:val="18"/>
          <w:highlight w:val="none"/>
        </w:rPr>
        <w:t>对该项目做出如下</w:t>
      </w:r>
      <w:r>
        <w:rPr>
          <w:rFonts w:hint="eastAsia"/>
          <w:color w:val="auto"/>
          <w:szCs w:val="18"/>
          <w:highlight w:val="none"/>
        </w:rPr>
        <w:t>产品质量</w:t>
      </w:r>
      <w:r>
        <w:rPr>
          <w:color w:val="auto"/>
          <w:szCs w:val="18"/>
          <w:highlight w:val="none"/>
        </w:rPr>
        <w:t>承诺：</w:t>
      </w:r>
    </w:p>
    <w:p w14:paraId="68BC86C5">
      <w:pPr>
        <w:numPr>
          <w:ilvl w:val="0"/>
          <w:numId w:val="3"/>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技术规范及相关产品标准：</w:t>
      </w:r>
    </w:p>
    <w:p w14:paraId="13BE213E">
      <w:pPr>
        <w:spacing w:line="360" w:lineRule="auto"/>
        <w:rPr>
          <w:rFonts w:ascii="宋体" w:hAnsi="宋体"/>
          <w:bCs/>
          <w:color w:val="auto"/>
          <w:sz w:val="24"/>
          <w:highlight w:val="none"/>
        </w:rPr>
      </w:pPr>
    </w:p>
    <w:p w14:paraId="15FF00F7">
      <w:pPr>
        <w:spacing w:line="360" w:lineRule="auto"/>
        <w:rPr>
          <w:rFonts w:ascii="宋体" w:hAnsi="宋体"/>
          <w:bCs/>
          <w:color w:val="auto"/>
          <w:sz w:val="24"/>
          <w:highlight w:val="none"/>
        </w:rPr>
      </w:pPr>
    </w:p>
    <w:p w14:paraId="59FCBC73">
      <w:pPr>
        <w:numPr>
          <w:ilvl w:val="0"/>
          <w:numId w:val="3"/>
        </w:numPr>
        <w:tabs>
          <w:tab w:val="left" w:pos="840"/>
          <w:tab w:val="clear" w:pos="786"/>
        </w:tabs>
        <w:spacing w:line="360" w:lineRule="auto"/>
        <w:ind w:left="840"/>
        <w:rPr>
          <w:color w:val="auto"/>
          <w:sz w:val="24"/>
          <w:szCs w:val="18"/>
          <w:highlight w:val="none"/>
        </w:rPr>
      </w:pPr>
      <w:r>
        <w:rPr>
          <w:color w:val="auto"/>
          <w:sz w:val="24"/>
          <w:szCs w:val="18"/>
          <w:highlight w:val="none"/>
        </w:rPr>
        <w:t>产品都属于厂家原装正品产品</w:t>
      </w:r>
      <w:r>
        <w:rPr>
          <w:rFonts w:hint="eastAsia"/>
          <w:color w:val="auto"/>
          <w:sz w:val="24"/>
          <w:szCs w:val="18"/>
          <w:highlight w:val="none"/>
        </w:rPr>
        <w:t>：</w:t>
      </w:r>
    </w:p>
    <w:p w14:paraId="43940EB8">
      <w:pPr>
        <w:spacing w:line="360" w:lineRule="auto"/>
        <w:rPr>
          <w:rFonts w:ascii="宋体" w:hAnsi="宋体"/>
          <w:bCs/>
          <w:color w:val="auto"/>
          <w:sz w:val="24"/>
          <w:highlight w:val="none"/>
        </w:rPr>
      </w:pPr>
    </w:p>
    <w:p w14:paraId="76CD6312">
      <w:pPr>
        <w:spacing w:line="360" w:lineRule="auto"/>
        <w:rPr>
          <w:rFonts w:ascii="宋体" w:hAnsi="宋体"/>
          <w:bCs/>
          <w:color w:val="auto"/>
          <w:sz w:val="24"/>
          <w:highlight w:val="none"/>
        </w:rPr>
      </w:pPr>
    </w:p>
    <w:p w14:paraId="7187FFBC">
      <w:pPr>
        <w:spacing w:line="360" w:lineRule="auto"/>
        <w:rPr>
          <w:rFonts w:ascii="宋体" w:hAnsi="宋体"/>
          <w:bCs/>
          <w:color w:val="auto"/>
          <w:sz w:val="24"/>
          <w:highlight w:val="none"/>
        </w:rPr>
      </w:pPr>
    </w:p>
    <w:p w14:paraId="6BFD946D">
      <w:pPr>
        <w:numPr>
          <w:ilvl w:val="0"/>
          <w:numId w:val="3"/>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产品“三包”内容：</w:t>
      </w:r>
    </w:p>
    <w:p w14:paraId="5C6DFDEC">
      <w:pPr>
        <w:spacing w:line="360" w:lineRule="auto"/>
        <w:rPr>
          <w:rFonts w:ascii="宋体" w:hAnsi="宋体"/>
          <w:bCs/>
          <w:color w:val="auto"/>
          <w:sz w:val="24"/>
          <w:highlight w:val="none"/>
        </w:rPr>
      </w:pPr>
    </w:p>
    <w:p w14:paraId="56508CA4">
      <w:pPr>
        <w:spacing w:line="360" w:lineRule="auto"/>
        <w:rPr>
          <w:rFonts w:ascii="宋体" w:hAnsi="宋体"/>
          <w:bCs/>
          <w:color w:val="auto"/>
          <w:sz w:val="24"/>
          <w:highlight w:val="none"/>
        </w:rPr>
      </w:pPr>
    </w:p>
    <w:p w14:paraId="7A60C50B">
      <w:pPr>
        <w:spacing w:line="360" w:lineRule="auto"/>
        <w:rPr>
          <w:rFonts w:ascii="宋体" w:hAnsi="宋体"/>
          <w:bCs/>
          <w:color w:val="auto"/>
          <w:sz w:val="24"/>
          <w:highlight w:val="none"/>
        </w:rPr>
      </w:pPr>
    </w:p>
    <w:p w14:paraId="5A61B8D4">
      <w:pPr>
        <w:numPr>
          <w:ilvl w:val="0"/>
          <w:numId w:val="3"/>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质量问题的处理：</w:t>
      </w:r>
    </w:p>
    <w:p w14:paraId="6E4D37AC">
      <w:pPr>
        <w:spacing w:line="360" w:lineRule="auto"/>
        <w:rPr>
          <w:rFonts w:ascii="宋体" w:hAnsi="宋体"/>
          <w:bCs/>
          <w:color w:val="auto"/>
          <w:sz w:val="24"/>
          <w:highlight w:val="none"/>
        </w:rPr>
      </w:pPr>
    </w:p>
    <w:p w14:paraId="506348DF">
      <w:pPr>
        <w:spacing w:line="360" w:lineRule="auto"/>
        <w:rPr>
          <w:rFonts w:ascii="宋体" w:hAnsi="宋体"/>
          <w:bCs/>
          <w:color w:val="auto"/>
          <w:sz w:val="24"/>
          <w:highlight w:val="none"/>
        </w:rPr>
      </w:pPr>
    </w:p>
    <w:p w14:paraId="3877E2F3">
      <w:pPr>
        <w:spacing w:line="360" w:lineRule="auto"/>
        <w:rPr>
          <w:rFonts w:ascii="宋体" w:hAnsi="宋体"/>
          <w:bCs/>
          <w:color w:val="auto"/>
          <w:sz w:val="24"/>
          <w:highlight w:val="none"/>
        </w:rPr>
      </w:pPr>
    </w:p>
    <w:p w14:paraId="3468A1C6">
      <w:pPr>
        <w:numPr>
          <w:ilvl w:val="0"/>
          <w:numId w:val="3"/>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质量投诉的处理：</w:t>
      </w:r>
    </w:p>
    <w:p w14:paraId="16D311C4">
      <w:pPr>
        <w:spacing w:line="360" w:lineRule="auto"/>
        <w:jc w:val="center"/>
        <w:rPr>
          <w:rFonts w:ascii="宋体" w:hAnsi="宋体"/>
          <w:b/>
          <w:color w:val="auto"/>
          <w:sz w:val="24"/>
          <w:highlight w:val="none"/>
        </w:rPr>
      </w:pPr>
    </w:p>
    <w:p w14:paraId="206F75A6">
      <w:pPr>
        <w:spacing w:line="360" w:lineRule="auto"/>
        <w:jc w:val="center"/>
        <w:rPr>
          <w:rFonts w:ascii="宋体" w:hAnsi="宋体"/>
          <w:b/>
          <w:color w:val="auto"/>
          <w:sz w:val="24"/>
          <w:highlight w:val="none"/>
        </w:rPr>
      </w:pPr>
    </w:p>
    <w:p w14:paraId="3301D319">
      <w:pPr>
        <w:spacing w:line="360" w:lineRule="auto"/>
        <w:rPr>
          <w:rFonts w:ascii="宋体" w:hAnsi="宋体"/>
          <w:bCs/>
          <w:color w:val="auto"/>
          <w:sz w:val="24"/>
          <w:highlight w:val="none"/>
        </w:rPr>
      </w:pPr>
      <w:r>
        <w:rPr>
          <w:rFonts w:hint="eastAsia" w:ascii="宋体" w:hAnsi="宋体"/>
          <w:bCs/>
          <w:color w:val="auto"/>
          <w:sz w:val="24"/>
          <w:highlight w:val="none"/>
        </w:rPr>
        <w:t xml:space="preserve">    6、其它：</w:t>
      </w:r>
    </w:p>
    <w:p w14:paraId="225FF35D">
      <w:pPr>
        <w:spacing w:line="360" w:lineRule="auto"/>
        <w:jc w:val="center"/>
        <w:rPr>
          <w:rFonts w:ascii="宋体" w:hAnsi="宋体"/>
          <w:b/>
          <w:color w:val="auto"/>
          <w:sz w:val="24"/>
          <w:highlight w:val="none"/>
        </w:rPr>
      </w:pPr>
    </w:p>
    <w:p w14:paraId="79BE3F9A">
      <w:pPr>
        <w:spacing w:line="360" w:lineRule="auto"/>
        <w:jc w:val="center"/>
        <w:rPr>
          <w:rFonts w:ascii="宋体" w:hAnsi="宋体"/>
          <w:b/>
          <w:color w:val="auto"/>
          <w:sz w:val="24"/>
          <w:highlight w:val="none"/>
        </w:rPr>
      </w:pPr>
    </w:p>
    <w:p w14:paraId="4C58B00F">
      <w:pPr>
        <w:spacing w:line="360" w:lineRule="auto"/>
        <w:jc w:val="center"/>
        <w:rPr>
          <w:rFonts w:ascii="宋体" w:hAnsi="宋体"/>
          <w:b/>
          <w:color w:val="auto"/>
          <w:sz w:val="24"/>
          <w:highlight w:val="none"/>
        </w:rPr>
      </w:pPr>
    </w:p>
    <w:p w14:paraId="20EC4027">
      <w:pPr>
        <w:spacing w:line="360" w:lineRule="auto"/>
        <w:jc w:val="right"/>
        <w:rPr>
          <w:rFonts w:ascii="宋体" w:hAnsi="宋体"/>
          <w:b/>
          <w:color w:val="auto"/>
          <w:sz w:val="24"/>
          <w:highlight w:val="none"/>
        </w:rPr>
      </w:pPr>
      <w:r>
        <w:rPr>
          <w:rFonts w:hint="eastAsia" w:ascii="宋体" w:hAnsi="宋体"/>
          <w:b/>
          <w:color w:val="auto"/>
          <w:sz w:val="24"/>
          <w:highlight w:val="none"/>
        </w:rPr>
        <w:t>企业名称（盖电子签章）：________________________</w:t>
      </w:r>
    </w:p>
    <w:p w14:paraId="15B9ED16">
      <w:pPr>
        <w:spacing w:line="360" w:lineRule="auto"/>
        <w:jc w:val="right"/>
        <w:rPr>
          <w:rFonts w:hint="eastAsia" w:ascii="宋体" w:hAnsi="宋体"/>
          <w:b/>
          <w:color w:val="auto"/>
          <w:sz w:val="24"/>
          <w:highlight w:val="none"/>
        </w:rPr>
      </w:pPr>
      <w:r>
        <w:rPr>
          <w:rFonts w:hint="eastAsia" w:ascii="宋体" w:hAnsi="宋体"/>
          <w:b/>
          <w:color w:val="auto"/>
          <w:sz w:val="24"/>
          <w:highlight w:val="none"/>
        </w:rPr>
        <w:t>签字代表：________________________</w:t>
      </w:r>
    </w:p>
    <w:p w14:paraId="01CEE2C0">
      <w:pPr>
        <w:spacing w:line="360" w:lineRule="auto"/>
        <w:jc w:val="right"/>
        <w:rPr>
          <w:b/>
          <w:bCs/>
          <w:color w:val="auto"/>
          <w:sz w:val="36"/>
          <w:highlight w:val="none"/>
        </w:rPr>
      </w:pPr>
      <w:r>
        <w:rPr>
          <w:rFonts w:hint="eastAsia" w:hAnsi="宋体"/>
          <w:b/>
          <w:color w:val="auto"/>
          <w:sz w:val="24"/>
          <w:highlight w:val="none"/>
        </w:rPr>
        <w:t>年        月        日</w:t>
      </w:r>
    </w:p>
    <w:p w14:paraId="76ED844A">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规范偏离表</w:t>
      </w:r>
    </w:p>
    <w:p w14:paraId="3E26338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0F5B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4C1D2C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604535D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2BDE99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2CC2256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949BF2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41DA07B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8A6F8B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526F145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1E7F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339E2717">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44ACB8D">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1A6B3F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272B2AB">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21CADF2">
            <w:pPr>
              <w:spacing w:line="360" w:lineRule="auto"/>
              <w:rPr>
                <w:rFonts w:hint="eastAsia" w:ascii="宋体" w:hAnsi="宋体" w:eastAsia="宋体" w:cs="宋体"/>
                <w:color w:val="auto"/>
                <w:sz w:val="24"/>
                <w:highlight w:val="none"/>
              </w:rPr>
            </w:pPr>
          </w:p>
        </w:tc>
      </w:tr>
      <w:tr w14:paraId="7C9E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747FB9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627FE0A">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35A4143">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6A1CC33">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BD59E2B">
            <w:pPr>
              <w:spacing w:line="360" w:lineRule="auto"/>
              <w:rPr>
                <w:rFonts w:hint="eastAsia" w:ascii="宋体" w:hAnsi="宋体" w:eastAsia="宋体" w:cs="宋体"/>
                <w:color w:val="auto"/>
                <w:sz w:val="24"/>
                <w:highlight w:val="none"/>
              </w:rPr>
            </w:pPr>
          </w:p>
        </w:tc>
      </w:tr>
      <w:tr w14:paraId="18D0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21A9B0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4DA08A2">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CFCBEA4">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45B0E1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B627031">
            <w:pPr>
              <w:spacing w:line="360" w:lineRule="auto"/>
              <w:rPr>
                <w:rFonts w:hint="eastAsia" w:ascii="宋体" w:hAnsi="宋体" w:eastAsia="宋体" w:cs="宋体"/>
                <w:color w:val="auto"/>
                <w:sz w:val="24"/>
                <w:highlight w:val="none"/>
              </w:rPr>
            </w:pPr>
          </w:p>
        </w:tc>
      </w:tr>
      <w:tr w14:paraId="4C4F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F45E7DD">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E5D39FC">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C254774">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967E684">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77DB186">
            <w:pPr>
              <w:spacing w:line="360" w:lineRule="auto"/>
              <w:rPr>
                <w:rFonts w:hint="eastAsia" w:ascii="宋体" w:hAnsi="宋体" w:eastAsia="宋体" w:cs="宋体"/>
                <w:color w:val="auto"/>
                <w:sz w:val="24"/>
                <w:highlight w:val="none"/>
              </w:rPr>
            </w:pPr>
          </w:p>
        </w:tc>
      </w:tr>
      <w:tr w14:paraId="2719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9BF5F5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FDC14C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A80CBB8">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7C48256">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2CED3F0">
            <w:pPr>
              <w:spacing w:line="360" w:lineRule="auto"/>
              <w:rPr>
                <w:rFonts w:hint="eastAsia" w:ascii="宋体" w:hAnsi="宋体" w:eastAsia="宋体" w:cs="宋体"/>
                <w:color w:val="auto"/>
                <w:sz w:val="24"/>
                <w:highlight w:val="none"/>
              </w:rPr>
            </w:pPr>
          </w:p>
        </w:tc>
      </w:tr>
      <w:tr w14:paraId="18C3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AD29D9F">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34F896E">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25A2380">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8D88B3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7ECB0B3">
            <w:pPr>
              <w:spacing w:line="360" w:lineRule="auto"/>
              <w:rPr>
                <w:rFonts w:hint="eastAsia" w:ascii="宋体" w:hAnsi="宋体" w:eastAsia="宋体" w:cs="宋体"/>
                <w:color w:val="auto"/>
                <w:sz w:val="24"/>
                <w:highlight w:val="none"/>
              </w:rPr>
            </w:pPr>
          </w:p>
        </w:tc>
      </w:tr>
      <w:tr w14:paraId="5D29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AFDE576">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623A7D8">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55B8666">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546A87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ABC7A63">
            <w:pPr>
              <w:spacing w:line="360" w:lineRule="auto"/>
              <w:rPr>
                <w:rFonts w:hint="eastAsia" w:ascii="宋体" w:hAnsi="宋体" w:eastAsia="宋体" w:cs="宋体"/>
                <w:color w:val="auto"/>
                <w:sz w:val="24"/>
                <w:highlight w:val="none"/>
              </w:rPr>
            </w:pPr>
          </w:p>
        </w:tc>
      </w:tr>
      <w:tr w14:paraId="3647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FAB8CD9">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E0B3A4B">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316C779">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65442B8">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0665807">
            <w:pPr>
              <w:spacing w:line="360" w:lineRule="auto"/>
              <w:rPr>
                <w:rFonts w:hint="eastAsia" w:ascii="宋体" w:hAnsi="宋体" w:eastAsia="宋体" w:cs="宋体"/>
                <w:color w:val="auto"/>
                <w:sz w:val="24"/>
                <w:highlight w:val="none"/>
              </w:rPr>
            </w:pPr>
          </w:p>
        </w:tc>
      </w:tr>
      <w:tr w14:paraId="05A2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72D241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12ED2B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430230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F4ED2F6">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051DE2B">
            <w:pPr>
              <w:spacing w:line="360" w:lineRule="auto"/>
              <w:rPr>
                <w:rFonts w:hint="eastAsia" w:ascii="宋体" w:hAnsi="宋体" w:eastAsia="宋体" w:cs="宋体"/>
                <w:color w:val="auto"/>
                <w:sz w:val="24"/>
                <w:highlight w:val="none"/>
              </w:rPr>
            </w:pPr>
          </w:p>
        </w:tc>
      </w:tr>
      <w:tr w14:paraId="2984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260980AD">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B60EFAE">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BD68D20">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53D88F7">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6CDD6D1">
            <w:pPr>
              <w:spacing w:line="360" w:lineRule="auto"/>
              <w:rPr>
                <w:rFonts w:hint="eastAsia" w:ascii="宋体" w:hAnsi="宋体" w:eastAsia="宋体" w:cs="宋体"/>
                <w:color w:val="auto"/>
                <w:sz w:val="24"/>
                <w:highlight w:val="none"/>
              </w:rPr>
            </w:pPr>
          </w:p>
        </w:tc>
      </w:tr>
      <w:tr w14:paraId="4702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2359461">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F83683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312EE7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F4331B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EB29667">
            <w:pPr>
              <w:spacing w:line="360" w:lineRule="auto"/>
              <w:rPr>
                <w:rFonts w:hint="eastAsia" w:ascii="宋体" w:hAnsi="宋体" w:eastAsia="宋体" w:cs="宋体"/>
                <w:color w:val="auto"/>
                <w:sz w:val="24"/>
                <w:highlight w:val="none"/>
              </w:rPr>
            </w:pPr>
          </w:p>
        </w:tc>
      </w:tr>
      <w:tr w14:paraId="5831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F400A89">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7E89A62">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CF9F1BB">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27569FA">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093832D">
            <w:pPr>
              <w:spacing w:line="360" w:lineRule="auto"/>
              <w:rPr>
                <w:rFonts w:hint="eastAsia" w:ascii="宋体" w:hAnsi="宋体" w:eastAsia="宋体" w:cs="宋体"/>
                <w:color w:val="auto"/>
                <w:sz w:val="24"/>
                <w:highlight w:val="none"/>
              </w:rPr>
            </w:pPr>
          </w:p>
        </w:tc>
      </w:tr>
      <w:tr w14:paraId="3ECD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770CDED">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A9BAE8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B4CAA6C">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9662483">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E245862">
            <w:pPr>
              <w:spacing w:line="360" w:lineRule="auto"/>
              <w:rPr>
                <w:rFonts w:hint="eastAsia" w:ascii="宋体" w:hAnsi="宋体" w:eastAsia="宋体" w:cs="宋体"/>
                <w:color w:val="auto"/>
                <w:sz w:val="24"/>
                <w:highlight w:val="none"/>
              </w:rPr>
            </w:pPr>
          </w:p>
        </w:tc>
      </w:tr>
      <w:tr w14:paraId="121B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FADBFE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5028CC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8EE34A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2D876EE">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F9F70F5">
            <w:pPr>
              <w:spacing w:line="360" w:lineRule="auto"/>
              <w:rPr>
                <w:rFonts w:hint="eastAsia" w:ascii="宋体" w:hAnsi="宋体" w:eastAsia="宋体" w:cs="宋体"/>
                <w:color w:val="auto"/>
                <w:sz w:val="24"/>
                <w:highlight w:val="none"/>
              </w:rPr>
            </w:pPr>
          </w:p>
        </w:tc>
      </w:tr>
    </w:tbl>
    <w:p w14:paraId="425E6DF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5019A3C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73EDA469">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3D694E5B">
      <w:pPr>
        <w:spacing w:line="360" w:lineRule="auto"/>
        <w:rPr>
          <w:rFonts w:hint="eastAsia" w:ascii="宋体" w:hAnsi="宋体" w:cs="宋体"/>
          <w:color w:val="auto"/>
          <w:sz w:val="24"/>
          <w:highlight w:val="none"/>
        </w:rPr>
      </w:pPr>
    </w:p>
    <w:p w14:paraId="0013BC12">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备注：1.投标方应仔细对第三章招标货物清单及项目要求进行逐条分析，对于投标内容与招标文件内容有不一致的条款，则须在上表中列明并详细填写。</w:t>
      </w:r>
    </w:p>
    <w:p w14:paraId="12F29721">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2.如招标文件内容与投标文件内容都一致的，则本表可以在相关的签字、盖章后，不需要填写其他内容或在“偏离情况详细说明”栏内只填写一个无字。</w:t>
      </w:r>
    </w:p>
    <w:p w14:paraId="4D9100EF">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3.此表在不改变表式内容的情况下可自行制作</w:t>
      </w:r>
    </w:p>
    <w:p w14:paraId="360174EE">
      <w:pPr>
        <w:pStyle w:val="17"/>
        <w:spacing w:line="360" w:lineRule="auto"/>
        <w:jc w:val="right"/>
        <w:rPr>
          <w:rFonts w:hint="eastAsia" w:hAnsi="宋体"/>
          <w:b/>
          <w:color w:val="auto"/>
          <w:sz w:val="24"/>
          <w:highlight w:val="none"/>
        </w:rPr>
      </w:pPr>
    </w:p>
    <w:p w14:paraId="6C7C039B">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开标一览表</w:t>
      </w:r>
    </w:p>
    <w:p w14:paraId="22EF31B9">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03AC592A">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投标人名称（电子签章）：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FE44059">
      <w:pPr>
        <w:spacing w:line="48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招标编号：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38"/>
        <w:tblpPr w:leftFromText="180" w:rightFromText="180" w:vertAnchor="text" w:horzAnchor="page" w:tblpX="1665" w:tblpY="604"/>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29"/>
        <w:gridCol w:w="213"/>
        <w:gridCol w:w="1577"/>
        <w:gridCol w:w="1745"/>
        <w:gridCol w:w="1661"/>
        <w:gridCol w:w="1640"/>
      </w:tblGrid>
      <w:tr w14:paraId="72B6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99" w:type="dxa"/>
            <w:noWrap w:val="0"/>
            <w:vAlign w:val="center"/>
          </w:tcPr>
          <w:p w14:paraId="7949342D">
            <w:pPr>
              <w:spacing w:line="48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042" w:type="dxa"/>
            <w:gridSpan w:val="2"/>
            <w:noWrap w:val="0"/>
            <w:vAlign w:val="center"/>
          </w:tcPr>
          <w:p w14:paraId="32717E9A">
            <w:pPr>
              <w:spacing w:line="48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名称</w:t>
            </w:r>
          </w:p>
        </w:tc>
        <w:tc>
          <w:tcPr>
            <w:tcW w:w="1577" w:type="dxa"/>
            <w:noWrap w:val="0"/>
            <w:vAlign w:val="center"/>
          </w:tcPr>
          <w:p w14:paraId="33327937">
            <w:pPr>
              <w:spacing w:line="480" w:lineRule="exact"/>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数量</w:t>
            </w:r>
          </w:p>
        </w:tc>
        <w:tc>
          <w:tcPr>
            <w:tcW w:w="1745" w:type="dxa"/>
            <w:noWrap w:val="0"/>
            <w:vAlign w:val="center"/>
          </w:tcPr>
          <w:p w14:paraId="56B85B9B">
            <w:pPr>
              <w:spacing w:line="48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单价（元）</w:t>
            </w:r>
          </w:p>
        </w:tc>
        <w:tc>
          <w:tcPr>
            <w:tcW w:w="1661" w:type="dxa"/>
            <w:noWrap w:val="0"/>
            <w:vAlign w:val="center"/>
          </w:tcPr>
          <w:p w14:paraId="0C90AEE9">
            <w:pPr>
              <w:spacing w:line="48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总价（元）</w:t>
            </w:r>
          </w:p>
        </w:tc>
        <w:tc>
          <w:tcPr>
            <w:tcW w:w="1640" w:type="dxa"/>
            <w:noWrap w:val="0"/>
            <w:vAlign w:val="center"/>
          </w:tcPr>
          <w:p w14:paraId="32A08355">
            <w:pPr>
              <w:spacing w:line="48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1563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99" w:type="dxa"/>
            <w:noWrap w:val="0"/>
            <w:vAlign w:val="center"/>
          </w:tcPr>
          <w:p w14:paraId="6F7B7AA3">
            <w:pPr>
              <w:spacing w:line="48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2042" w:type="dxa"/>
            <w:gridSpan w:val="2"/>
            <w:noWrap w:val="0"/>
            <w:vAlign w:val="center"/>
          </w:tcPr>
          <w:p w14:paraId="04D1528E">
            <w:pPr>
              <w:jc w:val="center"/>
              <w:rPr>
                <w:rFonts w:hint="eastAsia" w:ascii="宋体" w:hAnsi="宋体" w:cs="宋体"/>
                <w:color w:val="auto"/>
                <w:szCs w:val="21"/>
                <w:highlight w:val="none"/>
              </w:rPr>
            </w:pPr>
          </w:p>
        </w:tc>
        <w:tc>
          <w:tcPr>
            <w:tcW w:w="1577" w:type="dxa"/>
            <w:noWrap w:val="0"/>
            <w:vAlign w:val="center"/>
          </w:tcPr>
          <w:p w14:paraId="3CADD4C0">
            <w:pPr>
              <w:jc w:val="center"/>
              <w:rPr>
                <w:rFonts w:hint="eastAsia" w:ascii="宋体" w:hAnsi="宋体" w:cs="宋体"/>
                <w:color w:val="auto"/>
                <w:szCs w:val="21"/>
                <w:highlight w:val="none"/>
              </w:rPr>
            </w:pPr>
          </w:p>
        </w:tc>
        <w:tc>
          <w:tcPr>
            <w:tcW w:w="1745" w:type="dxa"/>
            <w:noWrap w:val="0"/>
            <w:vAlign w:val="center"/>
          </w:tcPr>
          <w:p w14:paraId="46A92D4C">
            <w:pPr>
              <w:spacing w:line="480" w:lineRule="exact"/>
              <w:jc w:val="center"/>
              <w:rPr>
                <w:rFonts w:hint="eastAsia" w:ascii="宋体" w:hAnsi="宋体" w:cs="宋体"/>
                <w:color w:val="auto"/>
                <w:szCs w:val="21"/>
                <w:highlight w:val="none"/>
              </w:rPr>
            </w:pPr>
          </w:p>
        </w:tc>
        <w:tc>
          <w:tcPr>
            <w:tcW w:w="1661" w:type="dxa"/>
            <w:noWrap w:val="0"/>
            <w:vAlign w:val="center"/>
          </w:tcPr>
          <w:p w14:paraId="263B388F">
            <w:pPr>
              <w:spacing w:line="480" w:lineRule="exact"/>
              <w:jc w:val="center"/>
              <w:rPr>
                <w:rFonts w:hint="eastAsia" w:ascii="宋体" w:hAnsi="宋体" w:cs="宋体"/>
                <w:color w:val="auto"/>
                <w:szCs w:val="21"/>
                <w:highlight w:val="none"/>
              </w:rPr>
            </w:pPr>
          </w:p>
        </w:tc>
        <w:tc>
          <w:tcPr>
            <w:tcW w:w="1640" w:type="dxa"/>
            <w:noWrap w:val="0"/>
            <w:vAlign w:val="center"/>
          </w:tcPr>
          <w:p w14:paraId="445F8531">
            <w:pPr>
              <w:spacing w:line="480" w:lineRule="exact"/>
              <w:jc w:val="center"/>
              <w:rPr>
                <w:rFonts w:hint="eastAsia" w:ascii="宋体" w:hAnsi="宋体" w:cs="宋体"/>
                <w:color w:val="auto"/>
                <w:szCs w:val="21"/>
                <w:highlight w:val="none"/>
              </w:rPr>
            </w:pPr>
          </w:p>
        </w:tc>
      </w:tr>
      <w:tr w14:paraId="584F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99" w:type="dxa"/>
            <w:noWrap w:val="0"/>
            <w:vAlign w:val="center"/>
          </w:tcPr>
          <w:p w14:paraId="781327AA">
            <w:pPr>
              <w:spacing w:line="48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042" w:type="dxa"/>
            <w:gridSpan w:val="2"/>
            <w:noWrap w:val="0"/>
            <w:vAlign w:val="center"/>
          </w:tcPr>
          <w:p w14:paraId="21DC6CC4">
            <w:pPr>
              <w:jc w:val="center"/>
              <w:rPr>
                <w:rFonts w:hint="eastAsia" w:ascii="宋体" w:hAnsi="宋体" w:cs="宋体"/>
                <w:color w:val="auto"/>
                <w:szCs w:val="21"/>
                <w:highlight w:val="none"/>
              </w:rPr>
            </w:pPr>
          </w:p>
        </w:tc>
        <w:tc>
          <w:tcPr>
            <w:tcW w:w="1577" w:type="dxa"/>
            <w:noWrap w:val="0"/>
            <w:vAlign w:val="center"/>
          </w:tcPr>
          <w:p w14:paraId="3DB1A408">
            <w:pPr>
              <w:jc w:val="center"/>
              <w:rPr>
                <w:rFonts w:hint="eastAsia" w:ascii="宋体" w:hAnsi="宋体" w:cs="宋体"/>
                <w:color w:val="auto"/>
                <w:szCs w:val="21"/>
                <w:highlight w:val="none"/>
              </w:rPr>
            </w:pPr>
          </w:p>
        </w:tc>
        <w:tc>
          <w:tcPr>
            <w:tcW w:w="1745" w:type="dxa"/>
            <w:noWrap w:val="0"/>
            <w:vAlign w:val="center"/>
          </w:tcPr>
          <w:p w14:paraId="3788BBCE">
            <w:pPr>
              <w:spacing w:line="480" w:lineRule="exact"/>
              <w:jc w:val="center"/>
              <w:rPr>
                <w:rFonts w:hint="eastAsia" w:ascii="宋体" w:hAnsi="宋体" w:cs="宋体"/>
                <w:color w:val="auto"/>
                <w:szCs w:val="21"/>
                <w:highlight w:val="none"/>
              </w:rPr>
            </w:pPr>
          </w:p>
        </w:tc>
        <w:tc>
          <w:tcPr>
            <w:tcW w:w="1661" w:type="dxa"/>
            <w:noWrap w:val="0"/>
            <w:vAlign w:val="center"/>
          </w:tcPr>
          <w:p w14:paraId="3056A21E">
            <w:pPr>
              <w:spacing w:line="480" w:lineRule="exact"/>
              <w:jc w:val="center"/>
              <w:rPr>
                <w:rFonts w:hint="eastAsia" w:ascii="宋体" w:hAnsi="宋体" w:cs="宋体"/>
                <w:color w:val="auto"/>
                <w:szCs w:val="21"/>
                <w:highlight w:val="none"/>
              </w:rPr>
            </w:pPr>
          </w:p>
        </w:tc>
        <w:tc>
          <w:tcPr>
            <w:tcW w:w="1640" w:type="dxa"/>
            <w:noWrap w:val="0"/>
            <w:vAlign w:val="center"/>
          </w:tcPr>
          <w:p w14:paraId="2383BA8E">
            <w:pPr>
              <w:spacing w:line="480" w:lineRule="exact"/>
              <w:jc w:val="center"/>
              <w:rPr>
                <w:rFonts w:hint="eastAsia" w:ascii="宋体" w:hAnsi="宋体" w:cs="宋体"/>
                <w:color w:val="auto"/>
                <w:szCs w:val="21"/>
                <w:highlight w:val="none"/>
              </w:rPr>
            </w:pPr>
          </w:p>
        </w:tc>
      </w:tr>
      <w:tr w14:paraId="2012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99" w:type="dxa"/>
            <w:noWrap w:val="0"/>
            <w:vAlign w:val="center"/>
          </w:tcPr>
          <w:p w14:paraId="528846F9">
            <w:pPr>
              <w:spacing w:line="48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2042" w:type="dxa"/>
            <w:gridSpan w:val="2"/>
            <w:noWrap w:val="0"/>
            <w:vAlign w:val="center"/>
          </w:tcPr>
          <w:p w14:paraId="42D48EEF">
            <w:pPr>
              <w:jc w:val="center"/>
              <w:rPr>
                <w:rFonts w:hint="eastAsia" w:ascii="宋体" w:hAnsi="宋体" w:cs="宋体"/>
                <w:color w:val="auto"/>
                <w:szCs w:val="21"/>
                <w:highlight w:val="none"/>
              </w:rPr>
            </w:pPr>
          </w:p>
        </w:tc>
        <w:tc>
          <w:tcPr>
            <w:tcW w:w="1577" w:type="dxa"/>
            <w:noWrap w:val="0"/>
            <w:vAlign w:val="center"/>
          </w:tcPr>
          <w:p w14:paraId="109F872A">
            <w:pPr>
              <w:jc w:val="center"/>
              <w:rPr>
                <w:rFonts w:hint="eastAsia" w:ascii="宋体" w:hAnsi="宋体" w:cs="宋体"/>
                <w:color w:val="auto"/>
                <w:szCs w:val="21"/>
                <w:highlight w:val="none"/>
              </w:rPr>
            </w:pPr>
          </w:p>
        </w:tc>
        <w:tc>
          <w:tcPr>
            <w:tcW w:w="1745" w:type="dxa"/>
            <w:noWrap w:val="0"/>
            <w:vAlign w:val="center"/>
          </w:tcPr>
          <w:p w14:paraId="25DF597A">
            <w:pPr>
              <w:spacing w:line="480" w:lineRule="exact"/>
              <w:jc w:val="center"/>
              <w:rPr>
                <w:rFonts w:hint="eastAsia" w:ascii="宋体" w:hAnsi="宋体" w:cs="宋体"/>
                <w:color w:val="auto"/>
                <w:szCs w:val="21"/>
                <w:highlight w:val="none"/>
              </w:rPr>
            </w:pPr>
          </w:p>
        </w:tc>
        <w:tc>
          <w:tcPr>
            <w:tcW w:w="1661" w:type="dxa"/>
            <w:noWrap w:val="0"/>
            <w:vAlign w:val="center"/>
          </w:tcPr>
          <w:p w14:paraId="1D4AA0EC">
            <w:pPr>
              <w:spacing w:line="480" w:lineRule="exact"/>
              <w:jc w:val="center"/>
              <w:rPr>
                <w:rFonts w:hint="eastAsia" w:ascii="宋体" w:hAnsi="宋体" w:cs="宋体"/>
                <w:color w:val="auto"/>
                <w:szCs w:val="21"/>
                <w:highlight w:val="none"/>
              </w:rPr>
            </w:pPr>
          </w:p>
        </w:tc>
        <w:tc>
          <w:tcPr>
            <w:tcW w:w="1640" w:type="dxa"/>
            <w:noWrap w:val="0"/>
            <w:vAlign w:val="center"/>
          </w:tcPr>
          <w:p w14:paraId="39F91BDC">
            <w:pPr>
              <w:spacing w:line="480" w:lineRule="exact"/>
              <w:jc w:val="center"/>
              <w:rPr>
                <w:rFonts w:hint="eastAsia" w:ascii="宋体" w:hAnsi="宋体" w:cs="宋体"/>
                <w:color w:val="auto"/>
                <w:szCs w:val="21"/>
                <w:highlight w:val="none"/>
              </w:rPr>
            </w:pPr>
          </w:p>
        </w:tc>
      </w:tr>
      <w:tr w14:paraId="11E5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trPr>
        <w:tc>
          <w:tcPr>
            <w:tcW w:w="799" w:type="dxa"/>
            <w:noWrap w:val="0"/>
            <w:vAlign w:val="top"/>
          </w:tcPr>
          <w:p w14:paraId="3DFC6767">
            <w:pPr>
              <w:spacing w:line="480" w:lineRule="exact"/>
              <w:jc w:val="center"/>
              <w:rPr>
                <w:rFonts w:hint="eastAsia" w:ascii="宋体" w:hAnsi="宋体" w:cs="宋体"/>
                <w:color w:val="auto"/>
                <w:szCs w:val="21"/>
                <w:highlight w:val="none"/>
              </w:rPr>
            </w:pPr>
          </w:p>
          <w:p w14:paraId="0C821BDE">
            <w:pPr>
              <w:spacing w:line="48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829" w:type="dxa"/>
            <w:noWrap w:val="0"/>
            <w:vAlign w:val="top"/>
          </w:tcPr>
          <w:p w14:paraId="693FE2B6">
            <w:pPr>
              <w:spacing w:line="480" w:lineRule="exact"/>
              <w:jc w:val="center"/>
              <w:rPr>
                <w:rFonts w:hint="eastAsia" w:ascii="宋体" w:hAnsi="宋体" w:cs="宋体"/>
                <w:color w:val="auto"/>
                <w:szCs w:val="21"/>
                <w:highlight w:val="none"/>
              </w:rPr>
            </w:pPr>
          </w:p>
          <w:p w14:paraId="528F6D39">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6836" w:type="dxa"/>
            <w:gridSpan w:val="5"/>
            <w:noWrap w:val="0"/>
            <w:vAlign w:val="center"/>
          </w:tcPr>
          <w:p w14:paraId="53C93651">
            <w:pPr>
              <w:spacing w:line="480" w:lineRule="exact"/>
              <w:rPr>
                <w:rFonts w:hint="eastAsia"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p w14:paraId="22DB4C19">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bl>
    <w:p w14:paraId="5BE02105">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全权代表签字：                   </w:t>
      </w:r>
    </w:p>
    <w:p w14:paraId="483D0A23">
      <w:pP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日 期：           </w:t>
      </w:r>
    </w:p>
    <w:p w14:paraId="2F8AEB6A">
      <w:pPr>
        <w:rPr>
          <w:rFonts w:hint="eastAsia" w:ascii="宋体" w:hAnsi="宋体"/>
          <w:color w:val="auto"/>
          <w:szCs w:val="21"/>
          <w:highlight w:val="none"/>
        </w:rPr>
      </w:pPr>
      <w:r>
        <w:rPr>
          <w:rFonts w:hint="eastAsia" w:ascii="宋体" w:hAnsi="宋体"/>
          <w:color w:val="auto"/>
          <w:szCs w:val="21"/>
          <w:highlight w:val="none"/>
        </w:rPr>
        <w:t>备注：</w:t>
      </w:r>
    </w:p>
    <w:p w14:paraId="6B5F3B40">
      <w:pPr>
        <w:rPr>
          <w:rFonts w:hint="eastAsia" w:ascii="宋体" w:hAnsi="宋体"/>
          <w:color w:val="auto"/>
          <w:szCs w:val="21"/>
          <w:highlight w:val="none"/>
        </w:rPr>
      </w:pPr>
      <w:r>
        <w:rPr>
          <w:rFonts w:hint="eastAsia" w:ascii="宋体" w:hAnsi="宋体"/>
          <w:color w:val="auto"/>
          <w:szCs w:val="21"/>
          <w:highlight w:val="none"/>
        </w:rPr>
        <w:t>1.投标人应根据国家的有关规定和实际情况并结合企业的实际情况进行投标报价。投标报价为投标人所能承受的最低、最终一次性报价。</w:t>
      </w:r>
    </w:p>
    <w:p w14:paraId="70AA8520">
      <w:pPr>
        <w:rPr>
          <w:rFonts w:hint="eastAsia" w:ascii="宋体" w:hAnsi="宋体"/>
          <w:color w:val="auto"/>
          <w:szCs w:val="21"/>
          <w:highlight w:val="none"/>
        </w:rPr>
      </w:pPr>
      <w:r>
        <w:rPr>
          <w:rFonts w:hint="eastAsia" w:ascii="宋体" w:hAnsi="宋体"/>
          <w:color w:val="auto"/>
          <w:szCs w:val="21"/>
          <w:highlight w:val="none"/>
        </w:rPr>
        <w:t>2.此表在不改变表式内容的情况下，可自行制作</w:t>
      </w:r>
    </w:p>
    <w:p w14:paraId="2AC8945A">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质 疑 函 范 本（供参考）</w:t>
      </w:r>
    </w:p>
    <w:p w14:paraId="72767558">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77DC3DBB">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363BAD7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3EF49C06">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24297082">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7663AE58">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62829AF2">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0909D68C">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32F3C3F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7F637EF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质疑项目的编号：包号（如有请填写）：</w:t>
      </w:r>
    </w:p>
    <w:p w14:paraId="16D0DF08">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采购人名称：</w:t>
      </w:r>
    </w:p>
    <w:p w14:paraId="595EEF9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采购文件获取日期：</w:t>
      </w:r>
    </w:p>
    <w:p w14:paraId="03415308">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3761ACBF">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2CF05284">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05EB4B7F">
      <w:pPr>
        <w:adjustRightInd w:val="0"/>
        <w:snapToGrid w:val="0"/>
        <w:spacing w:line="360" w:lineRule="auto"/>
        <w:rPr>
          <w:rFonts w:ascii="宋体" w:hAnsi="宋体" w:cs="宋体"/>
          <w:color w:val="auto"/>
          <w:highlight w:val="none"/>
        </w:rPr>
      </w:pPr>
    </w:p>
    <w:p w14:paraId="0D50AD15">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284BBB52">
      <w:pPr>
        <w:adjustRightInd w:val="0"/>
        <w:snapToGrid w:val="0"/>
        <w:spacing w:line="360" w:lineRule="auto"/>
        <w:rPr>
          <w:rFonts w:ascii="宋体" w:hAnsi="宋体" w:cs="宋体"/>
          <w:color w:val="auto"/>
          <w:highlight w:val="none"/>
          <w:u w:val="dotted"/>
        </w:rPr>
      </w:pPr>
    </w:p>
    <w:p w14:paraId="703E339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26753A74">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4B7B1A5C">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23AE40A3">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41D3CB01">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447221EF">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3BED1C7D">
      <w:pPr>
        <w:spacing w:line="360" w:lineRule="auto"/>
        <w:rPr>
          <w:rFonts w:ascii="宋体" w:hAnsi="宋体" w:cs="宋体"/>
          <w:color w:val="auto"/>
          <w:highlight w:val="none"/>
        </w:rPr>
      </w:pPr>
    </w:p>
    <w:p w14:paraId="4ADA6EDA">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66A9873D">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4E98C6DF">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7F6F238B">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73CCE237">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1822923C">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2511040C">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4CC25D65">
      <w:pPr>
        <w:pStyle w:val="58"/>
        <w:rPr>
          <w:color w:val="auto"/>
          <w:highlight w:val="none"/>
        </w:rPr>
      </w:pPr>
    </w:p>
    <w:p w14:paraId="09544DF7">
      <w:pPr>
        <w:pStyle w:val="17"/>
        <w:spacing w:line="460" w:lineRule="exact"/>
        <w:rPr>
          <w:rFonts w:cs="Times New Roman"/>
          <w:color w:val="auto"/>
          <w:highlight w:val="none"/>
        </w:rPr>
      </w:pPr>
    </w:p>
    <w:p w14:paraId="064C2817">
      <w:pPr>
        <w:rPr>
          <w:color w:val="auto"/>
          <w:highlight w:val="none"/>
        </w:rPr>
      </w:pPr>
    </w:p>
    <w:p w14:paraId="7CA2C398">
      <w:pPr>
        <w:rPr>
          <w:color w:val="auto"/>
          <w:highlight w:val="none"/>
        </w:rPr>
      </w:pPr>
    </w:p>
    <w:p w14:paraId="6FDB71EA">
      <w:pPr>
        <w:pStyle w:val="2"/>
        <w:rPr>
          <w:color w:val="auto"/>
          <w:highlight w:val="none"/>
        </w:rPr>
      </w:pPr>
    </w:p>
    <w:p w14:paraId="4CDBF649">
      <w:pPr>
        <w:rPr>
          <w:color w:val="auto"/>
          <w:highlight w:val="none"/>
        </w:rPr>
      </w:pPr>
    </w:p>
    <w:p w14:paraId="7F6F2893">
      <w:pPr>
        <w:jc w:val="center"/>
        <w:rPr>
          <w:rFonts w:hint="eastAsia" w:ascii="宋体" w:hAnsi="宋体"/>
          <w:b/>
          <w:color w:val="auto"/>
          <w:sz w:val="36"/>
          <w:szCs w:val="36"/>
          <w:highlight w:val="none"/>
        </w:rPr>
      </w:pPr>
    </w:p>
    <w:p w14:paraId="525F4D03">
      <w:pPr>
        <w:jc w:val="center"/>
        <w:rPr>
          <w:rFonts w:hint="eastAsia" w:ascii="宋体" w:hAnsi="宋体"/>
          <w:b/>
          <w:color w:val="auto"/>
          <w:sz w:val="36"/>
          <w:szCs w:val="36"/>
          <w:highlight w:val="none"/>
        </w:rPr>
      </w:pPr>
    </w:p>
    <w:p w14:paraId="7487C015">
      <w:pPr>
        <w:jc w:val="center"/>
        <w:rPr>
          <w:rFonts w:hint="eastAsia" w:ascii="宋体" w:hAnsi="宋体"/>
          <w:b/>
          <w:color w:val="auto"/>
          <w:sz w:val="36"/>
          <w:szCs w:val="36"/>
          <w:highlight w:val="none"/>
        </w:rPr>
      </w:pPr>
    </w:p>
    <w:p w14:paraId="09F2C890">
      <w:pPr>
        <w:jc w:val="center"/>
        <w:rPr>
          <w:rFonts w:hint="eastAsia" w:ascii="宋体" w:hAnsi="宋体"/>
          <w:b/>
          <w:color w:val="auto"/>
          <w:sz w:val="36"/>
          <w:szCs w:val="36"/>
          <w:highlight w:val="none"/>
        </w:rPr>
      </w:pPr>
    </w:p>
    <w:p w14:paraId="79AED659">
      <w:pPr>
        <w:jc w:val="center"/>
        <w:rPr>
          <w:rFonts w:hint="eastAsia" w:ascii="宋体" w:hAnsi="宋体"/>
          <w:b/>
          <w:color w:val="auto"/>
          <w:sz w:val="36"/>
          <w:szCs w:val="36"/>
          <w:highlight w:val="none"/>
        </w:rPr>
      </w:pPr>
    </w:p>
    <w:p w14:paraId="2A9EC84D">
      <w:pPr>
        <w:jc w:val="center"/>
        <w:rPr>
          <w:rFonts w:hint="eastAsia" w:ascii="宋体" w:hAnsi="宋体"/>
          <w:b/>
          <w:color w:val="auto"/>
          <w:sz w:val="36"/>
          <w:szCs w:val="36"/>
          <w:highlight w:val="none"/>
        </w:rPr>
      </w:pPr>
    </w:p>
    <w:p w14:paraId="769ADDB8">
      <w:pPr>
        <w:jc w:val="center"/>
        <w:rPr>
          <w:rFonts w:hint="eastAsia" w:ascii="宋体" w:hAnsi="宋体"/>
          <w:b/>
          <w:color w:val="auto"/>
          <w:sz w:val="36"/>
          <w:szCs w:val="36"/>
          <w:highlight w:val="none"/>
        </w:rPr>
      </w:pPr>
    </w:p>
    <w:p w14:paraId="087BE417">
      <w:pPr>
        <w:jc w:val="center"/>
        <w:rPr>
          <w:rFonts w:hint="eastAsia" w:ascii="宋体" w:hAnsi="宋体"/>
          <w:b/>
          <w:color w:val="auto"/>
          <w:sz w:val="36"/>
          <w:szCs w:val="36"/>
          <w:highlight w:val="none"/>
        </w:rPr>
      </w:pPr>
    </w:p>
    <w:p w14:paraId="1F614CFC">
      <w:pPr>
        <w:jc w:val="center"/>
        <w:rPr>
          <w:rFonts w:hint="eastAsia" w:ascii="宋体" w:hAnsi="宋体"/>
          <w:b/>
          <w:color w:val="auto"/>
          <w:sz w:val="36"/>
          <w:szCs w:val="36"/>
          <w:highlight w:val="none"/>
        </w:rPr>
      </w:pPr>
    </w:p>
    <w:p w14:paraId="6BC76574">
      <w:pPr>
        <w:jc w:val="center"/>
        <w:rPr>
          <w:rFonts w:hint="eastAsia" w:ascii="宋体" w:hAnsi="宋体"/>
          <w:b/>
          <w:color w:val="auto"/>
          <w:sz w:val="36"/>
          <w:szCs w:val="36"/>
          <w:highlight w:val="none"/>
        </w:rPr>
      </w:pPr>
    </w:p>
    <w:p w14:paraId="792A5BC8">
      <w:pPr>
        <w:rPr>
          <w:color w:val="auto"/>
          <w:highlight w:val="none"/>
        </w:rPr>
      </w:pPr>
    </w:p>
    <w:p w14:paraId="5A90EFE4">
      <w:pPr>
        <w:rPr>
          <w:color w:val="auto"/>
          <w:highlight w:val="none"/>
        </w:rPr>
      </w:pPr>
    </w:p>
    <w:p w14:paraId="2C47FEF3">
      <w:pPr>
        <w:rPr>
          <w:color w:val="auto"/>
          <w:highlight w:val="none"/>
        </w:rPr>
      </w:pPr>
    </w:p>
    <w:p w14:paraId="308D5B6B">
      <w:pPr>
        <w:spacing w:line="460" w:lineRule="exact"/>
        <w:ind w:firstLine="420" w:firstLineChars="200"/>
        <w:rPr>
          <w:rFonts w:ascii="宋体" w:cs="宋体"/>
          <w:color w:val="auto"/>
          <w:szCs w:val="21"/>
          <w:highlight w:val="none"/>
        </w:rPr>
      </w:pPr>
    </w:p>
    <w:bookmarkEnd w:id="78"/>
    <w:bookmarkEnd w:id="79"/>
    <w:bookmarkEnd w:id="80"/>
    <w:bookmarkEnd w:id="81"/>
    <w:bookmarkEnd w:id="82"/>
    <w:bookmarkEnd w:id="83"/>
    <w:p w14:paraId="2309C20D">
      <w:pPr>
        <w:spacing w:line="460" w:lineRule="exact"/>
        <w:ind w:firstLine="480" w:firstLineChars="200"/>
        <w:rPr>
          <w:rFonts w:hint="eastAsia" w:ascii="宋体" w:hAnsi="Courier New"/>
          <w:color w:val="auto"/>
          <w:kern w:val="0"/>
          <w:sz w:val="24"/>
          <w:highlight w:val="none"/>
        </w:rPr>
      </w:pPr>
    </w:p>
    <w:p w14:paraId="1A7FB07C">
      <w:pPr>
        <w:spacing w:line="460" w:lineRule="exact"/>
        <w:ind w:firstLine="480" w:firstLineChars="200"/>
        <w:rPr>
          <w:rFonts w:hint="eastAsia" w:ascii="宋体" w:hAnsi="Courier New"/>
          <w:color w:val="auto"/>
          <w:kern w:val="0"/>
          <w:sz w:val="24"/>
          <w:highlight w:val="none"/>
        </w:rPr>
      </w:pPr>
    </w:p>
    <w:p w14:paraId="31BF944E">
      <w:pPr>
        <w:rPr>
          <w:color w:val="auto"/>
          <w:highlight w:val="none"/>
        </w:rPr>
      </w:pPr>
    </w:p>
    <w:sectPr>
      <w:footerReference r:id="rId6" w:type="first"/>
      <w:headerReference r:id="rId4" w:type="default"/>
      <w:footerReference r:id="rId5" w:type="default"/>
      <w:pgSz w:w="11906" w:h="16838"/>
      <w:pgMar w:top="1246" w:right="1134"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System">
    <w:altName w:val="宋体"/>
    <w:panose1 w:val="00000000000000000000"/>
    <w:charset w:val="86"/>
    <w:family w:val="auto"/>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CC59">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8D5D24">
                          <w:pPr>
                            <w:pStyle w:val="2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F8D5D24">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E24C7">
    <w:pPr>
      <w:pStyle w:val="21"/>
      <w:tabs>
        <w:tab w:val="center" w:pos="4153"/>
        <w:tab w:val="right" w:pos="8306"/>
        <w:tab w:val="clear" w:pos="4140"/>
        <w:tab w:val="clear" w:pos="8300"/>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A6238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9A6238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189B">
    <w:pPr>
      <w:pStyle w:val="21"/>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352E0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7352E0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4C97">
    <w:pPr>
      <w:pStyle w:val="22"/>
      <w:tabs>
        <w:tab w:val="center" w:pos="4153"/>
        <w:tab w:val="right" w:pos="8306"/>
        <w:tab w:val="clear" w:pos="4140"/>
        <w:tab w:val="clear" w:pos="8300"/>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4"/>
    <w:multiLevelType w:val="multilevel"/>
    <w:tmpl w:val="00000004"/>
    <w:lvl w:ilvl="0" w:tentative="0">
      <w:start w:val="4"/>
      <w:numFmt w:val="japaneseCounting"/>
      <w:pStyle w:val="13"/>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OGI5M2UwZmZjMGEyOGM0ZTUxODA3ZWMyN2VhZDUifQ=="/>
  </w:docVars>
  <w:rsids>
    <w:rsidRoot w:val="00172A27"/>
    <w:rsid w:val="00003500"/>
    <w:rsid w:val="000036B1"/>
    <w:rsid w:val="00004783"/>
    <w:rsid w:val="00004B2C"/>
    <w:rsid w:val="000105BB"/>
    <w:rsid w:val="0001067D"/>
    <w:rsid w:val="00011392"/>
    <w:rsid w:val="000165B9"/>
    <w:rsid w:val="00023741"/>
    <w:rsid w:val="00032B60"/>
    <w:rsid w:val="00036E93"/>
    <w:rsid w:val="000372EE"/>
    <w:rsid w:val="000443E6"/>
    <w:rsid w:val="00044457"/>
    <w:rsid w:val="00046CA0"/>
    <w:rsid w:val="00050C0D"/>
    <w:rsid w:val="000510D3"/>
    <w:rsid w:val="00052B22"/>
    <w:rsid w:val="00053E69"/>
    <w:rsid w:val="00062DFF"/>
    <w:rsid w:val="00065DC9"/>
    <w:rsid w:val="000732A8"/>
    <w:rsid w:val="000739BD"/>
    <w:rsid w:val="00074F6D"/>
    <w:rsid w:val="0007677A"/>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A04"/>
    <w:rsid w:val="00207FA5"/>
    <w:rsid w:val="00210A6A"/>
    <w:rsid w:val="002126B6"/>
    <w:rsid w:val="0022119E"/>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975AC"/>
    <w:rsid w:val="003A29A8"/>
    <w:rsid w:val="003A4F61"/>
    <w:rsid w:val="003A60E3"/>
    <w:rsid w:val="003A66D8"/>
    <w:rsid w:val="003B0C4D"/>
    <w:rsid w:val="003B17C5"/>
    <w:rsid w:val="003B2756"/>
    <w:rsid w:val="003B4C34"/>
    <w:rsid w:val="003C507D"/>
    <w:rsid w:val="003E5C69"/>
    <w:rsid w:val="003E7A34"/>
    <w:rsid w:val="003F1805"/>
    <w:rsid w:val="003F2839"/>
    <w:rsid w:val="003F4135"/>
    <w:rsid w:val="00401846"/>
    <w:rsid w:val="00406C51"/>
    <w:rsid w:val="004130D9"/>
    <w:rsid w:val="00414FB6"/>
    <w:rsid w:val="00415BE9"/>
    <w:rsid w:val="00420EF7"/>
    <w:rsid w:val="00421B0B"/>
    <w:rsid w:val="00425CA6"/>
    <w:rsid w:val="004332F0"/>
    <w:rsid w:val="00442184"/>
    <w:rsid w:val="00445E8D"/>
    <w:rsid w:val="004564D9"/>
    <w:rsid w:val="004616F6"/>
    <w:rsid w:val="004662A4"/>
    <w:rsid w:val="00466F20"/>
    <w:rsid w:val="0047153A"/>
    <w:rsid w:val="004859BA"/>
    <w:rsid w:val="0049073F"/>
    <w:rsid w:val="00491EB5"/>
    <w:rsid w:val="004956BD"/>
    <w:rsid w:val="0049743E"/>
    <w:rsid w:val="004A08F1"/>
    <w:rsid w:val="004B2597"/>
    <w:rsid w:val="004B4041"/>
    <w:rsid w:val="004B50AE"/>
    <w:rsid w:val="004C0102"/>
    <w:rsid w:val="004C0719"/>
    <w:rsid w:val="004C5012"/>
    <w:rsid w:val="004C5840"/>
    <w:rsid w:val="004C7FC4"/>
    <w:rsid w:val="004D0A67"/>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0710"/>
    <w:rsid w:val="005D2825"/>
    <w:rsid w:val="005E3DF9"/>
    <w:rsid w:val="005E5939"/>
    <w:rsid w:val="005F08BB"/>
    <w:rsid w:val="005F0AA4"/>
    <w:rsid w:val="005F1305"/>
    <w:rsid w:val="005F2B9B"/>
    <w:rsid w:val="005F6309"/>
    <w:rsid w:val="005F6F1C"/>
    <w:rsid w:val="005F6FCD"/>
    <w:rsid w:val="00601E3A"/>
    <w:rsid w:val="00607381"/>
    <w:rsid w:val="006073EC"/>
    <w:rsid w:val="00617A7A"/>
    <w:rsid w:val="00620DA7"/>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6D04"/>
    <w:rsid w:val="00701CC3"/>
    <w:rsid w:val="00702224"/>
    <w:rsid w:val="00705C5C"/>
    <w:rsid w:val="00705DCF"/>
    <w:rsid w:val="0071434C"/>
    <w:rsid w:val="00734AB5"/>
    <w:rsid w:val="007508BE"/>
    <w:rsid w:val="0075476C"/>
    <w:rsid w:val="00755970"/>
    <w:rsid w:val="00757273"/>
    <w:rsid w:val="007605DB"/>
    <w:rsid w:val="0076594B"/>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9BC"/>
    <w:rsid w:val="00922C0F"/>
    <w:rsid w:val="00923BAF"/>
    <w:rsid w:val="00925F01"/>
    <w:rsid w:val="00926ECF"/>
    <w:rsid w:val="009271CE"/>
    <w:rsid w:val="0093095F"/>
    <w:rsid w:val="00930DDB"/>
    <w:rsid w:val="00930ED8"/>
    <w:rsid w:val="009374BB"/>
    <w:rsid w:val="009423DF"/>
    <w:rsid w:val="00942AA5"/>
    <w:rsid w:val="00943142"/>
    <w:rsid w:val="00945F1C"/>
    <w:rsid w:val="00946762"/>
    <w:rsid w:val="009468A8"/>
    <w:rsid w:val="009518DA"/>
    <w:rsid w:val="00957249"/>
    <w:rsid w:val="009630C0"/>
    <w:rsid w:val="00963B13"/>
    <w:rsid w:val="0097198F"/>
    <w:rsid w:val="00972E46"/>
    <w:rsid w:val="0097351D"/>
    <w:rsid w:val="00982EBE"/>
    <w:rsid w:val="00985500"/>
    <w:rsid w:val="009864F8"/>
    <w:rsid w:val="0099233F"/>
    <w:rsid w:val="00996FCC"/>
    <w:rsid w:val="009A2F84"/>
    <w:rsid w:val="009A4505"/>
    <w:rsid w:val="009A4831"/>
    <w:rsid w:val="009A5CBC"/>
    <w:rsid w:val="009B49B9"/>
    <w:rsid w:val="009B6E0A"/>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6323"/>
    <w:rsid w:val="00A37C17"/>
    <w:rsid w:val="00A37E78"/>
    <w:rsid w:val="00A40385"/>
    <w:rsid w:val="00A524B5"/>
    <w:rsid w:val="00A5279B"/>
    <w:rsid w:val="00A5366F"/>
    <w:rsid w:val="00A561E3"/>
    <w:rsid w:val="00A573DF"/>
    <w:rsid w:val="00A60DF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745F4"/>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383C"/>
    <w:rsid w:val="00C138B5"/>
    <w:rsid w:val="00C1421C"/>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023DC"/>
    <w:rsid w:val="00D105A1"/>
    <w:rsid w:val="00D17B46"/>
    <w:rsid w:val="00D21774"/>
    <w:rsid w:val="00D23A8A"/>
    <w:rsid w:val="00D25923"/>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4778B"/>
    <w:rsid w:val="00E64388"/>
    <w:rsid w:val="00E724CF"/>
    <w:rsid w:val="00E75FDF"/>
    <w:rsid w:val="00E9157D"/>
    <w:rsid w:val="00E97661"/>
    <w:rsid w:val="00EA06CD"/>
    <w:rsid w:val="00EA5C81"/>
    <w:rsid w:val="00EB3DE7"/>
    <w:rsid w:val="00EB7BC9"/>
    <w:rsid w:val="00EC171D"/>
    <w:rsid w:val="00EC6F04"/>
    <w:rsid w:val="00ED016E"/>
    <w:rsid w:val="00ED3D4D"/>
    <w:rsid w:val="00ED4275"/>
    <w:rsid w:val="00ED5161"/>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3089E"/>
    <w:rsid w:val="00F41B56"/>
    <w:rsid w:val="00F436A4"/>
    <w:rsid w:val="00F50EEF"/>
    <w:rsid w:val="00F52A5C"/>
    <w:rsid w:val="00F5713F"/>
    <w:rsid w:val="00F577B8"/>
    <w:rsid w:val="00F62035"/>
    <w:rsid w:val="00F662C9"/>
    <w:rsid w:val="00F6665B"/>
    <w:rsid w:val="00F703F8"/>
    <w:rsid w:val="00F71311"/>
    <w:rsid w:val="00F71A56"/>
    <w:rsid w:val="00F72360"/>
    <w:rsid w:val="00F73D61"/>
    <w:rsid w:val="00F766FF"/>
    <w:rsid w:val="00F77F37"/>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1050F22"/>
    <w:rsid w:val="014A4B87"/>
    <w:rsid w:val="0224362A"/>
    <w:rsid w:val="02565064"/>
    <w:rsid w:val="029307AF"/>
    <w:rsid w:val="02C77EC2"/>
    <w:rsid w:val="02CB7559"/>
    <w:rsid w:val="036068E4"/>
    <w:rsid w:val="049F51EA"/>
    <w:rsid w:val="04F05330"/>
    <w:rsid w:val="05487799"/>
    <w:rsid w:val="055A7363"/>
    <w:rsid w:val="05755D10"/>
    <w:rsid w:val="058A7C48"/>
    <w:rsid w:val="05A35726"/>
    <w:rsid w:val="05FE4192"/>
    <w:rsid w:val="05FE5C3A"/>
    <w:rsid w:val="060F6696"/>
    <w:rsid w:val="065F4B37"/>
    <w:rsid w:val="06622973"/>
    <w:rsid w:val="06C4362D"/>
    <w:rsid w:val="06D118A6"/>
    <w:rsid w:val="073D7647"/>
    <w:rsid w:val="07862691"/>
    <w:rsid w:val="07B45450"/>
    <w:rsid w:val="07FE7AC6"/>
    <w:rsid w:val="08002443"/>
    <w:rsid w:val="08135DD7"/>
    <w:rsid w:val="085C6899"/>
    <w:rsid w:val="08E104C7"/>
    <w:rsid w:val="096207EF"/>
    <w:rsid w:val="09AC346D"/>
    <w:rsid w:val="09DC6B50"/>
    <w:rsid w:val="09EF1AE6"/>
    <w:rsid w:val="0A283FD4"/>
    <w:rsid w:val="0A287A2F"/>
    <w:rsid w:val="0BBE4954"/>
    <w:rsid w:val="0BD7170D"/>
    <w:rsid w:val="0C19141A"/>
    <w:rsid w:val="0C937D2A"/>
    <w:rsid w:val="0C945850"/>
    <w:rsid w:val="0D35493D"/>
    <w:rsid w:val="0D847E39"/>
    <w:rsid w:val="0DDE75AF"/>
    <w:rsid w:val="0DEB4982"/>
    <w:rsid w:val="0E177DB4"/>
    <w:rsid w:val="0E3A7EF6"/>
    <w:rsid w:val="0E7771D7"/>
    <w:rsid w:val="0ECE329B"/>
    <w:rsid w:val="0F0E19B1"/>
    <w:rsid w:val="0F756041"/>
    <w:rsid w:val="0F984E8D"/>
    <w:rsid w:val="0FAE6C29"/>
    <w:rsid w:val="0FE268D2"/>
    <w:rsid w:val="0FF02D9D"/>
    <w:rsid w:val="0FF76461"/>
    <w:rsid w:val="1042042E"/>
    <w:rsid w:val="10C0356C"/>
    <w:rsid w:val="10C466DE"/>
    <w:rsid w:val="10E5667A"/>
    <w:rsid w:val="111F3869"/>
    <w:rsid w:val="11712707"/>
    <w:rsid w:val="117C68F9"/>
    <w:rsid w:val="11A02710"/>
    <w:rsid w:val="11CC0E41"/>
    <w:rsid w:val="11DE03FE"/>
    <w:rsid w:val="11DE5F31"/>
    <w:rsid w:val="12375B71"/>
    <w:rsid w:val="12855BBF"/>
    <w:rsid w:val="12E50B75"/>
    <w:rsid w:val="130A4538"/>
    <w:rsid w:val="130D1EB8"/>
    <w:rsid w:val="13301948"/>
    <w:rsid w:val="134E57BA"/>
    <w:rsid w:val="135E44C2"/>
    <w:rsid w:val="13826402"/>
    <w:rsid w:val="13CD0840"/>
    <w:rsid w:val="13CE1647"/>
    <w:rsid w:val="13F90EA8"/>
    <w:rsid w:val="14B22D17"/>
    <w:rsid w:val="15215E1A"/>
    <w:rsid w:val="154C755A"/>
    <w:rsid w:val="15590B5F"/>
    <w:rsid w:val="157955E3"/>
    <w:rsid w:val="158721E5"/>
    <w:rsid w:val="16CA3CE6"/>
    <w:rsid w:val="1772485E"/>
    <w:rsid w:val="177D4EC7"/>
    <w:rsid w:val="17986848"/>
    <w:rsid w:val="17B03764"/>
    <w:rsid w:val="17F536DC"/>
    <w:rsid w:val="18185587"/>
    <w:rsid w:val="187B0A12"/>
    <w:rsid w:val="18B359C5"/>
    <w:rsid w:val="18E637D6"/>
    <w:rsid w:val="18FC0A05"/>
    <w:rsid w:val="19551E2D"/>
    <w:rsid w:val="19D5497B"/>
    <w:rsid w:val="1A7A6B6A"/>
    <w:rsid w:val="1B06199E"/>
    <w:rsid w:val="1B7075AD"/>
    <w:rsid w:val="1B860A99"/>
    <w:rsid w:val="1C1F4874"/>
    <w:rsid w:val="1C3E3F31"/>
    <w:rsid w:val="1C532879"/>
    <w:rsid w:val="1C676ADD"/>
    <w:rsid w:val="1D1D0F4A"/>
    <w:rsid w:val="1D230C56"/>
    <w:rsid w:val="1D554B87"/>
    <w:rsid w:val="1DEA52D0"/>
    <w:rsid w:val="1DF95513"/>
    <w:rsid w:val="1E960FB4"/>
    <w:rsid w:val="1EBD608F"/>
    <w:rsid w:val="1F0F41F0"/>
    <w:rsid w:val="1F5A1EB7"/>
    <w:rsid w:val="1F5F3A9B"/>
    <w:rsid w:val="1F7233D5"/>
    <w:rsid w:val="200D34F7"/>
    <w:rsid w:val="20F06820"/>
    <w:rsid w:val="2131530E"/>
    <w:rsid w:val="2216237D"/>
    <w:rsid w:val="22431452"/>
    <w:rsid w:val="22853819"/>
    <w:rsid w:val="22DB78DD"/>
    <w:rsid w:val="22ED4B08"/>
    <w:rsid w:val="233C481F"/>
    <w:rsid w:val="248046D8"/>
    <w:rsid w:val="24BD16AB"/>
    <w:rsid w:val="24D32F62"/>
    <w:rsid w:val="24E11174"/>
    <w:rsid w:val="255816B9"/>
    <w:rsid w:val="26240F85"/>
    <w:rsid w:val="26325A66"/>
    <w:rsid w:val="27785933"/>
    <w:rsid w:val="277924A6"/>
    <w:rsid w:val="27BD3F01"/>
    <w:rsid w:val="28235FAE"/>
    <w:rsid w:val="283E5914"/>
    <w:rsid w:val="28672083"/>
    <w:rsid w:val="28B906C0"/>
    <w:rsid w:val="28C9682E"/>
    <w:rsid w:val="28D42E04"/>
    <w:rsid w:val="28D870B1"/>
    <w:rsid w:val="28ED3EC6"/>
    <w:rsid w:val="29A45E3F"/>
    <w:rsid w:val="29D46E34"/>
    <w:rsid w:val="29F54CD2"/>
    <w:rsid w:val="2A04596B"/>
    <w:rsid w:val="2A0D15E4"/>
    <w:rsid w:val="2AEF03C9"/>
    <w:rsid w:val="2B1C4262"/>
    <w:rsid w:val="2B746468"/>
    <w:rsid w:val="2B99032D"/>
    <w:rsid w:val="2BA32F62"/>
    <w:rsid w:val="2BCA5C66"/>
    <w:rsid w:val="2BD4136D"/>
    <w:rsid w:val="2BD63337"/>
    <w:rsid w:val="2C424529"/>
    <w:rsid w:val="2C6D0CF3"/>
    <w:rsid w:val="2C923702"/>
    <w:rsid w:val="2CB35427"/>
    <w:rsid w:val="2CC36D92"/>
    <w:rsid w:val="2CF63CCC"/>
    <w:rsid w:val="2D0422A3"/>
    <w:rsid w:val="2D090620"/>
    <w:rsid w:val="2D412A32"/>
    <w:rsid w:val="2D8F00A7"/>
    <w:rsid w:val="2DB31B82"/>
    <w:rsid w:val="2DD13DB6"/>
    <w:rsid w:val="2DFF6B75"/>
    <w:rsid w:val="2E0B376C"/>
    <w:rsid w:val="2E2D0A6B"/>
    <w:rsid w:val="2E5D564A"/>
    <w:rsid w:val="2E78505A"/>
    <w:rsid w:val="2EA96AE1"/>
    <w:rsid w:val="2EAA54CD"/>
    <w:rsid w:val="2ED32D39"/>
    <w:rsid w:val="2EFC3AB9"/>
    <w:rsid w:val="2F4D69A6"/>
    <w:rsid w:val="2F5268C1"/>
    <w:rsid w:val="30F73331"/>
    <w:rsid w:val="31232B7B"/>
    <w:rsid w:val="31655E3B"/>
    <w:rsid w:val="31853836"/>
    <w:rsid w:val="318A49A8"/>
    <w:rsid w:val="3192385D"/>
    <w:rsid w:val="31D208D9"/>
    <w:rsid w:val="31D64091"/>
    <w:rsid w:val="31F24CE6"/>
    <w:rsid w:val="32096215"/>
    <w:rsid w:val="32292413"/>
    <w:rsid w:val="32326DEE"/>
    <w:rsid w:val="323527E8"/>
    <w:rsid w:val="32382656"/>
    <w:rsid w:val="325E7BE3"/>
    <w:rsid w:val="32881945"/>
    <w:rsid w:val="32A50F33"/>
    <w:rsid w:val="33030382"/>
    <w:rsid w:val="33353039"/>
    <w:rsid w:val="33466FF4"/>
    <w:rsid w:val="335164FE"/>
    <w:rsid w:val="345762FD"/>
    <w:rsid w:val="34F265FD"/>
    <w:rsid w:val="352073D1"/>
    <w:rsid w:val="357E2A76"/>
    <w:rsid w:val="357F536F"/>
    <w:rsid w:val="35B05222"/>
    <w:rsid w:val="35B75BBE"/>
    <w:rsid w:val="35C83CF1"/>
    <w:rsid w:val="363926C2"/>
    <w:rsid w:val="3647730B"/>
    <w:rsid w:val="36D263C4"/>
    <w:rsid w:val="36D609F1"/>
    <w:rsid w:val="36FD5560"/>
    <w:rsid w:val="3702284F"/>
    <w:rsid w:val="37517D16"/>
    <w:rsid w:val="37D72DA0"/>
    <w:rsid w:val="37EE37B7"/>
    <w:rsid w:val="37F60FE9"/>
    <w:rsid w:val="382D0232"/>
    <w:rsid w:val="3860227C"/>
    <w:rsid w:val="38784230"/>
    <w:rsid w:val="387B504A"/>
    <w:rsid w:val="388859B9"/>
    <w:rsid w:val="38BC1624"/>
    <w:rsid w:val="39643D30"/>
    <w:rsid w:val="3A274C17"/>
    <w:rsid w:val="3A5356E1"/>
    <w:rsid w:val="3A617662"/>
    <w:rsid w:val="3AA40859"/>
    <w:rsid w:val="3AB43149"/>
    <w:rsid w:val="3AD44EE6"/>
    <w:rsid w:val="3BC1546A"/>
    <w:rsid w:val="3BC72C24"/>
    <w:rsid w:val="3C9C67FA"/>
    <w:rsid w:val="3D073351"/>
    <w:rsid w:val="3D2C2B7F"/>
    <w:rsid w:val="3E674220"/>
    <w:rsid w:val="3E8502AB"/>
    <w:rsid w:val="3F555260"/>
    <w:rsid w:val="3F5C5A01"/>
    <w:rsid w:val="3FBB0422"/>
    <w:rsid w:val="3FE518BE"/>
    <w:rsid w:val="40642868"/>
    <w:rsid w:val="40C95C12"/>
    <w:rsid w:val="412A1D04"/>
    <w:rsid w:val="41AA4BF2"/>
    <w:rsid w:val="41F93484"/>
    <w:rsid w:val="42044303"/>
    <w:rsid w:val="42E934F8"/>
    <w:rsid w:val="43664B49"/>
    <w:rsid w:val="442137A7"/>
    <w:rsid w:val="44BA339E"/>
    <w:rsid w:val="44D22FEB"/>
    <w:rsid w:val="44DB12E8"/>
    <w:rsid w:val="452D591E"/>
    <w:rsid w:val="45EF49AA"/>
    <w:rsid w:val="47024B89"/>
    <w:rsid w:val="4714323A"/>
    <w:rsid w:val="476A7BB3"/>
    <w:rsid w:val="48502504"/>
    <w:rsid w:val="4851401A"/>
    <w:rsid w:val="48A85B47"/>
    <w:rsid w:val="48B81D2D"/>
    <w:rsid w:val="48B9571B"/>
    <w:rsid w:val="48E649B1"/>
    <w:rsid w:val="496935E7"/>
    <w:rsid w:val="49D4280C"/>
    <w:rsid w:val="4A74435E"/>
    <w:rsid w:val="4B133808"/>
    <w:rsid w:val="4BA426B2"/>
    <w:rsid w:val="4C6F4AF2"/>
    <w:rsid w:val="4CEB0640"/>
    <w:rsid w:val="4CFA7D7E"/>
    <w:rsid w:val="4D114108"/>
    <w:rsid w:val="4D203020"/>
    <w:rsid w:val="4D260EFB"/>
    <w:rsid w:val="4D5B25F7"/>
    <w:rsid w:val="4D775534"/>
    <w:rsid w:val="4D875DE8"/>
    <w:rsid w:val="4DA900E3"/>
    <w:rsid w:val="4EBA13D7"/>
    <w:rsid w:val="4EFC1636"/>
    <w:rsid w:val="4F0C47F7"/>
    <w:rsid w:val="4F126690"/>
    <w:rsid w:val="4F165675"/>
    <w:rsid w:val="4F231986"/>
    <w:rsid w:val="4F6C0DB8"/>
    <w:rsid w:val="4FA709C3"/>
    <w:rsid w:val="4FB87CE8"/>
    <w:rsid w:val="4FD765C5"/>
    <w:rsid w:val="4FDF7658"/>
    <w:rsid w:val="4FE37716"/>
    <w:rsid w:val="506B7C43"/>
    <w:rsid w:val="50974594"/>
    <w:rsid w:val="50B9275C"/>
    <w:rsid w:val="50E958B6"/>
    <w:rsid w:val="5119769F"/>
    <w:rsid w:val="514364CA"/>
    <w:rsid w:val="517D7C2E"/>
    <w:rsid w:val="518666E1"/>
    <w:rsid w:val="521F2A93"/>
    <w:rsid w:val="52952D55"/>
    <w:rsid w:val="52CA620E"/>
    <w:rsid w:val="530103EA"/>
    <w:rsid w:val="53306393"/>
    <w:rsid w:val="533662E6"/>
    <w:rsid w:val="53381D95"/>
    <w:rsid w:val="53A616BE"/>
    <w:rsid w:val="5407449D"/>
    <w:rsid w:val="5411465D"/>
    <w:rsid w:val="549758D6"/>
    <w:rsid w:val="5498646D"/>
    <w:rsid w:val="54AD4386"/>
    <w:rsid w:val="554950DA"/>
    <w:rsid w:val="55610682"/>
    <w:rsid w:val="5563713A"/>
    <w:rsid w:val="556829A3"/>
    <w:rsid w:val="556870AA"/>
    <w:rsid w:val="557430F6"/>
    <w:rsid w:val="55EC5382"/>
    <w:rsid w:val="562C39D0"/>
    <w:rsid w:val="56E9340F"/>
    <w:rsid w:val="56F67587"/>
    <w:rsid w:val="574D281E"/>
    <w:rsid w:val="5792138F"/>
    <w:rsid w:val="581942AD"/>
    <w:rsid w:val="58894E62"/>
    <w:rsid w:val="58B70EBC"/>
    <w:rsid w:val="58BA3146"/>
    <w:rsid w:val="58CD254E"/>
    <w:rsid w:val="58CE0D6F"/>
    <w:rsid w:val="58CF4005"/>
    <w:rsid w:val="58DC4843"/>
    <w:rsid w:val="58FC3B2E"/>
    <w:rsid w:val="594415A8"/>
    <w:rsid w:val="59961EAF"/>
    <w:rsid w:val="5A250E62"/>
    <w:rsid w:val="5A26728B"/>
    <w:rsid w:val="5A867B53"/>
    <w:rsid w:val="5AC3040C"/>
    <w:rsid w:val="5ADA1C4D"/>
    <w:rsid w:val="5B06072A"/>
    <w:rsid w:val="5B3550D5"/>
    <w:rsid w:val="5B427501"/>
    <w:rsid w:val="5B745BFD"/>
    <w:rsid w:val="5C0F7357"/>
    <w:rsid w:val="5C2370B6"/>
    <w:rsid w:val="5C2E0916"/>
    <w:rsid w:val="5C715907"/>
    <w:rsid w:val="5CDF3C0D"/>
    <w:rsid w:val="5D0631CD"/>
    <w:rsid w:val="5DBE305A"/>
    <w:rsid w:val="5DF2592E"/>
    <w:rsid w:val="5E094759"/>
    <w:rsid w:val="5E173D9B"/>
    <w:rsid w:val="5EBB452B"/>
    <w:rsid w:val="5EC7073A"/>
    <w:rsid w:val="5FF217E7"/>
    <w:rsid w:val="5FFE018B"/>
    <w:rsid w:val="606A4ECB"/>
    <w:rsid w:val="6099330B"/>
    <w:rsid w:val="60E07891"/>
    <w:rsid w:val="60E2209E"/>
    <w:rsid w:val="60E94998"/>
    <w:rsid w:val="610A47B8"/>
    <w:rsid w:val="61314591"/>
    <w:rsid w:val="614F54D2"/>
    <w:rsid w:val="6170647E"/>
    <w:rsid w:val="61750921"/>
    <w:rsid w:val="618B5A4F"/>
    <w:rsid w:val="624C1682"/>
    <w:rsid w:val="626E28A7"/>
    <w:rsid w:val="628543B1"/>
    <w:rsid w:val="635822A8"/>
    <w:rsid w:val="638C3549"/>
    <w:rsid w:val="63A92B04"/>
    <w:rsid w:val="63B379DE"/>
    <w:rsid w:val="63CF5B8B"/>
    <w:rsid w:val="64041AE8"/>
    <w:rsid w:val="64136A11"/>
    <w:rsid w:val="64195594"/>
    <w:rsid w:val="648B0FAA"/>
    <w:rsid w:val="64B96D77"/>
    <w:rsid w:val="65120EC6"/>
    <w:rsid w:val="653603C7"/>
    <w:rsid w:val="658C1FA6"/>
    <w:rsid w:val="65D44CCA"/>
    <w:rsid w:val="66D24F47"/>
    <w:rsid w:val="66FE2B29"/>
    <w:rsid w:val="671D5367"/>
    <w:rsid w:val="677925CA"/>
    <w:rsid w:val="67917B37"/>
    <w:rsid w:val="67B657F0"/>
    <w:rsid w:val="67C41CBB"/>
    <w:rsid w:val="67CA7195"/>
    <w:rsid w:val="684B23DC"/>
    <w:rsid w:val="689D1A3B"/>
    <w:rsid w:val="68B25FB7"/>
    <w:rsid w:val="68C9702B"/>
    <w:rsid w:val="69016300"/>
    <w:rsid w:val="698435F4"/>
    <w:rsid w:val="698E1A1B"/>
    <w:rsid w:val="698E2580"/>
    <w:rsid w:val="69901D8C"/>
    <w:rsid w:val="69982374"/>
    <w:rsid w:val="69E7596B"/>
    <w:rsid w:val="6A1A3E14"/>
    <w:rsid w:val="6A96200E"/>
    <w:rsid w:val="6B6932A5"/>
    <w:rsid w:val="6BA31E23"/>
    <w:rsid w:val="6BAE515B"/>
    <w:rsid w:val="6BC04E8F"/>
    <w:rsid w:val="6BFD0DAC"/>
    <w:rsid w:val="6C360CAD"/>
    <w:rsid w:val="6C4B0857"/>
    <w:rsid w:val="6CBD37F6"/>
    <w:rsid w:val="6DAD4F9F"/>
    <w:rsid w:val="6DD62748"/>
    <w:rsid w:val="6DD7112A"/>
    <w:rsid w:val="6E216668"/>
    <w:rsid w:val="6E2F6C77"/>
    <w:rsid w:val="6E6B7334"/>
    <w:rsid w:val="6E781A51"/>
    <w:rsid w:val="6EBA6930"/>
    <w:rsid w:val="6F103A37"/>
    <w:rsid w:val="6F423A6A"/>
    <w:rsid w:val="6F4417EA"/>
    <w:rsid w:val="6F460345"/>
    <w:rsid w:val="6F6D22A6"/>
    <w:rsid w:val="6FB26B0B"/>
    <w:rsid w:val="6FB865A9"/>
    <w:rsid w:val="6FD9207B"/>
    <w:rsid w:val="70231548"/>
    <w:rsid w:val="704735F8"/>
    <w:rsid w:val="70490BA1"/>
    <w:rsid w:val="704C669B"/>
    <w:rsid w:val="7063448F"/>
    <w:rsid w:val="707F2C23"/>
    <w:rsid w:val="70AE3508"/>
    <w:rsid w:val="70F25AEA"/>
    <w:rsid w:val="710F307D"/>
    <w:rsid w:val="71B76065"/>
    <w:rsid w:val="71C06754"/>
    <w:rsid w:val="72570A36"/>
    <w:rsid w:val="72646574"/>
    <w:rsid w:val="7271076B"/>
    <w:rsid w:val="728F3F55"/>
    <w:rsid w:val="72A44BC2"/>
    <w:rsid w:val="72CC236B"/>
    <w:rsid w:val="72DA6836"/>
    <w:rsid w:val="73533EAF"/>
    <w:rsid w:val="735A0995"/>
    <w:rsid w:val="7376394C"/>
    <w:rsid w:val="73993FFB"/>
    <w:rsid w:val="74212243"/>
    <w:rsid w:val="74A76BEC"/>
    <w:rsid w:val="75474E11"/>
    <w:rsid w:val="75556648"/>
    <w:rsid w:val="75865DEE"/>
    <w:rsid w:val="75A23325"/>
    <w:rsid w:val="75A8474E"/>
    <w:rsid w:val="75B3511C"/>
    <w:rsid w:val="764652E2"/>
    <w:rsid w:val="76E556A0"/>
    <w:rsid w:val="771C566F"/>
    <w:rsid w:val="775766A7"/>
    <w:rsid w:val="77B05DB7"/>
    <w:rsid w:val="77F35CA4"/>
    <w:rsid w:val="77F84F7A"/>
    <w:rsid w:val="7811525D"/>
    <w:rsid w:val="781A76D5"/>
    <w:rsid w:val="782D11B6"/>
    <w:rsid w:val="785D43B4"/>
    <w:rsid w:val="7883527A"/>
    <w:rsid w:val="789E4501"/>
    <w:rsid w:val="790243F1"/>
    <w:rsid w:val="793C2330"/>
    <w:rsid w:val="798C63B0"/>
    <w:rsid w:val="7A326409"/>
    <w:rsid w:val="7A684727"/>
    <w:rsid w:val="7A693667"/>
    <w:rsid w:val="7A6D1FE3"/>
    <w:rsid w:val="7A792DD8"/>
    <w:rsid w:val="7ADE01B6"/>
    <w:rsid w:val="7AED79AD"/>
    <w:rsid w:val="7B821819"/>
    <w:rsid w:val="7C1F350C"/>
    <w:rsid w:val="7C310E84"/>
    <w:rsid w:val="7C5E6574"/>
    <w:rsid w:val="7C776EA4"/>
    <w:rsid w:val="7CB263ED"/>
    <w:rsid w:val="7CB2717C"/>
    <w:rsid w:val="7CB35F23"/>
    <w:rsid w:val="7CBF1FF2"/>
    <w:rsid w:val="7CCC3693"/>
    <w:rsid w:val="7D1058BF"/>
    <w:rsid w:val="7D360B0D"/>
    <w:rsid w:val="7DA147E1"/>
    <w:rsid w:val="7DCF629C"/>
    <w:rsid w:val="7E4B05E8"/>
    <w:rsid w:val="7ED625A7"/>
    <w:rsid w:val="7F160BF6"/>
    <w:rsid w:val="7FA82B9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link w:val="48"/>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4">
    <w:name w:val="heading 3"/>
    <w:basedOn w:val="3"/>
    <w:next w:val="5"/>
    <w:link w:val="49"/>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sz w:val="32"/>
      <w:szCs w:val="32"/>
    </w:rPr>
  </w:style>
  <w:style w:type="paragraph" w:styleId="7">
    <w:name w:val="heading 4"/>
    <w:basedOn w:val="1"/>
    <w:next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8">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9">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10">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11">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2">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next w:val="6"/>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6">
    <w:name w:val="Body Text Indent"/>
    <w:basedOn w:val="1"/>
    <w:next w:val="5"/>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3">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4">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5">
    <w:name w:val="annotation text"/>
    <w:basedOn w:val="1"/>
    <w:qFormat/>
    <w:uiPriority w:val="0"/>
    <w:pPr>
      <w:jc w:val="left"/>
    </w:pPr>
    <w:rPr>
      <w:rFonts w:ascii="Times New Roman" w:hAnsi="Times New Roman" w:eastAsia="宋体" w:cs="Times New Roman"/>
    </w:rPr>
  </w:style>
  <w:style w:type="paragraph" w:styleId="16">
    <w:name w:val="Body Text"/>
    <w:basedOn w:val="1"/>
    <w:next w:val="1"/>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7">
    <w:name w:val="Plain Text"/>
    <w:basedOn w:val="1"/>
    <w:next w:val="1"/>
    <w:link w:val="50"/>
    <w:qFormat/>
    <w:uiPriority w:val="0"/>
    <w:rPr>
      <w:rFonts w:ascii="宋体" w:hAnsi="Courier New" w:eastAsia="宋体" w:cs="Courier New"/>
      <w:szCs w:val="21"/>
    </w:rPr>
  </w:style>
  <w:style w:type="paragraph" w:styleId="18">
    <w:name w:val="Date"/>
    <w:basedOn w:val="1"/>
    <w:next w:val="1"/>
    <w:qFormat/>
    <w:uiPriority w:val="0"/>
    <w:rPr>
      <w:rFonts w:ascii="Times New Roman" w:hAnsi="Times New Roman" w:eastAsia="宋体" w:cs="Times New Roman"/>
      <w:sz w:val="28"/>
      <w:szCs w:val="20"/>
    </w:rPr>
  </w:style>
  <w:style w:type="paragraph" w:styleId="19">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0">
    <w:name w:val="Balloon Text"/>
    <w:basedOn w:val="1"/>
    <w:qFormat/>
    <w:uiPriority w:val="0"/>
    <w:rPr>
      <w:rFonts w:ascii="Times New Roman" w:hAnsi="Times New Roman" w:eastAsia="宋体" w:cs="Times New Roman"/>
      <w:sz w:val="18"/>
      <w:szCs w:val="18"/>
    </w:rPr>
  </w:style>
  <w:style w:type="paragraph" w:styleId="21">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2">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3">
    <w:name w:val="toc 1"/>
    <w:basedOn w:val="1"/>
    <w:next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4">
    <w:name w:val="toc 4"/>
    <w:basedOn w:val="1"/>
    <w:next w:val="1"/>
    <w:qFormat/>
    <w:uiPriority w:val="0"/>
    <w:pPr>
      <w:ind w:left="1260"/>
    </w:pPr>
    <w:rPr>
      <w:rFonts w:ascii="Times New Roman" w:hAnsi="Times New Roman" w:eastAsia="宋体" w:cs="Times New Roman"/>
      <w:kern w:val="1"/>
    </w:rPr>
  </w:style>
  <w:style w:type="paragraph" w:styleId="25">
    <w:name w:val="footnote text"/>
    <w:basedOn w:val="1"/>
    <w:link w:val="51"/>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7">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28">
    <w:name w:val="toc 2"/>
    <w:basedOn w:val="1"/>
    <w:next w:val="1"/>
    <w:qFormat/>
    <w:uiPriority w:val="0"/>
    <w:pPr>
      <w:ind w:left="420" w:leftChars="200"/>
    </w:pPr>
    <w:rPr>
      <w:rFonts w:ascii="Times New Roman" w:hAnsi="Times New Roman" w:eastAsia="宋体" w:cs="Times New Roman"/>
    </w:rPr>
  </w:style>
  <w:style w:type="paragraph" w:styleId="29">
    <w:name w:val="toc 9"/>
    <w:basedOn w:val="1"/>
    <w:next w:val="1"/>
    <w:qFormat/>
    <w:uiPriority w:val="0"/>
    <w:pPr>
      <w:ind w:left="3360" w:leftChars="1600"/>
    </w:pPr>
    <w:rPr>
      <w:rFonts w:ascii="Calibri" w:hAnsi="Calibri" w:eastAsia="宋体" w:cs="Times New Roman"/>
    </w:rPr>
  </w:style>
  <w:style w:type="paragraph" w:styleId="30">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1">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2">
    <w:name w:val="index 1"/>
    <w:basedOn w:val="1"/>
    <w:next w:val="1"/>
    <w:qFormat/>
    <w:uiPriority w:val="0"/>
    <w:rPr>
      <w:rFonts w:ascii="Times New Roman" w:hAnsi="Times New Roman" w:eastAsia="宋体" w:cs="Times New Roman"/>
    </w:rPr>
  </w:style>
  <w:style w:type="paragraph" w:styleId="33">
    <w:name w:val="Title"/>
    <w:basedOn w:val="1"/>
    <w:next w:val="1"/>
    <w:link w:val="52"/>
    <w:qFormat/>
    <w:uiPriority w:val="0"/>
    <w:pPr>
      <w:spacing w:before="240" w:after="60"/>
      <w:jc w:val="center"/>
      <w:outlineLvl w:val="0"/>
    </w:pPr>
    <w:rPr>
      <w:rFonts w:ascii="等线 Light" w:hAnsi="等线 Light" w:cs="Times New Roman"/>
      <w:b/>
      <w:bCs/>
      <w:sz w:val="32"/>
      <w:szCs w:val="32"/>
    </w:rPr>
  </w:style>
  <w:style w:type="paragraph" w:styleId="34">
    <w:name w:val="annotation subject"/>
    <w:basedOn w:val="15"/>
    <w:next w:val="15"/>
    <w:qFormat/>
    <w:uiPriority w:val="0"/>
    <w:rPr>
      <w:rFonts w:ascii="Times New Roman" w:hAnsi="Times New Roman" w:eastAsia="宋体" w:cs="Times New Roman"/>
      <w:b/>
      <w:bCs/>
    </w:rPr>
  </w:style>
  <w:style w:type="paragraph" w:styleId="35">
    <w:name w:val="Body Text First Indent"/>
    <w:basedOn w:val="16"/>
    <w:next w:val="16"/>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36">
    <w:name w:val="Body Text First Indent 2"/>
    <w:basedOn w:val="6"/>
    <w:next w:val="37"/>
    <w:qFormat/>
    <w:uiPriority w:val="0"/>
    <w:pPr>
      <w:spacing w:after="120" w:line="240" w:lineRule="auto"/>
      <w:ind w:left="420" w:leftChars="200" w:firstLine="420"/>
    </w:pPr>
    <w:rPr>
      <w:rFonts w:ascii="Times New Roman" w:hAnsi="Times New Roman" w:eastAsia="宋体" w:cs="宋体"/>
      <w:sz w:val="21"/>
      <w:szCs w:val="21"/>
    </w:rPr>
  </w:style>
  <w:style w:type="paragraph" w:customStyle="1" w:styleId="3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qFormat/>
    <w:uiPriority w:val="0"/>
    <w:rPr>
      <w:rFonts w:ascii="Times New Roman" w:hAnsi="Times New Roman" w:eastAsia="宋体" w:cs="Times New Roman"/>
    </w:rPr>
  </w:style>
  <w:style w:type="character" w:styleId="42">
    <w:name w:val="FollowedHyperlink"/>
    <w:qFormat/>
    <w:uiPriority w:val="0"/>
    <w:rPr>
      <w:rFonts w:ascii="Times New Roman" w:hAnsi="Times New Roman" w:eastAsia="宋体" w:cs="Times New Roman"/>
      <w:color w:val="800080"/>
      <w:szCs w:val="20"/>
      <w:u w:val="single"/>
    </w:rPr>
  </w:style>
  <w:style w:type="character" w:styleId="43">
    <w:name w:val="Hyperlink"/>
    <w:qFormat/>
    <w:uiPriority w:val="0"/>
    <w:rPr>
      <w:rFonts w:ascii="Times New Roman" w:hAnsi="Times New Roman" w:eastAsia="宋体" w:cs="Times New Roman"/>
      <w:color w:val="0000FF"/>
      <w:sz w:val="21"/>
      <w:szCs w:val="20"/>
      <w:u w:val="single"/>
    </w:rPr>
  </w:style>
  <w:style w:type="character" w:styleId="44">
    <w:name w:val="annotation reference"/>
    <w:qFormat/>
    <w:uiPriority w:val="0"/>
    <w:rPr>
      <w:rFonts w:ascii="Times New Roman" w:hAnsi="Times New Roman" w:eastAsia="宋体" w:cs="Times New Roman"/>
      <w:sz w:val="21"/>
      <w:szCs w:val="21"/>
    </w:rPr>
  </w:style>
  <w:style w:type="character" w:styleId="45">
    <w:name w:val="footnote reference"/>
    <w:qFormat/>
    <w:uiPriority w:val="0"/>
    <w:rPr>
      <w:rFonts w:ascii="Times New Roman" w:hAnsi="Times New Roman" w:eastAsia="宋体" w:cs="Times New Roman"/>
      <w:vertAlign w:val="superscript"/>
    </w:rPr>
  </w:style>
  <w:style w:type="paragraph" w:customStyle="1" w:styleId="46">
    <w:name w:val="章正文"/>
    <w:basedOn w:val="1"/>
    <w:qFormat/>
    <w:uiPriority w:val="0"/>
    <w:pPr>
      <w:spacing w:beforeLines="50" w:after="120" w:line="300" w:lineRule="auto"/>
      <w:ind w:firstLine="480"/>
    </w:pPr>
    <w:rPr>
      <w:rFonts w:ascii="Helvetica" w:hAnsi="Helvetica" w:cs="Helvetica"/>
      <w:kern w:val="0"/>
    </w:rPr>
  </w:style>
  <w:style w:type="character" w:customStyle="1" w:styleId="47">
    <w:name w:val="标题 1 字符"/>
    <w:link w:val="2"/>
    <w:qFormat/>
    <w:uiPriority w:val="0"/>
    <w:rPr>
      <w:rFonts w:ascii="Times New Roman" w:hAnsi="Times New Roman" w:eastAsia="宋体" w:cs="Times New Roman"/>
      <w:b/>
      <w:bCs/>
      <w:kern w:val="44"/>
      <w:sz w:val="44"/>
      <w:szCs w:val="44"/>
      <w:lang w:val="en-US" w:eastAsia="zh-CN" w:bidi="ar-SA"/>
    </w:rPr>
  </w:style>
  <w:style w:type="character" w:customStyle="1" w:styleId="48">
    <w:name w:val="标题 2 字符"/>
    <w:link w:val="3"/>
    <w:qFormat/>
    <w:uiPriority w:val="0"/>
    <w:rPr>
      <w:rFonts w:ascii="Arial" w:hAnsi="Arial" w:eastAsia="黑体" w:cs="Arial"/>
      <w:b/>
      <w:bCs/>
      <w:kern w:val="2"/>
      <w:sz w:val="32"/>
      <w:szCs w:val="32"/>
      <w:lang w:val="en-US" w:eastAsia="zh-CN" w:bidi="ar-SA"/>
    </w:rPr>
  </w:style>
  <w:style w:type="character" w:customStyle="1" w:styleId="49">
    <w:name w:val="标题 3 字符"/>
    <w:link w:val="4"/>
    <w:qFormat/>
    <w:uiPriority w:val="0"/>
    <w:rPr>
      <w:rFonts w:ascii="Times New Roman" w:hAnsi="Times New Roman" w:eastAsia="宋体" w:cs="Times New Roman"/>
      <w:b/>
      <w:bCs/>
      <w:sz w:val="32"/>
      <w:szCs w:val="32"/>
    </w:rPr>
  </w:style>
  <w:style w:type="character" w:customStyle="1" w:styleId="50">
    <w:name w:val="纯文本 字符"/>
    <w:link w:val="17"/>
    <w:qFormat/>
    <w:uiPriority w:val="0"/>
    <w:rPr>
      <w:rFonts w:ascii="宋体" w:hAnsi="Courier New" w:eastAsia="宋体" w:cs="Courier New"/>
      <w:kern w:val="2"/>
      <w:sz w:val="21"/>
      <w:szCs w:val="21"/>
      <w:lang w:val="en-US" w:eastAsia="zh-CN" w:bidi="ar-SA"/>
    </w:rPr>
  </w:style>
  <w:style w:type="character" w:customStyle="1" w:styleId="51">
    <w:name w:val="脚注文本 字符"/>
    <w:link w:val="25"/>
    <w:qFormat/>
    <w:uiPriority w:val="0"/>
    <w:rPr>
      <w:rFonts w:ascii="Times New Roman" w:hAnsi="Times New Roman" w:eastAsia="宋体" w:cs="Times New Roman"/>
      <w:kern w:val="2"/>
      <w:sz w:val="18"/>
      <w:szCs w:val="18"/>
    </w:rPr>
  </w:style>
  <w:style w:type="character" w:customStyle="1" w:styleId="52">
    <w:name w:val="标题 字符"/>
    <w:link w:val="33"/>
    <w:qFormat/>
    <w:uiPriority w:val="0"/>
    <w:rPr>
      <w:rFonts w:ascii="等线 Light" w:hAnsi="等线 Light" w:eastAsia="宋体" w:cs="Times New Roman"/>
      <w:b/>
      <w:bCs/>
      <w:kern w:val="2"/>
      <w:sz w:val="32"/>
      <w:szCs w:val="32"/>
    </w:rPr>
  </w:style>
  <w:style w:type="paragraph" w:customStyle="1" w:styleId="53">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54">
    <w:name w:val="font11"/>
    <w:qFormat/>
    <w:uiPriority w:val="0"/>
    <w:rPr>
      <w:rFonts w:hint="eastAsia" w:ascii="宋体" w:hAnsi="宋体" w:eastAsia="宋体" w:cs="Times New Roman"/>
      <w:color w:val="FF0000"/>
      <w:sz w:val="28"/>
      <w:szCs w:val="28"/>
      <w:u w:val="none"/>
    </w:rPr>
  </w:style>
  <w:style w:type="character" w:customStyle="1" w:styleId="55">
    <w:name w:val="font31"/>
    <w:qFormat/>
    <w:uiPriority w:val="0"/>
    <w:rPr>
      <w:rFonts w:hint="eastAsia" w:ascii="宋体" w:hAnsi="宋体" w:eastAsia="宋体" w:cs="宋体"/>
      <w:color w:val="000000"/>
      <w:sz w:val="22"/>
      <w:szCs w:val="22"/>
      <w:u w:val="none"/>
    </w:rPr>
  </w:style>
  <w:style w:type="character" w:customStyle="1" w:styleId="56">
    <w:name w:val="font21"/>
    <w:qFormat/>
    <w:uiPriority w:val="0"/>
    <w:rPr>
      <w:rFonts w:hint="eastAsia" w:ascii="宋体" w:hAnsi="宋体" w:eastAsia="宋体" w:cs="宋体"/>
      <w:color w:val="000000"/>
      <w:sz w:val="21"/>
      <w:szCs w:val="21"/>
      <w:u w:val="none"/>
    </w:rPr>
  </w:style>
  <w:style w:type="character" w:customStyle="1" w:styleId="57">
    <w:name w:val="font01"/>
    <w:qFormat/>
    <w:uiPriority w:val="0"/>
    <w:rPr>
      <w:rFonts w:ascii="Verdana" w:hAnsi="Verdana" w:eastAsia="宋体" w:cs="Verdana"/>
      <w:color w:val="000000"/>
      <w:sz w:val="20"/>
      <w:szCs w:val="20"/>
      <w:u w:val="none"/>
    </w:rPr>
  </w:style>
  <w:style w:type="paragraph" w:customStyle="1" w:styleId="58">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59">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60">
    <w:name w:val="纯文本 Char1"/>
    <w:qFormat/>
    <w:uiPriority w:val="0"/>
    <w:rPr>
      <w:rFonts w:ascii="宋体" w:hAnsi="Courier New" w:eastAsia="宋体" w:cs="Courier New"/>
      <w:kern w:val="2"/>
      <w:sz w:val="21"/>
      <w:szCs w:val="21"/>
    </w:rPr>
  </w:style>
  <w:style w:type="character" w:customStyle="1" w:styleId="61">
    <w:name w:val="普通文字 Char Char2"/>
    <w:qFormat/>
    <w:uiPriority w:val="0"/>
    <w:rPr>
      <w:rFonts w:ascii="宋体" w:hAnsi="Courier New" w:eastAsia="宋体" w:cs="Courier New"/>
      <w:kern w:val="2"/>
      <w:sz w:val="21"/>
      <w:szCs w:val="21"/>
      <w:lang w:val="en-US" w:eastAsia="zh-CN" w:bidi="ar-SA"/>
    </w:rPr>
  </w:style>
  <w:style w:type="character" w:customStyle="1" w:styleId="62">
    <w:name w:val=" Char Char1"/>
    <w:qFormat/>
    <w:uiPriority w:val="0"/>
    <w:rPr>
      <w:rFonts w:ascii="宋体" w:hAnsi="Courier New" w:eastAsia="宋体" w:cs="Courier New"/>
      <w:kern w:val="2"/>
      <w:sz w:val="21"/>
      <w:szCs w:val="21"/>
      <w:lang w:val="en-US" w:eastAsia="zh-CN" w:bidi="ar-SA"/>
    </w:rPr>
  </w:style>
  <w:style w:type="paragraph" w:customStyle="1" w:styleId="63">
    <w:name w:val="Char"/>
    <w:basedOn w:val="1"/>
    <w:qFormat/>
    <w:uiPriority w:val="0"/>
    <w:rPr>
      <w:rFonts w:ascii="仿宋_GB2312" w:hAnsi="Times New Roman" w:eastAsia="仿宋_GB2312" w:cs="仿宋_GB2312"/>
      <w:b/>
      <w:bCs/>
      <w:sz w:val="32"/>
      <w:szCs w:val="32"/>
    </w:rPr>
  </w:style>
  <w:style w:type="paragraph" w:customStyle="1" w:styleId="64">
    <w:name w:val="标题1"/>
    <w:basedOn w:val="23"/>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65">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66">
    <w:name w:val=" Char Char Char2 Char Char Char"/>
    <w:basedOn w:val="1"/>
    <w:qFormat/>
    <w:uiPriority w:val="0"/>
    <w:rPr>
      <w:rFonts w:ascii="Times New Roman" w:hAnsi="Times New Roman" w:eastAsia="宋体" w:cs="Times New Roman"/>
    </w:rPr>
  </w:style>
  <w:style w:type="paragraph" w:customStyle="1" w:styleId="67">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68">
    <w:name w:val="正"/>
    <w:basedOn w:val="1"/>
    <w:qFormat/>
    <w:uiPriority w:val="0"/>
    <w:pPr>
      <w:ind w:firstLine="525"/>
    </w:pPr>
    <w:rPr>
      <w:rFonts w:ascii="Times New Roman" w:hAnsi="Times New Roman" w:eastAsia="宋体" w:cs="Times New Roman"/>
      <w:spacing w:val="20"/>
    </w:rPr>
  </w:style>
  <w:style w:type="paragraph" w:customStyle="1" w:styleId="69">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0">
    <w:name w:val="ÕÂ¡À¨ºÌâ"/>
    <w:basedOn w:val="69"/>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71">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2">
    <w:name w:val="表格"/>
    <w:basedOn w:val="1"/>
    <w:next w:val="5"/>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73">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74">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75">
    <w:name w:val=" Char3"/>
    <w:basedOn w:val="1"/>
    <w:qFormat/>
    <w:uiPriority w:val="0"/>
    <w:pPr>
      <w:tabs>
        <w:tab w:val="left" w:pos="360"/>
      </w:tabs>
    </w:pPr>
    <w:rPr>
      <w:rFonts w:ascii="Times New Roman" w:hAnsi="Times New Roman" w:eastAsia="宋体" w:cs="Times New Roman"/>
      <w:sz w:val="24"/>
    </w:rPr>
  </w:style>
  <w:style w:type="paragraph" w:styleId="76">
    <w:name w:val="List Paragraph"/>
    <w:basedOn w:val="1"/>
    <w:qFormat/>
    <w:uiPriority w:val="0"/>
    <w:pPr>
      <w:ind w:firstLine="420" w:firstLineChars="200"/>
    </w:pPr>
    <w:rPr>
      <w:rFonts w:ascii="Times New Roman" w:hAnsi="Times New Roman" w:eastAsia="宋体" w:cs="Times New Roman"/>
    </w:rPr>
  </w:style>
  <w:style w:type="paragraph" w:customStyle="1" w:styleId="77">
    <w:name w:val=" Char"/>
    <w:basedOn w:val="1"/>
    <w:qFormat/>
    <w:uiPriority w:val="0"/>
    <w:rPr>
      <w:rFonts w:ascii="Times New Roman" w:hAnsi="Times New Roman" w:eastAsia="宋体" w:cs="Times New Roman"/>
      <w:szCs w:val="20"/>
    </w:rPr>
  </w:style>
  <w:style w:type="paragraph" w:customStyle="1" w:styleId="78">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79">
    <w:name w:val=" Char Char Char"/>
    <w:basedOn w:val="1"/>
    <w:qFormat/>
    <w:uiPriority w:val="0"/>
    <w:rPr>
      <w:rFonts w:ascii="Tahoma" w:hAnsi="Tahoma" w:eastAsia="宋体" w:cs="Times New Roman"/>
      <w:sz w:val="24"/>
      <w:szCs w:val="20"/>
    </w:rPr>
  </w:style>
  <w:style w:type="paragraph" w:customStyle="1" w:styleId="80">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81">
    <w:name w:val="标书标题3"/>
    <w:basedOn w:val="4"/>
    <w:qFormat/>
    <w:uiPriority w:val="0"/>
    <w:pPr>
      <w:keepLines w:val="0"/>
      <w:widowControl/>
      <w:autoSpaceDE/>
      <w:autoSpaceDN/>
      <w:snapToGrid w:val="0"/>
      <w:spacing w:after="60" w:line="300" w:lineRule="auto"/>
      <w:jc w:val="left"/>
    </w:pPr>
    <w:rPr>
      <w:rFonts w:ascii="Arial Narrow" w:hAnsi="Arial Narrow" w:eastAsia="仿宋_GB2312"/>
      <w:color w:val="000000"/>
      <w:szCs w:val="32"/>
    </w:rPr>
  </w:style>
  <w:style w:type="character" w:customStyle="1" w:styleId="82">
    <w:name w:val="font61"/>
    <w:basedOn w:val="40"/>
    <w:qFormat/>
    <w:uiPriority w:val="0"/>
    <w:rPr>
      <w:rFonts w:hint="eastAsia" w:ascii="宋体" w:hAnsi="宋体" w:eastAsia="宋体" w:cs="宋体"/>
      <w:color w:val="000000"/>
      <w:sz w:val="21"/>
      <w:szCs w:val="21"/>
      <w:u w:val="none"/>
    </w:rPr>
  </w:style>
  <w:style w:type="character" w:customStyle="1" w:styleId="83">
    <w:name w:val="15"/>
    <w:basedOn w:val="40"/>
    <w:qFormat/>
    <w:uiPriority w:val="0"/>
    <w:rPr>
      <w:rFonts w:hint="eastAsia" w:ascii="宋体" w:hAnsi="宋体" w:eastAsia="宋体" w:cs="宋体"/>
      <w:color w:val="000000"/>
      <w:sz w:val="21"/>
      <w:szCs w:val="21"/>
    </w:rPr>
  </w:style>
  <w:style w:type="character" w:customStyle="1" w:styleId="84">
    <w:name w:val="font51"/>
    <w:basedOn w:val="40"/>
    <w:qFormat/>
    <w:uiPriority w:val="0"/>
    <w:rPr>
      <w:rFonts w:hint="eastAsia" w:ascii="新宋体" w:hAnsi="新宋体" w:eastAsia="新宋体" w:cs="新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23818</Words>
  <Characters>26154</Characters>
  <Lines>204</Lines>
  <Paragraphs>57</Paragraphs>
  <TotalTime>51</TotalTime>
  <ScaleCrop>false</ScaleCrop>
  <LinksUpToDate>false</LinksUpToDate>
  <CharactersWithSpaces>27504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2025-01-02T13:43:00Z</dcterms:created>
  <dc:creator>Administrator</dc:creator>
  <cp:lastModifiedBy>LENOVO</cp:lastModifiedBy>
  <cp:lastPrinted>2025-10-16T18:01:00Z</cp:lastPrinted>
  <dcterms:modified xsi:type="dcterms:W3CDTF">2025-10-30T06:43:26Z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765B2E3E559F41BFABD8719CB81FCAAD_13</vt:lpwstr>
  </property>
  <property fmtid="{D5CDD505-2E9C-101B-9397-08002B2CF9AE}" pid="4" name="KSOTemplateDocerSaveRecord">
    <vt:lpwstr>eyJoZGlkIjoiNTY5YmYxOWUzMjdkZjU1MzYxNmIxYzE4MWU4ODk5MzkiLCJ1c2VySWQiOiIxNTYwMDA1MjYyIn0=</vt:lpwstr>
  </property>
</Properties>
</file>