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A246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b/>
          <w:bCs/>
          <w:color w:val="auto"/>
          <w:sz w:val="52"/>
          <w:szCs w:val="52"/>
          <w:highlight w:val="none"/>
          <w:lang w:val="en-US" w:eastAsia="zh-CN"/>
        </w:rPr>
      </w:pPr>
      <w:bookmarkStart w:id="91" w:name="_GoBack"/>
      <w:bookmarkEnd w:id="91"/>
      <w:r>
        <w:rPr>
          <w:rFonts w:hint="eastAsia" w:ascii="宋体" w:hAnsi="宋体" w:cs="宋体"/>
          <w:b/>
          <w:bCs/>
          <w:color w:val="auto"/>
          <w:sz w:val="52"/>
          <w:szCs w:val="52"/>
          <w:highlight w:val="none"/>
          <w:lang w:val="en-US" w:eastAsia="zh-CN"/>
        </w:rPr>
        <w:t>义乌市第三自来水有限公司</w:t>
      </w:r>
    </w:p>
    <w:p w14:paraId="683BB41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隶书" w:hAnsi="Arial Narrow" w:eastAsia="隶书"/>
          <w:color w:val="auto"/>
          <w:sz w:val="52"/>
          <w:szCs w:val="52"/>
          <w:highlight w:val="none"/>
        </w:rPr>
      </w:pPr>
      <w:r>
        <w:rPr>
          <w:rFonts w:hint="eastAsia" w:ascii="宋体" w:hAnsi="宋体" w:cs="宋体"/>
          <w:b/>
          <w:bCs/>
          <w:color w:val="auto"/>
          <w:sz w:val="52"/>
          <w:szCs w:val="52"/>
          <w:highlight w:val="none"/>
          <w:lang w:val="en-US" w:eastAsia="zh-CN"/>
        </w:rPr>
        <w:t>2025-</w:t>
      </w:r>
      <w:r>
        <w:rPr>
          <w:rFonts w:hint="default" w:ascii="宋体" w:hAnsi="宋体" w:cs="宋体"/>
          <w:b/>
          <w:bCs/>
          <w:color w:val="auto"/>
          <w:sz w:val="52"/>
          <w:szCs w:val="52"/>
          <w:highlight w:val="none"/>
          <w:lang w:val="en-US" w:eastAsia="zh-CN"/>
        </w:rPr>
        <w:t>202</w:t>
      </w:r>
      <w:r>
        <w:rPr>
          <w:rFonts w:hint="eastAsia" w:ascii="宋体" w:hAnsi="宋体" w:cs="宋体"/>
          <w:b/>
          <w:bCs/>
          <w:color w:val="auto"/>
          <w:sz w:val="52"/>
          <w:szCs w:val="52"/>
          <w:highlight w:val="none"/>
          <w:lang w:val="en-US" w:eastAsia="zh-CN"/>
        </w:rPr>
        <w:t>6</w:t>
      </w:r>
      <w:r>
        <w:rPr>
          <w:rFonts w:hint="default" w:ascii="宋体" w:hAnsi="宋体" w:cs="宋体"/>
          <w:b/>
          <w:bCs/>
          <w:color w:val="auto"/>
          <w:sz w:val="52"/>
          <w:szCs w:val="52"/>
          <w:highlight w:val="none"/>
          <w:lang w:val="en-US" w:eastAsia="zh-CN"/>
        </w:rPr>
        <w:t>年度招标代理和造价咨询服务采购项目</w:t>
      </w:r>
    </w:p>
    <w:p w14:paraId="1AEBC251">
      <w:pPr>
        <w:pStyle w:val="18"/>
        <w:snapToGrid w:val="0"/>
        <w:spacing w:before="120" w:after="120" w:line="360" w:lineRule="auto"/>
        <w:rPr>
          <w:rFonts w:hint="eastAsia"/>
          <w:b/>
          <w:color w:val="auto"/>
          <w:sz w:val="32"/>
          <w:szCs w:val="32"/>
          <w:highlight w:val="none"/>
        </w:rPr>
      </w:pPr>
      <w:r>
        <w:rPr>
          <w:rFonts w:hint="eastAsia"/>
          <w:b/>
          <w:color w:val="auto"/>
          <w:sz w:val="32"/>
          <w:szCs w:val="32"/>
          <w:highlight w:val="none"/>
        </w:rPr>
        <w:t xml:space="preserve">              </w:t>
      </w:r>
    </w:p>
    <w:p w14:paraId="71BA47B1">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22484E80">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2BCCF9F8">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7B5D3C93">
      <w:pPr>
        <w:pStyle w:val="18"/>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7F69AEDC">
      <w:pPr>
        <w:pStyle w:val="18"/>
        <w:snapToGrid w:val="0"/>
        <w:spacing w:before="120" w:after="120"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YCQ-2025-CG228-1</w:t>
      </w:r>
    </w:p>
    <w:p w14:paraId="4AC35EAF">
      <w:pPr>
        <w:pStyle w:val="18"/>
        <w:snapToGrid w:val="0"/>
        <w:spacing w:before="120" w:after="120" w:line="360" w:lineRule="auto"/>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bCs/>
          <w:color w:val="auto"/>
          <w:w w:val="95"/>
          <w:sz w:val="32"/>
          <w:szCs w:val="32"/>
          <w:highlight w:val="none"/>
          <w:u w:val="single"/>
          <w:lang w:val="en-US" w:eastAsia="zh-CN"/>
        </w:rPr>
        <w:t>义乌市第三自来水有限公司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37EE1EA7">
      <w:pPr>
        <w:pStyle w:val="18"/>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lang w:eastAsia="zh-CN"/>
        </w:rPr>
        <w:t>义乌产权交易所有限公司</w:t>
      </w:r>
      <w:r>
        <w:rPr>
          <w:rFonts w:hint="eastAsia" w:hAnsi="宋体"/>
          <w:b/>
          <w:color w:val="auto"/>
          <w:sz w:val="32"/>
          <w:szCs w:val="32"/>
          <w:highlight w:val="none"/>
          <w:u w:val="single"/>
        </w:rPr>
        <w:t>（盖章）</w:t>
      </w:r>
    </w:p>
    <w:p w14:paraId="3362F176">
      <w:pPr>
        <w:pStyle w:val="18"/>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w:t>
      </w:r>
      <w:r>
        <w:rPr>
          <w:rFonts w:hint="eastAsia" w:hAnsi="宋体"/>
          <w:b/>
          <w:color w:val="auto"/>
          <w:sz w:val="32"/>
          <w:szCs w:val="32"/>
          <w:highlight w:val="none"/>
          <w:u w:val="single"/>
          <w:lang w:eastAsia="zh-CN"/>
        </w:rPr>
        <w:t>五</w:t>
      </w:r>
      <w:r>
        <w:rPr>
          <w:rFonts w:hint="eastAsia" w:hAnsi="宋体"/>
          <w:b/>
          <w:color w:val="auto"/>
          <w:sz w:val="32"/>
          <w:szCs w:val="32"/>
          <w:highlight w:val="none"/>
          <w:u w:val="single"/>
        </w:rPr>
        <w:t>年</w:t>
      </w:r>
      <w:r>
        <w:rPr>
          <w:rFonts w:hint="eastAsia" w:hAnsi="宋体"/>
          <w:b/>
          <w:color w:val="auto"/>
          <w:sz w:val="32"/>
          <w:szCs w:val="32"/>
          <w:highlight w:val="none"/>
          <w:u w:val="single"/>
          <w:lang w:val="en-US" w:eastAsia="zh-CN"/>
        </w:rPr>
        <w:t>十</w:t>
      </w:r>
      <w:r>
        <w:rPr>
          <w:rFonts w:hint="eastAsia" w:hAnsi="宋体"/>
          <w:b/>
          <w:color w:val="auto"/>
          <w:sz w:val="32"/>
          <w:szCs w:val="32"/>
          <w:highlight w:val="none"/>
          <w:u w:val="single"/>
        </w:rPr>
        <w:t>月</w:t>
      </w:r>
    </w:p>
    <w:p w14:paraId="57C293B1">
      <w:pPr>
        <w:pStyle w:val="18"/>
        <w:spacing w:before="120" w:after="120" w:line="360" w:lineRule="auto"/>
        <w:ind w:firstLine="420" w:firstLineChars="200"/>
        <w:jc w:val="center"/>
        <w:rPr>
          <w:b/>
          <w:color w:val="auto"/>
          <w:sz w:val="44"/>
          <w:szCs w:val="44"/>
          <w:highlight w:val="none"/>
        </w:rPr>
      </w:pPr>
      <w:r>
        <w:rPr>
          <w:color w:val="auto"/>
          <w:highlight w:val="none"/>
        </w:rPr>
        <w:br w:type="page"/>
      </w:r>
      <w:r>
        <w:rPr>
          <w:rFonts w:hint="eastAsia"/>
          <w:b/>
          <w:color w:val="auto"/>
          <w:sz w:val="44"/>
          <w:szCs w:val="44"/>
          <w:highlight w:val="none"/>
        </w:rPr>
        <w:t>招标文件目录</w:t>
      </w:r>
    </w:p>
    <w:p w14:paraId="60AF32ED">
      <w:pPr>
        <w:pStyle w:val="18"/>
        <w:snapToGrid w:val="0"/>
        <w:spacing w:before="120" w:after="120" w:line="360" w:lineRule="auto"/>
        <w:rPr>
          <w:rFonts w:hAnsi="宋体"/>
          <w:b/>
          <w:color w:val="auto"/>
          <w:sz w:val="32"/>
          <w:szCs w:val="32"/>
          <w:highlight w:val="none"/>
          <w:u w:val="single"/>
        </w:rPr>
      </w:pPr>
    </w:p>
    <w:p w14:paraId="2B932605">
      <w:pPr>
        <w:pStyle w:val="24"/>
        <w:tabs>
          <w:tab w:val="right" w:leader="dot" w:pos="8306"/>
        </w:tabs>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highlight w:val="none"/>
        </w:rPr>
        <w:instrText xml:space="preserve"> HYPERLINK \l _Toc31036 </w:instrText>
      </w:r>
      <w:r>
        <w:rPr>
          <w:highlight w:val="none"/>
        </w:rPr>
        <w:fldChar w:fldCharType="separate"/>
      </w:r>
      <w:r>
        <w:rPr>
          <w:rFonts w:ascii="Times New Roman" w:hAnsi="Times New Roman" w:eastAsia="宋体" w:cs="Times New Roman"/>
          <w:bCs/>
          <w:kern w:val="44"/>
          <w:szCs w:val="44"/>
          <w:highlight w:val="none"/>
          <w:lang w:val="en-US" w:eastAsia="zh-CN" w:bidi="ar-SA"/>
        </w:rPr>
        <w:t>第一章</w:t>
      </w:r>
      <w:r>
        <w:rPr>
          <w:rFonts w:hint="eastAsia"/>
          <w:highlight w:val="none"/>
        </w:rPr>
        <w:t>　招标公告</w:t>
      </w:r>
      <w:r>
        <w:tab/>
      </w:r>
      <w:r>
        <w:fldChar w:fldCharType="begin"/>
      </w:r>
      <w:r>
        <w:instrText xml:space="preserve"> PAGEREF _Toc31036 \h </w:instrText>
      </w:r>
      <w:r>
        <w:fldChar w:fldCharType="separate"/>
      </w:r>
      <w:r>
        <w:t>4</w:t>
      </w:r>
      <w:r>
        <w:fldChar w:fldCharType="end"/>
      </w:r>
      <w:r>
        <w:rPr>
          <w:color w:val="auto"/>
          <w:highlight w:val="none"/>
        </w:rPr>
        <w:fldChar w:fldCharType="end"/>
      </w:r>
    </w:p>
    <w:p w14:paraId="0D469101">
      <w:pPr>
        <w:pStyle w:val="24"/>
        <w:tabs>
          <w:tab w:val="right" w:leader="dot" w:pos="8306"/>
        </w:tabs>
      </w:pPr>
      <w:r>
        <w:rPr>
          <w:color w:val="auto"/>
          <w:szCs w:val="30"/>
          <w:highlight w:val="none"/>
        </w:rPr>
        <w:fldChar w:fldCharType="begin"/>
      </w:r>
      <w:r>
        <w:rPr>
          <w:szCs w:val="30"/>
          <w:highlight w:val="none"/>
        </w:rPr>
        <w:instrText xml:space="preserve"> HYPERLINK \l _Toc9437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第二章　投标须知和投标须知前附表</w:t>
      </w:r>
      <w:r>
        <w:tab/>
      </w:r>
      <w:r>
        <w:fldChar w:fldCharType="begin"/>
      </w:r>
      <w:r>
        <w:instrText xml:space="preserve"> PAGEREF _Toc9437 \h </w:instrText>
      </w:r>
      <w:r>
        <w:fldChar w:fldCharType="separate"/>
      </w:r>
      <w:r>
        <w:t>7</w:t>
      </w:r>
      <w:r>
        <w:fldChar w:fldCharType="end"/>
      </w:r>
      <w:r>
        <w:rPr>
          <w:color w:val="auto"/>
          <w:szCs w:val="30"/>
          <w:highlight w:val="none"/>
        </w:rPr>
        <w:fldChar w:fldCharType="end"/>
      </w:r>
    </w:p>
    <w:p w14:paraId="3B4CDCCD">
      <w:pPr>
        <w:pStyle w:val="24"/>
        <w:tabs>
          <w:tab w:val="right" w:leader="dot" w:pos="8306"/>
        </w:tabs>
      </w:pPr>
      <w:r>
        <w:rPr>
          <w:color w:val="auto"/>
          <w:szCs w:val="30"/>
          <w:highlight w:val="none"/>
        </w:rPr>
        <w:fldChar w:fldCharType="begin"/>
      </w:r>
      <w:r>
        <w:rPr>
          <w:szCs w:val="30"/>
          <w:highlight w:val="none"/>
        </w:rPr>
        <w:instrText xml:space="preserve"> HYPERLINK \l _Toc10232 </w:instrText>
      </w:r>
      <w:r>
        <w:rPr>
          <w:szCs w:val="30"/>
          <w:highlight w:val="none"/>
        </w:rPr>
        <w:fldChar w:fldCharType="separate"/>
      </w:r>
      <w:r>
        <w:rPr>
          <w:rFonts w:hint="eastAsia"/>
          <w:szCs w:val="32"/>
          <w:highlight w:val="none"/>
        </w:rPr>
        <w:t>投标须知</w:t>
      </w:r>
      <w:r>
        <w:tab/>
      </w:r>
      <w:r>
        <w:fldChar w:fldCharType="begin"/>
      </w:r>
      <w:r>
        <w:instrText xml:space="preserve"> PAGEREF _Toc10232 \h </w:instrText>
      </w:r>
      <w:r>
        <w:fldChar w:fldCharType="separate"/>
      </w:r>
      <w:r>
        <w:t>10</w:t>
      </w:r>
      <w:r>
        <w:fldChar w:fldCharType="end"/>
      </w:r>
      <w:r>
        <w:rPr>
          <w:color w:val="auto"/>
          <w:szCs w:val="30"/>
          <w:highlight w:val="none"/>
        </w:rPr>
        <w:fldChar w:fldCharType="end"/>
      </w:r>
    </w:p>
    <w:p w14:paraId="5AAA95D2">
      <w:pPr>
        <w:pStyle w:val="29"/>
        <w:tabs>
          <w:tab w:val="right" w:leader="dot" w:pos="8306"/>
        </w:tabs>
      </w:pPr>
      <w:r>
        <w:rPr>
          <w:color w:val="auto"/>
          <w:szCs w:val="30"/>
          <w:highlight w:val="none"/>
        </w:rPr>
        <w:fldChar w:fldCharType="begin"/>
      </w:r>
      <w:r>
        <w:rPr>
          <w:szCs w:val="30"/>
          <w:highlight w:val="none"/>
        </w:rPr>
        <w:instrText xml:space="preserve"> HYPERLINK \l _Toc9778 </w:instrText>
      </w:r>
      <w:r>
        <w:rPr>
          <w:szCs w:val="30"/>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_Toc9778 \h </w:instrText>
      </w:r>
      <w:r>
        <w:fldChar w:fldCharType="separate"/>
      </w:r>
      <w:r>
        <w:t>10</w:t>
      </w:r>
      <w:r>
        <w:fldChar w:fldCharType="end"/>
      </w:r>
      <w:r>
        <w:rPr>
          <w:color w:val="auto"/>
          <w:szCs w:val="30"/>
          <w:highlight w:val="none"/>
        </w:rPr>
        <w:fldChar w:fldCharType="end"/>
      </w:r>
    </w:p>
    <w:p w14:paraId="32838231">
      <w:pPr>
        <w:pStyle w:val="29"/>
        <w:tabs>
          <w:tab w:val="right" w:leader="dot" w:pos="8306"/>
        </w:tabs>
      </w:pPr>
      <w:r>
        <w:rPr>
          <w:color w:val="auto"/>
          <w:szCs w:val="30"/>
          <w:highlight w:val="none"/>
        </w:rPr>
        <w:fldChar w:fldCharType="begin"/>
      </w:r>
      <w:r>
        <w:rPr>
          <w:szCs w:val="30"/>
          <w:highlight w:val="none"/>
        </w:rPr>
        <w:instrText xml:space="preserve"> HYPERLINK \l _Toc8772 </w:instrText>
      </w:r>
      <w:r>
        <w:rPr>
          <w:szCs w:val="30"/>
          <w:highlight w:val="none"/>
        </w:rPr>
        <w:fldChar w:fldCharType="separate"/>
      </w:r>
      <w:r>
        <w:rPr>
          <w:rFonts w:hint="eastAsia" w:ascii="宋体" w:hAnsi="宋体" w:eastAsia="宋体" w:cs="宋体"/>
          <w:szCs w:val="21"/>
          <w:highlight w:val="none"/>
        </w:rPr>
        <w:t>二、招标文件</w:t>
      </w:r>
      <w:r>
        <w:tab/>
      </w:r>
      <w:r>
        <w:fldChar w:fldCharType="begin"/>
      </w:r>
      <w:r>
        <w:instrText xml:space="preserve"> PAGEREF _Toc8772 \h </w:instrText>
      </w:r>
      <w:r>
        <w:fldChar w:fldCharType="separate"/>
      </w:r>
      <w:r>
        <w:t>11</w:t>
      </w:r>
      <w:r>
        <w:fldChar w:fldCharType="end"/>
      </w:r>
      <w:r>
        <w:rPr>
          <w:color w:val="auto"/>
          <w:szCs w:val="30"/>
          <w:highlight w:val="none"/>
        </w:rPr>
        <w:fldChar w:fldCharType="end"/>
      </w:r>
    </w:p>
    <w:p w14:paraId="65A728C1">
      <w:pPr>
        <w:pStyle w:val="29"/>
        <w:tabs>
          <w:tab w:val="right" w:leader="dot" w:pos="8306"/>
        </w:tabs>
      </w:pPr>
      <w:r>
        <w:rPr>
          <w:color w:val="auto"/>
          <w:szCs w:val="30"/>
          <w:highlight w:val="none"/>
        </w:rPr>
        <w:fldChar w:fldCharType="begin"/>
      </w:r>
      <w:r>
        <w:rPr>
          <w:szCs w:val="30"/>
          <w:highlight w:val="none"/>
        </w:rPr>
        <w:instrText xml:space="preserve"> HYPERLINK \l _Toc29569 </w:instrText>
      </w:r>
      <w:r>
        <w:rPr>
          <w:szCs w:val="30"/>
          <w:highlight w:val="none"/>
        </w:rPr>
        <w:fldChar w:fldCharType="separate"/>
      </w:r>
      <w:r>
        <w:rPr>
          <w:rFonts w:hint="eastAsia" w:ascii="宋体" w:hAnsi="宋体" w:eastAsia="宋体" w:cs="宋体"/>
          <w:szCs w:val="21"/>
          <w:highlight w:val="none"/>
        </w:rPr>
        <w:t>三、投标文件</w:t>
      </w:r>
      <w:r>
        <w:tab/>
      </w:r>
      <w:r>
        <w:fldChar w:fldCharType="begin"/>
      </w:r>
      <w:r>
        <w:instrText xml:space="preserve"> PAGEREF _Toc29569 \h </w:instrText>
      </w:r>
      <w:r>
        <w:fldChar w:fldCharType="separate"/>
      </w:r>
      <w:r>
        <w:t>12</w:t>
      </w:r>
      <w:r>
        <w:fldChar w:fldCharType="end"/>
      </w:r>
      <w:r>
        <w:rPr>
          <w:color w:val="auto"/>
          <w:szCs w:val="30"/>
          <w:highlight w:val="none"/>
        </w:rPr>
        <w:fldChar w:fldCharType="end"/>
      </w:r>
    </w:p>
    <w:p w14:paraId="583F8691">
      <w:pPr>
        <w:pStyle w:val="29"/>
        <w:tabs>
          <w:tab w:val="right" w:leader="dot" w:pos="8306"/>
        </w:tabs>
      </w:pPr>
      <w:r>
        <w:rPr>
          <w:color w:val="auto"/>
          <w:szCs w:val="30"/>
          <w:highlight w:val="none"/>
        </w:rPr>
        <w:fldChar w:fldCharType="begin"/>
      </w:r>
      <w:r>
        <w:rPr>
          <w:szCs w:val="30"/>
          <w:highlight w:val="none"/>
        </w:rPr>
        <w:instrText xml:space="preserve"> HYPERLINK \l _Toc29279 </w:instrText>
      </w:r>
      <w:r>
        <w:rPr>
          <w:szCs w:val="30"/>
          <w:highlight w:val="none"/>
        </w:rPr>
        <w:fldChar w:fldCharType="separate"/>
      </w:r>
      <w:r>
        <w:rPr>
          <w:rFonts w:hint="eastAsia" w:ascii="宋体" w:hAnsi="宋体" w:eastAsia="宋体" w:cs="宋体"/>
          <w:szCs w:val="21"/>
          <w:highlight w:val="none"/>
        </w:rPr>
        <w:t>四、投标文件的递交</w:t>
      </w:r>
      <w:r>
        <w:tab/>
      </w:r>
      <w:r>
        <w:fldChar w:fldCharType="begin"/>
      </w:r>
      <w:r>
        <w:instrText xml:space="preserve"> PAGEREF _Toc29279 \h </w:instrText>
      </w:r>
      <w:r>
        <w:fldChar w:fldCharType="separate"/>
      </w:r>
      <w:r>
        <w:t>14</w:t>
      </w:r>
      <w:r>
        <w:fldChar w:fldCharType="end"/>
      </w:r>
      <w:r>
        <w:rPr>
          <w:color w:val="auto"/>
          <w:szCs w:val="30"/>
          <w:highlight w:val="none"/>
        </w:rPr>
        <w:fldChar w:fldCharType="end"/>
      </w:r>
    </w:p>
    <w:p w14:paraId="4BAB76BE">
      <w:pPr>
        <w:pStyle w:val="29"/>
        <w:tabs>
          <w:tab w:val="right" w:leader="dot" w:pos="8306"/>
        </w:tabs>
      </w:pPr>
      <w:r>
        <w:rPr>
          <w:color w:val="auto"/>
          <w:szCs w:val="30"/>
          <w:highlight w:val="none"/>
        </w:rPr>
        <w:fldChar w:fldCharType="begin"/>
      </w:r>
      <w:r>
        <w:rPr>
          <w:szCs w:val="30"/>
          <w:highlight w:val="none"/>
        </w:rPr>
        <w:instrText xml:space="preserve"> HYPERLINK \l _Toc5432 </w:instrText>
      </w:r>
      <w:r>
        <w:rPr>
          <w:szCs w:val="30"/>
          <w:highlight w:val="none"/>
        </w:rPr>
        <w:fldChar w:fldCharType="separate"/>
      </w:r>
      <w:r>
        <w:rPr>
          <w:rFonts w:hint="eastAsia" w:ascii="宋体" w:hAnsi="宋体" w:eastAsia="宋体" w:cs="宋体"/>
          <w:szCs w:val="21"/>
          <w:highlight w:val="none"/>
        </w:rPr>
        <w:t>五、</w:t>
      </w:r>
      <w:r>
        <w:rPr>
          <w:rFonts w:hint="eastAsia" w:ascii="宋体" w:hAnsi="宋体" w:eastAsia="宋体" w:cs="宋体"/>
          <w:szCs w:val="21"/>
          <w:highlight w:val="none"/>
          <w:lang w:val="en-US" w:eastAsia="zh-CN"/>
        </w:rPr>
        <w:t>费用缴纳</w:t>
      </w:r>
      <w:r>
        <w:tab/>
      </w:r>
      <w:r>
        <w:fldChar w:fldCharType="begin"/>
      </w:r>
      <w:r>
        <w:instrText xml:space="preserve"> PAGEREF _Toc5432 \h </w:instrText>
      </w:r>
      <w:r>
        <w:fldChar w:fldCharType="separate"/>
      </w:r>
      <w:r>
        <w:t>15</w:t>
      </w:r>
      <w:r>
        <w:fldChar w:fldCharType="end"/>
      </w:r>
      <w:r>
        <w:rPr>
          <w:color w:val="auto"/>
          <w:szCs w:val="30"/>
          <w:highlight w:val="none"/>
        </w:rPr>
        <w:fldChar w:fldCharType="end"/>
      </w:r>
    </w:p>
    <w:p w14:paraId="77717130">
      <w:pPr>
        <w:pStyle w:val="29"/>
        <w:tabs>
          <w:tab w:val="right" w:leader="dot" w:pos="8306"/>
        </w:tabs>
      </w:pPr>
      <w:r>
        <w:rPr>
          <w:color w:val="auto"/>
          <w:szCs w:val="30"/>
          <w:highlight w:val="none"/>
        </w:rPr>
        <w:fldChar w:fldCharType="begin"/>
      </w:r>
      <w:r>
        <w:rPr>
          <w:szCs w:val="30"/>
          <w:highlight w:val="none"/>
        </w:rPr>
        <w:instrText xml:space="preserve"> HYPERLINK \l _Toc10433 </w:instrText>
      </w:r>
      <w:r>
        <w:rPr>
          <w:szCs w:val="30"/>
          <w:highlight w:val="none"/>
        </w:rPr>
        <w:fldChar w:fldCharType="separate"/>
      </w:r>
      <w:r>
        <w:rPr>
          <w:rFonts w:hint="eastAsia" w:ascii="宋体" w:hAnsi="宋体" w:eastAsia="宋体" w:cs="宋体"/>
          <w:szCs w:val="21"/>
          <w:highlight w:val="none"/>
        </w:rPr>
        <w:t>六、其它</w:t>
      </w:r>
      <w:r>
        <w:tab/>
      </w:r>
      <w:r>
        <w:fldChar w:fldCharType="begin"/>
      </w:r>
      <w:r>
        <w:instrText xml:space="preserve"> PAGEREF _Toc10433 \h </w:instrText>
      </w:r>
      <w:r>
        <w:fldChar w:fldCharType="separate"/>
      </w:r>
      <w:r>
        <w:t>15</w:t>
      </w:r>
      <w:r>
        <w:fldChar w:fldCharType="end"/>
      </w:r>
      <w:r>
        <w:rPr>
          <w:color w:val="auto"/>
          <w:szCs w:val="30"/>
          <w:highlight w:val="none"/>
        </w:rPr>
        <w:fldChar w:fldCharType="end"/>
      </w:r>
    </w:p>
    <w:p w14:paraId="0C0959ED">
      <w:pPr>
        <w:pStyle w:val="24"/>
        <w:tabs>
          <w:tab w:val="right" w:leader="dot" w:pos="8306"/>
        </w:tabs>
      </w:pPr>
      <w:r>
        <w:rPr>
          <w:color w:val="auto"/>
          <w:szCs w:val="30"/>
          <w:highlight w:val="none"/>
        </w:rPr>
        <w:fldChar w:fldCharType="begin"/>
      </w:r>
      <w:r>
        <w:rPr>
          <w:szCs w:val="30"/>
          <w:highlight w:val="none"/>
        </w:rPr>
        <w:instrText xml:space="preserve"> HYPERLINK \l _Toc10906 </w:instrText>
      </w:r>
      <w:r>
        <w:rPr>
          <w:szCs w:val="30"/>
          <w:highlight w:val="none"/>
        </w:rPr>
        <w:fldChar w:fldCharType="separate"/>
      </w:r>
      <w:r>
        <w:rPr>
          <w:rFonts w:hint="eastAsia" w:ascii="Times New Roman" w:hAnsi="Times New Roman" w:eastAsia="宋体" w:cs="Times New Roman"/>
          <w:highlight w:val="none"/>
          <w:lang w:val="en-US" w:eastAsia="zh-CN"/>
        </w:rPr>
        <w:t>第三章  招标项目要求</w:t>
      </w:r>
      <w:r>
        <w:tab/>
      </w:r>
      <w:r>
        <w:fldChar w:fldCharType="begin"/>
      </w:r>
      <w:r>
        <w:instrText xml:space="preserve"> PAGEREF _Toc10906 \h </w:instrText>
      </w:r>
      <w:r>
        <w:fldChar w:fldCharType="separate"/>
      </w:r>
      <w:r>
        <w:t>16</w:t>
      </w:r>
      <w:r>
        <w:fldChar w:fldCharType="end"/>
      </w:r>
      <w:r>
        <w:rPr>
          <w:color w:val="auto"/>
          <w:szCs w:val="30"/>
          <w:highlight w:val="none"/>
        </w:rPr>
        <w:fldChar w:fldCharType="end"/>
      </w:r>
    </w:p>
    <w:p w14:paraId="3783EA62">
      <w:pPr>
        <w:pStyle w:val="29"/>
        <w:tabs>
          <w:tab w:val="right" w:leader="dot" w:pos="8306"/>
        </w:tabs>
      </w:pPr>
      <w:r>
        <w:rPr>
          <w:color w:val="auto"/>
          <w:szCs w:val="30"/>
          <w:highlight w:val="none"/>
        </w:rPr>
        <w:fldChar w:fldCharType="begin"/>
      </w:r>
      <w:r>
        <w:rPr>
          <w:szCs w:val="30"/>
          <w:highlight w:val="none"/>
        </w:rPr>
        <w:instrText xml:space="preserve"> HYPERLINK \l _Toc7591 </w:instrText>
      </w:r>
      <w:r>
        <w:rPr>
          <w:szCs w:val="30"/>
          <w:highlight w:val="none"/>
        </w:rPr>
        <w:fldChar w:fldCharType="separate"/>
      </w:r>
      <w:r>
        <w:rPr>
          <w:rFonts w:hint="eastAsia" w:hAnsi="宋体"/>
          <w:bCs/>
          <w:highlight w:val="none"/>
        </w:rPr>
        <w:t>一、标准和规范、技术要求</w:t>
      </w:r>
      <w:r>
        <w:tab/>
      </w:r>
      <w:r>
        <w:fldChar w:fldCharType="begin"/>
      </w:r>
      <w:r>
        <w:instrText xml:space="preserve"> PAGEREF _Toc7591 \h </w:instrText>
      </w:r>
      <w:r>
        <w:fldChar w:fldCharType="separate"/>
      </w:r>
      <w:r>
        <w:t>16</w:t>
      </w:r>
      <w:r>
        <w:fldChar w:fldCharType="end"/>
      </w:r>
      <w:r>
        <w:rPr>
          <w:color w:val="auto"/>
          <w:szCs w:val="30"/>
          <w:highlight w:val="none"/>
        </w:rPr>
        <w:fldChar w:fldCharType="end"/>
      </w:r>
    </w:p>
    <w:p w14:paraId="47BF1E84">
      <w:pPr>
        <w:pStyle w:val="29"/>
        <w:tabs>
          <w:tab w:val="right" w:leader="dot" w:pos="8306"/>
        </w:tabs>
      </w:pPr>
      <w:r>
        <w:rPr>
          <w:color w:val="auto"/>
          <w:szCs w:val="30"/>
          <w:highlight w:val="none"/>
        </w:rPr>
        <w:fldChar w:fldCharType="begin"/>
      </w:r>
      <w:r>
        <w:rPr>
          <w:szCs w:val="30"/>
          <w:highlight w:val="none"/>
        </w:rPr>
        <w:instrText xml:space="preserve"> HYPERLINK \l _Toc4327 </w:instrText>
      </w:r>
      <w:r>
        <w:rPr>
          <w:szCs w:val="30"/>
          <w:highlight w:val="none"/>
        </w:rPr>
        <w:fldChar w:fldCharType="separate"/>
      </w:r>
      <w:r>
        <w:rPr>
          <w:rFonts w:hint="eastAsia"/>
          <w:bCs/>
          <w:szCs w:val="21"/>
          <w:highlight w:val="none"/>
          <w:lang w:eastAsia="zh-CN"/>
        </w:rPr>
        <w:t>二、项目规模及招标范围</w:t>
      </w:r>
      <w:r>
        <w:tab/>
      </w:r>
      <w:r>
        <w:fldChar w:fldCharType="begin"/>
      </w:r>
      <w:r>
        <w:instrText xml:space="preserve"> PAGEREF _Toc4327 \h </w:instrText>
      </w:r>
      <w:r>
        <w:fldChar w:fldCharType="separate"/>
      </w:r>
      <w:r>
        <w:t>16</w:t>
      </w:r>
      <w:r>
        <w:fldChar w:fldCharType="end"/>
      </w:r>
      <w:r>
        <w:rPr>
          <w:color w:val="auto"/>
          <w:szCs w:val="30"/>
          <w:highlight w:val="none"/>
        </w:rPr>
        <w:fldChar w:fldCharType="end"/>
      </w:r>
    </w:p>
    <w:p w14:paraId="7C49D1EE">
      <w:pPr>
        <w:pStyle w:val="29"/>
        <w:tabs>
          <w:tab w:val="right" w:leader="dot" w:pos="8306"/>
        </w:tabs>
      </w:pPr>
      <w:r>
        <w:rPr>
          <w:color w:val="auto"/>
          <w:szCs w:val="30"/>
          <w:highlight w:val="none"/>
        </w:rPr>
        <w:fldChar w:fldCharType="begin"/>
      </w:r>
      <w:r>
        <w:rPr>
          <w:szCs w:val="30"/>
          <w:highlight w:val="none"/>
        </w:rPr>
        <w:instrText xml:space="preserve"> HYPERLINK \l _Toc28508 </w:instrText>
      </w:r>
      <w:r>
        <w:rPr>
          <w:szCs w:val="30"/>
          <w:highlight w:val="none"/>
        </w:rPr>
        <w:fldChar w:fldCharType="separate"/>
      </w:r>
      <w:r>
        <w:rPr>
          <w:rFonts w:hint="eastAsia"/>
          <w:bCs/>
          <w:szCs w:val="21"/>
          <w:lang w:eastAsia="zh-CN"/>
        </w:rPr>
        <w:t>三、</w:t>
      </w:r>
      <w:r>
        <w:rPr>
          <w:rFonts w:hint="eastAsia"/>
          <w:bCs/>
          <w:szCs w:val="21"/>
          <w:highlight w:val="none"/>
          <w:lang w:eastAsia="zh-CN"/>
        </w:rPr>
        <w:t>人员要求</w:t>
      </w:r>
      <w:r>
        <w:tab/>
      </w:r>
      <w:r>
        <w:fldChar w:fldCharType="begin"/>
      </w:r>
      <w:r>
        <w:instrText xml:space="preserve"> PAGEREF _Toc28508 \h </w:instrText>
      </w:r>
      <w:r>
        <w:fldChar w:fldCharType="separate"/>
      </w:r>
      <w:r>
        <w:t>16</w:t>
      </w:r>
      <w:r>
        <w:fldChar w:fldCharType="end"/>
      </w:r>
      <w:r>
        <w:rPr>
          <w:color w:val="auto"/>
          <w:szCs w:val="30"/>
          <w:highlight w:val="none"/>
        </w:rPr>
        <w:fldChar w:fldCharType="end"/>
      </w:r>
    </w:p>
    <w:p w14:paraId="0F015505">
      <w:pPr>
        <w:pStyle w:val="29"/>
        <w:tabs>
          <w:tab w:val="right" w:leader="dot" w:pos="8306"/>
        </w:tabs>
      </w:pPr>
      <w:r>
        <w:rPr>
          <w:color w:val="auto"/>
          <w:szCs w:val="30"/>
          <w:highlight w:val="none"/>
        </w:rPr>
        <w:fldChar w:fldCharType="begin"/>
      </w:r>
      <w:r>
        <w:rPr>
          <w:szCs w:val="30"/>
          <w:highlight w:val="none"/>
        </w:rPr>
        <w:instrText xml:space="preserve"> HYPERLINK \l _Toc4875 </w:instrText>
      </w:r>
      <w:r>
        <w:rPr>
          <w:szCs w:val="30"/>
          <w:highlight w:val="none"/>
        </w:rPr>
        <w:fldChar w:fldCharType="separate"/>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、商务要求</w:t>
      </w:r>
      <w:r>
        <w:tab/>
      </w:r>
      <w:r>
        <w:fldChar w:fldCharType="begin"/>
      </w:r>
      <w:r>
        <w:instrText xml:space="preserve"> PAGEREF _Toc4875 \h </w:instrText>
      </w:r>
      <w:r>
        <w:fldChar w:fldCharType="separate"/>
      </w:r>
      <w:r>
        <w:t>17</w:t>
      </w:r>
      <w:r>
        <w:fldChar w:fldCharType="end"/>
      </w:r>
      <w:r>
        <w:rPr>
          <w:color w:val="auto"/>
          <w:szCs w:val="30"/>
          <w:highlight w:val="none"/>
        </w:rPr>
        <w:fldChar w:fldCharType="end"/>
      </w:r>
    </w:p>
    <w:p w14:paraId="4E9EED8D">
      <w:pPr>
        <w:pStyle w:val="29"/>
        <w:tabs>
          <w:tab w:val="right" w:leader="dot" w:pos="8306"/>
        </w:tabs>
      </w:pPr>
      <w:r>
        <w:rPr>
          <w:color w:val="auto"/>
          <w:szCs w:val="30"/>
          <w:highlight w:val="none"/>
        </w:rPr>
        <w:fldChar w:fldCharType="begin"/>
      </w:r>
      <w:r>
        <w:rPr>
          <w:szCs w:val="30"/>
          <w:highlight w:val="none"/>
        </w:rPr>
        <w:instrText xml:space="preserve"> HYPERLINK \l _Toc29639 </w:instrText>
      </w:r>
      <w:r>
        <w:rPr>
          <w:szCs w:val="30"/>
          <w:highlight w:val="none"/>
        </w:rPr>
        <w:fldChar w:fldCharType="separate"/>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rPr>
        <w:t>、其他说明</w:t>
      </w:r>
      <w:r>
        <w:tab/>
      </w:r>
      <w:r>
        <w:fldChar w:fldCharType="begin"/>
      </w:r>
      <w:r>
        <w:instrText xml:space="preserve"> PAGEREF _Toc29639 \h </w:instrText>
      </w:r>
      <w:r>
        <w:fldChar w:fldCharType="separate"/>
      </w:r>
      <w:r>
        <w:t>18</w:t>
      </w:r>
      <w:r>
        <w:fldChar w:fldCharType="end"/>
      </w:r>
      <w:r>
        <w:rPr>
          <w:color w:val="auto"/>
          <w:szCs w:val="30"/>
          <w:highlight w:val="none"/>
        </w:rPr>
        <w:fldChar w:fldCharType="end"/>
      </w:r>
    </w:p>
    <w:p w14:paraId="104B2012">
      <w:pPr>
        <w:pStyle w:val="24"/>
        <w:tabs>
          <w:tab w:val="right" w:leader="dot" w:pos="8306"/>
        </w:tabs>
      </w:pPr>
      <w:r>
        <w:rPr>
          <w:color w:val="auto"/>
          <w:szCs w:val="30"/>
          <w:highlight w:val="none"/>
        </w:rPr>
        <w:fldChar w:fldCharType="begin"/>
      </w:r>
      <w:r>
        <w:rPr>
          <w:szCs w:val="30"/>
          <w:highlight w:val="none"/>
        </w:rPr>
        <w:instrText xml:space="preserve"> HYPERLINK \l _Toc4971 </w:instrText>
      </w:r>
      <w:r>
        <w:rPr>
          <w:szCs w:val="30"/>
          <w:highlight w:val="none"/>
        </w:rPr>
        <w:fldChar w:fldCharType="separate"/>
      </w:r>
      <w:r>
        <w:rPr>
          <w:rFonts w:hint="eastAsia" w:ascii="Times New Roman" w:hAnsi="Times New Roman" w:eastAsia="宋体" w:cs="Times New Roman"/>
          <w:bCs/>
          <w:kern w:val="44"/>
          <w:szCs w:val="44"/>
          <w:highlight w:val="none"/>
          <w:lang w:val="en-US" w:eastAsia="zh-CN" w:bidi="ar-SA"/>
        </w:rPr>
        <w:t>第四章</w:t>
      </w:r>
      <w:r>
        <w:rPr>
          <w:rFonts w:ascii="Times New Roman" w:hAnsi="Times New Roman" w:eastAsia="宋体" w:cs="Times New Roman"/>
          <w:bCs/>
          <w:kern w:val="44"/>
          <w:szCs w:val="44"/>
          <w:highlight w:val="none"/>
          <w:lang w:val="en-US" w:eastAsia="zh-CN" w:bidi="ar-SA"/>
        </w:rPr>
        <w:t xml:space="preserve">  </w:t>
      </w:r>
      <w:r>
        <w:rPr>
          <w:rFonts w:hint="eastAsia" w:ascii="Times New Roman" w:hAnsi="Times New Roman" w:eastAsia="宋体" w:cs="Times New Roman"/>
          <w:bCs/>
          <w:kern w:val="44"/>
          <w:szCs w:val="44"/>
          <w:highlight w:val="none"/>
          <w:lang w:val="en-US" w:eastAsia="zh-CN" w:bidi="ar-SA"/>
        </w:rPr>
        <w:t>开标、评标和定标须知</w:t>
      </w:r>
      <w:r>
        <w:tab/>
      </w:r>
      <w:r>
        <w:fldChar w:fldCharType="begin"/>
      </w:r>
      <w:r>
        <w:instrText xml:space="preserve"> PAGEREF _Toc4971 \h </w:instrText>
      </w:r>
      <w:r>
        <w:fldChar w:fldCharType="separate"/>
      </w:r>
      <w:r>
        <w:t>19</w:t>
      </w:r>
      <w:r>
        <w:fldChar w:fldCharType="end"/>
      </w:r>
      <w:r>
        <w:rPr>
          <w:color w:val="auto"/>
          <w:szCs w:val="30"/>
          <w:highlight w:val="none"/>
        </w:rPr>
        <w:fldChar w:fldCharType="end"/>
      </w:r>
    </w:p>
    <w:p w14:paraId="3C8763EB">
      <w:pPr>
        <w:pStyle w:val="29"/>
        <w:tabs>
          <w:tab w:val="right" w:leader="dot" w:pos="8306"/>
        </w:tabs>
      </w:pPr>
      <w:r>
        <w:rPr>
          <w:color w:val="auto"/>
          <w:szCs w:val="30"/>
          <w:highlight w:val="none"/>
        </w:rPr>
        <w:fldChar w:fldCharType="begin"/>
      </w:r>
      <w:r>
        <w:rPr>
          <w:szCs w:val="30"/>
          <w:highlight w:val="none"/>
        </w:rPr>
        <w:instrText xml:space="preserve"> HYPERLINK \l _Toc16228 </w:instrText>
      </w:r>
      <w:r>
        <w:rPr>
          <w:szCs w:val="30"/>
          <w:highlight w:val="none"/>
        </w:rPr>
        <w:fldChar w:fldCharType="separate"/>
      </w:r>
      <w:r>
        <w:rPr>
          <w:rFonts w:hint="eastAsia" w:ascii="宋体" w:hAnsi="宋体" w:eastAsia="宋体"/>
          <w:szCs w:val="21"/>
          <w:highlight w:val="none"/>
        </w:rPr>
        <w:t>一、开标</w:t>
      </w:r>
      <w:r>
        <w:tab/>
      </w:r>
      <w:r>
        <w:fldChar w:fldCharType="begin"/>
      </w:r>
      <w:r>
        <w:instrText xml:space="preserve"> PAGEREF _Toc16228 \h </w:instrText>
      </w:r>
      <w:r>
        <w:fldChar w:fldCharType="separate"/>
      </w:r>
      <w:r>
        <w:t>19</w:t>
      </w:r>
      <w:r>
        <w:fldChar w:fldCharType="end"/>
      </w:r>
      <w:r>
        <w:rPr>
          <w:color w:val="auto"/>
          <w:szCs w:val="30"/>
          <w:highlight w:val="none"/>
        </w:rPr>
        <w:fldChar w:fldCharType="end"/>
      </w:r>
    </w:p>
    <w:p w14:paraId="4A376428">
      <w:pPr>
        <w:pStyle w:val="29"/>
        <w:tabs>
          <w:tab w:val="right" w:leader="dot" w:pos="8306"/>
        </w:tabs>
      </w:pPr>
      <w:r>
        <w:rPr>
          <w:color w:val="auto"/>
          <w:szCs w:val="30"/>
          <w:highlight w:val="none"/>
        </w:rPr>
        <w:fldChar w:fldCharType="begin"/>
      </w:r>
      <w:r>
        <w:rPr>
          <w:szCs w:val="30"/>
          <w:highlight w:val="none"/>
        </w:rPr>
        <w:instrText xml:space="preserve"> HYPERLINK \l _Toc27005 </w:instrText>
      </w:r>
      <w:r>
        <w:rPr>
          <w:szCs w:val="30"/>
          <w:highlight w:val="none"/>
        </w:rPr>
        <w:fldChar w:fldCharType="separate"/>
      </w:r>
      <w:r>
        <w:rPr>
          <w:rFonts w:hint="eastAsia" w:ascii="宋体" w:hAnsi="宋体" w:eastAsia="宋体" w:cs="宋体"/>
          <w:szCs w:val="21"/>
          <w:highlight w:val="none"/>
        </w:rPr>
        <w:t>二、评标</w:t>
      </w:r>
      <w:r>
        <w:tab/>
      </w:r>
      <w:r>
        <w:fldChar w:fldCharType="begin"/>
      </w:r>
      <w:r>
        <w:instrText xml:space="preserve"> PAGEREF _Toc27005 \h </w:instrText>
      </w:r>
      <w:r>
        <w:fldChar w:fldCharType="separate"/>
      </w:r>
      <w:r>
        <w:t>19</w:t>
      </w:r>
      <w:r>
        <w:fldChar w:fldCharType="end"/>
      </w:r>
      <w:r>
        <w:rPr>
          <w:color w:val="auto"/>
          <w:szCs w:val="30"/>
          <w:highlight w:val="none"/>
        </w:rPr>
        <w:fldChar w:fldCharType="end"/>
      </w:r>
    </w:p>
    <w:p w14:paraId="58E04481">
      <w:pPr>
        <w:pStyle w:val="29"/>
        <w:tabs>
          <w:tab w:val="right" w:leader="dot" w:pos="8306"/>
        </w:tabs>
      </w:pPr>
      <w:r>
        <w:rPr>
          <w:color w:val="auto"/>
          <w:szCs w:val="30"/>
          <w:highlight w:val="none"/>
        </w:rPr>
        <w:fldChar w:fldCharType="begin"/>
      </w:r>
      <w:r>
        <w:rPr>
          <w:szCs w:val="30"/>
          <w:highlight w:val="none"/>
        </w:rPr>
        <w:instrText xml:space="preserve"> HYPERLINK \l _Toc13588 </w:instrText>
      </w:r>
      <w:r>
        <w:rPr>
          <w:szCs w:val="30"/>
          <w:highlight w:val="none"/>
        </w:rPr>
        <w:fldChar w:fldCharType="separate"/>
      </w:r>
      <w:r>
        <w:rPr>
          <w:rFonts w:hint="eastAsia" w:ascii="宋体" w:hAnsi="宋体" w:eastAsia="宋体" w:cs="宋体"/>
          <w:szCs w:val="21"/>
          <w:highlight w:val="none"/>
        </w:rPr>
        <w:t>三、定标</w:t>
      </w:r>
      <w:r>
        <w:tab/>
      </w:r>
      <w:r>
        <w:fldChar w:fldCharType="begin"/>
      </w:r>
      <w:r>
        <w:instrText xml:space="preserve"> PAGEREF _Toc13588 \h </w:instrText>
      </w:r>
      <w:r>
        <w:fldChar w:fldCharType="separate"/>
      </w:r>
      <w:r>
        <w:t>22</w:t>
      </w:r>
      <w:r>
        <w:fldChar w:fldCharType="end"/>
      </w:r>
      <w:r>
        <w:rPr>
          <w:color w:val="auto"/>
          <w:szCs w:val="30"/>
          <w:highlight w:val="none"/>
        </w:rPr>
        <w:fldChar w:fldCharType="end"/>
      </w:r>
    </w:p>
    <w:p w14:paraId="07F6A8E2">
      <w:pPr>
        <w:pStyle w:val="24"/>
        <w:tabs>
          <w:tab w:val="right" w:leader="dot" w:pos="8306"/>
        </w:tabs>
      </w:pPr>
      <w:r>
        <w:rPr>
          <w:color w:val="auto"/>
          <w:szCs w:val="30"/>
          <w:highlight w:val="none"/>
        </w:rPr>
        <w:fldChar w:fldCharType="begin"/>
      </w:r>
      <w:r>
        <w:rPr>
          <w:szCs w:val="30"/>
          <w:highlight w:val="none"/>
        </w:rPr>
        <w:instrText xml:space="preserve"> HYPERLINK \l _Toc14551 </w:instrText>
      </w:r>
      <w:r>
        <w:rPr>
          <w:szCs w:val="30"/>
          <w:highlight w:val="none"/>
        </w:rPr>
        <w:fldChar w:fldCharType="separate"/>
      </w:r>
      <w:r>
        <w:rPr>
          <w:rFonts w:hint="eastAsia" w:hAnsi="宋体"/>
          <w:highlight w:val="none"/>
        </w:rPr>
        <w:t>第五章</w:t>
      </w:r>
      <w:r>
        <w:rPr>
          <w:rFonts w:hAnsi="宋体"/>
          <w:highlight w:val="none"/>
        </w:rPr>
        <w:t xml:space="preserve">  </w:t>
      </w:r>
      <w:r>
        <w:rPr>
          <w:rFonts w:hint="eastAsia" w:hAnsi="宋体"/>
          <w:highlight w:val="none"/>
        </w:rPr>
        <w:t>投标文件的有效性</w:t>
      </w:r>
      <w:r>
        <w:tab/>
      </w:r>
      <w:r>
        <w:fldChar w:fldCharType="begin"/>
      </w:r>
      <w:r>
        <w:instrText xml:space="preserve"> PAGEREF _Toc14551 \h </w:instrText>
      </w:r>
      <w:r>
        <w:fldChar w:fldCharType="separate"/>
      </w:r>
      <w:r>
        <w:t>25</w:t>
      </w:r>
      <w:r>
        <w:fldChar w:fldCharType="end"/>
      </w:r>
      <w:r>
        <w:rPr>
          <w:color w:val="auto"/>
          <w:szCs w:val="30"/>
          <w:highlight w:val="none"/>
        </w:rPr>
        <w:fldChar w:fldCharType="end"/>
      </w:r>
    </w:p>
    <w:p w14:paraId="66C948E0">
      <w:pPr>
        <w:pStyle w:val="24"/>
        <w:tabs>
          <w:tab w:val="right" w:leader="dot" w:pos="8306"/>
        </w:tabs>
      </w:pPr>
      <w:r>
        <w:rPr>
          <w:color w:val="auto"/>
          <w:szCs w:val="30"/>
          <w:highlight w:val="none"/>
        </w:rPr>
        <w:fldChar w:fldCharType="begin"/>
      </w:r>
      <w:r>
        <w:rPr>
          <w:szCs w:val="30"/>
          <w:highlight w:val="none"/>
        </w:rPr>
        <w:instrText xml:space="preserve"> HYPERLINK \l _Toc28011 </w:instrText>
      </w:r>
      <w:r>
        <w:rPr>
          <w:szCs w:val="30"/>
          <w:highlight w:val="none"/>
        </w:rPr>
        <w:fldChar w:fldCharType="separate"/>
      </w:r>
      <w:r>
        <w:rPr>
          <w:rFonts w:hint="eastAsia"/>
          <w:highlight w:val="none"/>
        </w:rPr>
        <w:t>第六章</w:t>
      </w:r>
      <w:r>
        <w:rPr>
          <w:highlight w:val="none"/>
        </w:rPr>
        <w:t xml:space="preserve">  </w:t>
      </w:r>
      <w:r>
        <w:rPr>
          <w:rFonts w:hint="eastAsia"/>
          <w:highlight w:val="none"/>
        </w:rPr>
        <w:t>评标办法</w:t>
      </w:r>
      <w:r>
        <w:tab/>
      </w:r>
      <w:r>
        <w:fldChar w:fldCharType="begin"/>
      </w:r>
      <w:r>
        <w:instrText xml:space="preserve"> PAGEREF _Toc28011 \h </w:instrText>
      </w:r>
      <w:r>
        <w:fldChar w:fldCharType="separate"/>
      </w:r>
      <w:r>
        <w:t>27</w:t>
      </w:r>
      <w:r>
        <w:fldChar w:fldCharType="end"/>
      </w:r>
      <w:r>
        <w:rPr>
          <w:color w:val="auto"/>
          <w:szCs w:val="30"/>
          <w:highlight w:val="none"/>
        </w:rPr>
        <w:fldChar w:fldCharType="end"/>
      </w:r>
    </w:p>
    <w:p w14:paraId="5A9C4628">
      <w:pPr>
        <w:pStyle w:val="29"/>
        <w:tabs>
          <w:tab w:val="right" w:leader="dot" w:pos="8306"/>
        </w:tabs>
      </w:pPr>
      <w:r>
        <w:rPr>
          <w:color w:val="auto"/>
          <w:szCs w:val="30"/>
          <w:highlight w:val="none"/>
        </w:rPr>
        <w:fldChar w:fldCharType="begin"/>
      </w:r>
      <w:r>
        <w:rPr>
          <w:szCs w:val="30"/>
          <w:highlight w:val="none"/>
        </w:rPr>
        <w:instrText xml:space="preserve"> HYPERLINK \l _Toc30149 </w:instrText>
      </w:r>
      <w:r>
        <w:rPr>
          <w:szCs w:val="30"/>
          <w:highlight w:val="none"/>
        </w:rPr>
        <w:fldChar w:fldCharType="separate"/>
      </w:r>
      <w:r>
        <w:rPr>
          <w:rFonts w:hint="eastAsia" w:ascii="宋体" w:hAnsi="宋体" w:eastAsia="宋体" w:cs="宋体"/>
          <w:bCs/>
          <w:szCs w:val="21"/>
          <w:highlight w:val="none"/>
        </w:rPr>
        <w:t>一、评审程序</w:t>
      </w:r>
      <w:r>
        <w:tab/>
      </w:r>
      <w:r>
        <w:fldChar w:fldCharType="begin"/>
      </w:r>
      <w:r>
        <w:instrText xml:space="preserve"> PAGEREF _Toc30149 \h </w:instrText>
      </w:r>
      <w:r>
        <w:fldChar w:fldCharType="separate"/>
      </w:r>
      <w:r>
        <w:t>27</w:t>
      </w:r>
      <w:r>
        <w:fldChar w:fldCharType="end"/>
      </w:r>
      <w:r>
        <w:rPr>
          <w:color w:val="auto"/>
          <w:szCs w:val="30"/>
          <w:highlight w:val="none"/>
        </w:rPr>
        <w:fldChar w:fldCharType="end"/>
      </w:r>
    </w:p>
    <w:p w14:paraId="6B1A7E88">
      <w:pPr>
        <w:pStyle w:val="29"/>
        <w:tabs>
          <w:tab w:val="right" w:leader="dot" w:pos="8306"/>
        </w:tabs>
      </w:pPr>
      <w:r>
        <w:rPr>
          <w:color w:val="auto"/>
          <w:szCs w:val="30"/>
          <w:highlight w:val="none"/>
        </w:rPr>
        <w:fldChar w:fldCharType="begin"/>
      </w:r>
      <w:r>
        <w:rPr>
          <w:szCs w:val="30"/>
          <w:highlight w:val="none"/>
        </w:rPr>
        <w:instrText xml:space="preserve"> HYPERLINK \l _Toc31074 </w:instrText>
      </w:r>
      <w:r>
        <w:rPr>
          <w:szCs w:val="30"/>
          <w:highlight w:val="none"/>
        </w:rPr>
        <w:fldChar w:fldCharType="separate"/>
      </w:r>
      <w:r>
        <w:rPr>
          <w:rFonts w:hint="eastAsia" w:ascii="宋体" w:hAnsi="宋体" w:eastAsia="宋体" w:cs="宋体"/>
          <w:bCs/>
          <w:szCs w:val="21"/>
          <w:highlight w:val="none"/>
        </w:rPr>
        <w:t>二、确定的中标人放弃中标等情况的处理</w:t>
      </w:r>
      <w:r>
        <w:tab/>
      </w:r>
      <w:r>
        <w:fldChar w:fldCharType="begin"/>
      </w:r>
      <w:r>
        <w:instrText xml:space="preserve"> PAGEREF _Toc31074 \h </w:instrText>
      </w:r>
      <w:r>
        <w:fldChar w:fldCharType="separate"/>
      </w:r>
      <w:r>
        <w:t>27</w:t>
      </w:r>
      <w:r>
        <w:fldChar w:fldCharType="end"/>
      </w:r>
      <w:r>
        <w:rPr>
          <w:color w:val="auto"/>
          <w:szCs w:val="30"/>
          <w:highlight w:val="none"/>
        </w:rPr>
        <w:fldChar w:fldCharType="end"/>
      </w:r>
    </w:p>
    <w:p w14:paraId="3DE8F60E">
      <w:pPr>
        <w:pStyle w:val="29"/>
        <w:tabs>
          <w:tab w:val="right" w:leader="dot" w:pos="8306"/>
        </w:tabs>
      </w:pPr>
      <w:r>
        <w:rPr>
          <w:color w:val="auto"/>
          <w:szCs w:val="30"/>
          <w:highlight w:val="none"/>
        </w:rPr>
        <w:fldChar w:fldCharType="begin"/>
      </w:r>
      <w:r>
        <w:rPr>
          <w:szCs w:val="30"/>
          <w:highlight w:val="none"/>
        </w:rPr>
        <w:instrText xml:space="preserve"> HYPERLINK \l _Toc11195 </w:instrText>
      </w:r>
      <w:r>
        <w:rPr>
          <w:szCs w:val="30"/>
          <w:highlight w:val="none"/>
        </w:rPr>
        <w:fldChar w:fldCharType="separate"/>
      </w:r>
      <w:r>
        <w:rPr>
          <w:rFonts w:hint="eastAsia" w:ascii="宋体" w:hAnsi="宋体" w:eastAsia="宋体" w:cs="宋体"/>
          <w:bCs/>
          <w:szCs w:val="21"/>
          <w:highlight w:val="none"/>
          <w:lang w:val="en-US" w:eastAsia="zh-CN"/>
        </w:rPr>
        <w:t>三、评分细则</w:t>
      </w:r>
      <w:r>
        <w:tab/>
      </w:r>
      <w:r>
        <w:fldChar w:fldCharType="begin"/>
      </w:r>
      <w:r>
        <w:instrText xml:space="preserve"> PAGEREF _Toc11195 \h </w:instrText>
      </w:r>
      <w:r>
        <w:fldChar w:fldCharType="separate"/>
      </w:r>
      <w:r>
        <w:t>28</w:t>
      </w:r>
      <w:r>
        <w:fldChar w:fldCharType="end"/>
      </w:r>
      <w:r>
        <w:rPr>
          <w:color w:val="auto"/>
          <w:szCs w:val="30"/>
          <w:highlight w:val="none"/>
        </w:rPr>
        <w:fldChar w:fldCharType="end"/>
      </w:r>
    </w:p>
    <w:p w14:paraId="4B3A51DF">
      <w:pPr>
        <w:pStyle w:val="24"/>
        <w:tabs>
          <w:tab w:val="right" w:leader="dot" w:pos="8306"/>
        </w:tabs>
      </w:pPr>
      <w:r>
        <w:rPr>
          <w:color w:val="auto"/>
          <w:szCs w:val="30"/>
          <w:highlight w:val="none"/>
        </w:rPr>
        <w:fldChar w:fldCharType="begin"/>
      </w:r>
      <w:r>
        <w:rPr>
          <w:szCs w:val="30"/>
          <w:highlight w:val="none"/>
        </w:rPr>
        <w:instrText xml:space="preserve"> HYPERLINK \l _Toc25490 </w:instrText>
      </w:r>
      <w:r>
        <w:rPr>
          <w:szCs w:val="30"/>
          <w:highlight w:val="none"/>
        </w:rPr>
        <w:fldChar w:fldCharType="separate"/>
      </w:r>
      <w:r>
        <w:rPr>
          <w:rFonts w:hint="default" w:ascii="Times New Roman" w:hAnsi="宋体" w:eastAsia="宋体" w:cs="Times New Roman"/>
          <w:bCs/>
          <w:kern w:val="44"/>
          <w:szCs w:val="44"/>
          <w:highlight w:val="none"/>
        </w:rPr>
        <w:t>第七章  定标办法</w:t>
      </w:r>
      <w:r>
        <w:tab/>
      </w:r>
      <w:r>
        <w:fldChar w:fldCharType="begin"/>
      </w:r>
      <w:r>
        <w:instrText xml:space="preserve"> PAGEREF _Toc25490 \h </w:instrText>
      </w:r>
      <w:r>
        <w:fldChar w:fldCharType="separate"/>
      </w:r>
      <w:r>
        <w:t>30</w:t>
      </w:r>
      <w:r>
        <w:fldChar w:fldCharType="end"/>
      </w:r>
      <w:r>
        <w:rPr>
          <w:color w:val="auto"/>
          <w:szCs w:val="30"/>
          <w:highlight w:val="none"/>
        </w:rPr>
        <w:fldChar w:fldCharType="end"/>
      </w:r>
    </w:p>
    <w:p w14:paraId="1123FE0A">
      <w:pPr>
        <w:pStyle w:val="29"/>
        <w:tabs>
          <w:tab w:val="right" w:leader="dot" w:pos="8306"/>
        </w:tabs>
      </w:pPr>
      <w:r>
        <w:rPr>
          <w:color w:val="auto"/>
          <w:szCs w:val="30"/>
          <w:highlight w:val="none"/>
        </w:rPr>
        <w:fldChar w:fldCharType="begin"/>
      </w:r>
      <w:r>
        <w:rPr>
          <w:szCs w:val="30"/>
          <w:highlight w:val="none"/>
        </w:rPr>
        <w:instrText xml:space="preserve"> HYPERLINK \l _Toc31764 </w:instrText>
      </w:r>
      <w:r>
        <w:rPr>
          <w:szCs w:val="30"/>
          <w:highlight w:val="none"/>
        </w:rPr>
        <w:fldChar w:fldCharType="separate"/>
      </w:r>
      <w:r>
        <w:rPr>
          <w:rFonts w:hint="eastAsia" w:ascii="宋体" w:hAnsi="宋体" w:eastAsia="宋体" w:cs="宋体"/>
          <w:bCs/>
          <w:szCs w:val="21"/>
          <w:highlight w:val="none"/>
          <w:lang w:eastAsia="zh-CN"/>
        </w:rPr>
        <w:t>一、</w:t>
      </w:r>
      <w:r>
        <w:rPr>
          <w:rFonts w:hint="eastAsia" w:ascii="宋体" w:hAnsi="宋体" w:eastAsia="宋体" w:cs="宋体"/>
          <w:bCs/>
          <w:szCs w:val="21"/>
          <w:highlight w:val="none"/>
        </w:rPr>
        <w:t>定标原则</w:t>
      </w:r>
      <w:r>
        <w:tab/>
      </w:r>
      <w:r>
        <w:fldChar w:fldCharType="begin"/>
      </w:r>
      <w:r>
        <w:instrText xml:space="preserve"> PAGEREF _Toc31764 \h </w:instrText>
      </w:r>
      <w:r>
        <w:fldChar w:fldCharType="separate"/>
      </w:r>
      <w:r>
        <w:t>30</w:t>
      </w:r>
      <w:r>
        <w:fldChar w:fldCharType="end"/>
      </w:r>
      <w:r>
        <w:rPr>
          <w:color w:val="auto"/>
          <w:szCs w:val="30"/>
          <w:highlight w:val="none"/>
        </w:rPr>
        <w:fldChar w:fldCharType="end"/>
      </w:r>
    </w:p>
    <w:p w14:paraId="467C970C">
      <w:pPr>
        <w:pStyle w:val="29"/>
        <w:tabs>
          <w:tab w:val="right" w:leader="dot" w:pos="8306"/>
        </w:tabs>
      </w:pPr>
      <w:r>
        <w:rPr>
          <w:color w:val="auto"/>
          <w:szCs w:val="30"/>
          <w:highlight w:val="none"/>
        </w:rPr>
        <w:fldChar w:fldCharType="begin"/>
      </w:r>
      <w:r>
        <w:rPr>
          <w:szCs w:val="30"/>
          <w:highlight w:val="none"/>
        </w:rPr>
        <w:instrText xml:space="preserve"> HYPERLINK \l _Toc11372 </w:instrText>
      </w:r>
      <w:r>
        <w:rPr>
          <w:szCs w:val="30"/>
          <w:highlight w:val="none"/>
        </w:rPr>
        <w:fldChar w:fldCharType="separate"/>
      </w:r>
      <w:r>
        <w:rPr>
          <w:rFonts w:hint="eastAsia" w:ascii="宋体" w:hAnsi="宋体" w:eastAsia="宋体" w:cs="宋体"/>
          <w:bCs/>
          <w:szCs w:val="21"/>
          <w:highlight w:val="none"/>
          <w:lang w:eastAsia="zh-CN"/>
        </w:rPr>
        <w:t>二、</w:t>
      </w:r>
      <w:r>
        <w:rPr>
          <w:rFonts w:hint="eastAsia" w:ascii="宋体" w:hAnsi="宋体" w:eastAsia="宋体" w:cs="宋体"/>
          <w:bCs/>
          <w:szCs w:val="21"/>
          <w:highlight w:val="none"/>
        </w:rPr>
        <w:t>定标组织</w:t>
      </w:r>
      <w:r>
        <w:tab/>
      </w:r>
      <w:r>
        <w:fldChar w:fldCharType="begin"/>
      </w:r>
      <w:r>
        <w:instrText xml:space="preserve"> PAGEREF _Toc11372 \h </w:instrText>
      </w:r>
      <w:r>
        <w:fldChar w:fldCharType="separate"/>
      </w:r>
      <w:r>
        <w:t>30</w:t>
      </w:r>
      <w:r>
        <w:fldChar w:fldCharType="end"/>
      </w:r>
      <w:r>
        <w:rPr>
          <w:color w:val="auto"/>
          <w:szCs w:val="30"/>
          <w:highlight w:val="none"/>
        </w:rPr>
        <w:fldChar w:fldCharType="end"/>
      </w:r>
    </w:p>
    <w:p w14:paraId="1BCCB0EF">
      <w:pPr>
        <w:pStyle w:val="29"/>
        <w:tabs>
          <w:tab w:val="right" w:leader="dot" w:pos="8306"/>
        </w:tabs>
      </w:pPr>
      <w:r>
        <w:rPr>
          <w:color w:val="auto"/>
          <w:szCs w:val="30"/>
          <w:highlight w:val="none"/>
        </w:rPr>
        <w:fldChar w:fldCharType="begin"/>
      </w:r>
      <w:r>
        <w:rPr>
          <w:szCs w:val="30"/>
          <w:highlight w:val="none"/>
        </w:rPr>
        <w:instrText xml:space="preserve"> HYPERLINK \l _Toc16377 </w:instrText>
      </w:r>
      <w:r>
        <w:rPr>
          <w:szCs w:val="30"/>
          <w:highlight w:val="none"/>
        </w:rPr>
        <w:fldChar w:fldCharType="separate"/>
      </w:r>
      <w:r>
        <w:rPr>
          <w:rFonts w:hint="eastAsia" w:ascii="宋体" w:hAnsi="宋体" w:eastAsia="宋体" w:cs="宋体"/>
          <w:bCs/>
          <w:szCs w:val="21"/>
          <w:highlight w:val="none"/>
          <w:lang w:eastAsia="zh-CN"/>
        </w:rPr>
        <w:t>三、</w:t>
      </w:r>
      <w:r>
        <w:rPr>
          <w:rFonts w:hint="eastAsia" w:ascii="宋体" w:hAnsi="宋体" w:eastAsia="宋体" w:cs="宋体"/>
          <w:bCs/>
          <w:szCs w:val="21"/>
          <w:highlight w:val="none"/>
        </w:rPr>
        <w:t>定标程序</w:t>
      </w:r>
      <w:r>
        <w:tab/>
      </w:r>
      <w:r>
        <w:fldChar w:fldCharType="begin"/>
      </w:r>
      <w:r>
        <w:instrText xml:space="preserve"> PAGEREF _Toc16377 \h </w:instrText>
      </w:r>
      <w:r>
        <w:fldChar w:fldCharType="separate"/>
      </w:r>
      <w:r>
        <w:t>30</w:t>
      </w:r>
      <w:r>
        <w:fldChar w:fldCharType="end"/>
      </w:r>
      <w:r>
        <w:rPr>
          <w:color w:val="auto"/>
          <w:szCs w:val="30"/>
          <w:highlight w:val="none"/>
        </w:rPr>
        <w:fldChar w:fldCharType="end"/>
      </w:r>
    </w:p>
    <w:p w14:paraId="5DEF5656">
      <w:pPr>
        <w:pStyle w:val="29"/>
        <w:tabs>
          <w:tab w:val="right" w:leader="dot" w:pos="8306"/>
        </w:tabs>
      </w:pPr>
      <w:r>
        <w:rPr>
          <w:color w:val="auto"/>
          <w:szCs w:val="30"/>
          <w:highlight w:val="none"/>
        </w:rPr>
        <w:fldChar w:fldCharType="begin"/>
      </w:r>
      <w:r>
        <w:rPr>
          <w:szCs w:val="30"/>
          <w:highlight w:val="none"/>
        </w:rPr>
        <w:instrText xml:space="preserve"> HYPERLINK \l _Toc8455 </w:instrText>
      </w:r>
      <w:r>
        <w:rPr>
          <w:szCs w:val="30"/>
          <w:highlight w:val="none"/>
        </w:rPr>
        <w:fldChar w:fldCharType="separate"/>
      </w:r>
      <w:r>
        <w:rPr>
          <w:rFonts w:hint="eastAsia" w:ascii="宋体" w:hAnsi="宋体" w:eastAsia="宋体" w:cs="宋体"/>
          <w:bCs/>
          <w:szCs w:val="21"/>
          <w:highlight w:val="none"/>
          <w:lang w:eastAsia="zh-CN"/>
        </w:rPr>
        <w:t>四、</w:t>
      </w:r>
      <w:r>
        <w:rPr>
          <w:rFonts w:hint="eastAsia" w:ascii="宋体" w:hAnsi="宋体" w:eastAsia="宋体" w:cs="宋体"/>
          <w:bCs/>
          <w:szCs w:val="21"/>
          <w:highlight w:val="none"/>
        </w:rPr>
        <w:t>完成定标报告</w:t>
      </w:r>
      <w:r>
        <w:tab/>
      </w:r>
      <w:r>
        <w:fldChar w:fldCharType="begin"/>
      </w:r>
      <w:r>
        <w:instrText xml:space="preserve"> PAGEREF _Toc8455 \h </w:instrText>
      </w:r>
      <w:r>
        <w:fldChar w:fldCharType="separate"/>
      </w:r>
      <w:r>
        <w:t>30</w:t>
      </w:r>
      <w:r>
        <w:fldChar w:fldCharType="end"/>
      </w:r>
      <w:r>
        <w:rPr>
          <w:color w:val="auto"/>
          <w:szCs w:val="30"/>
          <w:highlight w:val="none"/>
        </w:rPr>
        <w:fldChar w:fldCharType="end"/>
      </w:r>
    </w:p>
    <w:p w14:paraId="0F574BDF">
      <w:pPr>
        <w:pStyle w:val="24"/>
        <w:tabs>
          <w:tab w:val="right" w:leader="dot" w:pos="8306"/>
        </w:tabs>
      </w:pPr>
      <w:r>
        <w:rPr>
          <w:color w:val="auto"/>
          <w:szCs w:val="30"/>
          <w:highlight w:val="none"/>
        </w:rPr>
        <w:fldChar w:fldCharType="begin"/>
      </w:r>
      <w:r>
        <w:rPr>
          <w:szCs w:val="30"/>
          <w:highlight w:val="none"/>
        </w:rPr>
        <w:instrText xml:space="preserve"> HYPERLINK \l _Toc20078 </w:instrText>
      </w:r>
      <w:r>
        <w:rPr>
          <w:szCs w:val="30"/>
          <w:highlight w:val="none"/>
        </w:rPr>
        <w:fldChar w:fldCharType="separate"/>
      </w:r>
      <w:r>
        <w:rPr>
          <w:rFonts w:hint="eastAsia" w:ascii="宋体" w:hAnsi="宋体"/>
          <w:szCs w:val="36"/>
          <w:highlight w:val="none"/>
        </w:rPr>
        <w:t>第</w:t>
      </w:r>
      <w:r>
        <w:rPr>
          <w:rFonts w:hint="eastAsia" w:ascii="宋体" w:hAnsi="宋体"/>
          <w:szCs w:val="36"/>
          <w:highlight w:val="none"/>
          <w:lang w:val="en-US" w:eastAsia="zh-CN"/>
        </w:rPr>
        <w:t>八</w:t>
      </w:r>
      <w:r>
        <w:rPr>
          <w:rFonts w:hint="eastAsia" w:ascii="宋体" w:hAnsi="宋体"/>
          <w:szCs w:val="36"/>
          <w:highlight w:val="none"/>
        </w:rPr>
        <w:t>章  合同主要条款</w:t>
      </w:r>
      <w:r>
        <w:tab/>
      </w:r>
      <w:r>
        <w:fldChar w:fldCharType="begin"/>
      </w:r>
      <w:r>
        <w:instrText xml:space="preserve"> PAGEREF _Toc20078 \h </w:instrText>
      </w:r>
      <w:r>
        <w:fldChar w:fldCharType="separate"/>
      </w:r>
      <w:r>
        <w:t>31</w:t>
      </w:r>
      <w:r>
        <w:fldChar w:fldCharType="end"/>
      </w:r>
      <w:r>
        <w:rPr>
          <w:color w:val="auto"/>
          <w:szCs w:val="30"/>
          <w:highlight w:val="none"/>
        </w:rPr>
        <w:fldChar w:fldCharType="end"/>
      </w:r>
    </w:p>
    <w:p w14:paraId="1AE7C4A1">
      <w:pPr>
        <w:pStyle w:val="24"/>
        <w:tabs>
          <w:tab w:val="right" w:leader="dot" w:pos="8306"/>
        </w:tabs>
      </w:pPr>
      <w:r>
        <w:rPr>
          <w:color w:val="auto"/>
          <w:szCs w:val="30"/>
          <w:highlight w:val="none"/>
        </w:rPr>
        <w:fldChar w:fldCharType="begin"/>
      </w:r>
      <w:r>
        <w:rPr>
          <w:szCs w:val="30"/>
          <w:highlight w:val="none"/>
        </w:rPr>
        <w:instrText xml:space="preserve"> HYPERLINK \l _Toc10614 </w:instrText>
      </w:r>
      <w:r>
        <w:rPr>
          <w:szCs w:val="30"/>
          <w:highlight w:val="none"/>
        </w:rPr>
        <w:fldChar w:fldCharType="separate"/>
      </w:r>
      <w:r>
        <w:rPr>
          <w:rFonts w:hint="eastAsia" w:ascii="宋体" w:hAnsi="宋体" w:eastAsia="宋体" w:cs="Times New Roman"/>
          <w:szCs w:val="36"/>
          <w:highlight w:val="none"/>
        </w:rPr>
        <w:t>第</w:t>
      </w:r>
      <w:r>
        <w:rPr>
          <w:rFonts w:hint="eastAsia" w:ascii="宋体" w:hAnsi="宋体" w:eastAsia="宋体" w:cs="Times New Roman"/>
          <w:szCs w:val="36"/>
          <w:highlight w:val="none"/>
          <w:lang w:val="en-US" w:eastAsia="zh-CN"/>
        </w:rPr>
        <w:t>九</w:t>
      </w:r>
      <w:r>
        <w:rPr>
          <w:rFonts w:hint="eastAsia" w:ascii="宋体" w:hAnsi="宋体" w:eastAsia="宋体" w:cs="Times New Roman"/>
          <w:szCs w:val="36"/>
          <w:highlight w:val="none"/>
        </w:rPr>
        <w:t>章  投标文件部分格式</w:t>
      </w:r>
      <w:r>
        <w:tab/>
      </w:r>
      <w:r>
        <w:fldChar w:fldCharType="begin"/>
      </w:r>
      <w:r>
        <w:instrText xml:space="preserve"> PAGEREF _Toc10614 \h </w:instrText>
      </w:r>
      <w:r>
        <w:fldChar w:fldCharType="separate"/>
      </w:r>
      <w:r>
        <w:t>38</w:t>
      </w:r>
      <w:r>
        <w:fldChar w:fldCharType="end"/>
      </w:r>
      <w:r>
        <w:rPr>
          <w:color w:val="auto"/>
          <w:szCs w:val="30"/>
          <w:highlight w:val="none"/>
        </w:rPr>
        <w:fldChar w:fldCharType="end"/>
      </w:r>
    </w:p>
    <w:p w14:paraId="0EAECD09">
      <w:pPr>
        <w:pStyle w:val="29"/>
        <w:tabs>
          <w:tab w:val="right" w:leader="dot" w:pos="8306"/>
        </w:tabs>
      </w:pPr>
      <w:r>
        <w:rPr>
          <w:color w:val="auto"/>
          <w:szCs w:val="30"/>
          <w:highlight w:val="none"/>
        </w:rPr>
        <w:fldChar w:fldCharType="begin"/>
      </w:r>
      <w:r>
        <w:rPr>
          <w:szCs w:val="30"/>
          <w:highlight w:val="none"/>
        </w:rPr>
        <w:instrText xml:space="preserve"> HYPERLINK \l _Toc12244 </w:instrText>
      </w:r>
      <w:r>
        <w:rPr>
          <w:szCs w:val="30"/>
          <w:highlight w:val="none"/>
        </w:rPr>
        <w:fldChar w:fldCharType="separate"/>
      </w:r>
      <w:r>
        <w:rPr>
          <w:rFonts w:hint="eastAsia" w:ascii="宋体" w:hAnsi="宋体" w:eastAsia="宋体" w:cs="宋体"/>
          <w:szCs w:val="21"/>
          <w:highlight w:val="none"/>
        </w:rPr>
        <w:t>一、资格响应文件、商务技术响应文件部分格式</w:t>
      </w:r>
      <w:r>
        <w:tab/>
      </w:r>
      <w:r>
        <w:fldChar w:fldCharType="begin"/>
      </w:r>
      <w:r>
        <w:instrText xml:space="preserve"> PAGEREF _Toc12244 \h </w:instrText>
      </w:r>
      <w:r>
        <w:fldChar w:fldCharType="separate"/>
      </w:r>
      <w:r>
        <w:t>38</w:t>
      </w:r>
      <w:r>
        <w:fldChar w:fldCharType="end"/>
      </w:r>
      <w:r>
        <w:rPr>
          <w:color w:val="auto"/>
          <w:szCs w:val="30"/>
          <w:highlight w:val="none"/>
        </w:rPr>
        <w:fldChar w:fldCharType="end"/>
      </w:r>
    </w:p>
    <w:p w14:paraId="02C1D2CA">
      <w:pPr>
        <w:pStyle w:val="29"/>
        <w:tabs>
          <w:tab w:val="right" w:leader="dot" w:pos="8306"/>
        </w:tabs>
      </w:pPr>
      <w:r>
        <w:rPr>
          <w:color w:val="auto"/>
          <w:szCs w:val="30"/>
          <w:highlight w:val="none"/>
        </w:rPr>
        <w:fldChar w:fldCharType="begin"/>
      </w:r>
      <w:r>
        <w:rPr>
          <w:szCs w:val="30"/>
          <w:highlight w:val="none"/>
        </w:rPr>
        <w:instrText xml:space="preserve"> HYPERLINK \l _Toc21195 </w:instrText>
      </w:r>
      <w:r>
        <w:rPr>
          <w:szCs w:val="30"/>
          <w:highlight w:val="none"/>
        </w:rPr>
        <w:fldChar w:fldCharType="separate"/>
      </w:r>
      <w:r>
        <w:rPr>
          <w:rFonts w:hint="eastAsia" w:ascii="宋体" w:hAnsi="宋体" w:eastAsia="宋体" w:cs="宋体"/>
          <w:szCs w:val="21"/>
          <w:highlight w:val="none"/>
        </w:rPr>
        <w:t>二、报价响应文件部分格式</w:t>
      </w:r>
      <w:r>
        <w:tab/>
      </w:r>
      <w:r>
        <w:fldChar w:fldCharType="begin"/>
      </w:r>
      <w:r>
        <w:instrText xml:space="preserve"> PAGEREF _Toc21195 \h </w:instrText>
      </w:r>
      <w:r>
        <w:fldChar w:fldCharType="separate"/>
      </w:r>
      <w:r>
        <w:t>38</w:t>
      </w:r>
      <w:r>
        <w:fldChar w:fldCharType="end"/>
      </w:r>
      <w:r>
        <w:rPr>
          <w:color w:val="auto"/>
          <w:szCs w:val="30"/>
          <w:highlight w:val="none"/>
        </w:rPr>
        <w:fldChar w:fldCharType="end"/>
      </w:r>
    </w:p>
    <w:p w14:paraId="0441C813">
      <w:pPr>
        <w:pStyle w:val="29"/>
        <w:tabs>
          <w:tab w:val="right" w:leader="dot" w:pos="8306"/>
        </w:tabs>
      </w:pPr>
      <w:r>
        <w:rPr>
          <w:color w:val="auto"/>
          <w:szCs w:val="30"/>
          <w:highlight w:val="none"/>
        </w:rPr>
        <w:fldChar w:fldCharType="begin"/>
      </w:r>
      <w:r>
        <w:rPr>
          <w:szCs w:val="30"/>
          <w:highlight w:val="none"/>
        </w:rPr>
        <w:instrText xml:space="preserve"> HYPERLINK \l _Toc4702 </w:instrText>
      </w:r>
      <w:r>
        <w:rPr>
          <w:szCs w:val="30"/>
          <w:highlight w:val="none"/>
        </w:rPr>
        <w:fldChar w:fldCharType="separate"/>
      </w:r>
      <w:r>
        <w:rPr>
          <w:rFonts w:hint="eastAsia" w:ascii="宋体" w:hAnsi="宋体" w:eastAsia="宋体" w:cs="宋体"/>
          <w:szCs w:val="21"/>
          <w:highlight w:val="none"/>
        </w:rPr>
        <w:t>三、质疑函范本</w:t>
      </w:r>
      <w:r>
        <w:tab/>
      </w:r>
      <w:r>
        <w:fldChar w:fldCharType="begin"/>
      </w:r>
      <w:r>
        <w:instrText xml:space="preserve"> PAGEREF _Toc4702 \h </w:instrText>
      </w:r>
      <w:r>
        <w:fldChar w:fldCharType="separate"/>
      </w:r>
      <w:r>
        <w:t>38</w:t>
      </w:r>
      <w:r>
        <w:fldChar w:fldCharType="end"/>
      </w:r>
      <w:r>
        <w:rPr>
          <w:color w:val="auto"/>
          <w:szCs w:val="30"/>
          <w:highlight w:val="none"/>
        </w:rPr>
        <w:fldChar w:fldCharType="end"/>
      </w:r>
    </w:p>
    <w:p w14:paraId="04D56390">
      <w:pPr>
        <w:rPr>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color w:val="auto"/>
          <w:szCs w:val="30"/>
          <w:highlight w:val="none"/>
        </w:rPr>
        <w:fldChar w:fldCharType="end"/>
      </w:r>
    </w:p>
    <w:p w14:paraId="5674EB3C">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color w:val="auto"/>
          <w:sz w:val="36"/>
          <w:highlight w:val="none"/>
        </w:rPr>
      </w:pPr>
      <w:bookmarkStart w:id="0" w:name="_Toc31036"/>
      <w:bookmarkStart w:id="1" w:name="_Toc13402"/>
      <w:r>
        <w:rPr>
          <w:rFonts w:ascii="Times New Roman" w:hAnsi="Times New Roman" w:eastAsia="宋体" w:cs="Times New Roman"/>
          <w:b/>
          <w:bCs/>
          <w:color w:val="auto"/>
          <w:kern w:val="44"/>
          <w:sz w:val="36"/>
          <w:szCs w:val="44"/>
          <w:highlight w:val="none"/>
          <w:lang w:val="en-US" w:eastAsia="zh-CN" w:bidi="ar-SA"/>
        </w:rPr>
        <w:t>第一章</w:t>
      </w:r>
      <w:r>
        <w:rPr>
          <w:rFonts w:hint="eastAsia"/>
          <w:color w:val="auto"/>
          <w:sz w:val="36"/>
          <w:highlight w:val="none"/>
        </w:rPr>
        <w:t>　招标公告</w:t>
      </w:r>
      <w:bookmarkEnd w:id="0"/>
      <w:bookmarkEnd w:id="1"/>
    </w:p>
    <w:p w14:paraId="40F326E9">
      <w:pPr>
        <w:pageBreakBefore w:val="0"/>
        <w:widowControl w:val="0"/>
        <w:kinsoku/>
        <w:wordWrap/>
        <w:overflowPunct/>
        <w:topLinePunct w:val="0"/>
        <w:autoSpaceDE/>
        <w:autoSpaceDN/>
        <w:bidi w:val="0"/>
        <w:spacing w:line="360" w:lineRule="auto"/>
        <w:ind w:firstLine="420" w:firstLineChars="200"/>
        <w:textAlignment w:val="auto"/>
        <w:rPr>
          <w:rFonts w:hint="eastAsia"/>
          <w:color w:val="auto"/>
          <w:highlight w:val="none"/>
        </w:rPr>
      </w:pPr>
      <w:r>
        <w:rPr>
          <w:rFonts w:hint="eastAsia"/>
          <w:color w:val="auto"/>
          <w:highlight w:val="none"/>
        </w:rPr>
        <w:t>根据法律法规等相关规定，本项目进行公开招标，欢迎国内合格的</w:t>
      </w:r>
      <w:r>
        <w:rPr>
          <w:rFonts w:hint="eastAsia" w:ascii="宋体" w:hAnsi="宋体" w:cs="宋体"/>
          <w:color w:val="auto"/>
          <w:highlight w:val="none"/>
        </w:rPr>
        <w:t>供应商</w:t>
      </w:r>
      <w:r>
        <w:rPr>
          <w:rFonts w:hint="eastAsia"/>
          <w:color w:val="auto"/>
          <w:highlight w:val="none"/>
        </w:rPr>
        <w:t>参加投标。</w:t>
      </w:r>
    </w:p>
    <w:p w14:paraId="34F1B599">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宋体" w:hAnsi="宋体" w:cs="宋体"/>
          <w:b/>
          <w:bCs w:val="0"/>
          <w:color w:val="auto"/>
          <w:highlight w:val="none"/>
        </w:rPr>
      </w:pPr>
      <w:r>
        <w:rPr>
          <w:rFonts w:hint="eastAsia" w:ascii="宋体" w:hAnsi="宋体" w:cs="宋体"/>
          <w:b/>
          <w:bCs w:val="0"/>
          <w:color w:val="auto"/>
          <w:highlight w:val="none"/>
        </w:rPr>
        <w:t>采购编号：</w:t>
      </w:r>
      <w:r>
        <w:rPr>
          <w:rFonts w:hint="eastAsia" w:ascii="宋体" w:hAnsi="宋体" w:cs="宋体"/>
          <w:b w:val="0"/>
          <w:bCs/>
          <w:color w:val="auto"/>
          <w:highlight w:val="none"/>
        </w:rPr>
        <w:t>YWYGZC202509CG0004</w:t>
      </w:r>
      <w:r>
        <w:rPr>
          <w:rFonts w:hint="eastAsia" w:ascii="宋体" w:hAnsi="宋体" w:cs="宋体"/>
          <w:b w:val="0"/>
          <w:bCs/>
          <w:color w:val="auto"/>
          <w:highlight w:val="none"/>
          <w:lang w:eastAsia="zh-CN"/>
        </w:rPr>
        <w:t>（</w:t>
      </w:r>
      <w:r>
        <w:rPr>
          <w:rFonts w:hint="eastAsia" w:ascii="宋体" w:hAnsi="宋体" w:cs="宋体"/>
          <w:b w:val="0"/>
          <w:bCs/>
          <w:color w:val="auto"/>
          <w:highlight w:val="none"/>
        </w:rPr>
        <w:t>YCQ-2025-CG228</w:t>
      </w:r>
      <w:r>
        <w:rPr>
          <w:rFonts w:hint="eastAsia" w:ascii="宋体" w:hAnsi="宋体" w:cs="宋体"/>
          <w:b w:val="0"/>
          <w:bCs/>
          <w:color w:val="auto"/>
          <w:highlight w:val="none"/>
          <w:lang w:val="en-US" w:eastAsia="zh-CN"/>
        </w:rPr>
        <w:t>-1</w:t>
      </w:r>
      <w:r>
        <w:rPr>
          <w:rFonts w:hint="eastAsia" w:ascii="宋体" w:hAnsi="宋体" w:cs="宋体"/>
          <w:b w:val="0"/>
          <w:bCs/>
          <w:color w:val="auto"/>
          <w:highlight w:val="none"/>
          <w:lang w:eastAsia="zh-CN"/>
        </w:rPr>
        <w:t>）</w:t>
      </w:r>
    </w:p>
    <w:p w14:paraId="366E2CED">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hAnsi="宋体"/>
          <w:b/>
          <w:bCs w:val="0"/>
          <w:color w:val="auto"/>
          <w:highlight w:val="none"/>
        </w:rPr>
      </w:pPr>
      <w:r>
        <w:rPr>
          <w:rFonts w:hint="eastAsia" w:ascii="宋体" w:hAnsi="宋体" w:cs="宋体"/>
          <w:b/>
          <w:bCs w:val="0"/>
          <w:color w:val="auto"/>
          <w:highlight w:val="none"/>
        </w:rPr>
        <w:t>采购内容及数量：</w:t>
      </w:r>
      <w:r>
        <w:rPr>
          <w:rFonts w:hint="eastAsia" w:ascii="宋体" w:hAnsi="宋体"/>
          <w:color w:val="auto"/>
          <w:highlight w:val="none"/>
          <w:lang w:eastAsia="zh-CN"/>
        </w:rPr>
        <w:t>义乌市第三自来水有限公司</w:t>
      </w:r>
      <w:r>
        <w:rPr>
          <w:rFonts w:hint="eastAsia" w:ascii="宋体" w:hAnsi="宋体" w:eastAsia="宋体" w:cs="宋体"/>
          <w:b w:val="0"/>
          <w:bCs w:val="0"/>
          <w:color w:val="auto"/>
          <w:highlight w:val="none"/>
          <w:lang w:eastAsia="zh-CN"/>
        </w:rPr>
        <w:t>202</w:t>
      </w:r>
      <w:r>
        <w:rPr>
          <w:rFonts w:hint="eastAsia" w:ascii="宋体" w:hAnsi="宋体" w:eastAsia="宋体" w:cs="宋体"/>
          <w:b w:val="0"/>
          <w:bCs w:val="0"/>
          <w:color w:val="auto"/>
          <w:highlight w:val="none"/>
          <w:lang w:val="en-US" w:eastAsia="zh-CN"/>
        </w:rPr>
        <w:t>5</w:t>
      </w:r>
      <w:r>
        <w:rPr>
          <w:rFonts w:hint="eastAsia" w:ascii="宋体" w:hAnsi="宋体" w:eastAsia="宋体" w:cs="宋体"/>
          <w:b w:val="0"/>
          <w:bCs w:val="0"/>
          <w:color w:val="auto"/>
          <w:highlight w:val="none"/>
          <w:lang w:eastAsia="zh-CN"/>
        </w:rPr>
        <w:t>-202</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rPr>
        <w:t>年度招标代理</w:t>
      </w:r>
      <w:r>
        <w:rPr>
          <w:rFonts w:hint="eastAsia" w:ascii="宋体" w:hAnsi="宋体" w:eastAsia="宋体" w:cs="宋体"/>
          <w:b w:val="0"/>
          <w:bCs w:val="0"/>
          <w:color w:val="auto"/>
          <w:highlight w:val="none"/>
          <w:lang w:eastAsia="zh-CN"/>
        </w:rPr>
        <w:t>（含施工招标、货物及服务采购等）</w:t>
      </w:r>
      <w:r>
        <w:rPr>
          <w:rFonts w:hint="eastAsia" w:ascii="宋体" w:hAnsi="宋体" w:eastAsia="宋体" w:cs="宋体"/>
          <w:b w:val="0"/>
          <w:bCs w:val="0"/>
          <w:color w:val="auto"/>
          <w:highlight w:val="none"/>
        </w:rPr>
        <w:t>和造价咨询</w:t>
      </w:r>
      <w:r>
        <w:rPr>
          <w:rFonts w:hint="eastAsia" w:ascii="宋体" w:hAnsi="宋体" w:eastAsia="宋体" w:cs="宋体"/>
          <w:b w:val="0"/>
          <w:bCs w:val="0"/>
          <w:color w:val="auto"/>
          <w:highlight w:val="none"/>
          <w:lang w:eastAsia="zh-CN"/>
        </w:rPr>
        <w:t>（含工程量清单及预算、招标控制价编制或审核、施工阶段全过程工程造价控制，工程结算审核等）</w:t>
      </w:r>
      <w:r>
        <w:rPr>
          <w:rFonts w:hint="eastAsia" w:ascii="宋体" w:hAnsi="宋体" w:eastAsia="宋体" w:cs="宋体"/>
          <w:b w:val="0"/>
          <w:bCs w:val="0"/>
          <w:color w:val="auto"/>
          <w:highlight w:val="none"/>
        </w:rPr>
        <w:t>服务</w:t>
      </w:r>
      <w:r>
        <w:rPr>
          <w:rFonts w:hint="eastAsia" w:ascii="宋体" w:hAnsi="宋体" w:eastAsia="宋体" w:cs="宋体"/>
          <w:b w:val="0"/>
          <w:bCs w:val="0"/>
          <w:color w:val="auto"/>
          <w:highlight w:val="none"/>
          <w:lang w:val="en-US" w:eastAsia="zh-CN"/>
        </w:rPr>
        <w:t>采购</w:t>
      </w:r>
      <w:r>
        <w:rPr>
          <w:rFonts w:hint="eastAsia" w:ascii="宋体" w:hAnsi="宋体" w:eastAsia="宋体" w:cs="宋体"/>
          <w:b w:val="0"/>
          <w:bCs w:val="0"/>
          <w:color w:val="auto"/>
          <w:highlight w:val="none"/>
          <w:lang w:eastAsia="zh-CN"/>
        </w:rPr>
        <w:t>项目，服务期内</w:t>
      </w:r>
      <w:r>
        <w:rPr>
          <w:rFonts w:hint="eastAsia" w:ascii="宋体" w:hAnsi="宋体" w:eastAsia="宋体" w:cs="宋体"/>
          <w:b w:val="0"/>
          <w:bCs w:val="0"/>
          <w:color w:val="auto"/>
          <w:highlight w:val="none"/>
          <w:lang w:val="en-US" w:eastAsia="zh-CN"/>
        </w:rPr>
        <w:t>单个委托项目</w:t>
      </w:r>
      <w:r>
        <w:rPr>
          <w:rFonts w:hint="eastAsia" w:ascii="宋体" w:hAnsi="宋体" w:eastAsia="宋体" w:cs="宋体"/>
          <w:b w:val="0"/>
          <w:bCs w:val="0"/>
          <w:color w:val="auto"/>
          <w:highlight w:val="none"/>
        </w:rPr>
        <w:t>招标代理和造价咨询</w:t>
      </w:r>
      <w:r>
        <w:rPr>
          <w:rFonts w:hint="eastAsia" w:ascii="宋体" w:hAnsi="宋体" w:eastAsia="宋体" w:cs="宋体"/>
          <w:b w:val="0"/>
          <w:bCs w:val="0"/>
          <w:color w:val="auto"/>
          <w:highlight w:val="none"/>
          <w:lang w:eastAsia="zh-CN"/>
        </w:rPr>
        <w:t>服务费不超过</w:t>
      </w:r>
      <w:r>
        <w:rPr>
          <w:rFonts w:hint="eastAsia" w:ascii="宋体" w:hAnsi="宋体" w:eastAsia="宋体" w:cs="宋体"/>
          <w:b w:val="0"/>
          <w:bCs w:val="0"/>
          <w:color w:val="auto"/>
          <w:highlight w:val="none"/>
          <w:lang w:val="en-US" w:eastAsia="zh-CN"/>
        </w:rPr>
        <w:t>50万元。具体</w:t>
      </w:r>
      <w:r>
        <w:rPr>
          <w:rFonts w:hint="eastAsia" w:ascii="宋体" w:hAnsi="宋体" w:eastAsia="宋体" w:cs="宋体"/>
          <w:b w:val="0"/>
          <w:bCs w:val="0"/>
          <w:color w:val="auto"/>
          <w:highlight w:val="none"/>
        </w:rPr>
        <w:t>详情请见第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章《招标项目要求》。</w:t>
      </w:r>
    </w:p>
    <w:p w14:paraId="4BA061F9">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hAnsi="宋体"/>
          <w:b/>
          <w:bCs w:val="0"/>
          <w:color w:val="auto"/>
          <w:highlight w:val="none"/>
        </w:rPr>
      </w:pPr>
      <w:r>
        <w:rPr>
          <w:rFonts w:hint="eastAsia" w:hAnsi="宋体"/>
          <w:b/>
          <w:bCs w:val="0"/>
          <w:color w:val="auto"/>
          <w:highlight w:val="none"/>
          <w:lang w:val="zh-CN"/>
        </w:rPr>
        <w:t>投标人的资格要求</w:t>
      </w:r>
      <w:r>
        <w:rPr>
          <w:rFonts w:hint="eastAsia" w:hAnsi="宋体"/>
          <w:b/>
          <w:bCs w:val="0"/>
          <w:color w:val="auto"/>
          <w:highlight w:val="none"/>
        </w:rPr>
        <w:t>：</w:t>
      </w:r>
    </w:p>
    <w:p w14:paraId="0184ADAA">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w:t>
      </w:r>
      <w:r>
        <w:rPr>
          <w:rFonts w:hint="eastAsia" w:hAnsi="宋体"/>
          <w:bCs/>
          <w:color w:val="auto"/>
          <w:highlight w:val="none"/>
        </w:rPr>
        <w:t>国内</w:t>
      </w:r>
      <w:r>
        <w:rPr>
          <w:rFonts w:hint="eastAsia" w:ascii="宋体" w:hAnsi="宋体" w:cs="宋体"/>
          <w:color w:val="auto"/>
          <w:highlight w:val="none"/>
        </w:rPr>
        <w:t>具有法人资格</w:t>
      </w:r>
      <w:r>
        <w:rPr>
          <w:rFonts w:hint="eastAsia" w:ascii="宋体" w:hAnsi="宋体" w:cs="宋体"/>
          <w:color w:val="auto"/>
          <w:highlight w:val="none"/>
          <w:lang w:val="en-US" w:eastAsia="zh-CN"/>
        </w:rPr>
        <w:t>且</w:t>
      </w:r>
      <w:r>
        <w:rPr>
          <w:rFonts w:hint="eastAsia" w:ascii="宋体" w:hAnsi="宋体" w:cs="宋体"/>
          <w:color w:val="auto"/>
          <w:highlight w:val="none"/>
          <w:lang w:val="zh-CN"/>
        </w:rPr>
        <w:t>参加采购活动前三年内无重大违法经营活动</w:t>
      </w:r>
      <w:r>
        <w:rPr>
          <w:rFonts w:hint="eastAsia" w:ascii="宋体" w:hAnsi="宋体" w:cs="宋体"/>
          <w:color w:val="auto"/>
          <w:highlight w:val="none"/>
        </w:rPr>
        <w:t>，</w:t>
      </w:r>
      <w:r>
        <w:rPr>
          <w:rFonts w:hint="eastAsia" w:ascii="宋体" w:hAnsi="宋体" w:eastAsia="宋体" w:cs="宋体"/>
          <w:color w:val="auto"/>
          <w:highlight w:val="none"/>
        </w:rPr>
        <w:t>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7E38E18E">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②根据《浙江省公共信用信息管理条例》第二十六条的规定，未列入严重失信名单的（查询结果以开标当日网站页面显示为准）；</w:t>
      </w:r>
    </w:p>
    <w:p w14:paraId="1BCCCCB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③</w:t>
      </w:r>
      <w:r>
        <w:rPr>
          <w:rFonts w:hint="eastAsia" w:ascii="宋体" w:hAnsi="宋体" w:eastAsia="宋体" w:cs="宋体"/>
          <w:color w:val="auto"/>
          <w:highlight w:val="none"/>
        </w:rPr>
        <w:t>信誉要求：投标人自202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1月1日起到中标候选人公告期结束前无行贿犯罪记录（评标结束后，由采购人通过中国裁判文书网（http://wenshu.court.gov.cn/）按照招标文件约定对中标候选人的行贿犯罪记录进行查询，查询结果以网站页面显示内容为准）；</w:t>
      </w:r>
    </w:p>
    <w:p w14:paraId="0B7DB8E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④</w:t>
      </w:r>
      <w:r>
        <w:rPr>
          <w:rFonts w:hint="eastAsia" w:ascii="宋体" w:hAnsi="宋体" w:eastAsia="宋体" w:cs="宋体"/>
          <w:b w:val="0"/>
          <w:bCs w:val="0"/>
          <w:color w:val="auto"/>
          <w:kern w:val="2"/>
          <w:sz w:val="21"/>
          <w:szCs w:val="24"/>
          <w:highlight w:val="none"/>
          <w:lang w:val="en-US" w:eastAsia="zh-CN" w:bidi="ar-SA"/>
        </w:rPr>
        <w:t>拟派项目负责人具有国家一级注册造价工程师证书；</w:t>
      </w:r>
    </w:p>
    <w:p w14:paraId="578B6395">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⑤</w:t>
      </w:r>
      <w:r>
        <w:rPr>
          <w:rFonts w:hint="eastAsia" w:ascii="宋体" w:hAnsi="宋体" w:eastAsia="宋体" w:cs="宋体"/>
          <w:color w:val="auto"/>
          <w:highlight w:val="none"/>
        </w:rPr>
        <w:t>本项目不得转包（如有转包，终止合同），不接受联合体投标。</w:t>
      </w:r>
    </w:p>
    <w:p w14:paraId="4F3A85C1">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采购文件（即招标文件，下同）获取时间、地点及方式：</w:t>
      </w:r>
    </w:p>
    <w:p w14:paraId="628E7103">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①时间：公告发布时间起至投标截止时间止。</w:t>
      </w:r>
    </w:p>
    <w:p w14:paraId="13412AC7">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②地点：义乌市阳光招标采购平台(www.ywygzc.com)、义乌产权交易网（www.ywcq.com）。</w:t>
      </w:r>
    </w:p>
    <w:p w14:paraId="3570447B">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③方式：登录义乌市阳光招标采购平台账号获取或直接在招标公告下方获取。</w:t>
      </w:r>
    </w:p>
    <w:p w14:paraId="423A1990">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潜在供应商未在规定的期限内按照上述方式获取招标文件的，采购人、采购代理机构可以不予受理其所提出的对招标文件的质疑。</w:t>
      </w:r>
    </w:p>
    <w:p w14:paraId="0E2EC8FA">
      <w:pPr>
        <w:pageBreakBefore w:val="0"/>
        <w:widowControl w:val="0"/>
        <w:numPr>
          <w:ilvl w:val="0"/>
          <w:numId w:val="3"/>
        </w:numPr>
        <w:kinsoku/>
        <w:wordWrap/>
        <w:overflowPunct/>
        <w:topLinePunct w:val="0"/>
        <w:autoSpaceDE/>
        <w:autoSpaceDN/>
        <w:bidi w:val="0"/>
        <w:spacing w:line="360" w:lineRule="auto"/>
        <w:ind w:left="0" w:leftChars="0" w:firstLine="422" w:firstLineChars="200"/>
        <w:textAlignment w:val="auto"/>
        <w:rPr>
          <w:rFonts w:hint="eastAsia" w:ascii="宋体" w:hAnsi="宋体" w:cs="宋体"/>
          <w:color w:val="auto"/>
          <w:highlight w:val="none"/>
        </w:rPr>
      </w:pPr>
      <w:r>
        <w:rPr>
          <w:rFonts w:hint="eastAsia" w:ascii="Times New Roman" w:hAnsi="宋体" w:eastAsia="宋体" w:cs="Times New Roman"/>
          <w:b/>
          <w:bCs w:val="0"/>
          <w:color w:val="auto"/>
          <w:highlight w:val="none"/>
          <w:lang w:val="zh-CN"/>
        </w:rPr>
        <w:t>技术答疑：</w:t>
      </w:r>
      <w:r>
        <w:rPr>
          <w:rFonts w:hint="eastAsia" w:ascii="宋体" w:hAnsi="宋体" w:cs="宋体"/>
          <w:color w:val="auto"/>
          <w:highlight w:val="none"/>
        </w:rPr>
        <w:t>供应商认为采购文件使自己的权益受到损害的，请于</w:t>
      </w:r>
      <w:r>
        <w:rPr>
          <w:rFonts w:hint="eastAsia" w:ascii="宋体" w:hAnsi="宋体" w:cs="宋体"/>
          <w:color w:val="auto"/>
          <w:highlight w:val="none"/>
          <w:lang w:val="en-US" w:eastAsia="zh-CN"/>
        </w:rPr>
        <w:t>2025</w:t>
      </w:r>
      <w:r>
        <w:rPr>
          <w:rFonts w:hint="eastAsia" w:ascii="宋体" w:hAnsi="宋体" w:cs="宋体"/>
          <w:color w:val="auto"/>
          <w:highlight w:val="none"/>
        </w:rPr>
        <w:t>年</w:t>
      </w:r>
      <w:r>
        <w:rPr>
          <w:rFonts w:hint="eastAsia" w:ascii="宋体" w:hAnsi="宋体" w:cs="宋体"/>
          <w:color w:val="auto"/>
          <w:highlight w:val="none"/>
          <w:lang w:val="en-US" w:eastAsia="zh-CN"/>
        </w:rPr>
        <w:t>10月31日17:00</w:t>
      </w:r>
      <w:r>
        <w:rPr>
          <w:rFonts w:hint="eastAsia" w:ascii="宋体" w:hAnsi="宋体" w:cs="宋体"/>
          <w:color w:val="auto"/>
          <w:highlight w:val="none"/>
        </w:rPr>
        <w:t>前以书面形式向采购人和采购代理机构提出质疑。质疑以书面方式分别提交至</w:t>
      </w:r>
      <w:r>
        <w:rPr>
          <w:rFonts w:hint="eastAsia" w:ascii="宋体" w:hAnsi="宋体" w:cs="宋体"/>
          <w:color w:val="auto"/>
          <w:highlight w:val="none"/>
          <w:lang w:eastAsia="zh-CN"/>
        </w:rPr>
        <w:t>义乌市第三自来水有限公司</w:t>
      </w:r>
      <w:r>
        <w:rPr>
          <w:rFonts w:hint="eastAsia" w:ascii="宋体" w:hAnsi="宋体" w:cs="宋体"/>
          <w:color w:val="auto"/>
          <w:highlight w:val="none"/>
        </w:rPr>
        <w:t>：</w:t>
      </w:r>
      <w:r>
        <w:rPr>
          <w:rFonts w:hint="eastAsia" w:ascii="宋体" w:hAnsi="宋体" w:cs="宋体"/>
          <w:color w:val="auto"/>
          <w:highlight w:val="none"/>
          <w:lang w:val="en-US" w:eastAsia="zh-CN"/>
        </w:rPr>
        <w:t>夏工</w:t>
      </w:r>
      <w:r>
        <w:rPr>
          <w:rFonts w:hint="eastAsia" w:ascii="宋体" w:hAnsi="宋体" w:cs="宋体"/>
          <w:color w:val="auto"/>
          <w:highlight w:val="none"/>
        </w:rPr>
        <w:t>（</w:t>
      </w:r>
      <w:r>
        <w:rPr>
          <w:rFonts w:hint="eastAsia" w:ascii="宋体" w:hAnsi="宋体" w:cs="宋体"/>
          <w:color w:val="auto"/>
          <w:highlight w:val="none"/>
          <w:lang w:val="en-US" w:eastAsia="zh-CN"/>
        </w:rPr>
        <w:t>13957962066</w:t>
      </w:r>
      <w:r>
        <w:rPr>
          <w:rFonts w:hint="eastAsia" w:ascii="宋体" w:hAnsi="宋体" w:cs="宋体"/>
          <w:color w:val="auto"/>
          <w:highlight w:val="none"/>
        </w:rPr>
        <w:t>）</w:t>
      </w:r>
      <w:r>
        <w:rPr>
          <w:rFonts w:hint="eastAsia" w:ascii="宋体" w:hAnsi="宋体" w:cs="宋体"/>
          <w:bCs/>
          <w:color w:val="auto"/>
          <w:highlight w:val="none"/>
        </w:rPr>
        <w:t>和义乌产权交易所有限公司：</w:t>
      </w:r>
      <w:r>
        <w:rPr>
          <w:rFonts w:hint="eastAsia" w:ascii="宋体" w:hAnsi="宋体" w:cs="宋体"/>
          <w:bCs/>
          <w:color w:val="auto"/>
          <w:highlight w:val="none"/>
          <w:lang w:val="en-US" w:eastAsia="zh-CN"/>
        </w:rPr>
        <w:t>王女士</w:t>
      </w:r>
      <w:r>
        <w:rPr>
          <w:rFonts w:hint="eastAsia" w:ascii="宋体" w:hAnsi="宋体" w:cs="宋体"/>
          <w:bCs/>
          <w:color w:val="auto"/>
          <w:highlight w:val="none"/>
        </w:rPr>
        <w:t>（0579-8990</w:t>
      </w:r>
      <w:r>
        <w:rPr>
          <w:rFonts w:hint="eastAsia" w:ascii="宋体" w:hAnsi="宋体" w:cs="宋体"/>
          <w:bCs/>
          <w:color w:val="auto"/>
          <w:highlight w:val="none"/>
          <w:lang w:val="en-US" w:eastAsia="zh-CN"/>
        </w:rPr>
        <w:t>3039</w:t>
      </w:r>
      <w:r>
        <w:rPr>
          <w:rFonts w:hint="eastAsia" w:ascii="宋体" w:hAnsi="宋体" w:cs="宋体"/>
          <w:color w:val="auto"/>
          <w:highlight w:val="none"/>
        </w:rPr>
        <w:t>，ywcqztb001@ywcq.com），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rPr>
        <w:t>采购代理机构确认。书面文件邮寄地址：义乌市北苑街道望道路300号40</w:t>
      </w:r>
      <w:r>
        <w:rPr>
          <w:rFonts w:hint="eastAsia" w:ascii="宋体" w:hAnsi="宋体" w:cs="宋体"/>
          <w:color w:val="auto"/>
          <w:highlight w:val="none"/>
          <w:lang w:val="en-US" w:eastAsia="zh-CN"/>
        </w:rPr>
        <w:t>56</w:t>
      </w:r>
      <w:r>
        <w:rPr>
          <w:rFonts w:hint="eastAsia" w:ascii="宋体" w:hAnsi="宋体" w:cs="宋体"/>
          <w:color w:val="auto"/>
          <w:highlight w:val="none"/>
        </w:rPr>
        <w:t>。</w:t>
      </w:r>
    </w:p>
    <w:p w14:paraId="61F54BF2">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bookmarkStart w:id="2" w:name="_Toc4701"/>
      <w:r>
        <w:rPr>
          <w:rFonts w:hint="eastAsia" w:ascii="Times New Roman" w:hAnsi="宋体" w:eastAsia="宋体" w:cs="Times New Roman"/>
          <w:b/>
          <w:bCs w:val="0"/>
          <w:color w:val="auto"/>
          <w:highlight w:val="none"/>
          <w:lang w:val="zh-CN"/>
        </w:rPr>
        <w:t>投标截止时间及地点：</w:t>
      </w:r>
      <w:bookmarkEnd w:id="2"/>
    </w:p>
    <w:p w14:paraId="2485AEC9">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①提交投标文件截止时间：</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lang w:eastAsia="zh-CN"/>
        </w:rPr>
        <w:t>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09:30 </w:t>
      </w:r>
      <w:r>
        <w:rPr>
          <w:rFonts w:hint="eastAsia" w:ascii="宋体" w:hAnsi="宋体" w:eastAsia="宋体" w:cs="宋体"/>
          <w:color w:val="auto"/>
          <w:highlight w:val="none"/>
        </w:rPr>
        <w:t>（北京时间）</w:t>
      </w:r>
    </w:p>
    <w:p w14:paraId="0ED333E9">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rPr>
        <w:t>②投标地点：</w:t>
      </w:r>
      <w:r>
        <w:rPr>
          <w:rFonts w:hint="eastAsia" w:ascii="宋体" w:hAnsi="宋体" w:cs="Courier New"/>
          <w:iCs/>
          <w:color w:val="auto"/>
          <w:highlight w:val="none"/>
        </w:rPr>
        <w:t>在谷歌或IE浏览器上，</w:t>
      </w:r>
      <w:r>
        <w:rPr>
          <w:rFonts w:hint="eastAsia" w:ascii="宋体" w:hAnsi="宋体" w:cs="Courier New"/>
          <w:color w:val="auto"/>
          <w:highlight w:val="none"/>
        </w:rPr>
        <w:t>用账号登录义乌市阳光招标采购平台（www.ywygzc.com），上传电子加密标书至“义乌市阳光招标采购平台”，逾期或未上传成功的将导致无法投标或投标无效。</w:t>
      </w:r>
    </w:p>
    <w:p w14:paraId="294297E8">
      <w:pPr>
        <w:pageBreakBefore w:val="0"/>
        <w:widowControl w:val="0"/>
        <w:kinsoku/>
        <w:wordWrap/>
        <w:overflowPunct/>
        <w:topLinePunct w:val="0"/>
        <w:autoSpaceDE/>
        <w:autoSpaceDN/>
        <w:bidi w:val="0"/>
        <w:snapToGrid w:val="0"/>
        <w:spacing w:line="360" w:lineRule="auto"/>
        <w:ind w:firstLine="411" w:firstLineChars="196"/>
        <w:textAlignment w:val="auto"/>
        <w:rPr>
          <w:rFonts w:ascii="宋体" w:cs="Courier New"/>
          <w:color w:val="auto"/>
          <w:highlight w:val="none"/>
        </w:rPr>
      </w:pPr>
      <w:r>
        <w:rPr>
          <w:rFonts w:hint="eastAsia" w:ascii="宋体" w:hAnsi="宋体" w:cs="Courier New"/>
          <w:color w:val="auto"/>
          <w:highlight w:val="none"/>
        </w:rPr>
        <w:t>③开标时间：</w:t>
      </w:r>
      <w:r>
        <w:rPr>
          <w:rFonts w:hint="eastAsia" w:ascii="宋体" w:hAnsi="宋体" w:cs="Courier New"/>
          <w:color w:val="auto"/>
          <w:highlight w:val="none"/>
          <w:lang w:val="en-US" w:eastAsia="zh-CN"/>
        </w:rPr>
        <w:t>2025年11月12日09:30</w:t>
      </w:r>
      <w:r>
        <w:rPr>
          <w:rFonts w:ascii="宋体" w:hAnsi="宋体" w:cs="Courier New"/>
          <w:color w:val="auto"/>
          <w:highlight w:val="none"/>
        </w:rPr>
        <w:t> </w:t>
      </w:r>
    </w:p>
    <w:p w14:paraId="45D56107">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宋体" w:hAnsi="宋体" w:cs="Courier New"/>
          <w:color w:val="auto"/>
          <w:highlight w:val="none"/>
        </w:rPr>
      </w:pPr>
      <w:r>
        <w:rPr>
          <w:rFonts w:hint="eastAsia" w:ascii="宋体" w:hAnsi="宋体" w:cs="Courier New"/>
          <w:color w:val="auto"/>
          <w:highlight w:val="none"/>
        </w:rPr>
        <w:t>④开标地点：“义乌市阳光招标采购平台”（www.ywygzc.com）</w:t>
      </w:r>
    </w:p>
    <w:p w14:paraId="2489DEAF">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投标与开标注意事项：</w:t>
      </w:r>
    </w:p>
    <w:p w14:paraId="48EAF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目前“义乌市阳光招标采购平台”仅支持天谷CA锁）】。因未注册入库、未办理CA数字证书等原因造成无法投标或投标失败等后果由供应商自行承担。</w:t>
      </w:r>
    </w:p>
    <w:p w14:paraId="184D660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462C61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③投标文件上传：投标人应在投标截止时间（2025年</w:t>
      </w:r>
      <w:r>
        <w:rPr>
          <w:rFonts w:hint="eastAsia" w:ascii="Times New Roman" w:hAnsi="宋体" w:eastAsia="宋体" w:cs="Times New Roman"/>
          <w:b w:val="0"/>
          <w:bCs/>
          <w:color w:val="auto"/>
          <w:highlight w:val="none"/>
          <w:lang w:val="en-US" w:eastAsia="zh-CN"/>
        </w:rPr>
        <w:t>11</w:t>
      </w:r>
      <w:r>
        <w:rPr>
          <w:rFonts w:hint="eastAsia" w:ascii="Times New Roman" w:hAnsi="宋体" w:eastAsia="宋体" w:cs="Times New Roman"/>
          <w:b w:val="0"/>
          <w:bCs/>
          <w:color w:val="auto"/>
          <w:highlight w:val="none"/>
          <w:lang w:val="zh-CN"/>
        </w:rPr>
        <w:t>月</w:t>
      </w:r>
      <w:r>
        <w:rPr>
          <w:rFonts w:hint="eastAsia" w:ascii="Times New Roman" w:hAnsi="宋体" w:eastAsia="宋体" w:cs="Times New Roman"/>
          <w:b w:val="0"/>
          <w:bCs/>
          <w:color w:val="auto"/>
          <w:highlight w:val="none"/>
          <w:lang w:val="en-US" w:eastAsia="zh-CN"/>
        </w:rPr>
        <w:t>12</w:t>
      </w:r>
      <w:r>
        <w:rPr>
          <w:rFonts w:hint="eastAsia" w:ascii="Times New Roman" w:hAnsi="宋体" w:eastAsia="宋体" w:cs="Times New Roman"/>
          <w:b w:val="0"/>
          <w:bCs/>
          <w:color w:val="auto"/>
          <w:highlight w:val="none"/>
          <w:lang w:val="zh-CN"/>
        </w:rPr>
        <w:t>日09:30）之前上传投标文件。</w:t>
      </w:r>
    </w:p>
    <w:p w14:paraId="7778FF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2D6D72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bCs w:val="0"/>
          <w:color w:val="auto"/>
          <w:highlight w:val="none"/>
          <w:lang w:val="zh-CN"/>
        </w:rPr>
        <w:t>电子交易平台网络不畅</w:t>
      </w:r>
      <w:r>
        <w:rPr>
          <w:rFonts w:hint="eastAsia" w:ascii="Times New Roman" w:hAnsi="宋体" w:eastAsia="宋体" w:cs="Times New Roman"/>
          <w:b w:val="0"/>
          <w:bCs/>
          <w:color w:val="auto"/>
          <w:highlight w:val="none"/>
          <w:lang w:val="zh-CN"/>
        </w:rPr>
        <w:t>导致投标人不能在规定时间内完成解密，可相应延长解密时间，超出相应延长解密时间仍然未解密的，视做撤销投标文件。</w:t>
      </w:r>
    </w:p>
    <w:p w14:paraId="56AD1C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宋体" w:eastAsia="宋体" w:cs="Times New Roman"/>
          <w:b w:val="0"/>
          <w:bCs/>
          <w:color w:val="auto"/>
          <w:highlight w:val="none"/>
          <w:lang w:val="zh-CN"/>
        </w:rPr>
      </w:pPr>
      <w:r>
        <w:rPr>
          <w:rFonts w:hint="eastAsia" w:ascii="Times New Roman" w:hAnsi="宋体" w:eastAsia="宋体" w:cs="Times New Roman"/>
          <w:b w:val="0"/>
          <w:bCs/>
          <w:color w:val="auto"/>
          <w:highlight w:val="none"/>
          <w:lang w:val="zh-CN"/>
        </w:rPr>
        <w:t>⑤参与在线投标时如遇平台技术问题详询：0579-89920081 ，电子投标制作问题详询：王小姐0579－89903039。</w:t>
      </w:r>
    </w:p>
    <w:p w14:paraId="47B2CF1D">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投标保证金：无</w:t>
      </w:r>
    </w:p>
    <w:p w14:paraId="3777C141">
      <w:pPr>
        <w:pageBreakBefore w:val="0"/>
        <w:widowControl w:val="0"/>
        <w:numPr>
          <w:ilvl w:val="0"/>
          <w:numId w:val="3"/>
        </w:numPr>
        <w:kinsoku/>
        <w:wordWrap/>
        <w:overflowPunct/>
        <w:topLinePunct w:val="0"/>
        <w:autoSpaceDE/>
        <w:autoSpaceDN/>
        <w:bidi w:val="0"/>
        <w:spacing w:line="360" w:lineRule="auto"/>
        <w:ind w:firstLine="422" w:firstLineChars="200"/>
        <w:textAlignment w:val="auto"/>
        <w:rPr>
          <w:rFonts w:hint="eastAsia" w:ascii="Times New Roman" w:hAnsi="宋体" w:eastAsia="宋体" w:cs="Times New Roman"/>
          <w:b/>
          <w:bCs w:val="0"/>
          <w:color w:val="auto"/>
          <w:highlight w:val="none"/>
          <w:lang w:val="zh-CN"/>
        </w:rPr>
      </w:pPr>
      <w:r>
        <w:rPr>
          <w:rFonts w:hint="eastAsia" w:ascii="Times New Roman" w:hAnsi="宋体" w:eastAsia="宋体" w:cs="Times New Roman"/>
          <w:b/>
          <w:bCs w:val="0"/>
          <w:color w:val="auto"/>
          <w:highlight w:val="none"/>
          <w:lang w:val="zh-CN"/>
        </w:rPr>
        <w:t>业务咨询：</w:t>
      </w:r>
    </w:p>
    <w:p w14:paraId="1121CE5E">
      <w:pPr>
        <w:pStyle w:val="18"/>
        <w:spacing w:line="360" w:lineRule="auto"/>
        <w:ind w:left="420"/>
        <w:jc w:val="left"/>
        <w:rPr>
          <w:rFonts w:hint="default" w:ascii="Times New Roman" w:hAnsi="Times New Roman" w:eastAsia="宋体"/>
          <w:color w:val="auto"/>
          <w:sz w:val="21"/>
          <w:highlight w:val="none"/>
          <w:lang w:val="en-US"/>
        </w:rPr>
      </w:pPr>
      <w:r>
        <w:rPr>
          <w:rFonts w:hint="eastAsia" w:ascii="Times New Roman" w:hAnsi="Times New Roman" w:eastAsia="宋体"/>
          <w:color w:val="auto"/>
          <w:sz w:val="21"/>
          <w:highlight w:val="none"/>
        </w:rPr>
        <w:t>义乌市第三自来水有限公司：</w:t>
      </w:r>
      <w:r>
        <w:rPr>
          <w:rFonts w:hint="eastAsia" w:ascii="Times New Roman" w:hAnsi="Times New Roman" w:eastAsia="宋体"/>
          <w:color w:val="auto"/>
          <w:sz w:val="21"/>
          <w:highlight w:val="none"/>
          <w:lang w:val="en-US" w:eastAsia="zh-CN"/>
        </w:rPr>
        <w:t>夏工 13957962066</w:t>
      </w:r>
    </w:p>
    <w:p w14:paraId="17BF3368">
      <w:pPr>
        <w:pageBreakBefore w:val="0"/>
        <w:widowControl w:val="0"/>
        <w:kinsoku/>
        <w:wordWrap/>
        <w:overflowPunct/>
        <w:topLinePunct w:val="0"/>
        <w:autoSpaceDE/>
        <w:autoSpaceDN/>
        <w:bidi w:val="0"/>
        <w:snapToGrid w:val="0"/>
        <w:spacing w:line="360" w:lineRule="auto"/>
        <w:ind w:firstLine="411" w:firstLineChars="196"/>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olor w:val="auto"/>
          <w:sz w:val="21"/>
          <w:highlight w:val="none"/>
        </w:rPr>
        <w:t>义乌产权交易所有限公司：</w:t>
      </w:r>
      <w:r>
        <w:rPr>
          <w:rFonts w:hint="eastAsia" w:ascii="Times New Roman" w:hAnsi="Times New Roman" w:eastAsia="宋体" w:cs="宋体"/>
          <w:color w:val="auto"/>
          <w:sz w:val="21"/>
          <w:szCs w:val="21"/>
          <w:highlight w:val="none"/>
          <w:lang w:val="en-US" w:eastAsia="zh-CN"/>
        </w:rPr>
        <w:t xml:space="preserve">陶女士 </w:t>
      </w:r>
      <w:r>
        <w:rPr>
          <w:rFonts w:hint="eastAsia" w:ascii="Times New Roman" w:hAnsi="Times New Roman" w:eastAsia="宋体" w:cs="宋体"/>
          <w:color w:val="auto"/>
          <w:sz w:val="21"/>
          <w:szCs w:val="21"/>
          <w:highlight w:val="none"/>
        </w:rPr>
        <w:t>0579－</w:t>
      </w:r>
      <w:r>
        <w:rPr>
          <w:rFonts w:hint="eastAsia" w:ascii="Times New Roman" w:hAnsi="Times New Roman" w:eastAsia="宋体" w:cs="宋体"/>
          <w:color w:val="auto"/>
          <w:sz w:val="21"/>
          <w:szCs w:val="21"/>
          <w:highlight w:val="none"/>
          <w:lang w:val="en-US" w:eastAsia="zh-CN"/>
        </w:rPr>
        <w:t>89906887</w:t>
      </w:r>
    </w:p>
    <w:p w14:paraId="20E8AA9F">
      <w:pPr>
        <w:pStyle w:val="18"/>
        <w:pageBreakBefore w:val="0"/>
        <w:widowControl w:val="0"/>
        <w:kinsoku/>
        <w:wordWrap/>
        <w:overflowPunct/>
        <w:topLinePunct w:val="0"/>
        <w:autoSpaceDE/>
        <w:autoSpaceDN/>
        <w:bidi w:val="0"/>
        <w:spacing w:line="360" w:lineRule="auto"/>
        <w:ind w:left="420"/>
        <w:jc w:val="left"/>
        <w:textAlignment w:val="auto"/>
        <w:rPr>
          <w:rFonts w:hint="eastAsia" w:hAnsi="宋体"/>
          <w:color w:val="auto"/>
          <w:highlight w:val="none"/>
        </w:rPr>
      </w:pPr>
    </w:p>
    <w:p w14:paraId="5080844F">
      <w:pPr>
        <w:pStyle w:val="18"/>
        <w:pageBreakBefore w:val="0"/>
        <w:widowControl w:val="0"/>
        <w:kinsoku/>
        <w:wordWrap/>
        <w:overflowPunct/>
        <w:topLinePunct w:val="0"/>
        <w:autoSpaceDE/>
        <w:autoSpaceDN/>
        <w:bidi w:val="0"/>
        <w:adjustRightInd w:val="0"/>
        <w:snapToGrid w:val="0"/>
        <w:spacing w:line="360" w:lineRule="auto"/>
        <w:textAlignment w:val="auto"/>
        <w:rPr>
          <w:rFonts w:cs="宋体"/>
          <w:color w:val="auto"/>
          <w:highlight w:val="none"/>
          <w:lang w:val="zh-CN"/>
        </w:rPr>
      </w:pPr>
    </w:p>
    <w:p w14:paraId="6A143DA8">
      <w:pPr>
        <w:pStyle w:val="18"/>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cs="宋体"/>
          <w:color w:val="auto"/>
          <w:highlight w:val="none"/>
          <w:lang w:val="zh-CN"/>
        </w:rPr>
      </w:pPr>
    </w:p>
    <w:p w14:paraId="46BE609E">
      <w:pPr>
        <w:pStyle w:val="18"/>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olor w:val="auto"/>
          <w:highlight w:val="none"/>
        </w:rPr>
      </w:pPr>
    </w:p>
    <w:p w14:paraId="68C91A5B">
      <w:pPr>
        <w:pStyle w:val="18"/>
        <w:pageBreakBefore w:val="0"/>
        <w:widowControl w:val="0"/>
        <w:kinsoku/>
        <w:wordWrap/>
        <w:overflowPunct/>
        <w:topLinePunct w:val="0"/>
        <w:autoSpaceDE/>
        <w:autoSpaceDN/>
        <w:bidi w:val="0"/>
        <w:adjustRightInd w:val="0"/>
        <w:snapToGrid w:val="0"/>
        <w:spacing w:line="360" w:lineRule="auto"/>
        <w:jc w:val="right"/>
        <w:textAlignment w:val="auto"/>
        <w:rPr>
          <w:rFonts w:hint="eastAsia" w:hAnsi="宋体"/>
          <w:color w:val="auto"/>
          <w:highlight w:val="none"/>
        </w:rPr>
      </w:pPr>
      <w:r>
        <w:rPr>
          <w:rFonts w:hint="eastAsia" w:hAnsi="宋体"/>
          <w:color w:val="auto"/>
          <w:highlight w:val="none"/>
          <w:lang w:eastAsia="zh-CN"/>
        </w:rPr>
        <w:t>义乌市第三自来</w:t>
      </w:r>
      <w:r>
        <w:rPr>
          <w:rFonts w:hint="eastAsia" w:ascii="宋体" w:hAnsi="宋体"/>
          <w:color w:val="auto"/>
          <w:highlight w:val="none"/>
        </w:rPr>
        <w:t>水有限公司</w:t>
      </w:r>
    </w:p>
    <w:p w14:paraId="4A0BA4DF">
      <w:pPr>
        <w:pStyle w:val="18"/>
        <w:pageBreakBefore w:val="0"/>
        <w:widowControl w:val="0"/>
        <w:kinsoku/>
        <w:wordWrap/>
        <w:overflowPunct/>
        <w:topLinePunct w:val="0"/>
        <w:autoSpaceDE/>
        <w:autoSpaceDN/>
        <w:bidi w:val="0"/>
        <w:adjustRightInd w:val="0"/>
        <w:snapToGrid w:val="0"/>
        <w:spacing w:line="360" w:lineRule="auto"/>
        <w:jc w:val="right"/>
        <w:textAlignment w:val="auto"/>
        <w:rPr>
          <w:rFonts w:hAnsi="宋体"/>
          <w:color w:val="auto"/>
          <w:highlight w:val="none"/>
        </w:rPr>
      </w:pPr>
      <w:r>
        <w:rPr>
          <w:rFonts w:hint="eastAsia" w:hAnsi="宋体"/>
          <w:color w:val="auto"/>
          <w:highlight w:val="none"/>
        </w:rPr>
        <w:t>义乌产权交易所有限公司</w:t>
      </w:r>
    </w:p>
    <w:p w14:paraId="725CB8E1">
      <w:pPr>
        <w:pStyle w:val="18"/>
        <w:pageBreakBefore w:val="0"/>
        <w:widowControl w:val="0"/>
        <w:kinsoku/>
        <w:wordWrap/>
        <w:overflowPunct/>
        <w:topLinePunct w:val="0"/>
        <w:autoSpaceDE/>
        <w:autoSpaceDN/>
        <w:bidi w:val="0"/>
        <w:adjustRightInd w:val="0"/>
        <w:snapToGrid w:val="0"/>
        <w:spacing w:line="360" w:lineRule="auto"/>
        <w:jc w:val="right"/>
        <w:textAlignment w:val="auto"/>
        <w:rPr>
          <w:rFonts w:hint="eastAsia" w:hAnsi="宋体"/>
          <w:color w:val="auto"/>
          <w:sz w:val="24"/>
          <w:highlight w:val="none"/>
        </w:rPr>
      </w:pPr>
      <w:r>
        <w:rPr>
          <w:rFonts w:hint="eastAsia" w:hAnsi="宋体"/>
          <w:color w:val="auto"/>
          <w:highlight w:val="none"/>
          <w:lang w:val="en-US" w:eastAsia="zh-CN"/>
        </w:rPr>
        <w:t>2025</w:t>
      </w:r>
      <w:r>
        <w:rPr>
          <w:rFonts w:hint="eastAsia" w:hAnsi="宋体"/>
          <w:color w:val="auto"/>
          <w:highlight w:val="none"/>
        </w:rPr>
        <w:t>年</w:t>
      </w:r>
      <w:r>
        <w:rPr>
          <w:rFonts w:hint="eastAsia" w:hAnsi="宋体"/>
          <w:color w:val="auto"/>
          <w:highlight w:val="none"/>
          <w:lang w:val="en-US" w:eastAsia="zh-CN"/>
        </w:rPr>
        <w:t>10</w:t>
      </w:r>
      <w:r>
        <w:rPr>
          <w:rFonts w:hint="eastAsia" w:ascii="宋体" w:hAnsi="宋体" w:eastAsia="宋体" w:cs="宋体"/>
          <w:color w:val="auto"/>
          <w:highlight w:val="none"/>
          <w:lang w:eastAsia="zh-CN"/>
        </w:rPr>
        <w:t>月</w:t>
      </w:r>
      <w:r>
        <w:rPr>
          <w:rFonts w:hint="eastAsia" w:hAnsi="宋体" w:cs="宋体"/>
          <w:color w:val="auto"/>
          <w:highlight w:val="none"/>
          <w:lang w:val="en-US" w:eastAsia="zh-CN"/>
        </w:rPr>
        <w:t>22</w:t>
      </w:r>
      <w:r>
        <w:rPr>
          <w:rFonts w:hint="eastAsia" w:ascii="宋体" w:hAnsi="宋体" w:eastAsia="宋体" w:cs="宋体"/>
          <w:color w:val="auto"/>
          <w:highlight w:val="none"/>
          <w:lang w:eastAsia="zh-CN"/>
        </w:rPr>
        <w:t>日</w:t>
      </w:r>
    </w:p>
    <w:p w14:paraId="064369E4">
      <w:pPr>
        <w:pStyle w:val="18"/>
        <w:adjustRightInd w:val="0"/>
        <w:snapToGrid w:val="0"/>
        <w:spacing w:line="360" w:lineRule="auto"/>
        <w:jc w:val="right"/>
        <w:rPr>
          <w:rFonts w:hint="eastAsia" w:hAnsi="宋体"/>
          <w:color w:val="auto"/>
          <w:sz w:val="24"/>
          <w:highlight w:val="none"/>
        </w:rPr>
      </w:pPr>
    </w:p>
    <w:p w14:paraId="67E5E145">
      <w:pPr>
        <w:pStyle w:val="18"/>
        <w:adjustRightInd w:val="0"/>
        <w:snapToGrid w:val="0"/>
        <w:spacing w:line="360" w:lineRule="auto"/>
        <w:jc w:val="right"/>
        <w:rPr>
          <w:rFonts w:hint="eastAsia" w:hAnsi="宋体"/>
          <w:color w:val="auto"/>
          <w:sz w:val="24"/>
          <w:highlight w:val="none"/>
        </w:rPr>
      </w:pPr>
    </w:p>
    <w:p w14:paraId="3CF74963">
      <w:pPr>
        <w:pStyle w:val="18"/>
        <w:adjustRightInd w:val="0"/>
        <w:snapToGrid w:val="0"/>
        <w:spacing w:line="400" w:lineRule="exact"/>
        <w:jc w:val="right"/>
        <w:rPr>
          <w:rFonts w:hint="eastAsia" w:hAnsi="宋体"/>
          <w:color w:val="auto"/>
          <w:sz w:val="24"/>
          <w:highlight w:val="none"/>
        </w:rPr>
      </w:pPr>
    </w:p>
    <w:p w14:paraId="4A88CC17">
      <w:pPr>
        <w:pStyle w:val="18"/>
        <w:adjustRightInd w:val="0"/>
        <w:snapToGrid w:val="0"/>
        <w:spacing w:line="400" w:lineRule="exact"/>
        <w:jc w:val="right"/>
        <w:rPr>
          <w:rFonts w:hint="eastAsia" w:hAnsi="宋体"/>
          <w:color w:val="auto"/>
          <w:sz w:val="24"/>
          <w:highlight w:val="none"/>
        </w:rPr>
      </w:pPr>
    </w:p>
    <w:p w14:paraId="6E3065F1">
      <w:pPr>
        <w:pStyle w:val="18"/>
        <w:adjustRightInd w:val="0"/>
        <w:snapToGrid w:val="0"/>
        <w:spacing w:line="400" w:lineRule="exact"/>
        <w:jc w:val="right"/>
        <w:rPr>
          <w:rFonts w:hint="eastAsia" w:hAnsi="宋体"/>
          <w:color w:val="auto"/>
          <w:sz w:val="24"/>
          <w:highlight w:val="none"/>
        </w:rPr>
      </w:pPr>
    </w:p>
    <w:p w14:paraId="5BCAD778">
      <w:pPr>
        <w:pStyle w:val="18"/>
        <w:adjustRightInd w:val="0"/>
        <w:snapToGrid w:val="0"/>
        <w:spacing w:line="400" w:lineRule="exact"/>
        <w:jc w:val="right"/>
        <w:rPr>
          <w:rFonts w:hint="eastAsia" w:hAnsi="宋体"/>
          <w:color w:val="auto"/>
          <w:sz w:val="24"/>
          <w:highlight w:val="none"/>
        </w:rPr>
      </w:pPr>
    </w:p>
    <w:p w14:paraId="543E80CB">
      <w:pPr>
        <w:pStyle w:val="18"/>
        <w:adjustRightInd w:val="0"/>
        <w:snapToGrid w:val="0"/>
        <w:spacing w:line="400" w:lineRule="exact"/>
        <w:jc w:val="right"/>
        <w:rPr>
          <w:rFonts w:hint="eastAsia" w:hAnsi="宋体"/>
          <w:color w:val="auto"/>
          <w:sz w:val="24"/>
          <w:highlight w:val="none"/>
        </w:rPr>
      </w:pPr>
    </w:p>
    <w:p w14:paraId="3AB1E558">
      <w:pPr>
        <w:pStyle w:val="18"/>
        <w:adjustRightInd w:val="0"/>
        <w:snapToGrid w:val="0"/>
        <w:spacing w:line="400" w:lineRule="exact"/>
        <w:jc w:val="right"/>
        <w:rPr>
          <w:rFonts w:hAnsi="宋体"/>
          <w:color w:val="auto"/>
          <w:highlight w:val="none"/>
        </w:rPr>
      </w:pPr>
    </w:p>
    <w:p w14:paraId="69AABFA5">
      <w:pPr>
        <w:pStyle w:val="18"/>
        <w:adjustRightInd w:val="0"/>
        <w:snapToGrid w:val="0"/>
        <w:spacing w:line="400" w:lineRule="exact"/>
        <w:jc w:val="right"/>
        <w:rPr>
          <w:rFonts w:hAnsi="宋体"/>
          <w:color w:val="auto"/>
          <w:highlight w:val="none"/>
        </w:rPr>
      </w:pPr>
    </w:p>
    <w:p w14:paraId="63A0E903">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b/>
          <w:bCs/>
          <w:color w:val="auto"/>
          <w:kern w:val="44"/>
          <w:sz w:val="36"/>
          <w:szCs w:val="44"/>
          <w:highlight w:val="none"/>
          <w:lang w:val="en-US" w:eastAsia="zh-CN" w:bidi="ar-SA"/>
        </w:rPr>
      </w:pPr>
      <w:bookmarkStart w:id="3" w:name="_Toc10680"/>
      <w:r>
        <w:rPr>
          <w:rFonts w:hint="eastAsia" w:ascii="Times New Roman" w:hAnsi="Times New Roman" w:eastAsia="宋体" w:cs="Times New Roman"/>
          <w:b/>
          <w:bCs/>
          <w:color w:val="auto"/>
          <w:kern w:val="44"/>
          <w:sz w:val="36"/>
          <w:szCs w:val="44"/>
          <w:highlight w:val="none"/>
          <w:lang w:val="en-US" w:eastAsia="zh-CN" w:bidi="ar-SA"/>
        </w:rPr>
        <w:br w:type="page"/>
      </w:r>
      <w:bookmarkStart w:id="4" w:name="_Toc9437"/>
      <w:r>
        <w:rPr>
          <w:rFonts w:hint="eastAsia" w:ascii="Times New Roman" w:hAnsi="Times New Roman" w:eastAsia="宋体" w:cs="Times New Roman"/>
          <w:b/>
          <w:bCs/>
          <w:color w:val="auto"/>
          <w:kern w:val="44"/>
          <w:sz w:val="36"/>
          <w:szCs w:val="44"/>
          <w:highlight w:val="none"/>
          <w:lang w:val="en-US" w:eastAsia="zh-CN" w:bidi="ar-SA"/>
        </w:rPr>
        <w:t>第二章　投标须知和投标须知前附表</w:t>
      </w:r>
      <w:bookmarkEnd w:id="3"/>
      <w:bookmarkEnd w:id="4"/>
    </w:p>
    <w:p w14:paraId="7F6239FB">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7"/>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912"/>
        <w:gridCol w:w="6648"/>
      </w:tblGrid>
      <w:tr w14:paraId="58CF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E3D720C">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3"/>
            <w:tcBorders>
              <w:top w:val="single" w:color="auto" w:sz="4" w:space="0"/>
              <w:left w:val="single" w:color="auto" w:sz="4" w:space="0"/>
              <w:bottom w:val="single" w:color="auto" w:sz="4" w:space="0"/>
              <w:right w:val="single" w:color="auto" w:sz="4" w:space="0"/>
            </w:tcBorders>
            <w:noWrap w:val="0"/>
            <w:vAlign w:val="center"/>
          </w:tcPr>
          <w:p w14:paraId="62840D05">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5332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A5D8857">
            <w:pPr>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1B4250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项目综合</w:t>
            </w:r>
          </w:p>
          <w:p w14:paraId="5EC0CD9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17D429C0">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Cs w:val="21"/>
                <w:highlight w:val="none"/>
                <w:lang w:val="en-US" w:eastAsia="zh-CN"/>
              </w:rPr>
              <w:t>项目名称：</w:t>
            </w:r>
            <w:r>
              <w:rPr>
                <w:rFonts w:hint="eastAsia" w:ascii="宋体" w:hAnsi="宋体" w:eastAsia="宋体" w:cs="Times New Roman"/>
                <w:color w:val="auto"/>
                <w:highlight w:val="none"/>
                <w:lang w:eastAsia="zh-CN"/>
              </w:rPr>
              <w:t>义乌市第三自来水有限公司</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年度招标代理和造价咨询服务采购项目</w:t>
            </w:r>
          </w:p>
          <w:p w14:paraId="26FDFDC9">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采购内容</w:t>
            </w:r>
            <w:r>
              <w:rPr>
                <w:rFonts w:hint="eastAsia" w:ascii="宋体" w:hAnsi="宋体" w:eastAsia="宋体" w:cs="宋体"/>
                <w:b/>
                <w:bCs/>
                <w:color w:val="auto"/>
                <w:szCs w:val="21"/>
                <w:highlight w:val="none"/>
                <w:lang w:val="en-US" w:eastAsia="zh-CN"/>
              </w:rPr>
              <w:t>及数量</w:t>
            </w:r>
            <w:r>
              <w:rPr>
                <w:rFonts w:hint="eastAsia" w:ascii="宋体" w:hAnsi="宋体" w:eastAsia="宋体" w:cs="宋体"/>
                <w:b/>
                <w:bCs/>
                <w:color w:val="auto"/>
                <w:szCs w:val="21"/>
                <w:highlight w:val="none"/>
                <w:lang w:eastAsia="zh-CN"/>
              </w:rPr>
              <w:t>：</w:t>
            </w:r>
            <w:r>
              <w:rPr>
                <w:rFonts w:hint="eastAsia" w:ascii="宋体" w:hAnsi="宋体" w:eastAsia="宋体" w:cs="Times New Roman"/>
                <w:color w:val="auto"/>
                <w:highlight w:val="none"/>
                <w:lang w:eastAsia="zh-CN"/>
              </w:rPr>
              <w:t>义乌市第三自来水有限公司</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年度招标代理</w:t>
            </w:r>
            <w:r>
              <w:rPr>
                <w:rFonts w:hint="eastAsia" w:ascii="宋体" w:hAnsi="宋体" w:eastAsia="宋体" w:cs="宋体"/>
                <w:color w:val="auto"/>
                <w:szCs w:val="21"/>
                <w:highlight w:val="none"/>
                <w:lang w:eastAsia="zh-CN"/>
              </w:rPr>
              <w:t>（含施工招标、货物及服务采购等）</w:t>
            </w:r>
            <w:r>
              <w:rPr>
                <w:rFonts w:hint="eastAsia" w:ascii="宋体" w:hAnsi="宋体" w:eastAsia="宋体" w:cs="宋体"/>
                <w:color w:val="auto"/>
                <w:szCs w:val="21"/>
                <w:highlight w:val="none"/>
              </w:rPr>
              <w:t>和造价咨询</w:t>
            </w:r>
            <w:r>
              <w:rPr>
                <w:rFonts w:hint="eastAsia" w:ascii="宋体" w:hAnsi="宋体" w:eastAsia="宋体" w:cs="宋体"/>
                <w:color w:val="auto"/>
                <w:szCs w:val="21"/>
                <w:highlight w:val="none"/>
                <w:lang w:eastAsia="zh-CN"/>
              </w:rPr>
              <w:t>（含工程量清单及预算、招标控制价编制或审核、</w:t>
            </w:r>
            <w:r>
              <w:rPr>
                <w:rFonts w:hint="eastAsia" w:ascii="宋体" w:hAnsi="宋体" w:eastAsia="宋体" w:cs="宋体"/>
                <w:b w:val="0"/>
                <w:bCs w:val="0"/>
                <w:color w:val="auto"/>
                <w:highlight w:val="none"/>
                <w:lang w:eastAsia="zh-CN"/>
              </w:rPr>
              <w:t>施工阶段全过程工程造价控制、</w:t>
            </w:r>
            <w:r>
              <w:rPr>
                <w:rFonts w:hint="eastAsia" w:ascii="宋体" w:hAnsi="宋体" w:eastAsia="宋体" w:cs="宋体"/>
                <w:color w:val="auto"/>
                <w:szCs w:val="21"/>
                <w:highlight w:val="none"/>
                <w:lang w:eastAsia="zh-CN"/>
              </w:rPr>
              <w:t>工程结算审核等）</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eastAsia="zh-CN"/>
              </w:rPr>
              <w:t>项目，服务期内</w:t>
            </w:r>
            <w:r>
              <w:rPr>
                <w:rFonts w:hint="eastAsia" w:ascii="宋体" w:hAnsi="宋体" w:eastAsia="宋体" w:cs="宋体"/>
                <w:color w:val="auto"/>
                <w:szCs w:val="21"/>
                <w:highlight w:val="none"/>
                <w:lang w:val="en-US" w:eastAsia="zh-CN"/>
              </w:rPr>
              <w:t>单个委托项目</w:t>
            </w:r>
            <w:r>
              <w:rPr>
                <w:rFonts w:hint="eastAsia" w:ascii="宋体" w:hAnsi="宋体" w:eastAsia="宋体" w:cs="宋体"/>
                <w:color w:val="auto"/>
                <w:szCs w:val="21"/>
                <w:highlight w:val="none"/>
              </w:rPr>
              <w:t>招标代理和造价咨询</w:t>
            </w:r>
            <w:r>
              <w:rPr>
                <w:rFonts w:hint="eastAsia" w:ascii="宋体" w:hAnsi="宋体" w:eastAsia="宋体" w:cs="宋体"/>
                <w:color w:val="auto"/>
                <w:szCs w:val="21"/>
                <w:highlight w:val="none"/>
                <w:lang w:eastAsia="zh-CN"/>
              </w:rPr>
              <w:t>服务费不超过</w:t>
            </w:r>
            <w:r>
              <w:rPr>
                <w:rFonts w:hint="eastAsia" w:ascii="宋体" w:hAnsi="宋体" w:eastAsia="宋体" w:cs="宋体"/>
                <w:color w:val="auto"/>
                <w:szCs w:val="21"/>
                <w:highlight w:val="none"/>
                <w:lang w:val="en-US" w:eastAsia="zh-CN"/>
              </w:rPr>
              <w:t>50万元</w:t>
            </w:r>
            <w:r>
              <w:rPr>
                <w:rFonts w:hint="eastAsia" w:ascii="宋体" w:hAnsi="宋体" w:eastAsia="宋体" w:cs="宋体"/>
                <w:color w:val="auto"/>
                <w:szCs w:val="21"/>
                <w:highlight w:val="none"/>
              </w:rPr>
              <w:t>。详情请见第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 xml:space="preserve">章《招标项目要求》。        </w:t>
            </w:r>
            <w:r>
              <w:rPr>
                <w:rFonts w:hint="eastAsia" w:ascii="宋体" w:hAnsi="宋体" w:eastAsia="宋体" w:cs="宋体"/>
                <w:color w:val="auto"/>
                <w:sz w:val="21"/>
                <w:szCs w:val="21"/>
                <w:highlight w:val="none"/>
              </w:rPr>
              <w:t xml:space="preserve">         </w:t>
            </w:r>
          </w:p>
        </w:tc>
      </w:tr>
      <w:tr w14:paraId="1B26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0A8165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103119E">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5A456A22">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公开招标                       </w:t>
            </w:r>
          </w:p>
        </w:tc>
      </w:tr>
      <w:tr w14:paraId="72AB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433050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CCAF86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w:t>
            </w:r>
          </w:p>
          <w:p w14:paraId="7E358C4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74E183D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详见招标公告</w:t>
            </w:r>
          </w:p>
        </w:tc>
      </w:tr>
      <w:tr w14:paraId="68A0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3B17C4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0BE099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739C4292">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综合评分</w:t>
            </w:r>
            <w:r>
              <w:rPr>
                <w:rFonts w:hint="eastAsia" w:ascii="宋体" w:hAnsi="宋体" w:eastAsia="宋体" w:cs="宋体"/>
                <w:color w:val="auto"/>
                <w:sz w:val="21"/>
                <w:szCs w:val="21"/>
                <w:highlight w:val="none"/>
              </w:rPr>
              <w:t>法</w:t>
            </w:r>
          </w:p>
        </w:tc>
      </w:tr>
      <w:tr w14:paraId="21CC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6B3C7C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FDAF8F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要求</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7BF51BD3">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7B75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27FBF5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345FF6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招标文件获取时间和地点</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279495E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DEC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AF51E58">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D9AFEA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现场踏勘时间</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0E61BEC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4896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7D161E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39B9690">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技术答疑</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45BC42AD">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供应商认为采购文件使自己的权益受到损害的，请于</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10月31日17:00</w:t>
            </w:r>
            <w:r>
              <w:rPr>
                <w:rFonts w:hint="eastAsia" w:ascii="宋体" w:hAnsi="宋体" w:eastAsia="宋体" w:cs="宋体"/>
                <w:color w:val="auto"/>
                <w:highlight w:val="none"/>
              </w:rPr>
              <w:t>前以书面形式向采购人和采购代理机构提出质疑。质疑以书面方式分别提交至</w:t>
            </w:r>
            <w:r>
              <w:rPr>
                <w:rFonts w:hint="eastAsia" w:ascii="宋体" w:hAnsi="宋体" w:eastAsia="宋体" w:cs="宋体"/>
                <w:color w:val="auto"/>
                <w:highlight w:val="none"/>
                <w:lang w:eastAsia="zh-CN"/>
              </w:rPr>
              <w:t>义乌市第三自来水有限公司</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夏工</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13957962066</w:t>
            </w:r>
            <w:r>
              <w:rPr>
                <w:rFonts w:hint="eastAsia" w:ascii="宋体" w:hAnsi="宋体" w:eastAsia="宋体" w:cs="宋体"/>
                <w:color w:val="auto"/>
                <w:highlight w:val="none"/>
              </w:rPr>
              <w:t>）</w:t>
            </w:r>
            <w:r>
              <w:rPr>
                <w:rFonts w:hint="eastAsia" w:ascii="宋体" w:hAnsi="宋体" w:eastAsia="宋体" w:cs="宋体"/>
                <w:bCs/>
                <w:color w:val="auto"/>
                <w:highlight w:val="none"/>
              </w:rPr>
              <w:t>和义乌产权交易所有限公司：</w:t>
            </w:r>
            <w:r>
              <w:rPr>
                <w:rFonts w:hint="eastAsia" w:ascii="宋体" w:hAnsi="宋体" w:eastAsia="宋体" w:cs="宋体"/>
                <w:bCs/>
                <w:color w:val="auto"/>
                <w:highlight w:val="none"/>
                <w:lang w:val="en-US" w:eastAsia="zh-CN"/>
              </w:rPr>
              <w:t>王女士</w:t>
            </w:r>
            <w:r>
              <w:rPr>
                <w:rFonts w:hint="eastAsia" w:ascii="宋体" w:hAnsi="宋体" w:eastAsia="宋体" w:cs="宋体"/>
                <w:bCs/>
                <w:color w:val="auto"/>
                <w:highlight w:val="none"/>
              </w:rPr>
              <w:t>（0579-8990</w:t>
            </w:r>
            <w:r>
              <w:rPr>
                <w:rFonts w:hint="eastAsia" w:ascii="宋体" w:hAnsi="宋体" w:eastAsia="宋体" w:cs="宋体"/>
                <w:bCs/>
                <w:color w:val="auto"/>
                <w:highlight w:val="none"/>
                <w:lang w:val="en-US" w:eastAsia="zh-CN"/>
              </w:rPr>
              <w:t>3039</w:t>
            </w:r>
            <w:r>
              <w:rPr>
                <w:rFonts w:hint="eastAsia" w:ascii="宋体" w:hAnsi="宋体" w:eastAsia="宋体" w:cs="宋体"/>
                <w:color w:val="auto"/>
                <w:highlight w:val="none"/>
              </w:rPr>
              <w:t>，ywcqztb001@ywcq.com），</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并致电</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采购代理机构确认。书面文件邮寄地址：义乌市北苑街道望道路300号40</w:t>
            </w:r>
            <w:r>
              <w:rPr>
                <w:rFonts w:hint="eastAsia" w:ascii="宋体" w:hAnsi="宋体" w:eastAsia="宋体" w:cs="宋体"/>
                <w:color w:val="auto"/>
                <w:highlight w:val="none"/>
                <w:lang w:val="en-US" w:eastAsia="zh-CN"/>
              </w:rPr>
              <w:t>56</w:t>
            </w:r>
            <w:r>
              <w:rPr>
                <w:rFonts w:hint="eastAsia" w:ascii="宋体" w:hAnsi="宋体" w:eastAsia="宋体" w:cs="宋体"/>
                <w:color w:val="auto"/>
                <w:highlight w:val="none"/>
              </w:rPr>
              <w:t>。</w:t>
            </w:r>
          </w:p>
        </w:tc>
      </w:tr>
      <w:tr w14:paraId="5D55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64C0F1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71A68A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3AD87A74">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自开标之日起60天（日历天）</w:t>
            </w:r>
          </w:p>
        </w:tc>
      </w:tr>
      <w:tr w14:paraId="7696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5ECDB0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91D308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上传电子投标文件时间</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557EBF50">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09:30</w:t>
            </w:r>
            <w:r>
              <w:rPr>
                <w:rFonts w:hint="eastAsia" w:ascii="宋体" w:hAnsi="宋体" w:eastAsia="宋体" w:cs="宋体"/>
                <w:color w:val="auto"/>
                <w:sz w:val="21"/>
                <w:szCs w:val="21"/>
                <w:highlight w:val="none"/>
              </w:rPr>
              <w:t>）之前上传投标文件</w:t>
            </w:r>
            <w:r>
              <w:rPr>
                <w:rFonts w:hint="eastAsia" w:ascii="宋体" w:hAnsi="宋体" w:eastAsia="宋体" w:cs="宋体"/>
                <w:color w:val="auto"/>
                <w:sz w:val="21"/>
                <w:szCs w:val="21"/>
                <w:highlight w:val="none"/>
                <w:lang w:eastAsia="zh-CN"/>
              </w:rPr>
              <w:t>。</w:t>
            </w:r>
          </w:p>
        </w:tc>
      </w:tr>
      <w:tr w14:paraId="43DA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F49A68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BB5A756">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开标时间、地点及电子投标文件解密</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48105690">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09:30</w:t>
            </w:r>
          </w:p>
          <w:p w14:paraId="548E6AA0">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开标地点：“义乌市阳光招标采购平台”（www.ywygzc.com）</w:t>
            </w:r>
          </w:p>
          <w:p w14:paraId="266329DC">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2D21F0B7">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highlight w:val="none"/>
              </w:rPr>
              <w:t>电子交易平台网络不畅</w:t>
            </w:r>
            <w:r>
              <w:rPr>
                <w:rFonts w:hint="eastAsia" w:ascii="宋体" w:hAnsi="宋体" w:eastAsia="宋体" w:cs="宋体"/>
                <w:color w:val="auto"/>
                <w:highlight w:val="none"/>
              </w:rPr>
              <w:t>导致投标人不能在规定时间内完成解密，可相应延长解密时间，超出相应延长解密时间仍然未解密的，视做撤销投标文件。</w:t>
            </w:r>
          </w:p>
        </w:tc>
      </w:tr>
      <w:tr w14:paraId="2BA7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E18564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3A5C6B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5BD594D1">
            <w:pPr>
              <w:pageBreakBefore w:val="0"/>
              <w:widowControl w:val="0"/>
              <w:tabs>
                <w:tab w:val="left" w:pos="0"/>
              </w:tabs>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无</w:t>
            </w:r>
          </w:p>
        </w:tc>
      </w:tr>
      <w:tr w14:paraId="436C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6A290CF">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B1A4EE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385071AA">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4393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A569B1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B5BA6B7">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73F773A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详见招标文件第三章。</w:t>
            </w:r>
          </w:p>
        </w:tc>
      </w:tr>
      <w:tr w14:paraId="661D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2981388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740D5FF">
            <w:pPr>
              <w:pageBreakBefore w:val="0"/>
              <w:widowControl w:val="0"/>
              <w:kinsoku/>
              <w:wordWrap/>
              <w:overflowPunct/>
              <w:topLinePunct w:val="0"/>
              <w:autoSpaceDE/>
              <w:autoSpaceDN/>
              <w:bidi w:val="0"/>
              <w:spacing w:line="400" w:lineRule="exact"/>
              <w:ind w:left="-99" w:leftChars="-4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失信行为处理</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231EE130">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投标人发生下列情况之一时，除严格依法依规进行处理外，还将通报市信用管理部门，列入严重失信名单：</w:t>
            </w:r>
          </w:p>
          <w:p w14:paraId="1391010B">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（1）投标人在规定的投标有效期内撤回投标或放弃中标的；</w:t>
            </w:r>
          </w:p>
          <w:p w14:paraId="52DA1C43">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（2）有意串标或提供虚假材料的；</w:t>
            </w:r>
          </w:p>
          <w:p w14:paraId="59FE002B">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（3）中标人在收到中标通知书后，因自身原因不能在投标有效期内和采购人签订合同。</w:t>
            </w:r>
          </w:p>
          <w:p w14:paraId="0C6DE1E3">
            <w:pPr>
              <w:pageBreakBefore w:val="0"/>
              <w:widowControl w:val="0"/>
              <w:kinsoku/>
              <w:wordWrap/>
              <w:overflowPunct/>
              <w:topLinePunct w:val="0"/>
              <w:autoSpaceDE/>
              <w:autoSpaceDN/>
              <w:bidi w:val="0"/>
              <w:spacing w:line="40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（4）中标人未在规定时间缴纳招标代理费的；</w:t>
            </w:r>
          </w:p>
          <w:p w14:paraId="25DD442F">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（5）中标供应商在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标后履约过程中未按合同约定的期限和要求履约的。</w:t>
            </w:r>
          </w:p>
          <w:p w14:paraId="153FCA19">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（6）因中标供应商原因在</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标后履约过程中擅自终止合同的。</w:t>
            </w:r>
          </w:p>
          <w:p w14:paraId="2CC3F330">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 xml:space="preserve">  （7）不符合招标文件要求的其他失信行为。</w:t>
            </w:r>
          </w:p>
        </w:tc>
      </w:tr>
      <w:tr w14:paraId="082A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0" w:type="dxa"/>
            <w:vMerge w:val="restart"/>
            <w:tcBorders>
              <w:top w:val="single" w:color="auto" w:sz="4" w:space="0"/>
              <w:left w:val="single" w:color="auto" w:sz="4" w:space="0"/>
              <w:right w:val="single" w:color="auto" w:sz="4" w:space="0"/>
            </w:tcBorders>
            <w:noWrap w:val="0"/>
            <w:vAlign w:val="center"/>
          </w:tcPr>
          <w:p w14:paraId="63F68C31">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16</w:t>
            </w:r>
          </w:p>
        </w:tc>
        <w:tc>
          <w:tcPr>
            <w:tcW w:w="1670" w:type="dxa"/>
            <w:vMerge w:val="restart"/>
            <w:tcBorders>
              <w:top w:val="single" w:color="auto" w:sz="4" w:space="0"/>
              <w:left w:val="single" w:color="auto" w:sz="4" w:space="0"/>
              <w:right w:val="single" w:color="auto" w:sz="4" w:space="0"/>
            </w:tcBorders>
            <w:noWrap w:val="0"/>
            <w:vAlign w:val="center"/>
          </w:tcPr>
          <w:p w14:paraId="3287BDDF">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定标方式</w:t>
            </w:r>
          </w:p>
        </w:tc>
        <w:tc>
          <w:tcPr>
            <w:tcW w:w="912" w:type="dxa"/>
            <w:vMerge w:val="restart"/>
            <w:tcBorders>
              <w:top w:val="single" w:color="auto" w:sz="4" w:space="0"/>
              <w:left w:val="single" w:color="auto" w:sz="4" w:space="0"/>
              <w:right w:val="single" w:color="auto" w:sz="4" w:space="0"/>
            </w:tcBorders>
            <w:noWrap w:val="0"/>
            <w:vAlign w:val="center"/>
          </w:tcPr>
          <w:p w14:paraId="71D0FFB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w:t>
            </w:r>
          </w:p>
          <w:p w14:paraId="0753263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w:t>
            </w:r>
          </w:p>
          <w:p w14:paraId="1978657B">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w:t>
            </w:r>
          </w:p>
          <w:p w14:paraId="196F2C4D">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离</w:t>
            </w:r>
          </w:p>
        </w:tc>
        <w:tc>
          <w:tcPr>
            <w:tcW w:w="6648" w:type="dxa"/>
            <w:tcBorders>
              <w:top w:val="single" w:color="auto" w:sz="4" w:space="0"/>
              <w:left w:val="single" w:color="auto" w:sz="4" w:space="0"/>
              <w:bottom w:val="single" w:color="auto" w:sz="4" w:space="0"/>
              <w:right w:val="single" w:color="auto" w:sz="4" w:space="0"/>
            </w:tcBorders>
            <w:noWrap w:val="0"/>
            <w:vAlign w:val="center"/>
          </w:tcPr>
          <w:p w14:paraId="28ED54C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pacing w:val="-8"/>
                <w:highlight w:val="none"/>
              </w:rPr>
              <w:t>由评标委员会推荐6名中标候选人（不排序）；若有效投标人为5名时，则全部推荐为中标候选人。</w:t>
            </w:r>
            <w:r>
              <w:rPr>
                <w:rFonts w:hint="eastAsia" w:ascii="宋体" w:hAnsi="宋体" w:eastAsia="宋体" w:cs="宋体"/>
                <w:b/>
                <w:bCs/>
                <w:color w:val="auto"/>
                <w:spacing w:val="-8"/>
                <w:highlight w:val="none"/>
              </w:rPr>
              <w:t>若有效投标人</w:t>
            </w:r>
            <w:r>
              <w:rPr>
                <w:rFonts w:hint="eastAsia" w:ascii="宋体" w:hAnsi="宋体" w:eastAsia="宋体" w:cs="宋体"/>
                <w:b/>
                <w:bCs/>
                <w:color w:val="auto"/>
                <w:spacing w:val="-8"/>
                <w:highlight w:val="none"/>
                <w:lang w:val="en-US" w:eastAsia="zh-CN"/>
              </w:rPr>
              <w:t>少于</w:t>
            </w:r>
            <w:r>
              <w:rPr>
                <w:rFonts w:hint="eastAsia" w:ascii="宋体" w:hAnsi="宋体" w:eastAsia="宋体" w:cs="宋体"/>
                <w:b/>
                <w:bCs/>
                <w:color w:val="auto"/>
                <w:spacing w:val="-8"/>
                <w:highlight w:val="none"/>
              </w:rPr>
              <w:t>5名时，</w:t>
            </w:r>
            <w:r>
              <w:rPr>
                <w:rFonts w:hint="eastAsia" w:ascii="宋体" w:hAnsi="宋体" w:eastAsia="宋体" w:cs="宋体"/>
                <w:b/>
                <w:bCs/>
                <w:color w:val="auto"/>
                <w:spacing w:val="-8"/>
                <w:highlight w:val="none"/>
                <w:lang w:val="en-US" w:eastAsia="zh-CN"/>
              </w:rPr>
              <w:t>本项目需重新组织招标</w:t>
            </w:r>
            <w:r>
              <w:rPr>
                <w:rFonts w:hint="eastAsia" w:ascii="宋体" w:hAnsi="宋体" w:eastAsia="宋体" w:cs="宋体"/>
                <w:b/>
                <w:bCs/>
                <w:color w:val="auto"/>
                <w:spacing w:val="-8"/>
                <w:highlight w:val="none"/>
              </w:rPr>
              <w:t>。</w:t>
            </w:r>
          </w:p>
        </w:tc>
      </w:tr>
      <w:tr w14:paraId="456D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0" w:type="dxa"/>
            <w:vMerge w:val="continue"/>
            <w:tcBorders>
              <w:left w:val="single" w:color="auto" w:sz="4" w:space="0"/>
              <w:bottom w:val="single" w:color="auto" w:sz="4" w:space="0"/>
              <w:right w:val="single" w:color="auto" w:sz="4" w:space="0"/>
            </w:tcBorders>
            <w:noWrap w:val="0"/>
            <w:vAlign w:val="center"/>
          </w:tcPr>
          <w:p w14:paraId="3E105B8F">
            <w:pPr>
              <w:spacing w:line="380" w:lineRule="exact"/>
              <w:jc w:val="center"/>
              <w:rPr>
                <w:rFonts w:ascii="Times New Roman" w:hAnsi="Times New Roman" w:eastAsia="宋体" w:cs="Times New Roman"/>
                <w:color w:val="auto"/>
                <w:highlight w:val="none"/>
              </w:rPr>
            </w:pPr>
          </w:p>
        </w:tc>
        <w:tc>
          <w:tcPr>
            <w:tcW w:w="1670" w:type="dxa"/>
            <w:vMerge w:val="continue"/>
            <w:tcBorders>
              <w:left w:val="single" w:color="auto" w:sz="4" w:space="0"/>
              <w:bottom w:val="single" w:color="auto" w:sz="4" w:space="0"/>
              <w:right w:val="single" w:color="auto" w:sz="4" w:space="0"/>
            </w:tcBorders>
            <w:noWrap w:val="0"/>
            <w:vAlign w:val="center"/>
          </w:tcPr>
          <w:p w14:paraId="116A6E4D">
            <w:pPr>
              <w:spacing w:line="380" w:lineRule="exact"/>
              <w:jc w:val="center"/>
              <w:rPr>
                <w:rFonts w:ascii="Times New Roman" w:hAnsi="Times New Roman" w:eastAsia="宋体" w:cs="Times New Roman"/>
                <w:color w:val="auto"/>
                <w:highlight w:val="none"/>
              </w:rPr>
            </w:pPr>
          </w:p>
        </w:tc>
        <w:tc>
          <w:tcPr>
            <w:tcW w:w="912" w:type="dxa"/>
            <w:vMerge w:val="continue"/>
            <w:tcBorders>
              <w:left w:val="single" w:color="auto" w:sz="4" w:space="0"/>
              <w:bottom w:val="single" w:color="auto" w:sz="4" w:space="0"/>
              <w:right w:val="single" w:color="auto" w:sz="4" w:space="0"/>
            </w:tcBorders>
            <w:noWrap w:val="0"/>
            <w:vAlign w:val="center"/>
          </w:tcPr>
          <w:p w14:paraId="6F89F2C9">
            <w:pPr>
              <w:spacing w:line="380" w:lineRule="exact"/>
              <w:rPr>
                <w:rFonts w:ascii="Times New Roman" w:hAnsi="Times New Roman" w:eastAsia="宋体" w:cs="Times New Roman"/>
                <w:color w:val="auto"/>
                <w:highlight w:val="none"/>
              </w:rPr>
            </w:pPr>
          </w:p>
        </w:tc>
        <w:tc>
          <w:tcPr>
            <w:tcW w:w="6648" w:type="dxa"/>
            <w:tcBorders>
              <w:top w:val="single" w:color="auto" w:sz="4" w:space="0"/>
              <w:left w:val="single" w:color="auto" w:sz="4" w:space="0"/>
              <w:bottom w:val="single" w:color="auto" w:sz="4" w:space="0"/>
              <w:right w:val="single" w:color="auto" w:sz="4" w:space="0"/>
            </w:tcBorders>
            <w:noWrap w:val="0"/>
            <w:vAlign w:val="center"/>
          </w:tcPr>
          <w:p w14:paraId="7EB695B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由定标委员会采取票决方式确定</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名中标人；中标人得票必须超过半数，如第一轮无单位得票超过半数，则淘汰得票最少的一家（若得票最少的投标人不止 1 个时，定标委员会进行投票表决，选择一家），进行下一轮投票，以此类推，直至有一家得票超过半数。</w:t>
            </w:r>
          </w:p>
        </w:tc>
      </w:tr>
      <w:tr w14:paraId="4E27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F4F3F6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52739AA">
            <w:pPr>
              <w:spacing w:line="240" w:lineRule="exact"/>
              <w:ind w:left="-99" w:leftChars="-4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w:t>
            </w:r>
          </w:p>
          <w:p w14:paraId="36C971E1">
            <w:pPr>
              <w:spacing w:line="240" w:lineRule="exact"/>
              <w:ind w:left="-99" w:leftChars="-4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公示媒介</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104C1DDC">
            <w:pPr>
              <w:snapToGrid w:val="0"/>
              <w:spacing w:line="400" w:lineRule="exact"/>
              <w:outlineLvl w:val="0"/>
              <w:rPr>
                <w:rFonts w:hint="eastAsia" w:ascii="宋体" w:hAnsi="宋体" w:eastAsia="宋体" w:cs="宋体"/>
                <w:color w:val="auto"/>
                <w:szCs w:val="21"/>
                <w:highlight w:val="none"/>
              </w:rPr>
            </w:pPr>
            <w:r>
              <w:rPr>
                <w:rFonts w:hint="eastAsia" w:ascii="宋体" w:hAnsi="宋体" w:eastAsia="宋体" w:cs="宋体"/>
                <w:color w:val="auto"/>
                <w:highlight w:val="none"/>
              </w:rPr>
              <w:t>义乌市阳光招标采购平台(www.ywygzc.com)、义乌产权交易网（www.ywcq.com）</w:t>
            </w:r>
          </w:p>
        </w:tc>
      </w:tr>
      <w:tr w14:paraId="6027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1FAFEA1">
            <w:pPr>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11ECB78">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定标委员会的组建</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3EB02B3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定标委员会由</w:t>
            </w:r>
            <w:r>
              <w:rPr>
                <w:rFonts w:hint="eastAsia" w:ascii="宋体" w:hAnsi="宋体" w:eastAsia="宋体" w:cs="宋体"/>
                <w:color w:val="auto"/>
                <w:szCs w:val="21"/>
                <w:highlight w:val="none"/>
                <w:lang w:eastAsia="zh-CN"/>
              </w:rPr>
              <w:t>义乌市水务建设集团有限公司</w:t>
            </w:r>
            <w:r>
              <w:rPr>
                <w:rFonts w:hint="eastAsia" w:ascii="宋体" w:hAnsi="宋体" w:eastAsia="宋体" w:cs="宋体"/>
                <w:color w:val="auto"/>
                <w:szCs w:val="21"/>
                <w:highlight w:val="none"/>
                <w:lang w:val="en-US" w:eastAsia="zh-CN"/>
              </w:rPr>
              <w:t>负责</w:t>
            </w:r>
            <w:r>
              <w:rPr>
                <w:rFonts w:hint="eastAsia" w:ascii="宋体" w:hAnsi="宋体" w:eastAsia="宋体" w:cs="宋体"/>
                <w:color w:val="auto"/>
                <w:szCs w:val="21"/>
                <w:highlight w:val="none"/>
              </w:rPr>
              <w:t>组建，成员数量为7人及以上单数，组长由</w:t>
            </w:r>
            <w:r>
              <w:rPr>
                <w:rFonts w:hint="eastAsia" w:ascii="宋体" w:hAnsi="宋体" w:eastAsia="宋体" w:cs="宋体"/>
                <w:color w:val="auto"/>
                <w:szCs w:val="21"/>
                <w:highlight w:val="none"/>
                <w:lang w:eastAsia="zh-CN"/>
              </w:rPr>
              <w:t>义乌市水务建设集团有限公司</w:t>
            </w:r>
            <w:r>
              <w:rPr>
                <w:rFonts w:hint="eastAsia" w:ascii="宋体" w:hAnsi="宋体" w:eastAsia="宋体" w:cs="宋体"/>
                <w:color w:val="auto"/>
                <w:szCs w:val="21"/>
                <w:highlight w:val="none"/>
              </w:rPr>
              <w:t>的法定代表人或主要负责人或项目分管领导担任，其他成员从定标人员库中按不少于2:1的比例随机产生。</w:t>
            </w:r>
          </w:p>
        </w:tc>
      </w:tr>
      <w:tr w14:paraId="52D7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9DC426D">
            <w:pPr>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8E77C87">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是否对中标候选人及拟派项目负责人进行考察、质询</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3D7361C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不需要</w:t>
            </w:r>
          </w:p>
        </w:tc>
      </w:tr>
      <w:tr w14:paraId="1C92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6EF0F74">
            <w:pPr>
              <w:spacing w:line="38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20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35C7CE9">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是否需要对中标候选人进行面试</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2DE61DF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不需要</w:t>
            </w:r>
          </w:p>
        </w:tc>
      </w:tr>
      <w:tr w14:paraId="4A4D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2B5BBB4">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0C50945B">
            <w:pPr>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其他</w:t>
            </w:r>
          </w:p>
        </w:tc>
        <w:tc>
          <w:tcPr>
            <w:tcW w:w="7560" w:type="dxa"/>
            <w:gridSpan w:val="2"/>
            <w:tcBorders>
              <w:top w:val="single" w:color="auto" w:sz="4" w:space="0"/>
              <w:left w:val="single" w:color="auto" w:sz="4" w:space="0"/>
              <w:bottom w:val="single" w:color="auto" w:sz="4" w:space="0"/>
              <w:right w:val="single" w:color="auto" w:sz="4" w:space="0"/>
            </w:tcBorders>
            <w:noWrap w:val="0"/>
            <w:vAlign w:val="center"/>
          </w:tcPr>
          <w:p w14:paraId="6C83CA0F">
            <w:pPr>
              <w:spacing w:line="400" w:lineRule="exact"/>
              <w:rPr>
                <w:rFonts w:ascii="宋体" w:hAnsi="宋体" w:eastAsia="宋体" w:cs="宋体"/>
                <w:color w:val="auto"/>
                <w:szCs w:val="21"/>
                <w:highlight w:val="none"/>
              </w:rPr>
            </w:pPr>
            <w:r>
              <w:rPr>
                <w:rFonts w:ascii="宋体" w:hAnsi="宋体" w:eastAsia="宋体" w:cs="宋体"/>
                <w:b/>
                <w:bCs/>
                <w:color w:val="auto"/>
                <w:szCs w:val="21"/>
                <w:highlight w:val="none"/>
              </w:rPr>
              <w:t>1</w:t>
            </w:r>
            <w:r>
              <w:rPr>
                <w:rFonts w:hint="eastAsia" w:ascii="宋体" w:hAnsi="宋体" w:eastAsia="宋体" w:cs="宋体"/>
                <w:b/>
                <w:bCs/>
                <w:color w:val="auto"/>
                <w:szCs w:val="21"/>
                <w:highlight w:val="none"/>
              </w:rPr>
              <w:t>）本项目设有投标报价区间的，投标报价超出区间的，其投标均为无效标。</w:t>
            </w:r>
          </w:p>
          <w:p w14:paraId="776B65B3">
            <w:pPr>
              <w:spacing w:line="380" w:lineRule="exact"/>
              <w:jc w:val="left"/>
              <w:rPr>
                <w:rFonts w:hint="eastAsia" w:ascii="宋体" w:hAnsi="宋体" w:eastAsia="宋体" w:cs="宋体"/>
                <w:color w:val="auto"/>
                <w:sz w:val="21"/>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）招标文件中要求投标人在制作投标文件时，提供的复印件必须根据评审细则对评审的内容复印完整、清晰可辨，否则在评审时以最不利于投标人原则评审。</w:t>
            </w:r>
          </w:p>
        </w:tc>
      </w:tr>
    </w:tbl>
    <w:p w14:paraId="21238E59">
      <w:pPr>
        <w:spacing w:line="360" w:lineRule="auto"/>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16DE0C73">
      <w:pPr>
        <w:pStyle w:val="2"/>
        <w:keepNext/>
        <w:keepLines/>
        <w:pageBreakBefore w:val="0"/>
        <w:widowControl w:val="0"/>
        <w:kinsoku/>
        <w:wordWrap/>
        <w:overflowPunct/>
        <w:topLinePunct w:val="0"/>
        <w:autoSpaceDE/>
        <w:autoSpaceDN/>
        <w:bidi w:val="0"/>
        <w:adjustRightInd/>
        <w:snapToGrid/>
        <w:spacing w:line="240" w:lineRule="exact"/>
        <w:jc w:val="center"/>
        <w:textAlignment w:val="auto"/>
        <w:rPr>
          <w:color w:val="auto"/>
          <w:sz w:val="32"/>
          <w:szCs w:val="32"/>
          <w:highlight w:val="none"/>
        </w:rPr>
      </w:pPr>
      <w:r>
        <w:rPr>
          <w:color w:val="auto"/>
          <w:sz w:val="36"/>
          <w:szCs w:val="36"/>
          <w:highlight w:val="none"/>
        </w:rPr>
        <w:br w:type="page"/>
      </w:r>
      <w:bookmarkStart w:id="5" w:name="_Toc10232"/>
      <w:bookmarkStart w:id="6" w:name="_Toc8496"/>
      <w:bookmarkStart w:id="7" w:name="_Toc32581"/>
      <w:r>
        <w:rPr>
          <w:rFonts w:hint="eastAsia"/>
          <w:color w:val="auto"/>
          <w:sz w:val="32"/>
          <w:szCs w:val="32"/>
          <w:highlight w:val="none"/>
        </w:rPr>
        <w:t>投标须知</w:t>
      </w:r>
      <w:bookmarkEnd w:id="5"/>
      <w:bookmarkEnd w:id="6"/>
      <w:bookmarkEnd w:id="7"/>
    </w:p>
    <w:p w14:paraId="2FB21998">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 w:name="_Toc20416"/>
      <w:bookmarkStart w:id="9" w:name="_Toc27843"/>
      <w:bookmarkStart w:id="10" w:name="_Toc274303229"/>
      <w:bookmarkStart w:id="11" w:name="_Toc362250687"/>
      <w:bookmarkStart w:id="12" w:name="_Toc9778"/>
      <w:r>
        <w:rPr>
          <w:rFonts w:hint="eastAsia" w:ascii="宋体" w:hAnsi="宋体" w:eastAsia="宋体" w:cs="宋体"/>
          <w:color w:val="auto"/>
          <w:sz w:val="21"/>
          <w:szCs w:val="21"/>
          <w:highlight w:val="none"/>
        </w:rPr>
        <w:t>一、说明</w:t>
      </w:r>
      <w:bookmarkEnd w:id="8"/>
      <w:bookmarkEnd w:id="9"/>
      <w:bookmarkEnd w:id="10"/>
      <w:bookmarkEnd w:id="11"/>
      <w:bookmarkEnd w:id="12"/>
    </w:p>
    <w:p w14:paraId="14917834">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适用范围</w:t>
      </w:r>
    </w:p>
    <w:p w14:paraId="2D754D32">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2DF08085">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定义</w:t>
      </w:r>
    </w:p>
    <w:p w14:paraId="4699F832">
      <w:pPr>
        <w:pStyle w:val="18"/>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olor w:val="auto"/>
          <w:highlight w:val="none"/>
          <w:lang w:eastAsia="zh-CN"/>
        </w:rPr>
        <w:t>义乌市第三自来水有限公司</w:t>
      </w:r>
      <w:r>
        <w:rPr>
          <w:rFonts w:hint="eastAsia" w:ascii="宋体" w:hAnsi="宋体" w:eastAsia="宋体" w:cs="宋体"/>
          <w:color w:val="auto"/>
          <w:sz w:val="21"/>
          <w:szCs w:val="21"/>
          <w:highlight w:val="none"/>
        </w:rPr>
        <w:t>。</w:t>
      </w:r>
    </w:p>
    <w:p w14:paraId="7239DC56">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2.2招标代理机构：系指义乌产权交易所有限公司。</w:t>
      </w:r>
    </w:p>
    <w:p w14:paraId="131245ED">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2.3投标人：系指符合招标公告要求的投标供应商。</w:t>
      </w:r>
    </w:p>
    <w:p w14:paraId="2F1FD858">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2.4服务：系指招标文件规定投标人须承担的劳务及其他类似的服务。</w:t>
      </w:r>
    </w:p>
    <w:p w14:paraId="3CF7FA84">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2.5货物：系指按招标文件规定投标人须向采购人提供的一切材料、设备、机械、仪器仪表、工具及其他有关技术资料和文字材料。</w:t>
      </w:r>
    </w:p>
    <w:p w14:paraId="2FF17090">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2.6需方：即采购人，在招投标阶段称为采购人，在签订和执行合同阶段称为需方。</w:t>
      </w:r>
    </w:p>
    <w:p w14:paraId="568E9CEC">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2.7供方：在招投标阶段称为投标人，中标后在签订和执行合同阶段称为供方。</w:t>
      </w:r>
    </w:p>
    <w:p w14:paraId="6878E7E8">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2.8“原产地”是指货物开采、生长或生产或提供有关服务的来源地。</w:t>
      </w:r>
    </w:p>
    <w:p w14:paraId="1CF5D9E2">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2.9“★”标记系指必须满足不能负偏离或必须应答的条款。</w:t>
      </w:r>
    </w:p>
    <w:p w14:paraId="0EE9A8B9">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合格的投标人</w:t>
      </w:r>
    </w:p>
    <w:p w14:paraId="40B0F079">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3.1符合招标公告中要求的条件；</w:t>
      </w:r>
    </w:p>
    <w:p w14:paraId="48048A05">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保证</w:t>
      </w:r>
    </w:p>
    <w:p w14:paraId="0531201A">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4.1投标单位应保证所提交给招标机构和采购人的资料和数据是真实的。</w:t>
      </w:r>
    </w:p>
    <w:p w14:paraId="171D1CA9">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招标投标费用</w:t>
      </w:r>
    </w:p>
    <w:p w14:paraId="7EB639A0">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5.1不论投标过程中的做法和结果如何，投标人应承担所有与投标有关的全部费用。采购人和采购代理机构在任何情况下均无义务和责任承担上述这些费用。</w:t>
      </w:r>
    </w:p>
    <w:p w14:paraId="4903CFA4">
      <w:pPr>
        <w:pStyle w:val="18"/>
        <w:pageBreakBefore w:val="0"/>
        <w:widowControl w:val="0"/>
        <w:kinsoku/>
        <w:wordWrap/>
        <w:overflowPunct/>
        <w:topLinePunct w:val="0"/>
        <w:autoSpaceDE/>
        <w:autoSpaceDN/>
        <w:bidi w:val="0"/>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现场勘察 </w:t>
      </w:r>
    </w:p>
    <w:p w14:paraId="3FEEDEF9">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70314772">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6.2投标单位在考察过程中发生的各类事件及所发生的各项费用，均由投标单位自行承担。采购人和代理机构概不负责。</w:t>
      </w:r>
    </w:p>
    <w:p w14:paraId="249B1B45">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6.3采购人向投标单位提供的有关现场的数据和资料，是采购人现有的能被投标人利用的资料，采购人对投标人据此做出的任何推论、理解和结论不负责任。</w:t>
      </w:r>
    </w:p>
    <w:p w14:paraId="747DA4D4">
      <w:pPr>
        <w:pStyle w:val="16"/>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6.4现场踏勘完毕，将认为投标人已了解现场情况，并充分理解了为之所承担的风险、义务和责任。</w:t>
      </w:r>
    </w:p>
    <w:p w14:paraId="26829DE6">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联合体投标</w:t>
      </w:r>
    </w:p>
    <w:p w14:paraId="22334A7A">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本项目不允许转包。</w:t>
      </w:r>
    </w:p>
    <w:p w14:paraId="56AA1CD8">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本项目不允许分包。</w:t>
      </w:r>
    </w:p>
    <w:p w14:paraId="04EDA25D">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本项目不接受联合体投标。</w:t>
      </w:r>
    </w:p>
    <w:p w14:paraId="6AF63FB1">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3" w:name="_Toc274303230"/>
      <w:bookmarkStart w:id="14" w:name="_Toc8772"/>
      <w:bookmarkStart w:id="15" w:name="_Toc29212"/>
      <w:bookmarkStart w:id="16" w:name="_Toc12737"/>
      <w:bookmarkStart w:id="17" w:name="_Toc362250688"/>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3EEF578E">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招标文件的组成</w:t>
      </w:r>
    </w:p>
    <w:p w14:paraId="45050362">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8.1招标文件包括下列内容：</w:t>
      </w:r>
    </w:p>
    <w:p w14:paraId="00165841">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招标公告</w:t>
      </w:r>
    </w:p>
    <w:p w14:paraId="2DBBEE0A">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投标须知和投标须知前附表</w:t>
      </w:r>
    </w:p>
    <w:p w14:paraId="7A1AE22C">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招标项目要求</w:t>
      </w:r>
    </w:p>
    <w:p w14:paraId="4340DA5A">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开标、评标和定标须知</w:t>
      </w:r>
    </w:p>
    <w:p w14:paraId="4D1ED334">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投标文件的有效性</w:t>
      </w:r>
    </w:p>
    <w:p w14:paraId="76103852">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评标办法</w:t>
      </w:r>
    </w:p>
    <w:p w14:paraId="1F26FA91">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合同主要条款</w:t>
      </w:r>
    </w:p>
    <w:p w14:paraId="4764CEAA">
      <w:pPr>
        <w:pageBreakBefore w:val="0"/>
        <w:widowControl w:val="0"/>
        <w:kinsoku/>
        <w:wordWrap/>
        <w:overflowPunct/>
        <w:topLinePunct w:val="0"/>
        <w:autoSpaceDE/>
        <w:autoSpaceDN/>
        <w:bidi w:val="0"/>
        <w:adjustRightInd w:val="0"/>
        <w:snapToGrid w:val="0"/>
        <w:spacing w:before="50" w:after="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投标文件部分格式</w:t>
      </w:r>
    </w:p>
    <w:p w14:paraId="6CDBB5ED">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8.2除8.1内容外，采购人以书面形式发出的对招标文件的澄清或修改内容，均为招标文件的组成部分，对采购人和投标人起约束作用。</w:t>
      </w:r>
    </w:p>
    <w:p w14:paraId="567ED98F">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8.3上述所列8.1及8.2条内容均以书面文件为准，采购人（招标代理机构）的任何工作人员对投</w:t>
      </w:r>
      <w:r>
        <w:rPr>
          <w:rFonts w:hint="eastAsia" w:ascii="宋体" w:hAnsi="宋体" w:eastAsia="宋体" w:cs="宋体"/>
          <w:color w:val="auto"/>
          <w:sz w:val="21"/>
          <w:szCs w:val="21"/>
          <w:highlight w:val="none"/>
        </w:rPr>
        <w:t>标人所作的任何口头解释、介绍、答复，对采购人和投标人无任何约束力。</w:t>
      </w:r>
    </w:p>
    <w:p w14:paraId="12B5219F">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8.4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4C9EDD93">
      <w:pPr>
        <w:pageBreakBefore w:val="0"/>
        <w:widowControl w:val="0"/>
        <w:kinsoku/>
        <w:wordWrap/>
        <w:overflowPunct/>
        <w:topLinePunct w:val="0"/>
        <w:autoSpaceDE/>
        <w:autoSpaceDN/>
        <w:bidi w:val="0"/>
        <w:adjustRightInd w:val="0"/>
        <w:snapToGrid w:val="0"/>
        <w:spacing w:before="50" w:after="5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招标文件的澄清</w:t>
      </w:r>
    </w:p>
    <w:p w14:paraId="7CEDFACE">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9.1投标人若对招标文件有任何疑问，应于前附表规定的时间</w:t>
      </w:r>
      <w:r>
        <w:rPr>
          <w:rFonts w:hint="eastAsia" w:ascii="宋体" w:hAnsi="宋体" w:eastAsia="宋体" w:cs="宋体"/>
          <w:color w:val="auto"/>
          <w:sz w:val="21"/>
          <w:szCs w:val="21"/>
          <w:highlight w:val="none"/>
          <w:lang w:val="en-US" w:eastAsia="zh-CN"/>
        </w:rPr>
        <w:t>及方式</w:t>
      </w:r>
      <w:r>
        <w:rPr>
          <w:rFonts w:hint="eastAsia" w:ascii="宋体" w:hAnsi="宋体" w:eastAsia="宋体" w:cs="宋体"/>
          <w:color w:val="auto"/>
          <w:sz w:val="21"/>
          <w:szCs w:val="21"/>
          <w:highlight w:val="none"/>
        </w:rPr>
        <w:t>向采购人和代理机构提出。</w:t>
      </w:r>
    </w:p>
    <w:p w14:paraId="3A0B7211">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9.2无论是采购人根据需要主动对招标文件进行必要澄清，或是根据投标人的要求对招标文件做出澄清，采购人都将答疑；答疑内容是招标文件的组成部分。</w:t>
      </w:r>
    </w:p>
    <w:p w14:paraId="6BEBCF3B">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同时将书面澄清文件向所有投标人发送。投标人在收到该澄清文件后应于 一 日内，以书面或传真形式（签署意见并加盖公章）向招标代理机构回函给予确认。过期未回复的，视为默认接收。</w:t>
      </w:r>
    </w:p>
    <w:p w14:paraId="2D09C0FA">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9.3投标单位在前附表规定时间未提交疑问的，视作默认对本次招标过程中招标文件无异议，采购人对其提出的问题可以不作解释。</w:t>
      </w:r>
    </w:p>
    <w:p w14:paraId="00B2EFBB">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9.4招标文件澄清、修改、补充等内容均以书面形式明确的内容为准。当招标文件、招标文件的澄清、修改、补充等在同一内容的表述上不一致时，以最后发出的书面文件为准。</w:t>
      </w:r>
    </w:p>
    <w:p w14:paraId="3446DFE0">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9.5采购人及招标代理机构工作人员向投标人所作的任何口头答复或电话通知一律无效。</w:t>
      </w:r>
    </w:p>
    <w:p w14:paraId="42426396">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62E02303">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18" w:name="_Toc16783"/>
      <w:bookmarkStart w:id="19" w:name="_Toc29569"/>
      <w:bookmarkStart w:id="20" w:name="_Toc362250689"/>
      <w:bookmarkStart w:id="21" w:name="_Toc31250"/>
      <w:bookmarkStart w:id="22" w:name="_Toc274303231"/>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2EEBBDA5">
      <w:pPr>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10</w:t>
      </w:r>
      <w:r>
        <w:rPr>
          <w:rFonts w:hint="eastAsia" w:ascii="宋体" w:hAnsi="宋体" w:eastAsia="宋体" w:cs="宋体"/>
          <w:b/>
          <w:color w:val="auto"/>
          <w:sz w:val="21"/>
          <w:szCs w:val="21"/>
          <w:highlight w:val="none"/>
          <w:lang w:eastAsia="zh-CN"/>
        </w:rPr>
        <w:t>.</w:t>
      </w:r>
      <w:r>
        <w:rPr>
          <w:rFonts w:hint="eastAsia" w:ascii="宋体" w:hAnsi="宋体" w:eastAsia="宋体" w:cs="宋体"/>
          <w:b/>
          <w:bCs/>
          <w:color w:val="auto"/>
          <w:sz w:val="21"/>
          <w:szCs w:val="21"/>
          <w:highlight w:val="none"/>
        </w:rPr>
        <w:t>投标文件的语言及度量衡单位</w:t>
      </w:r>
    </w:p>
    <w:p w14:paraId="2BC2F2A1">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10.1投标文件和与投标有关的所有文件均应使用汉语。</w:t>
      </w:r>
    </w:p>
    <w:p w14:paraId="744737A0">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10.2除工程规范另有规定外，投标文件使用的度量衡单位，均采用中华人民共和国法定计量单位。</w:t>
      </w:r>
    </w:p>
    <w:p w14:paraId="75AF228E">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对投标文件的要求</w:t>
      </w:r>
    </w:p>
    <w:p w14:paraId="390BC279">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11.1投标人应仔细阅读招标文件，了解招标文件的要求，在完全了解招标项目的技术要求和商务要求后，编制投标文件。</w:t>
      </w:r>
    </w:p>
    <w:p w14:paraId="3D014C87">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11.2编制投标文件时，投标人对招标文件中技术及商务要求须逐条逐项作出实质性回答。</w:t>
      </w:r>
    </w:p>
    <w:p w14:paraId="3D2BAD99">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在招标文件对技术要求中，投标人必须充分应答和满足用户的强制性的需求，如“★”等，否则将导致废标。</w:t>
      </w:r>
    </w:p>
    <w:p w14:paraId="7D4D7274">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11.4投标人应提供证明其拟提供的货物及其辅助服务的合格性及符合招标文件规定的文件，作为其投标文件的一部分。</w:t>
      </w:r>
    </w:p>
    <w:p w14:paraId="5D300AF8">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11.5货物简要说明中对货物和服务原产地的说明，并应有原产地证书证明，进口货物必须有进口产品的商检证明、报关单等资料。</w:t>
      </w:r>
    </w:p>
    <w:p w14:paraId="38DB44F7">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11.6投标人在阐述货物和服务与招标文件的要求相一致的资料时应注意采购人和招标代理机构在</w:t>
      </w:r>
      <w:r>
        <w:rPr>
          <w:rFonts w:hint="eastAsia" w:ascii="宋体" w:hAnsi="宋体" w:eastAsia="宋体" w:cs="宋体"/>
          <w:color w:val="auto"/>
          <w:sz w:val="21"/>
          <w:szCs w:val="21"/>
          <w:highlight w:val="none"/>
        </w:rPr>
        <w:t>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41FB22E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11.7编制的投标文件对招标文件中有关条款未提出异议的，均被视为接受和同意。</w:t>
      </w:r>
    </w:p>
    <w:p w14:paraId="2EA7F415">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投标文件的组成</w:t>
      </w:r>
    </w:p>
    <w:p w14:paraId="3F9D5E98">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招标文件“投标文件部分格式”所列的内容、格式及其投标人认为有必要提供的其他文件。</w:t>
      </w:r>
    </w:p>
    <w:p w14:paraId="3E6ED850">
      <w:pPr>
        <w:pStyle w:val="16"/>
        <w:pageBreakBefore w:val="0"/>
        <w:widowControl w:val="0"/>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 投标文件由资格响应文件、商务技术响应文件和报价响应文件组成，以下的“格式”，指的是第八章投标文件格式中的表格；</w:t>
      </w:r>
    </w:p>
    <w:p w14:paraId="4AAEDD56">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12.2.1 资格响应文件：</w:t>
      </w:r>
      <w:r>
        <w:rPr>
          <w:rFonts w:hint="eastAsia" w:ascii="宋体" w:hAnsi="宋体" w:eastAsia="宋体" w:cs="宋体"/>
          <w:color w:val="auto"/>
          <w:sz w:val="21"/>
          <w:szCs w:val="21"/>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ascii="宋体" w:hAnsi="宋体" w:eastAsia="宋体" w:cs="宋体"/>
          <w:b/>
          <w:bCs/>
          <w:color w:val="auto"/>
          <w:sz w:val="21"/>
          <w:szCs w:val="21"/>
          <w:highlight w:val="none"/>
        </w:rPr>
        <w:t>应包括下列内容（并不仅限于以下）：（</w:t>
      </w:r>
      <w:r>
        <w:rPr>
          <w:rFonts w:hint="eastAsia" w:ascii="宋体" w:hAnsi="宋体" w:eastAsia="宋体" w:cs="宋体"/>
          <w:b/>
          <w:bCs/>
          <w:color w:val="auto"/>
          <w:sz w:val="21"/>
          <w:szCs w:val="21"/>
          <w:highlight w:val="none"/>
          <w:u w:val="single"/>
        </w:rPr>
        <w:t>提供的所有证书应在有效期内，过期的文件无效）</w:t>
      </w:r>
    </w:p>
    <w:p w14:paraId="1A40E7D6">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（1）有效的营业执照副本等经营资格扫描件或在“国家企业信用信息公示系统”（网址：http://www.gsxt.gov.cn/）上的单位详细信息打印件；</w:t>
      </w:r>
    </w:p>
    <w:p w14:paraId="62229AB3">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（2）义乌市国企采购项目投标承诺书；</w:t>
      </w:r>
    </w:p>
    <w:p w14:paraId="05873B3A">
      <w:pPr>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法定代表人授权书和被授权人身份证复印件［适用于非法定代表人参加投标的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说明：法定代表人以营业执照载明的人员为准］</w:t>
      </w:r>
      <w:r>
        <w:rPr>
          <w:rFonts w:hint="eastAsia" w:ascii="宋体" w:hAnsi="宋体" w:eastAsia="宋体" w:cs="宋体"/>
          <w:color w:val="auto"/>
          <w:sz w:val="21"/>
          <w:szCs w:val="21"/>
          <w:highlight w:val="none"/>
          <w:lang w:eastAsia="zh-CN"/>
        </w:rPr>
        <w:t>；</w:t>
      </w:r>
    </w:p>
    <w:p w14:paraId="52C07EF5">
      <w:pPr>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kern w:val="2"/>
          <w:sz w:val="21"/>
          <w:szCs w:val="24"/>
          <w:highlight w:val="none"/>
          <w:lang w:val="en-US" w:eastAsia="zh-CN" w:bidi="ar-SA"/>
        </w:rPr>
        <w:t>拟派项目负责人具有国家一级注册造价工程师证书复印件；</w:t>
      </w:r>
    </w:p>
    <w:p w14:paraId="53464764">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12.2.2 商务技术响应文件</w:t>
      </w:r>
      <w:r>
        <w:rPr>
          <w:rFonts w:hint="eastAsia" w:ascii="宋体" w:hAnsi="宋体" w:eastAsia="宋体" w:cs="宋体"/>
          <w:color w:val="auto"/>
          <w:sz w:val="21"/>
          <w:szCs w:val="21"/>
          <w:highlight w:val="none"/>
        </w:rPr>
        <w:t>：投标货物、服务符合性的有关证明及技术资料：投标人须提交参投货物的详细技术文件，其形式可以是文字资料、图纸和数据等，证明其拟供货物和服务符合</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文件规定的技术响应文件，作为投标文件的一部分。</w:t>
      </w:r>
      <w:r>
        <w:rPr>
          <w:rFonts w:hint="eastAsia" w:ascii="宋体" w:hAnsi="宋体" w:eastAsia="宋体" w:cs="宋体"/>
          <w:b/>
          <w:bCs/>
          <w:color w:val="auto"/>
          <w:sz w:val="21"/>
          <w:szCs w:val="21"/>
          <w:highlight w:val="none"/>
        </w:rPr>
        <w:t>应包括下列内容（并不仅限于以下）</w:t>
      </w:r>
    </w:p>
    <w:p w14:paraId="768A60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hAnsi="宋体"/>
          <w:color w:val="auto"/>
          <w:sz w:val="21"/>
          <w:szCs w:val="21"/>
          <w:highlight w:val="none"/>
        </w:rPr>
        <w:t>技术服务承诺书</w:t>
      </w:r>
      <w:r>
        <w:rPr>
          <w:rFonts w:hint="eastAsia" w:ascii="宋体" w:hAnsi="宋体" w:cs="宋体"/>
          <w:color w:val="auto"/>
          <w:szCs w:val="21"/>
          <w:highlight w:val="none"/>
        </w:rPr>
        <w:t>；</w:t>
      </w:r>
    </w:p>
    <w:p w14:paraId="21215B39">
      <w:pPr>
        <w:spacing w:line="360" w:lineRule="auto"/>
        <w:ind w:firstLine="420" w:firstLineChars="200"/>
        <w:rPr>
          <w:rFonts w:hint="eastAsia"/>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）规范偏离表；</w:t>
      </w:r>
    </w:p>
    <w:p w14:paraId="63FEF890">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根据评审需要、招标文件要求等，投标人自行考虑需提供的资料。</w:t>
      </w:r>
    </w:p>
    <w:p w14:paraId="3A8F0CCF">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607B5297">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12.2.3报价响应文件：应包括下列内容（并不仅限于以下）</w:t>
      </w:r>
    </w:p>
    <w:p w14:paraId="599EE553">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（1）开标一览表；</w:t>
      </w:r>
    </w:p>
    <w:p w14:paraId="6DE40AAA">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以上文件均需加盖电子签章</w:t>
      </w:r>
    </w:p>
    <w:p w14:paraId="07CA59D8">
      <w:pPr>
        <w:pStyle w:val="16"/>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投标人资格的有关证明资料</w:t>
      </w:r>
    </w:p>
    <w:p w14:paraId="0C7D6AC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13.1投标人应提交证明其有资格参加投标和中标后有能力履行合同的文件，并作为其投标文件的一部分。</w:t>
      </w:r>
    </w:p>
    <w:p w14:paraId="439BEA55">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投标人提交的合格性的证明文件应使采购人满意，投标人在投标时应是符合条件的投标人。</w:t>
      </w:r>
    </w:p>
    <w:p w14:paraId="411E3728">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投标报价</w:t>
      </w:r>
    </w:p>
    <w:p w14:paraId="393EAB5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14.1投标人应根据国家的有关规定和招标文件要求并结合企业的实际情况进行投标报价。具体详见招标文件第三章中的商务要求。</w:t>
      </w:r>
    </w:p>
    <w:p w14:paraId="17884A04">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投标文件格式</w:t>
      </w:r>
    </w:p>
    <w:p w14:paraId="384217C9">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0EF1EBE7">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437B3617">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投标文件编制要求</w:t>
      </w:r>
    </w:p>
    <w:p w14:paraId="272F0CBE">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16.1投标人应仔细阅读招标文件，了解招标文件的要求，在完全了解招标项目的要求后，编制投标文件。</w:t>
      </w:r>
    </w:p>
    <w:p w14:paraId="32D20ED9">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16.2在招标文件对技术要求中，投标人必须充分应答和满足用户的强制性的需求，如“★”等，否则将导致无效标。</w:t>
      </w:r>
    </w:p>
    <w:p w14:paraId="3774BF83">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16.3编制的投标文件对招标文件中有关条款未提出异议的，均被视为接受和同意。</w:t>
      </w:r>
    </w:p>
    <w:p w14:paraId="3186D14C">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16.4投标人应根据电子投标操作指南按本招标文件规定的格式和顺序编制电子投标文件并进行关联定位。</w:t>
      </w:r>
    </w:p>
    <w:p w14:paraId="67993131">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16.5由于未按招标文件的规定要求编制投标文件，导致评审小组作出的对投标人的误判，责任由投标人自己承担。</w:t>
      </w:r>
    </w:p>
    <w:p w14:paraId="4F79D8DC">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投标有效期</w:t>
      </w:r>
    </w:p>
    <w:p w14:paraId="4A2DB704">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投标文件从开标之日起，投标有效期为60天。</w:t>
      </w:r>
    </w:p>
    <w:p w14:paraId="4EDD6945">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特殊情况下，在原投标有效期截止之前，采购人可要求投标人同意延长有效期，这种要求与答复均应以书面形式提交。</w:t>
      </w:r>
      <w:bookmarkStart w:id="23" w:name="_Toc362250690"/>
      <w:bookmarkStart w:id="24" w:name="_Toc27009"/>
      <w:bookmarkStart w:id="25" w:name="_Toc274303232"/>
      <w:bookmarkStart w:id="26" w:name="_Toc8254"/>
    </w:p>
    <w:p w14:paraId="1F11E98E">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27" w:name="_Toc29279"/>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7770"/>
      <w:bookmarkStart w:id="29" w:name="_Toc6809"/>
    </w:p>
    <w:p w14:paraId="0C491B52">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18.电子投标文件上传的地点和截止时间</w:t>
      </w:r>
    </w:p>
    <w:p w14:paraId="4C51843E">
      <w:pPr>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投标人应在投标截止时间（</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日09</w:t>
      </w:r>
      <w:r>
        <w:rPr>
          <w:rFonts w:hint="eastAsia" w:ascii="宋体" w:hAnsi="宋体" w:eastAsia="宋体" w:cs="宋体"/>
          <w:color w:val="auto"/>
          <w:sz w:val="21"/>
          <w:szCs w:val="21"/>
          <w:highlight w:val="none"/>
        </w:rPr>
        <w:t>:30）之前上传投标文件</w:t>
      </w:r>
      <w:r>
        <w:rPr>
          <w:rFonts w:hint="eastAsia" w:ascii="宋体" w:hAnsi="宋体" w:eastAsia="宋体" w:cs="宋体"/>
          <w:color w:val="auto"/>
          <w:sz w:val="21"/>
          <w:szCs w:val="21"/>
          <w:highlight w:val="none"/>
          <w:lang w:eastAsia="zh-CN"/>
        </w:rPr>
        <w:t>。</w:t>
      </w:r>
    </w:p>
    <w:p w14:paraId="4B4094C9">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19.</w:t>
      </w:r>
      <w:r>
        <w:rPr>
          <w:rFonts w:hint="eastAsia" w:ascii="宋体" w:hAnsi="宋体" w:eastAsia="宋体" w:cs="宋体"/>
          <w:b/>
          <w:bCs/>
          <w:color w:val="auto"/>
          <w:sz w:val="21"/>
          <w:szCs w:val="21"/>
          <w:highlight w:val="none"/>
        </w:rPr>
        <w:t>投标文件的补充、修改与撤回</w:t>
      </w:r>
    </w:p>
    <w:p w14:paraId="60A4497A">
      <w:pPr>
        <w:pStyle w:val="18"/>
        <w:pageBreakBefore w:val="0"/>
        <w:widowControl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19.1投标人在“义乌市阳光招标采购平台”上提交投标文件以后，在规定的投标截止时间之前，可以重新补充修改或撤回已上传的投标文件，补充、修改的内容为投标文件的组成部分。</w:t>
      </w:r>
    </w:p>
    <w:p w14:paraId="23C67273">
      <w:pPr>
        <w:pStyle w:val="16"/>
        <w:pageBreakBefore w:val="0"/>
        <w:widowControl w:val="0"/>
        <w:kinsoku/>
        <w:wordWrap/>
        <w:overflowPunct/>
        <w:topLinePunct w:val="0"/>
        <w:autoSpaceDE/>
        <w:autoSpaceDN/>
        <w:bidi w:val="0"/>
        <w:spacing w:line="360" w:lineRule="auto"/>
        <w:ind w:firstLine="411" w:firstLineChars="196"/>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19.2在投标截止时间之后，</w:t>
      </w:r>
      <w:r>
        <w:rPr>
          <w:rFonts w:hint="eastAsia" w:ascii="宋体" w:hAnsi="宋体" w:eastAsia="宋体" w:cs="宋体"/>
          <w:color w:val="auto"/>
          <w:spacing w:val="-6"/>
          <w:sz w:val="21"/>
          <w:szCs w:val="21"/>
          <w:highlight w:val="none"/>
        </w:rPr>
        <w:t>投标人不得对其投标做任何修改。</w:t>
      </w:r>
    </w:p>
    <w:p w14:paraId="754B25E9">
      <w:pPr>
        <w:pStyle w:val="18"/>
        <w:pageBreakBefore w:val="0"/>
        <w:widowControl w:val="0"/>
        <w:kinsoku/>
        <w:wordWrap/>
        <w:overflowPunct/>
        <w:topLinePunct w:val="0"/>
        <w:autoSpaceDE/>
        <w:autoSpaceDN/>
        <w:bidi w:val="0"/>
        <w:spacing w:line="360" w:lineRule="auto"/>
        <w:ind w:firstLine="396"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19.3从投标截止时间至投标人在投标书格式中确定的投标有效期期满这段时间内，投标人不得撤回其投标，否则将通报市信用管理部门，列入严重失信名单。</w:t>
      </w:r>
    </w:p>
    <w:p w14:paraId="4C9565ED">
      <w:pPr>
        <w:pStyle w:val="18"/>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20.投标文件解密</w:t>
      </w:r>
    </w:p>
    <w:p w14:paraId="7D0AFDDC">
      <w:pPr>
        <w:pStyle w:val="18"/>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757BD8E2">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14:paraId="77AA66CE">
      <w:pPr>
        <w:pStyle w:val="3"/>
        <w:pageBreakBefore w:val="0"/>
        <w:widowControl w:val="0"/>
        <w:kinsoku/>
        <w:wordWrap/>
        <w:overflowPunct/>
        <w:topLinePunct w:val="0"/>
        <w:autoSpaceDE/>
        <w:autoSpaceDN/>
        <w:bidi w:val="0"/>
        <w:spacing w:before="120" w:after="120" w:line="360" w:lineRule="auto"/>
        <w:rPr>
          <w:rFonts w:hint="default" w:ascii="宋体" w:hAnsi="宋体" w:eastAsia="宋体" w:cs="宋体"/>
          <w:color w:val="auto"/>
          <w:sz w:val="21"/>
          <w:szCs w:val="21"/>
          <w:highlight w:val="none"/>
          <w:lang w:val="en-US" w:eastAsia="zh-CN"/>
        </w:rPr>
      </w:pPr>
      <w:bookmarkStart w:id="30" w:name="_Toc5432"/>
      <w:r>
        <w:rPr>
          <w:rFonts w:hint="eastAsia" w:ascii="宋体" w:hAnsi="宋体" w:eastAsia="宋体" w:cs="宋体"/>
          <w:color w:val="auto"/>
          <w:sz w:val="21"/>
          <w:szCs w:val="21"/>
          <w:highlight w:val="none"/>
        </w:rPr>
        <w:t>五、</w:t>
      </w:r>
      <w:bookmarkEnd w:id="28"/>
      <w:bookmarkEnd w:id="29"/>
      <w:r>
        <w:rPr>
          <w:rFonts w:hint="eastAsia" w:ascii="宋体" w:hAnsi="宋体" w:eastAsia="宋体" w:cs="宋体"/>
          <w:color w:val="auto"/>
          <w:sz w:val="21"/>
          <w:szCs w:val="21"/>
          <w:highlight w:val="none"/>
          <w:lang w:val="en-US" w:eastAsia="zh-CN"/>
        </w:rPr>
        <w:t>费用缴纳</w:t>
      </w:r>
      <w:bookmarkEnd w:id="30"/>
    </w:p>
    <w:p w14:paraId="41C2B4CA">
      <w:pPr>
        <w:spacing w:line="360" w:lineRule="auto"/>
        <w:ind w:firstLine="435"/>
        <w:rPr>
          <w:rFonts w:hint="eastAsia" w:ascii="宋体" w:hAnsi="宋体" w:cs="宋体"/>
          <w:color w:val="auto"/>
          <w:spacing w:val="-6"/>
          <w:highlight w:val="none"/>
          <w:lang w:val="en-US" w:eastAsia="zh-CN"/>
        </w:rPr>
      </w:pPr>
      <w:r>
        <w:rPr>
          <w:rFonts w:hint="eastAsia" w:ascii="宋体" w:hAnsi="宋体" w:cs="宋体"/>
          <w:color w:val="auto"/>
          <w:spacing w:val="-6"/>
          <w:highlight w:val="none"/>
          <w:lang w:val="en-US" w:eastAsia="zh-CN"/>
        </w:rPr>
        <w:t>1.</w:t>
      </w:r>
      <w:r>
        <w:rPr>
          <w:rFonts w:hint="eastAsia" w:ascii="宋体" w:hAnsi="宋体" w:cs="宋体"/>
          <w:color w:val="auto"/>
          <w:spacing w:val="-6"/>
          <w:highlight w:val="none"/>
        </w:rPr>
        <w:t>招标服务费于中标通知书发送前于中标通知书发送前向每家中标单位收取</w:t>
      </w:r>
      <w:r>
        <w:rPr>
          <w:rFonts w:hint="eastAsia" w:ascii="宋体" w:hAnsi="宋体" w:cs="宋体"/>
          <w:color w:val="auto"/>
          <w:spacing w:val="-6"/>
          <w:highlight w:val="none"/>
          <w:lang w:val="en-US" w:eastAsia="zh-CN"/>
        </w:rPr>
        <w:t>6333</w:t>
      </w:r>
      <w:r>
        <w:rPr>
          <w:rFonts w:hint="eastAsia" w:ascii="宋体" w:hAnsi="宋体" w:cs="宋体"/>
          <w:color w:val="auto"/>
          <w:spacing w:val="-6"/>
          <w:highlight w:val="none"/>
        </w:rPr>
        <w:t>元整。</w:t>
      </w:r>
    </w:p>
    <w:p w14:paraId="53F02CB7">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服务费汇至：</w:t>
      </w:r>
    </w:p>
    <w:p w14:paraId="65B7942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银行账号名称：义乌产权交易所有限公司</w:t>
      </w:r>
    </w:p>
    <w:p w14:paraId="50630240">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银行账号：1208020009045009586 </w:t>
      </w:r>
    </w:p>
    <w:p w14:paraId="73FBCFEE">
      <w:pPr>
        <w:pageBreakBefore w:val="0"/>
        <w:widowControl w:val="0"/>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开户银行：中国工商银行义乌分行</w:t>
      </w:r>
    </w:p>
    <w:p w14:paraId="177C9763">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7"/>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48D7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4002B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75CCA4B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2D0F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C3315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2576187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718B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6E18D0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76C996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0607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10B0C4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23238B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4BE5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C397A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5EE0DB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657B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05DD9F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3EEB88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3983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4D6A1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50D531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273D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1840F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4C44ABD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0E7F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68664F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06EB31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364D8E49">
      <w:pPr>
        <w:spacing w:line="480" w:lineRule="exact"/>
        <w:ind w:firstLine="396"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r>
        <w:rPr>
          <w:rFonts w:hint="eastAsia" w:ascii="宋体" w:hAnsi="宋体" w:cs="宋体"/>
          <w:color w:val="auto"/>
          <w:spacing w:val="-6"/>
          <w:szCs w:val="21"/>
          <w:highlight w:val="none"/>
          <w:lang w:eastAsia="zh-CN"/>
        </w:rPr>
        <w:t>。</w:t>
      </w:r>
    </w:p>
    <w:p w14:paraId="3306CB0D">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1" w:name="_Toc10433"/>
      <w:r>
        <w:rPr>
          <w:rFonts w:hint="eastAsia" w:ascii="宋体" w:hAnsi="宋体" w:eastAsia="宋体" w:cs="宋体"/>
          <w:color w:val="auto"/>
          <w:sz w:val="21"/>
          <w:szCs w:val="21"/>
          <w:highlight w:val="none"/>
        </w:rPr>
        <w:t>六、其它</w:t>
      </w:r>
      <w:bookmarkEnd w:id="31"/>
    </w:p>
    <w:p w14:paraId="55D6B6EC">
      <w:pPr>
        <w:pageBreakBefore w:val="0"/>
        <w:widowControl w:val="0"/>
        <w:kinsoku/>
        <w:wordWrap/>
        <w:overflowPunct/>
        <w:topLinePunct w:val="0"/>
        <w:autoSpaceDE/>
        <w:autoSpaceDN/>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本招标文件解释权归采购人。</w:t>
      </w:r>
    </w:p>
    <w:p w14:paraId="2393AD7A">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hint="eastAsia" w:ascii="Times New Roman" w:hAnsi="Times New Roman" w:eastAsia="宋体" w:cs="Times New Roman"/>
          <w:color w:val="auto"/>
          <w:sz w:val="36"/>
          <w:highlight w:val="none"/>
          <w:lang w:val="en-US" w:eastAsia="zh-CN"/>
        </w:rPr>
      </w:pPr>
      <w:r>
        <w:rPr>
          <w:rFonts w:hint="eastAsia" w:ascii="Times New Roman" w:hAnsi="Times New Roman" w:eastAsia="宋体" w:cs="Times New Roman"/>
          <w:b/>
          <w:bCs/>
          <w:color w:val="auto"/>
          <w:kern w:val="44"/>
          <w:sz w:val="36"/>
          <w:szCs w:val="44"/>
          <w:highlight w:val="none"/>
          <w:lang w:val="en-US" w:eastAsia="zh-CN" w:bidi="ar-SA"/>
        </w:rPr>
        <w:br w:type="page"/>
      </w:r>
      <w:bookmarkStart w:id="32" w:name="_Toc10906"/>
      <w:r>
        <w:rPr>
          <w:rFonts w:hint="eastAsia" w:ascii="Times New Roman" w:hAnsi="Times New Roman" w:eastAsia="宋体" w:cs="Times New Roman"/>
          <w:color w:val="auto"/>
          <w:sz w:val="36"/>
          <w:highlight w:val="none"/>
          <w:lang w:val="en-US" w:eastAsia="zh-CN"/>
        </w:rPr>
        <w:t>第三章  招标项目要求</w:t>
      </w:r>
      <w:bookmarkEnd w:id="32"/>
    </w:p>
    <w:p w14:paraId="6B9AC375">
      <w:pPr>
        <w:pStyle w:val="18"/>
        <w:numPr>
          <w:ilvl w:val="0"/>
          <w:numId w:val="0"/>
        </w:numPr>
        <w:spacing w:line="360" w:lineRule="auto"/>
        <w:ind w:leftChars="0"/>
        <w:outlineLvl w:val="1"/>
        <w:rPr>
          <w:rFonts w:hAnsi="宋体"/>
          <w:b/>
          <w:bCs/>
          <w:color w:val="auto"/>
          <w:highlight w:val="none"/>
        </w:rPr>
      </w:pPr>
      <w:bookmarkStart w:id="33" w:name="_Toc7591"/>
      <w:bookmarkStart w:id="34" w:name="_Toc19894"/>
      <w:bookmarkStart w:id="35" w:name="_Toc254507067"/>
      <w:r>
        <w:rPr>
          <w:rFonts w:hint="eastAsia" w:hAnsi="宋体"/>
          <w:b/>
          <w:bCs/>
          <w:color w:val="auto"/>
          <w:highlight w:val="none"/>
        </w:rPr>
        <w:t>一、标准和规范、技术要求</w:t>
      </w:r>
      <w:bookmarkEnd w:id="33"/>
      <w:bookmarkEnd w:id="34"/>
    </w:p>
    <w:p w14:paraId="34B2C3C0">
      <w:pPr>
        <w:spacing w:line="360" w:lineRule="auto"/>
        <w:ind w:firstLine="420" w:firstLineChars="200"/>
        <w:rPr>
          <w:rFonts w:ascii="宋体" w:cs="宋体"/>
          <w:color w:val="auto"/>
          <w:highlight w:val="none"/>
        </w:rPr>
      </w:pPr>
      <w:r>
        <w:rPr>
          <w:rFonts w:hint="eastAsia" w:ascii="宋体" w:hAnsi="宋体" w:cs="宋体"/>
          <w:color w:val="auto"/>
          <w:highlight w:val="none"/>
        </w:rPr>
        <w:t>在整个合同执行期间，中标人应严格按国家和地方有关的法律、法规和规章以及本合同的有关规定进行咨询。如国家及有关部门对规范重新修订时，以现行规范为准；规范如有遗漏，遗漏部分的内容可参阅相关的规范及标准。</w:t>
      </w:r>
    </w:p>
    <w:p w14:paraId="2A777A8A">
      <w:pPr>
        <w:autoSpaceDE w:val="0"/>
        <w:autoSpaceDN w:val="0"/>
        <w:adjustRightInd w:val="0"/>
        <w:spacing w:line="360" w:lineRule="auto"/>
        <w:ind w:right="-20"/>
        <w:jc w:val="left"/>
        <w:rPr>
          <w:rFonts w:ascii="宋体" w:cs="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、承包人应遵守的法律法规包括但不限于以下内容：</w:t>
      </w:r>
    </w:p>
    <w:p w14:paraId="3DC43F0F">
      <w:pPr>
        <w:autoSpaceDE w:val="0"/>
        <w:autoSpaceDN w:val="0"/>
        <w:adjustRightInd w:val="0"/>
        <w:spacing w:line="360" w:lineRule="auto"/>
        <w:ind w:right="-20" w:firstLine="424" w:firstLineChars="202"/>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1</w:t>
      </w:r>
      <w:r>
        <w:rPr>
          <w:rFonts w:hint="eastAsia" w:ascii="宋体" w:hAnsi="宋体" w:cs="宋体"/>
          <w:color w:val="auto"/>
          <w:kern w:val="0"/>
          <w:highlight w:val="none"/>
        </w:rPr>
        <w:t>）国家、部及浙江省有关工程基本建设的法律、法规及规定；</w:t>
      </w:r>
    </w:p>
    <w:p w14:paraId="3DF798CB">
      <w:pPr>
        <w:autoSpaceDE w:val="0"/>
        <w:autoSpaceDN w:val="0"/>
        <w:adjustRightInd w:val="0"/>
        <w:spacing w:line="360" w:lineRule="auto"/>
        <w:ind w:right="-20" w:firstLine="424" w:firstLineChars="202"/>
        <w:jc w:val="left"/>
        <w:rPr>
          <w:rFonts w:asci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2</w:t>
      </w:r>
      <w:r>
        <w:rPr>
          <w:rFonts w:hint="eastAsia" w:ascii="宋体" w:hAnsi="宋体" w:cs="宋体"/>
          <w:color w:val="auto"/>
          <w:kern w:val="0"/>
          <w:highlight w:val="none"/>
        </w:rPr>
        <w:t>）国家、行业颁布的规范、规程、技术标准以及发包人要求参照执行的相关行业规范、规程；</w:t>
      </w:r>
    </w:p>
    <w:p w14:paraId="52E77A58">
      <w:pPr>
        <w:autoSpaceDE w:val="0"/>
        <w:autoSpaceDN w:val="0"/>
        <w:adjustRightInd w:val="0"/>
        <w:spacing w:line="360" w:lineRule="auto"/>
        <w:ind w:right="-20" w:firstLine="424" w:firstLineChars="202"/>
        <w:jc w:val="left"/>
        <w:rPr>
          <w:rFonts w:ascii="宋体" w:cs="宋体"/>
          <w:color w:val="auto"/>
          <w:kern w:val="0"/>
          <w:highlight w:val="none"/>
        </w:rPr>
      </w:pPr>
      <w:r>
        <w:rPr>
          <w:rFonts w:hint="eastAsia" w:ascii="宋体" w:hAnsi="宋体" w:cs="宋体"/>
          <w:color w:val="auto"/>
          <w:kern w:val="0"/>
          <w:highlight w:val="none"/>
        </w:rPr>
        <w:t>（3）项目审查咨询过程中，发包人组织的技术讨论会、审查会等会议纪要；</w:t>
      </w:r>
    </w:p>
    <w:p w14:paraId="729850C2">
      <w:pPr>
        <w:autoSpaceDE w:val="0"/>
        <w:autoSpaceDN w:val="0"/>
        <w:adjustRightInd w:val="0"/>
        <w:spacing w:line="360" w:lineRule="auto"/>
        <w:ind w:right="-20" w:firstLine="424" w:firstLineChars="202"/>
        <w:jc w:val="left"/>
        <w:rPr>
          <w:rFonts w:ascii="宋体" w:cs="宋体"/>
          <w:color w:val="auto"/>
          <w:kern w:val="0"/>
          <w:highlight w:val="none"/>
        </w:rPr>
      </w:pPr>
      <w:r>
        <w:rPr>
          <w:rFonts w:hint="eastAsia" w:ascii="宋体" w:hAnsi="宋体" w:cs="宋体"/>
          <w:color w:val="auto"/>
          <w:kern w:val="0"/>
          <w:highlight w:val="none"/>
        </w:rPr>
        <w:t>（4）发包人对咨询单位的文字性要求、指令、函电等；</w:t>
      </w:r>
    </w:p>
    <w:p w14:paraId="1855E82D">
      <w:pPr>
        <w:autoSpaceDE w:val="0"/>
        <w:autoSpaceDN w:val="0"/>
        <w:adjustRightInd w:val="0"/>
        <w:spacing w:line="360" w:lineRule="auto"/>
        <w:ind w:right="-20" w:firstLine="424" w:firstLineChars="202"/>
        <w:jc w:val="left"/>
        <w:rPr>
          <w:rFonts w:ascii="宋体" w:cs="宋体"/>
          <w:color w:val="auto"/>
          <w:kern w:val="0"/>
          <w:highlight w:val="none"/>
        </w:rPr>
      </w:pPr>
      <w:r>
        <w:rPr>
          <w:rFonts w:hint="eastAsia" w:ascii="宋体" w:hAnsi="宋体" w:cs="宋体"/>
          <w:color w:val="auto"/>
          <w:kern w:val="0"/>
          <w:highlight w:val="none"/>
        </w:rPr>
        <w:t>（5）设计单位提交发包人通过审核的设计成果等。</w:t>
      </w:r>
    </w:p>
    <w:p w14:paraId="6099A9EC">
      <w:pPr>
        <w:spacing w:line="360" w:lineRule="auto"/>
        <w:ind w:firstLine="420" w:firstLineChars="200"/>
        <w:rPr>
          <w:rFonts w:ascii="宋体" w:cs="宋体"/>
          <w:color w:val="auto"/>
          <w:kern w:val="0"/>
          <w:highlight w:val="none"/>
        </w:rPr>
      </w:pPr>
      <w:r>
        <w:rPr>
          <w:rFonts w:hint="eastAsia" w:ascii="宋体" w:hAnsi="宋体" w:cs="宋体"/>
          <w:color w:val="auto"/>
          <w:kern w:val="0"/>
          <w:highlight w:val="none"/>
        </w:rPr>
        <w:t>（6）最新国家权威标准；</w:t>
      </w:r>
    </w:p>
    <w:p w14:paraId="0A3C6940">
      <w:pPr>
        <w:autoSpaceDE w:val="0"/>
        <w:autoSpaceDN w:val="0"/>
        <w:adjustRightInd w:val="0"/>
        <w:spacing w:line="360" w:lineRule="auto"/>
        <w:ind w:right="-20" w:firstLine="424" w:firstLineChars="202"/>
        <w:jc w:val="left"/>
        <w:rPr>
          <w:rFonts w:ascii="宋体" w:cs="宋体"/>
          <w:color w:val="auto"/>
          <w:kern w:val="0"/>
          <w:highlight w:val="none"/>
        </w:rPr>
      </w:pPr>
      <w:r>
        <w:rPr>
          <w:rFonts w:ascii="宋体" w:hAnsi="宋体" w:cs="宋体"/>
          <w:color w:val="auto"/>
          <w:kern w:val="0"/>
          <w:highlight w:val="none"/>
        </w:rPr>
        <w:t>2</w:t>
      </w:r>
      <w:r>
        <w:rPr>
          <w:rFonts w:hint="eastAsia" w:ascii="宋体" w:hAnsi="宋体" w:cs="宋体"/>
          <w:color w:val="auto"/>
          <w:kern w:val="0"/>
          <w:highlight w:val="none"/>
        </w:rPr>
        <w:t>、投标单位不遵循以上标准时，应向采购人及时解释清楚。</w:t>
      </w:r>
    </w:p>
    <w:p w14:paraId="644CB471">
      <w:pPr>
        <w:autoSpaceDE w:val="0"/>
        <w:autoSpaceDN w:val="0"/>
        <w:adjustRightInd w:val="0"/>
        <w:spacing w:line="360" w:lineRule="auto"/>
        <w:ind w:right="-20" w:firstLine="424" w:firstLineChars="202"/>
        <w:jc w:val="left"/>
        <w:rPr>
          <w:rFonts w:ascii="宋体" w:cs="宋体"/>
          <w:color w:val="auto"/>
          <w:kern w:val="0"/>
          <w:highlight w:val="none"/>
        </w:rPr>
      </w:pPr>
      <w:r>
        <w:rPr>
          <w:rFonts w:ascii="宋体" w:hAnsi="宋体" w:cs="宋体"/>
          <w:color w:val="auto"/>
          <w:kern w:val="0"/>
          <w:highlight w:val="none"/>
        </w:rPr>
        <w:t>3</w:t>
      </w:r>
      <w:r>
        <w:rPr>
          <w:rFonts w:hint="eastAsia" w:ascii="宋体" w:hAnsi="宋体" w:cs="宋体"/>
          <w:color w:val="auto"/>
          <w:kern w:val="0"/>
          <w:highlight w:val="none"/>
        </w:rPr>
        <w:t>、上述技术标准和规范如与国家、国际最新标准相抵触或未能罗列完全时，应以国家、省现行最新标准为依据。</w:t>
      </w:r>
      <w:r>
        <w:rPr>
          <w:rFonts w:ascii="宋体" w:cs="宋体"/>
          <w:color w:val="auto"/>
          <w:kern w:val="0"/>
          <w:highlight w:val="none"/>
        </w:rPr>
        <w:tab/>
      </w:r>
    </w:p>
    <w:p w14:paraId="286FFC21">
      <w:pPr>
        <w:numPr>
          <w:ilvl w:val="0"/>
          <w:numId w:val="0"/>
        </w:numPr>
        <w:spacing w:line="360" w:lineRule="auto"/>
        <w:outlineLvl w:val="1"/>
        <w:rPr>
          <w:rFonts w:hint="eastAsia"/>
          <w:b/>
          <w:bCs/>
          <w:color w:val="auto"/>
          <w:sz w:val="21"/>
          <w:szCs w:val="21"/>
          <w:highlight w:val="none"/>
          <w:lang w:eastAsia="zh-CN"/>
        </w:rPr>
      </w:pPr>
      <w:bookmarkStart w:id="36" w:name="_Toc4327"/>
      <w:r>
        <w:rPr>
          <w:rFonts w:hint="eastAsia"/>
          <w:b/>
          <w:bCs/>
          <w:color w:val="auto"/>
          <w:sz w:val="21"/>
          <w:szCs w:val="21"/>
          <w:highlight w:val="none"/>
          <w:lang w:eastAsia="zh-CN"/>
        </w:rPr>
        <w:t>二、项目规模及招标范围</w:t>
      </w:r>
      <w:bookmarkEnd w:id="36"/>
    </w:p>
    <w:p w14:paraId="59559658">
      <w:pPr>
        <w:numPr>
          <w:ilvl w:val="0"/>
          <w:numId w:val="0"/>
        </w:numPr>
        <w:spacing w:line="360" w:lineRule="auto"/>
        <w:ind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2.1项目规模：</w:t>
      </w:r>
      <w:r>
        <w:rPr>
          <w:rFonts w:hint="eastAsia" w:ascii="宋体" w:hAnsi="宋体" w:eastAsia="宋体" w:cs="宋体"/>
          <w:color w:val="auto"/>
          <w:highlight w:val="none"/>
        </w:rPr>
        <w:t>义乌市第三自来水有限公司</w:t>
      </w:r>
      <w:r>
        <w:rPr>
          <w:rFonts w:hint="eastAsia" w:ascii="宋体" w:hAnsi="宋体" w:eastAsia="宋体" w:cs="宋体"/>
          <w:color w:val="auto"/>
          <w:highlight w:val="none"/>
          <w:lang w:eastAsia="zh-CN"/>
        </w:rPr>
        <w:t>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年度单项服务费50万元以下的预算编制、招标代理，</w:t>
      </w:r>
      <w:r>
        <w:rPr>
          <w:rFonts w:hint="eastAsia" w:ascii="宋体" w:hAnsi="宋体" w:eastAsia="宋体" w:cs="宋体"/>
          <w:color w:val="auto"/>
          <w:highlight w:val="none"/>
          <w:lang w:val="en-US" w:eastAsia="zh-CN"/>
        </w:rPr>
        <w:t>跟踪审计、</w:t>
      </w:r>
      <w:r>
        <w:rPr>
          <w:rFonts w:hint="eastAsia" w:ascii="宋体" w:hAnsi="宋体" w:eastAsia="宋体" w:cs="宋体"/>
          <w:color w:val="auto"/>
          <w:highlight w:val="none"/>
        </w:rPr>
        <w:t>结算审计（具体以实际发生为准），</w:t>
      </w:r>
      <w:r>
        <w:rPr>
          <w:rFonts w:hint="eastAsia" w:ascii="宋体" w:hAnsi="宋体" w:eastAsia="宋体" w:cs="宋体"/>
          <w:color w:val="auto"/>
          <w:highlight w:val="none"/>
          <w:lang w:val="en-US" w:eastAsia="zh-CN"/>
        </w:rPr>
        <w:t>择优选取3家代理机构</w:t>
      </w:r>
      <w:r>
        <w:rPr>
          <w:rFonts w:hint="eastAsia" w:ascii="宋体" w:hAnsi="宋体" w:eastAsia="宋体" w:cs="宋体"/>
          <w:color w:val="auto"/>
          <w:highlight w:val="none"/>
        </w:rPr>
        <w:t>，具体以实际发生的项目为准</w:t>
      </w:r>
      <w:r>
        <w:rPr>
          <w:rFonts w:hint="eastAsia" w:ascii="宋体" w:hAnsi="宋体" w:eastAsia="宋体" w:cs="宋体"/>
          <w:color w:val="auto"/>
          <w:highlight w:val="none"/>
          <w:lang w:eastAsia="zh-CN"/>
        </w:rPr>
        <w:t>。</w:t>
      </w:r>
    </w:p>
    <w:p w14:paraId="248F92C4">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2.2招标范围：</w:t>
      </w:r>
      <w:r>
        <w:rPr>
          <w:rFonts w:hint="eastAsia" w:ascii="宋体" w:hAnsi="宋体" w:eastAsia="宋体" w:cs="宋体"/>
          <w:color w:val="auto"/>
          <w:highlight w:val="none"/>
        </w:rPr>
        <w:t>通过本次招标择优选取</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家代理机构</w:t>
      </w:r>
      <w:r>
        <w:rPr>
          <w:rFonts w:hint="eastAsia" w:ascii="宋体" w:hAnsi="宋体" w:eastAsia="宋体" w:cs="宋体"/>
          <w:color w:val="auto"/>
          <w:highlight w:val="none"/>
          <w:lang w:val="en-US" w:eastAsia="zh-CN"/>
        </w:rPr>
        <w:t>完成</w:t>
      </w:r>
      <w:r>
        <w:rPr>
          <w:rFonts w:hint="eastAsia" w:ascii="宋体" w:hAnsi="宋体" w:eastAsia="宋体" w:cs="宋体"/>
          <w:color w:val="auto"/>
          <w:highlight w:val="none"/>
          <w:lang w:eastAsia="zh-CN"/>
        </w:rPr>
        <w:t>义乌市第三自来水有限公司202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年度相关项目的招标代理、</w:t>
      </w:r>
      <w:r>
        <w:rPr>
          <w:rFonts w:hint="eastAsia" w:ascii="宋体" w:hAnsi="宋体" w:eastAsia="宋体" w:cs="宋体"/>
          <w:color w:val="auto"/>
          <w:highlight w:val="none"/>
          <w:lang w:val="en-US" w:eastAsia="zh-CN"/>
        </w:rPr>
        <w:t>造价咨询工作</w:t>
      </w:r>
      <w:r>
        <w:rPr>
          <w:rFonts w:hint="eastAsia" w:ascii="宋体" w:hAnsi="宋体" w:eastAsia="宋体" w:cs="宋体"/>
          <w:color w:val="auto"/>
          <w:highlight w:val="none"/>
          <w:lang w:eastAsia="zh-CN"/>
        </w:rPr>
        <w:t>，承担项目的全过程招标代理工作，及交叉分配的结算审计工作</w:t>
      </w:r>
      <w:r>
        <w:rPr>
          <w:rFonts w:hint="eastAsia" w:ascii="宋体" w:hAnsi="宋体" w:eastAsia="宋体" w:cs="宋体"/>
          <w:color w:val="auto"/>
          <w:highlight w:val="none"/>
        </w:rPr>
        <w:t>。</w:t>
      </w:r>
    </w:p>
    <w:p w14:paraId="5E2111EA">
      <w:pPr>
        <w:numPr>
          <w:ilvl w:val="0"/>
          <w:numId w:val="0"/>
        </w:numPr>
        <w:spacing w:line="360" w:lineRule="auto"/>
        <w:ind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2.3服务期限：合同签订之日起一年。</w:t>
      </w:r>
    </w:p>
    <w:p w14:paraId="17927830">
      <w:pPr>
        <w:numPr>
          <w:ilvl w:val="0"/>
          <w:numId w:val="4"/>
        </w:numPr>
        <w:spacing w:line="360" w:lineRule="auto"/>
        <w:outlineLvl w:val="1"/>
        <w:rPr>
          <w:rFonts w:hint="eastAsia"/>
          <w:b/>
          <w:bCs/>
          <w:color w:val="auto"/>
          <w:sz w:val="21"/>
          <w:szCs w:val="21"/>
          <w:highlight w:val="none"/>
          <w:lang w:eastAsia="zh-CN"/>
        </w:rPr>
      </w:pPr>
      <w:bookmarkStart w:id="37" w:name="_Toc28508"/>
      <w:r>
        <w:rPr>
          <w:rFonts w:hint="eastAsia"/>
          <w:b/>
          <w:bCs/>
          <w:color w:val="auto"/>
          <w:sz w:val="21"/>
          <w:szCs w:val="21"/>
          <w:highlight w:val="none"/>
          <w:lang w:eastAsia="zh-CN"/>
        </w:rPr>
        <w:t>人员要求</w:t>
      </w:r>
      <w:bookmarkEnd w:id="37"/>
    </w:p>
    <w:p w14:paraId="112A8DAC">
      <w:pPr>
        <w:numPr>
          <w:ilvl w:val="0"/>
          <w:numId w:val="0"/>
        </w:num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中标单位应将招标人要求的除项目负责人外的其他项目组成员报招标人审核备案。招标人要求除项目负责人外的其他项目组成员为：</w:t>
      </w:r>
    </w:p>
    <w:p w14:paraId="31D924F1">
      <w:pPr>
        <w:numPr>
          <w:ilvl w:val="0"/>
          <w:numId w:val="0"/>
        </w:numPr>
        <w:spacing w:line="36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a)国家注册一级造价工程师1名（该名造价师与项目负责人需不同专业，一人为土建专业，一人为安装专业）；二级造价工程师4名，其中专业要求为：建筑专业3名，安装专业1名；</w:t>
      </w:r>
    </w:p>
    <w:p w14:paraId="47594558">
      <w:pPr>
        <w:numPr>
          <w:ilvl w:val="0"/>
          <w:numId w:val="0"/>
        </w:numPr>
        <w:spacing w:line="36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b)工程招标代理人员1人。</w:t>
      </w:r>
    </w:p>
    <w:p w14:paraId="39D05E90">
      <w:pPr>
        <w:numPr>
          <w:ilvl w:val="0"/>
          <w:numId w:val="0"/>
        </w:numPr>
        <w:spacing w:line="360" w:lineRule="auto"/>
        <w:ind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除以上人员外，招标人根据</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需要要求中标人配备其他专业的人员，中标人须按招标人要求无偿配备。</w:t>
      </w:r>
    </w:p>
    <w:bookmarkEnd w:id="35"/>
    <w:p w14:paraId="6E56BAAB">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38" w:name="_Toc4875"/>
      <w:bookmarkStart w:id="39" w:name="_Toc7717"/>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、商务要求</w:t>
      </w:r>
      <w:bookmarkEnd w:id="38"/>
    </w:p>
    <w:p w14:paraId="653F3AA4">
      <w:pPr>
        <w:spacing w:line="360" w:lineRule="auto"/>
        <w:jc w:val="left"/>
        <w:outlineLvl w:val="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（一）项目投标报价要求</w:t>
      </w:r>
    </w:p>
    <w:p w14:paraId="3A30C9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highlight w:val="none"/>
        </w:rPr>
      </w:pPr>
      <w:r>
        <w:rPr>
          <w:rFonts w:hint="eastAsia" w:hAnsi="宋体" w:cs="宋体"/>
          <w:bCs/>
          <w:color w:val="auto"/>
          <w:highlight w:val="none"/>
        </w:rPr>
        <w:t>1.</w:t>
      </w:r>
      <w:r>
        <w:rPr>
          <w:rFonts w:hint="eastAsia" w:hAnsi="宋体" w:cs="宋体"/>
          <w:color w:val="auto"/>
          <w:highlight w:val="none"/>
        </w:rPr>
        <w:t>投标报价以人民币为结算货币，投标报价包括</w:t>
      </w:r>
      <w:r>
        <w:rPr>
          <w:rFonts w:hint="eastAsia" w:ascii="宋体" w:hAnsi="宋体" w:eastAsia="宋体" w:cs="宋体"/>
          <w:color w:val="auto"/>
          <w:sz w:val="21"/>
          <w:szCs w:val="21"/>
          <w:highlight w:val="none"/>
        </w:rPr>
        <w:t>受托单位的人员工资、设备、办公地租赁的费用，招标文件印刷费，预算及控制价编制的费用、媒体招标公告发布费用，组织投标人踏勘现场并答疑，组织开标、评标、定标，评标场租费，评标会务费（包含专家评审费、餐费）以及提供招标前期咨询、招标文件编审费、协调合同的签订等业务所发生的费用，</w:t>
      </w:r>
      <w:r>
        <w:rPr>
          <w:rFonts w:hint="eastAsia" w:hAnsi="宋体" w:cs="宋体"/>
          <w:color w:val="auto"/>
          <w:highlight w:val="none"/>
        </w:rPr>
        <w:t>如有漏项，视同已包含在其总项目中，合同总价不予调整</w:t>
      </w:r>
      <w:r>
        <w:rPr>
          <w:rFonts w:hint="eastAsia" w:ascii="宋体" w:hAnsi="宋体" w:eastAsia="宋体" w:cs="宋体"/>
          <w:color w:val="auto"/>
          <w:sz w:val="21"/>
          <w:szCs w:val="21"/>
          <w:highlight w:val="none"/>
        </w:rPr>
        <w:t>。投标报价为投标方所能承受的最低、最终一次性报价。</w:t>
      </w:r>
      <w:r>
        <w:rPr>
          <w:rFonts w:hint="eastAsia" w:ascii="宋体" w:hAnsi="宋体" w:eastAsia="宋体" w:cs="宋体"/>
          <w:color w:val="auto"/>
          <w:sz w:val="21"/>
          <w:szCs w:val="21"/>
          <w:highlight w:val="none"/>
          <w:lang w:eastAsia="zh-CN"/>
        </w:rPr>
        <w:t>同个项目招投标失败，重新组织招投标的费用不重复计算。</w:t>
      </w:r>
    </w:p>
    <w:p w14:paraId="21E14FF0">
      <w:pPr>
        <w:pStyle w:val="1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2.投标方须在《开标一览表》上</w:t>
      </w:r>
      <w:r>
        <w:rPr>
          <w:rFonts w:hint="eastAsia" w:hAnsi="宋体"/>
          <w:color w:val="auto"/>
          <w:sz w:val="21"/>
          <w:szCs w:val="21"/>
          <w:highlight w:val="none"/>
        </w:rPr>
        <w:t>写明</w:t>
      </w:r>
      <w:r>
        <w:rPr>
          <w:rFonts w:hint="eastAsia" w:hAnsi="宋体"/>
          <w:color w:val="auto"/>
          <w:sz w:val="21"/>
          <w:szCs w:val="21"/>
          <w:highlight w:val="none"/>
          <w:lang w:eastAsia="zh-CN"/>
        </w:rPr>
        <w:t>让利率</w:t>
      </w:r>
      <w:r>
        <w:rPr>
          <w:rFonts w:hint="eastAsia" w:hAnsi="宋体" w:cs="宋体"/>
          <w:color w:val="auto"/>
          <w:highlight w:val="none"/>
        </w:rPr>
        <w:t xml:space="preserve">。如果大写金额和小写金额不一致的，以大写金额为准；单价金额小数点或者百分比有明显错位的，以《开标一览表》的总价为准，并修改单价；总价金额与按单价汇总金额不一致的，以单价金额计算结果为准。             </w:t>
      </w:r>
    </w:p>
    <w:p w14:paraId="2BF2BF78">
      <w:pPr>
        <w:pStyle w:val="1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3.中标后，</w:t>
      </w:r>
      <w:r>
        <w:rPr>
          <w:rFonts w:hint="eastAsia" w:hAnsi="宋体" w:cs="宋体"/>
          <w:b/>
          <w:color w:val="auto"/>
          <w:highlight w:val="none"/>
        </w:rPr>
        <w:t>中标人所填写的单价在合同实施期间不因市场变化因素而变动；</w:t>
      </w:r>
      <w:r>
        <w:rPr>
          <w:rFonts w:hint="eastAsia" w:hAnsi="宋体" w:cs="宋体"/>
          <w:color w:val="auto"/>
          <w:highlight w:val="none"/>
        </w:rPr>
        <w:t>投标人在计算报价时应考虑一定的风险系数。因设计与工程因素引起实际施工中发生设计变更、修改、调整、完善等情况，修改部分则按其投标书相应部分货物及施工的单价同口径计算。</w:t>
      </w:r>
    </w:p>
    <w:p w14:paraId="22CA7C80">
      <w:pPr>
        <w:pStyle w:val="1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Ansi="宋体" w:cs="宋体"/>
          <w:color w:val="auto"/>
          <w:highlight w:val="none"/>
        </w:rPr>
        <w:t>4</w:t>
      </w:r>
      <w:r>
        <w:rPr>
          <w:rFonts w:hint="eastAsia" w:hAnsi="宋体" w:cs="宋体"/>
          <w:color w:val="auto"/>
          <w:highlight w:val="none"/>
        </w:rPr>
        <w:t>.投标人应按招标文件规定的报价格式进行投标报价。投标人对每种货物只允许有一个报价，采购人不接受任何有选择性的报价。</w:t>
      </w:r>
    </w:p>
    <w:p w14:paraId="2F7623B5">
      <w:pPr>
        <w:pStyle w:val="1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s="宋体"/>
          <w:color w:val="auto"/>
          <w:spacing w:val="-8"/>
          <w:highlight w:val="none"/>
        </w:rPr>
      </w:pPr>
      <w:r>
        <w:rPr>
          <w:rFonts w:hAnsi="宋体" w:cs="宋体"/>
          <w:color w:val="auto"/>
          <w:highlight w:val="none"/>
        </w:rPr>
        <w:t>5</w:t>
      </w:r>
      <w:r>
        <w:rPr>
          <w:rFonts w:hint="eastAsia" w:hAnsi="宋体" w:cs="宋体"/>
          <w:color w:val="auto"/>
          <w:highlight w:val="none"/>
        </w:rPr>
        <w:t>.</w:t>
      </w:r>
      <w:r>
        <w:rPr>
          <w:rFonts w:hint="eastAsia" w:hAnsi="宋体" w:cs="宋体"/>
          <w:color w:val="auto"/>
          <w:spacing w:val="-8"/>
          <w:highlight w:val="none"/>
        </w:rPr>
        <w:t>采购人不接受低于成本的投标报价。</w:t>
      </w:r>
    </w:p>
    <w:p w14:paraId="18E30514">
      <w:pPr>
        <w:pStyle w:val="1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Ansi="宋体" w:cs="宋体"/>
          <w:color w:val="auto"/>
          <w:highlight w:val="none"/>
        </w:rPr>
        <w:t>6</w:t>
      </w:r>
      <w:r>
        <w:rPr>
          <w:rFonts w:hint="eastAsia" w:hAnsi="宋体" w:cs="宋体"/>
          <w:color w:val="auto"/>
          <w:highlight w:val="none"/>
        </w:rPr>
        <w:t>.投标人按照上述要求编制投标报价。一旦确认某一投标人中标，除合同规定的可调整内容外，中标人不得要求追加任何费用。</w:t>
      </w:r>
    </w:p>
    <w:p w14:paraId="199E0544">
      <w:pPr>
        <w:pStyle w:val="1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s="宋体"/>
          <w:color w:val="auto"/>
          <w:highlight w:val="none"/>
        </w:rPr>
      </w:pPr>
      <w:r>
        <w:rPr>
          <w:rFonts w:hAnsi="宋体" w:cs="宋体"/>
          <w:color w:val="auto"/>
          <w:highlight w:val="none"/>
        </w:rPr>
        <w:t>7</w:t>
      </w:r>
      <w:r>
        <w:rPr>
          <w:rFonts w:hint="eastAsia" w:hAnsi="宋体" w:cs="宋体"/>
          <w:color w:val="auto"/>
          <w:highlight w:val="none"/>
        </w:rPr>
        <w:t>.须由中标单位开具正式发票。</w:t>
      </w:r>
    </w:p>
    <w:p w14:paraId="3196BBA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.招标文件中规定由投标单位承担并支付的相关费用在投标报价时应一并考虑</w:t>
      </w:r>
      <w:r>
        <w:rPr>
          <w:rFonts w:hint="eastAsia" w:ascii="宋体" w:hAnsi="宋体" w:cs="宋体"/>
          <w:bCs/>
          <w:color w:val="auto"/>
          <w:szCs w:val="21"/>
          <w:highlight w:val="none"/>
        </w:rPr>
        <w:t>。</w:t>
      </w:r>
    </w:p>
    <w:p w14:paraId="27C2CA35">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szCs w:val="21"/>
          <w:highlight w:val="none"/>
        </w:rPr>
        <w:t>.</w:t>
      </w:r>
      <w:r>
        <w:rPr>
          <w:rFonts w:hint="eastAsia" w:ascii="宋体" w:hAnsi="宋体" w:cs="宋体"/>
          <w:color w:val="auto"/>
          <w:highlight w:val="none"/>
        </w:rPr>
        <w:t>按国家规定由投标人缴纳的各种税收已包含在投标总价内，由投标人向税务机关缴纳。</w:t>
      </w:r>
    </w:p>
    <w:p w14:paraId="20D350E4">
      <w:pPr>
        <w:numPr>
          <w:ilvl w:val="0"/>
          <w:numId w:val="0"/>
        </w:numPr>
        <w:spacing w:line="48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cs="宋体"/>
          <w:color w:val="auto"/>
          <w:szCs w:val="21"/>
          <w:highlight w:val="none"/>
        </w:rPr>
        <w:t>.</w:t>
      </w:r>
      <w:r>
        <w:rPr>
          <w:rFonts w:hint="eastAsia" w:ascii="宋体" w:hAnsi="宋体" w:cs="宋体"/>
          <w:b/>
          <w:bCs/>
          <w:color w:val="auto"/>
          <w:sz w:val="21"/>
          <w:szCs w:val="21"/>
          <w:highlight w:val="none"/>
          <w:lang w:val="en-US" w:eastAsia="zh-CN"/>
        </w:rPr>
        <w:t>招标代理服务费及造价咨询服务费让利区间30%（不含）～40%（含）</w:t>
      </w:r>
      <w:r>
        <w:rPr>
          <w:rFonts w:hint="eastAsia" w:ascii="宋体" w:hAnsi="宋体" w:cs="宋体"/>
          <w:color w:val="auto"/>
          <w:sz w:val="21"/>
          <w:szCs w:val="21"/>
          <w:highlight w:val="none"/>
          <w:lang w:val="en-US" w:eastAsia="zh-CN"/>
        </w:rPr>
        <w:t>。本次报价的招标代理服务费按国家计委计价格（2002）1980号《招标代理服务收费管理暂行办法》及国家发改委发改价格（2011）534号文件规定计算，工程造价咨询服务费按浙价服（2009）84号文件规定计算（招标代理服务费以施工、服务、货物等招标的中标价作为计费依据；工程量清单及招标控制价的编制费以施工图预算价或货物采购预算价作为计费依据；施工阶段全过程造价控制服务费以预算价（招标控制价）为计费基数，但需</w:t>
      </w:r>
      <w:r>
        <w:rPr>
          <w:rFonts w:hint="eastAsia" w:ascii="宋体" w:hAnsi="宋体" w:eastAsia="宋体" w:cs="宋体"/>
          <w:color w:val="auto"/>
          <w:sz w:val="21"/>
          <w:szCs w:val="21"/>
          <w:highlight w:val="none"/>
          <w:lang w:val="en-US" w:eastAsia="zh-CN"/>
        </w:rPr>
        <w:t>根据浙价服(2009)84号文件中附件1“第10项(施工阶段全过程工程造价控制)规定计算的收费基准价”扣除“第5项(工程量清单及预算、招标控制价的编制或审核)规定计算的收费基准价”</w:t>
      </w:r>
      <w:r>
        <w:rPr>
          <w:rFonts w:hint="eastAsia" w:ascii="宋体" w:hAnsi="宋体" w:cs="宋体"/>
          <w:color w:val="auto"/>
          <w:sz w:val="21"/>
          <w:szCs w:val="21"/>
          <w:highlight w:val="none"/>
          <w:lang w:val="en-US" w:eastAsia="zh-CN"/>
        </w:rPr>
        <w:t>；工程结算审核基本费以送审工程造价为计费基数。若各项目分为若干个标段合并招标的，则以若干个标段的合计总价为基数，若项目分为若干个标段且分开招标的，则以各标段的价格为基数。）</w:t>
      </w:r>
    </w:p>
    <w:p w14:paraId="336ACF9B">
      <w:pPr>
        <w:numPr>
          <w:ilvl w:val="0"/>
          <w:numId w:val="0"/>
        </w:numPr>
        <w:spacing w:line="480" w:lineRule="exact"/>
        <w:outlineLvl w:val="2"/>
        <w:rPr>
          <w:rFonts w:hint="eastAsia" w:ascii="宋体" w:hAnsi="宋体" w:cs="宋体"/>
          <w:b/>
          <w:bCs/>
          <w:color w:val="auto"/>
          <w:sz w:val="21"/>
          <w:szCs w:val="21"/>
          <w:highlight w:val="none"/>
          <w:lang w:val="en-US" w:eastAsia="zh-CN"/>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w:t>
      </w:r>
      <w:r>
        <w:rPr>
          <w:rFonts w:hint="eastAsia" w:ascii="宋体" w:hAnsi="宋体" w:cs="宋体"/>
          <w:b/>
          <w:bCs/>
          <w:color w:val="auto"/>
          <w:sz w:val="21"/>
          <w:szCs w:val="21"/>
          <w:highlight w:val="none"/>
          <w:lang w:val="en-US" w:eastAsia="zh-CN"/>
        </w:rPr>
        <w:t>付款方式</w:t>
      </w:r>
    </w:p>
    <w:p w14:paraId="4E0F8605">
      <w:pPr>
        <w:numPr>
          <w:ilvl w:val="0"/>
          <w:numId w:val="0"/>
        </w:numPr>
        <w:spacing w:line="480" w:lineRule="exact"/>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招标代理服务费及工程造价咨询服务费的计算方法：招标代理服务费及工程造价咨询服务费=（招标代理服务费+工程造价咨询服务费）×（1—中标让利率）。</w:t>
      </w:r>
    </w:p>
    <w:p w14:paraId="4718B47D">
      <w:pPr>
        <w:numPr>
          <w:ilvl w:val="0"/>
          <w:numId w:val="0"/>
        </w:numPr>
        <w:spacing w:line="480" w:lineRule="exact"/>
        <w:ind w:firstLine="420" w:firstLineChars="200"/>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lang w:val="en-US" w:eastAsia="zh-CN"/>
        </w:rPr>
        <w:t>单个项目招标代理费按标准计算并让利后不足2000元的，按2000元/项收费，最低收费不再让利；单个项目造价咨询服务费按标准计算并让利后不足2000元的，按2000元/项收费，最低收费不再让利。</w:t>
      </w:r>
    </w:p>
    <w:p w14:paraId="2AF2C262">
      <w:pPr>
        <w:numPr>
          <w:ilvl w:val="0"/>
          <w:numId w:val="0"/>
        </w:numPr>
        <w:spacing w:line="480" w:lineRule="exact"/>
        <w:ind w:firstLine="422" w:firstLineChars="200"/>
        <w:rPr>
          <w:rFonts w:hint="eastAsia" w:ascii="宋体" w:hAnsi="宋体" w:eastAsia="宋体" w:cs="宋体"/>
          <w:b/>
          <w:bCs/>
          <w:color w:val="auto"/>
          <w:sz w:val="21"/>
          <w:szCs w:val="21"/>
          <w:highlight w:val="none"/>
          <w:u w:val="none"/>
          <w:lang w:eastAsia="zh-CN"/>
        </w:rPr>
      </w:pPr>
      <w:r>
        <w:rPr>
          <w:rFonts w:hint="eastAsia" w:ascii="宋体" w:hAnsi="宋体" w:eastAsia="宋体" w:cs="宋体"/>
          <w:b/>
          <w:bCs/>
          <w:color w:val="auto"/>
          <w:kern w:val="0"/>
          <w:sz w:val="21"/>
          <w:szCs w:val="21"/>
          <w:highlight w:val="none"/>
          <w:u w:val="none"/>
          <w:lang w:val="en-US" w:eastAsia="zh-CN"/>
        </w:rPr>
        <w:t>结算方式：</w:t>
      </w:r>
      <w:r>
        <w:rPr>
          <w:rFonts w:hint="eastAsia" w:ascii="宋体" w:hAnsi="宋体" w:eastAsia="宋体" w:cs="宋体"/>
          <w:b/>
          <w:bCs/>
          <w:color w:val="auto"/>
          <w:kern w:val="0"/>
          <w:sz w:val="21"/>
          <w:szCs w:val="21"/>
          <w:highlight w:val="none"/>
          <w:u w:val="none"/>
        </w:rPr>
        <w:t>按已完项目每</w:t>
      </w:r>
      <w:r>
        <w:rPr>
          <w:rFonts w:hint="eastAsia" w:ascii="宋体" w:hAnsi="宋体" w:eastAsia="宋体" w:cs="宋体"/>
          <w:b/>
          <w:bCs/>
          <w:color w:val="auto"/>
          <w:kern w:val="0"/>
          <w:sz w:val="21"/>
          <w:szCs w:val="21"/>
          <w:highlight w:val="none"/>
          <w:u w:val="none"/>
          <w:lang w:val="en-US" w:eastAsia="zh-CN"/>
        </w:rPr>
        <w:t>半年</w:t>
      </w:r>
      <w:r>
        <w:rPr>
          <w:rFonts w:hint="eastAsia" w:ascii="宋体" w:hAnsi="宋体" w:eastAsia="宋体" w:cs="宋体"/>
          <w:b/>
          <w:bCs/>
          <w:color w:val="auto"/>
          <w:kern w:val="0"/>
          <w:sz w:val="21"/>
          <w:szCs w:val="21"/>
          <w:highlight w:val="none"/>
          <w:u w:val="none"/>
        </w:rPr>
        <w:t>结算一次</w:t>
      </w:r>
      <w:r>
        <w:rPr>
          <w:rFonts w:hint="eastAsia" w:ascii="宋体" w:hAnsi="宋体" w:eastAsia="宋体" w:cs="宋体"/>
          <w:b/>
          <w:bCs/>
          <w:color w:val="auto"/>
          <w:kern w:val="0"/>
          <w:sz w:val="21"/>
          <w:szCs w:val="21"/>
          <w:highlight w:val="none"/>
          <w:u w:val="none"/>
          <w:lang w:eastAsia="zh-CN"/>
        </w:rPr>
        <w:t>。</w:t>
      </w:r>
      <w:r>
        <w:rPr>
          <w:rFonts w:hint="eastAsia" w:eastAsia="宋体" w:cs="宋体"/>
          <w:b w:val="0"/>
          <w:bCs w:val="0"/>
          <w:color w:val="auto"/>
          <w:sz w:val="21"/>
          <w:szCs w:val="21"/>
          <w:highlight w:val="none"/>
          <w:lang w:eastAsia="zh-CN"/>
        </w:rPr>
        <w:t>（</w:t>
      </w:r>
      <w:r>
        <w:rPr>
          <w:rFonts w:hint="eastAsia" w:eastAsia="宋体" w:cs="宋体"/>
          <w:b w:val="0"/>
          <w:bCs w:val="0"/>
          <w:color w:val="auto"/>
          <w:sz w:val="21"/>
          <w:szCs w:val="21"/>
          <w:highlight w:val="none"/>
          <w:lang w:val="en-US" w:eastAsia="zh-CN"/>
        </w:rPr>
        <w:t>如服务期限提前结束，则以提前结束时间为结算时间</w:t>
      </w:r>
      <w:r>
        <w:rPr>
          <w:rFonts w:hint="eastAsia"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w:t>
      </w:r>
    </w:p>
    <w:p w14:paraId="6B364EA5">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40" w:name="_Toc29639"/>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、其他说明</w:t>
      </w:r>
      <w:bookmarkEnd w:id="40"/>
    </w:p>
    <w:p w14:paraId="1164CC7E">
      <w:pPr>
        <w:pStyle w:val="1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bCs/>
          <w:color w:val="auto"/>
          <w:highlight w:val="none"/>
        </w:rPr>
      </w:pPr>
      <w:r>
        <w:rPr>
          <w:rFonts w:hint="eastAsia" w:hAnsi="宋体" w:cs="宋体"/>
          <w:color w:val="auto"/>
          <w:highlight w:val="none"/>
        </w:rPr>
        <w:t>1.中标之后，如发现投标文件与招标文件内容如有不一致，应以有利于采购人原则为准</w:t>
      </w:r>
      <w:r>
        <w:rPr>
          <w:rFonts w:hint="eastAsia" w:hAnsi="宋体"/>
          <w:bCs/>
          <w:color w:val="auto"/>
          <w:highlight w:val="none"/>
        </w:rPr>
        <w:t>。</w:t>
      </w:r>
    </w:p>
    <w:p w14:paraId="4D8AAF4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投标人所投项目的技术参数不得低于本项目的技术要求。</w:t>
      </w:r>
    </w:p>
    <w:p w14:paraId="04A8256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以上技术参数及要求是采购人提出的货物技术说明，如招标文件中遗漏了完工必须具备的设备、配件辅料或服务，请投标人在投标文件中明确指出，并提出解决方案供采购人参考；中标人有义务保证采购人该项目的完整性，如项目实施过程中因缺少设备、配件辅料或服务导致无法满足采购人正常需求，中标人须免费提供。</w:t>
      </w:r>
    </w:p>
    <w:p w14:paraId="64B6259F">
      <w:pPr>
        <w:spacing w:line="460" w:lineRule="exact"/>
        <w:ind w:firstLine="420" w:firstLineChars="200"/>
        <w:rPr>
          <w:rFonts w:ascii="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b/>
          <w:bCs/>
          <w:color w:val="auto"/>
          <w:highlight w:val="none"/>
        </w:rPr>
        <w:t>中标单位在签订合同时，若坚持提出附加条件和不合理要求，中标资格将被取消，</w:t>
      </w:r>
      <w:r>
        <w:rPr>
          <w:rFonts w:hint="eastAsia" w:ascii="宋体" w:hAnsi="宋体" w:cs="宋体"/>
          <w:color w:val="auto"/>
          <w:highlight w:val="none"/>
        </w:rPr>
        <w:t>该中标人对由此产生的一切后果负责。</w:t>
      </w:r>
    </w:p>
    <w:p w14:paraId="3553BF39">
      <w:pPr>
        <w:spacing w:line="460" w:lineRule="exact"/>
        <w:ind w:firstLine="420" w:firstLineChars="200"/>
        <w:rPr>
          <w:rFonts w:hint="eastAsia" w:ascii="宋体" w:hAnsi="宋体" w:eastAsia="宋体" w:cs="宋体"/>
          <w:b/>
          <w:bCs/>
          <w:color w:val="auto"/>
          <w:sz w:val="21"/>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eastAsia="宋体" w:cs="宋体"/>
          <w:b/>
          <w:bCs/>
          <w:color w:val="auto"/>
          <w:sz w:val="21"/>
          <w:szCs w:val="21"/>
          <w:highlight w:val="none"/>
        </w:rPr>
        <w:t>年度项目由义乌市第三自来水有限公司</w:t>
      </w:r>
      <w:r>
        <w:rPr>
          <w:rFonts w:hint="eastAsia" w:ascii="宋体" w:hAnsi="宋体" w:eastAsia="宋体" w:cs="宋体"/>
          <w:b/>
          <w:bCs/>
          <w:color w:val="auto"/>
          <w:sz w:val="21"/>
          <w:szCs w:val="21"/>
          <w:highlight w:val="none"/>
          <w:lang w:eastAsia="zh-CN"/>
        </w:rPr>
        <w:t>抽签排序后按顺序轮流进行</w:t>
      </w:r>
      <w:r>
        <w:rPr>
          <w:rFonts w:hint="eastAsia" w:ascii="宋体" w:hAnsi="宋体" w:eastAsia="宋体" w:cs="宋体"/>
          <w:b/>
          <w:bCs/>
          <w:color w:val="auto"/>
          <w:sz w:val="21"/>
          <w:szCs w:val="21"/>
          <w:highlight w:val="none"/>
        </w:rPr>
        <w:t>项目分配，各中标单位必须无条件实施。</w:t>
      </w:r>
    </w:p>
    <w:p w14:paraId="6FC74B3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s="宋体"/>
          <w:color w:val="auto"/>
          <w:szCs w:val="21"/>
          <w:highlight w:val="none"/>
        </w:rPr>
      </w:pPr>
    </w:p>
    <w:p w14:paraId="053D1757">
      <w:pPr>
        <w:pStyle w:val="2"/>
        <w:keepNext/>
        <w:keepLines/>
        <w:pageBreakBefore w:val="0"/>
        <w:widowControl w:val="0"/>
        <w:numPr>
          <w:ilvl w:val="0"/>
          <w:numId w:val="0"/>
        </w:numPr>
        <w:kinsoku/>
        <w:wordWrap/>
        <w:overflowPunct/>
        <w:topLinePunct w:val="0"/>
        <w:autoSpaceDE/>
        <w:autoSpaceDN/>
        <w:bidi w:val="0"/>
        <w:adjustRightInd/>
        <w:snapToGrid/>
        <w:spacing w:before="340" w:after="330" w:line="240" w:lineRule="exact"/>
        <w:ind w:left="0" w:leftChars="0" w:right="0" w:rightChars="0"/>
        <w:jc w:val="center"/>
        <w:textAlignment w:val="auto"/>
        <w:rPr>
          <w:rFonts w:ascii="Times New Roman" w:hAnsi="Times New Roman" w:eastAsia="宋体" w:cs="Times New Roman"/>
          <w:b/>
          <w:bCs/>
          <w:color w:val="auto"/>
          <w:kern w:val="44"/>
          <w:sz w:val="36"/>
          <w:szCs w:val="44"/>
          <w:highlight w:val="none"/>
          <w:lang w:val="en-US" w:eastAsia="zh-CN" w:bidi="ar-SA"/>
        </w:rPr>
      </w:pPr>
      <w:r>
        <w:rPr>
          <w:rFonts w:hint="eastAsia" w:ascii="Times New Roman" w:hAnsi="Times New Roman" w:eastAsia="宋体" w:cs="Times New Roman"/>
          <w:b/>
          <w:bCs/>
          <w:color w:val="auto"/>
          <w:kern w:val="44"/>
          <w:sz w:val="36"/>
          <w:szCs w:val="44"/>
          <w:highlight w:val="none"/>
          <w:lang w:val="en-US" w:eastAsia="zh-CN" w:bidi="ar-SA"/>
        </w:rPr>
        <w:br w:type="page"/>
      </w:r>
      <w:bookmarkStart w:id="41" w:name="_Toc4971"/>
      <w:r>
        <w:rPr>
          <w:rFonts w:hint="eastAsia" w:ascii="Times New Roman" w:hAnsi="Times New Roman" w:eastAsia="宋体" w:cs="Times New Roman"/>
          <w:b/>
          <w:bCs/>
          <w:color w:val="auto"/>
          <w:kern w:val="44"/>
          <w:sz w:val="36"/>
          <w:szCs w:val="44"/>
          <w:highlight w:val="none"/>
          <w:lang w:val="en-US" w:eastAsia="zh-CN" w:bidi="ar-SA"/>
        </w:rPr>
        <w:t>第四章</w:t>
      </w:r>
      <w:r>
        <w:rPr>
          <w:rFonts w:ascii="Times New Roman" w:hAnsi="Times New Roman" w:eastAsia="宋体" w:cs="Times New Roman"/>
          <w:b/>
          <w:bCs/>
          <w:color w:val="auto"/>
          <w:kern w:val="44"/>
          <w:sz w:val="36"/>
          <w:szCs w:val="44"/>
          <w:highlight w:val="none"/>
          <w:lang w:val="en-US" w:eastAsia="zh-CN" w:bidi="ar-SA"/>
        </w:rPr>
        <w:t xml:space="preserve">  </w:t>
      </w:r>
      <w:r>
        <w:rPr>
          <w:rFonts w:hint="eastAsia" w:ascii="Times New Roman" w:hAnsi="Times New Roman" w:eastAsia="宋体" w:cs="Times New Roman"/>
          <w:b/>
          <w:bCs/>
          <w:color w:val="auto"/>
          <w:kern w:val="44"/>
          <w:sz w:val="36"/>
          <w:szCs w:val="44"/>
          <w:highlight w:val="none"/>
          <w:lang w:val="en-US" w:eastAsia="zh-CN" w:bidi="ar-SA"/>
        </w:rPr>
        <w:t>开标、评标和定标须知</w:t>
      </w:r>
      <w:bookmarkEnd w:id="39"/>
      <w:bookmarkEnd w:id="41"/>
    </w:p>
    <w:p w14:paraId="5D7AB85D">
      <w:pPr>
        <w:pStyle w:val="3"/>
        <w:spacing w:before="0" w:after="0" w:line="460" w:lineRule="exact"/>
        <w:rPr>
          <w:rFonts w:ascii="宋体" w:hAnsi="宋体" w:eastAsia="宋体"/>
          <w:color w:val="auto"/>
          <w:sz w:val="21"/>
          <w:szCs w:val="21"/>
          <w:highlight w:val="none"/>
        </w:rPr>
      </w:pPr>
      <w:bookmarkStart w:id="42" w:name="_Toc406413937"/>
      <w:bookmarkStart w:id="43" w:name="_Toc22509"/>
      <w:bookmarkStart w:id="44" w:name="_Toc16228"/>
      <w:bookmarkStart w:id="45" w:name="_Toc27000"/>
      <w:bookmarkStart w:id="46" w:name="_Toc362250705"/>
      <w:bookmarkStart w:id="47" w:name="_Toc261519847"/>
      <w:bookmarkStart w:id="48" w:name="_Toc274303253"/>
      <w:bookmarkStart w:id="49" w:name="_Toc20175"/>
      <w:bookmarkStart w:id="50" w:name="_Toc263090375"/>
      <w:bookmarkStart w:id="51" w:name="_Toc226973002"/>
      <w:r>
        <w:rPr>
          <w:rFonts w:hint="eastAsia" w:ascii="宋体" w:hAnsi="宋体" w:eastAsia="宋体"/>
          <w:color w:val="auto"/>
          <w:sz w:val="21"/>
          <w:szCs w:val="21"/>
          <w:highlight w:val="none"/>
        </w:rPr>
        <w:t>一、开标</w:t>
      </w:r>
      <w:bookmarkEnd w:id="42"/>
      <w:bookmarkEnd w:id="43"/>
      <w:bookmarkEnd w:id="44"/>
    </w:p>
    <w:p w14:paraId="51C9F0C3">
      <w:pPr>
        <w:spacing w:line="360" w:lineRule="auto"/>
        <w:ind w:firstLine="420" w:firstLineChars="200"/>
        <w:rPr>
          <w:rFonts w:hint="eastAsia" w:ascii="宋体" w:hAnsi="宋体" w:cs="宋体"/>
          <w:color w:val="auto"/>
          <w:szCs w:val="21"/>
          <w:highlight w:val="none"/>
        </w:rPr>
      </w:pPr>
      <w:r>
        <w:rPr>
          <w:rFonts w:ascii="宋体" w:hAnsi="宋体"/>
          <w:color w:val="auto"/>
          <w:highlight w:val="none"/>
        </w:rPr>
        <w:t>1.</w:t>
      </w:r>
      <w:r>
        <w:rPr>
          <w:rFonts w:hint="eastAsia" w:ascii="宋体" w:hAnsi="宋体" w:cs="宋体"/>
          <w:color w:val="auto"/>
          <w:szCs w:val="21"/>
          <w:highlight w:val="none"/>
        </w:rPr>
        <w:t>本项目实行电子开评标，投标人无需前往开评标现场，应在规定时间内在“义乌市阳光招标采购平台”上上传电子投标文件和准时在线参加开标。</w:t>
      </w:r>
    </w:p>
    <w:p w14:paraId="40FF92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6B41FA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56FB4F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79B57D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19D82E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7A6A2892">
      <w:pPr>
        <w:spacing w:line="360" w:lineRule="auto"/>
        <w:ind w:firstLine="422" w:firstLineChars="200"/>
        <w:rPr>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20AF3794">
      <w:pPr>
        <w:pStyle w:val="3"/>
        <w:spacing w:before="120" w:after="120" w:line="460" w:lineRule="exact"/>
        <w:rPr>
          <w:rFonts w:ascii="宋体" w:hAnsi="宋体" w:eastAsia="宋体" w:cs="宋体"/>
          <w:color w:val="auto"/>
          <w:sz w:val="21"/>
          <w:szCs w:val="21"/>
          <w:highlight w:val="none"/>
        </w:rPr>
      </w:pPr>
      <w:bookmarkStart w:id="52" w:name="_Toc27005"/>
      <w:r>
        <w:rPr>
          <w:rFonts w:hint="eastAsia" w:ascii="宋体" w:hAnsi="宋体" w:eastAsia="宋体" w:cs="宋体"/>
          <w:color w:val="auto"/>
          <w:sz w:val="21"/>
          <w:szCs w:val="21"/>
          <w:highlight w:val="none"/>
        </w:rPr>
        <w:t>二、评标</w:t>
      </w:r>
      <w:bookmarkEnd w:id="45"/>
      <w:bookmarkEnd w:id="46"/>
      <w:bookmarkEnd w:id="47"/>
      <w:bookmarkEnd w:id="48"/>
      <w:bookmarkEnd w:id="49"/>
      <w:bookmarkEnd w:id="50"/>
      <w:bookmarkEnd w:id="51"/>
      <w:bookmarkEnd w:id="52"/>
    </w:p>
    <w:p w14:paraId="68D1613C">
      <w:pPr>
        <w:spacing w:line="360" w:lineRule="auto"/>
        <w:ind w:firstLine="480"/>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rPr>
        <w:t>评标小组</w:t>
      </w:r>
    </w:p>
    <w:p w14:paraId="4E50AB2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3.1 </w:t>
      </w:r>
      <w:r>
        <w:rPr>
          <w:rFonts w:hint="eastAsia" w:ascii="宋体" w:hAnsi="宋体" w:cs="宋体"/>
          <w:color w:val="auto"/>
          <w:szCs w:val="21"/>
          <w:highlight w:val="none"/>
        </w:rPr>
        <w:t>评标小组将根据招标采购项目的特点确定。其成员由专家和采购人代表</w:t>
      </w:r>
      <w:r>
        <w:rPr>
          <w:rFonts w:ascii="宋体" w:hAnsi="宋体" w:cs="宋体"/>
          <w:color w:val="auto"/>
          <w:szCs w:val="21"/>
          <w:highlight w:val="none"/>
        </w:rPr>
        <w:t>5</w:t>
      </w:r>
      <w:r>
        <w:rPr>
          <w:rFonts w:hint="eastAsia" w:ascii="宋体" w:hAnsi="宋体" w:cs="宋体"/>
          <w:color w:val="auto"/>
          <w:szCs w:val="21"/>
          <w:highlight w:val="none"/>
        </w:rPr>
        <w:t>人及以上单数组成。评标小组对投标文件进行审查、质疑、评估和比较。</w:t>
      </w:r>
    </w:p>
    <w:p w14:paraId="316F372F">
      <w:pPr>
        <w:spacing w:line="440" w:lineRule="exact"/>
        <w:rPr>
          <w:rFonts w:hint="eastAsia" w:hAnsi="宋体"/>
          <w:color w:val="auto"/>
          <w:highlight w:val="none"/>
        </w:rPr>
      </w:pPr>
      <w:r>
        <w:rPr>
          <w:rFonts w:hint="eastAsia" w:hAnsi="宋体"/>
          <w:color w:val="auto"/>
          <w:highlight w:val="none"/>
        </w:rPr>
        <w:t xml:space="preserve">    </w:t>
      </w:r>
      <w:r>
        <w:rPr>
          <w:rFonts w:hint="eastAsia" w:ascii="宋体" w:hAnsi="宋体" w:cs="宋体"/>
          <w:color w:val="auto"/>
          <w:highlight w:val="none"/>
        </w:rPr>
        <w:t xml:space="preserve">3.2 </w:t>
      </w:r>
      <w:r>
        <w:rPr>
          <w:rFonts w:hint="eastAsia" w:hAnsi="宋体"/>
          <w:color w:val="auto"/>
          <w:highlight w:val="none"/>
        </w:rPr>
        <w:t>评审过程中招标代理人员通过“义乌市阳光招标采购平台”在线询标方式进行询标的，投标单位应在30分钟内予以回应，否则后果自负。</w:t>
      </w:r>
    </w:p>
    <w:p w14:paraId="636EA05A">
      <w:pPr>
        <w:spacing w:line="360" w:lineRule="auto"/>
        <w:ind w:firstLine="422" w:firstLineChars="200"/>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评标原则</w:t>
      </w:r>
    </w:p>
    <w:p w14:paraId="166AA010">
      <w:pPr>
        <w:spacing w:line="360" w:lineRule="auto"/>
        <w:ind w:firstLine="420" w:firstLineChars="200"/>
        <w:rPr>
          <w:rFonts w:ascii="宋体" w:cs="宋体"/>
          <w:color w:val="auto"/>
          <w:sz w:val="24"/>
          <w:highlight w:val="none"/>
        </w:rPr>
      </w:pPr>
      <w:r>
        <w:rPr>
          <w:rFonts w:ascii="宋体" w:hAnsi="宋体" w:cs="宋体"/>
          <w:color w:val="auto"/>
          <w:szCs w:val="21"/>
          <w:highlight w:val="none"/>
        </w:rPr>
        <w:t>4.1</w:t>
      </w:r>
      <w:r>
        <w:rPr>
          <w:rFonts w:hint="eastAsia" w:ascii="宋体" w:hAnsi="宋体" w:cs="宋体"/>
          <w:color w:val="auto"/>
          <w:szCs w:val="21"/>
          <w:highlight w:val="none"/>
        </w:rPr>
        <w:t>评标小组将遵循公开、公平、公正的原则，严格遵守评标工作纪律。</w:t>
      </w:r>
    </w:p>
    <w:p w14:paraId="534F30D5">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54F617D3">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11EB85F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有利于提高投资效益，节约建设资金。</w:t>
      </w:r>
    </w:p>
    <w:p w14:paraId="07C5852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在评标过程中，出现异常或特殊情况时，由评标小组集体讨论决定。</w:t>
      </w:r>
    </w:p>
    <w:p w14:paraId="11391C16">
      <w:pPr>
        <w:pStyle w:val="18"/>
        <w:spacing w:line="360" w:lineRule="auto"/>
        <w:ind w:firstLine="422" w:firstLineChars="200"/>
        <w:rPr>
          <w:rFonts w:hAnsi="宋体" w:cs="宋体"/>
          <w:color w:val="auto"/>
          <w:highlight w:val="none"/>
        </w:rPr>
      </w:pPr>
      <w:r>
        <w:rPr>
          <w:rFonts w:hAnsi="宋体" w:cs="宋体"/>
          <w:b/>
          <w:color w:val="auto"/>
          <w:highlight w:val="none"/>
        </w:rPr>
        <w:t>5</w:t>
      </w:r>
      <w:r>
        <w:rPr>
          <w:rFonts w:hint="eastAsia" w:hAnsi="宋体" w:cs="宋体"/>
          <w:b/>
          <w:color w:val="auto"/>
          <w:highlight w:val="none"/>
          <w:lang w:eastAsia="zh-CN"/>
        </w:rPr>
        <w:t>.</w:t>
      </w:r>
      <w:r>
        <w:rPr>
          <w:rFonts w:hint="eastAsia" w:hAnsi="宋体" w:cs="宋体"/>
          <w:b/>
          <w:color w:val="auto"/>
          <w:highlight w:val="none"/>
        </w:rPr>
        <w:t>评标过程的保密</w:t>
      </w:r>
    </w:p>
    <w:p w14:paraId="5F764546">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开标后，直至授予中标人合同为止，凡属于对投标文件的审查、澄清、评价和比较等有关的资料以及中标候选人的推荐情况等与评标有关的任何情况均严格保密。</w:t>
      </w:r>
    </w:p>
    <w:p w14:paraId="5F87B8C6">
      <w:pPr>
        <w:adjustRightInd w:val="0"/>
        <w:snapToGrid w:val="0"/>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在投标文件的评审和比较、中标候选人推荐以及授予合同的过程中，投标人向采购人和评标小组施加影响的任何行为，都将会导致其投标被拒绝。</w:t>
      </w:r>
    </w:p>
    <w:p w14:paraId="0271CF9F">
      <w:pPr>
        <w:pStyle w:val="18"/>
        <w:spacing w:line="360" w:lineRule="auto"/>
        <w:ind w:firstLine="420" w:firstLineChars="200"/>
        <w:rPr>
          <w:rFonts w:hAnsi="宋体" w:cs="宋体"/>
          <w:color w:val="auto"/>
          <w:highlight w:val="none"/>
        </w:rPr>
      </w:pPr>
      <w:r>
        <w:rPr>
          <w:rFonts w:hAnsi="宋体" w:cs="宋体"/>
          <w:color w:val="auto"/>
          <w:highlight w:val="none"/>
        </w:rPr>
        <w:t>5.3</w:t>
      </w:r>
      <w:r>
        <w:rPr>
          <w:rFonts w:hint="eastAsia" w:hAnsi="宋体" w:cs="宋体"/>
          <w:color w:val="auto"/>
          <w:highlight w:val="none"/>
        </w:rPr>
        <w:t>中标人确认后，采购人不对未中标人就评标过程以及未能中标原因作出任何解释。未中标人不得向评标小组人员或其他有关人员索问评标过程的全部情况。</w:t>
      </w:r>
    </w:p>
    <w:p w14:paraId="0E0DF2D6">
      <w:pPr>
        <w:spacing w:line="360" w:lineRule="auto"/>
        <w:ind w:firstLine="420" w:firstLineChars="200"/>
        <w:rPr>
          <w:rFonts w:hint="eastAsia" w:ascii="宋体" w:hAnsi="宋体" w:cs="宋体"/>
          <w:color w:val="auto"/>
          <w:spacing w:val="-4"/>
          <w:szCs w:val="21"/>
          <w:highlight w:val="none"/>
        </w:rPr>
      </w:pPr>
      <w:r>
        <w:rPr>
          <w:rFonts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77C355B4">
      <w:pPr>
        <w:spacing w:line="460" w:lineRule="exact"/>
        <w:ind w:firstLine="406" w:firstLineChars="200"/>
        <w:rPr>
          <w:rFonts w:ascii="宋体"/>
          <w:color w:val="auto"/>
          <w:spacing w:val="-4"/>
          <w:highlight w:val="none"/>
        </w:rPr>
      </w:pPr>
      <w:r>
        <w:rPr>
          <w:rFonts w:ascii="宋体" w:hAnsi="宋体"/>
          <w:b/>
          <w:bCs/>
          <w:color w:val="auto"/>
          <w:spacing w:val="-4"/>
          <w:highlight w:val="none"/>
        </w:rPr>
        <w:t>6</w:t>
      </w:r>
      <w:r>
        <w:rPr>
          <w:rFonts w:hint="eastAsia" w:ascii="宋体" w:hAnsi="宋体"/>
          <w:b/>
          <w:bCs/>
          <w:color w:val="auto"/>
          <w:spacing w:val="-4"/>
          <w:highlight w:val="none"/>
          <w:lang w:eastAsia="zh-CN"/>
        </w:rPr>
        <w:t>.</w:t>
      </w:r>
      <w:r>
        <w:rPr>
          <w:rFonts w:hint="eastAsia" w:ascii="宋体" w:hAnsi="宋体"/>
          <w:b/>
          <w:bCs/>
          <w:color w:val="auto"/>
          <w:spacing w:val="-4"/>
          <w:highlight w:val="none"/>
        </w:rPr>
        <w:t>投标文件中内容不一致的处理</w:t>
      </w:r>
    </w:p>
    <w:p w14:paraId="5A01F9C9">
      <w:pPr>
        <w:spacing w:line="460" w:lineRule="exact"/>
        <w:ind w:firstLine="404" w:firstLineChars="200"/>
        <w:rPr>
          <w:rFonts w:hint="eastAsia" w:ascii="宋体" w:hAnsi="宋体"/>
          <w:color w:val="auto"/>
          <w:spacing w:val="-4"/>
          <w:highlight w:val="none"/>
        </w:rPr>
      </w:pPr>
      <w:r>
        <w:rPr>
          <w:rFonts w:hint="eastAsia" w:ascii="宋体" w:hAnsi="宋体"/>
          <w:color w:val="auto"/>
          <w:spacing w:val="-4"/>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56FBE185">
      <w:pPr>
        <w:spacing w:line="460" w:lineRule="exact"/>
        <w:ind w:firstLine="406" w:firstLineChars="200"/>
        <w:rPr>
          <w:rFonts w:ascii="宋体" w:cs="宋体"/>
          <w:b/>
          <w:color w:val="auto"/>
          <w:szCs w:val="21"/>
          <w:highlight w:val="none"/>
        </w:rPr>
      </w:pPr>
      <w:r>
        <w:rPr>
          <w:rFonts w:hint="eastAsia" w:ascii="宋体" w:hAnsi="宋体"/>
          <w:b/>
          <w:bCs/>
          <w:color w:val="auto"/>
          <w:spacing w:val="-4"/>
          <w:highlight w:val="none"/>
        </w:rPr>
        <w:t>7</w:t>
      </w:r>
      <w:r>
        <w:rPr>
          <w:rFonts w:hint="eastAsia" w:ascii="宋体" w:hAnsi="宋体"/>
          <w:b/>
          <w:bCs/>
          <w:color w:val="auto"/>
          <w:spacing w:val="-4"/>
          <w:highlight w:val="none"/>
          <w:lang w:eastAsia="zh-CN"/>
        </w:rPr>
        <w:t>.</w:t>
      </w:r>
      <w:r>
        <w:rPr>
          <w:rFonts w:hint="eastAsia" w:ascii="宋体" w:hAnsi="宋体" w:cs="宋体"/>
          <w:b/>
          <w:bCs/>
          <w:color w:val="auto"/>
          <w:szCs w:val="21"/>
          <w:highlight w:val="none"/>
        </w:rPr>
        <w:t>供应商的认定</w:t>
      </w:r>
    </w:p>
    <w:p w14:paraId="6098459A">
      <w:pPr>
        <w:spacing w:line="460" w:lineRule="exact"/>
        <w:ind w:firstLine="420" w:firstLineChars="200"/>
        <w:rPr>
          <w:rFonts w:hint="eastAsia" w:ascii="宋体" w:hAnsi="宋体" w:cs="宋体"/>
          <w:bCs/>
          <w:color w:val="auto"/>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172F9FBC">
      <w:pPr>
        <w:tabs>
          <w:tab w:val="left" w:pos="362"/>
        </w:tabs>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投标文件的澄清</w:t>
      </w:r>
    </w:p>
    <w:p w14:paraId="4662A68D">
      <w:pPr>
        <w:tabs>
          <w:tab w:val="left" w:pos="362"/>
        </w:tabs>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.1</w:t>
      </w:r>
      <w:r>
        <w:rPr>
          <w:rFonts w:hint="eastAsia" w:ascii="宋体" w:hAnsi="宋体"/>
          <w:color w:val="auto"/>
          <w:szCs w:val="21"/>
          <w:highlight w:val="none"/>
        </w:rPr>
        <w:t>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111664BA">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8.2如果投标人代表拒绝按评标委员会要求在“义乌市阳光招标采购平台”作出在线回复且无其他有效回复方式的，评标委员会可以对其作出无效标处理。</w:t>
      </w:r>
    </w:p>
    <w:p w14:paraId="2829997A">
      <w:pPr>
        <w:tabs>
          <w:tab w:val="left" w:pos="362"/>
        </w:tabs>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投标文件的初步评审</w:t>
      </w:r>
    </w:p>
    <w:p w14:paraId="00AE5F6D">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w:t>
      </w:r>
      <w:r>
        <w:rPr>
          <w:rFonts w:hint="eastAsia" w:ascii="宋体" w:hAnsi="宋体" w:cs="宋体"/>
          <w:color w:val="auto"/>
          <w:szCs w:val="21"/>
          <w:highlight w:val="none"/>
        </w:rPr>
        <w:t>开标后，采购人应将投标文件提交评标小组进行初步评审，初步评审内容为：</w:t>
      </w:r>
    </w:p>
    <w:p w14:paraId="4D927566">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.1.1</w:t>
      </w:r>
      <w:r>
        <w:rPr>
          <w:rFonts w:hint="eastAsia" w:ascii="宋体" w:hAnsi="宋体" w:cs="宋体"/>
          <w:color w:val="auto"/>
          <w:szCs w:val="21"/>
          <w:highlight w:val="none"/>
        </w:rPr>
        <w:t>是否出现第五章规定的内容；</w:t>
      </w:r>
    </w:p>
    <w:p w14:paraId="6EF1CA13">
      <w:pPr>
        <w:tabs>
          <w:tab w:val="left" w:pos="362"/>
        </w:tabs>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698C13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.2</w:t>
      </w:r>
      <w:r>
        <w:rPr>
          <w:rFonts w:hint="eastAsia" w:ascii="宋体" w:hAnsi="宋体" w:cs="宋体"/>
          <w:color w:val="auto"/>
          <w:szCs w:val="21"/>
          <w:highlight w:val="none"/>
        </w:rPr>
        <w:t>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319BD009">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如果投标文件实质上不响应招标文件的各项要求，评标小组将予以拒绝，并且不允许投标人通过修改或撤销其不符合要求的差异或保留，使之成为具有响应性的投标。</w:t>
      </w:r>
    </w:p>
    <w:p w14:paraId="304EBB3A">
      <w:pPr>
        <w:adjustRightInd w:val="0"/>
        <w:snapToGrid w:val="0"/>
        <w:spacing w:line="460" w:lineRule="exact"/>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投标文件计算错误的修正</w:t>
      </w:r>
    </w:p>
    <w:p w14:paraId="182374B7">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39833F0C">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10.1.1客户端填写的报价与以pdf格式上传文件中的报价不一致的，应以pdf格式上传文件中的报价为准；</w:t>
      </w:r>
    </w:p>
    <w:p w14:paraId="17010E25">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10.1.2投标文件中《开标一览表》（报价表）与投标文件中相应内容不一致的，以《开标一览表》（报价表）为准；</w:t>
      </w:r>
    </w:p>
    <w:p w14:paraId="720F810E">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10.1.3大写金额和小写金额不一致的，以大写金额为准；</w:t>
      </w:r>
    </w:p>
    <w:p w14:paraId="4B89BB20">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10.1.4单价金额小数点或者百分比有明显错位的，以开标一览表的总价为准，并修改单价；</w:t>
      </w:r>
    </w:p>
    <w:p w14:paraId="79B03F22">
      <w:pPr>
        <w:keepNext w:val="0"/>
        <w:keepLines w:val="0"/>
        <w:pageBreakBefore w:val="0"/>
        <w:widowControl w:val="0"/>
        <w:kinsoku/>
        <w:wordWrap/>
        <w:overflowPunct/>
        <w:topLinePunct w:val="0"/>
        <w:autoSpaceDE/>
        <w:autoSpaceDN/>
        <w:bidi w:val="0"/>
        <w:adjustRightInd w:val="0"/>
        <w:snapToGrid w:val="0"/>
        <w:spacing w:line="460" w:lineRule="exact"/>
        <w:ind w:firstLine="840" w:firstLineChars="4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10.1.5总价金额与按单价汇总金额不一致的，以单价金额计算结果为准；</w:t>
      </w:r>
    </w:p>
    <w:p w14:paraId="41813DAC">
      <w:pPr>
        <w:adjustRightInd w:val="0"/>
        <w:snapToGrid w:val="0"/>
        <w:spacing w:line="4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0E1F998E">
      <w:pPr>
        <w:adjustRightInd w:val="0"/>
        <w:snapToGrid w:val="0"/>
        <w:spacing w:line="460" w:lineRule="exact"/>
        <w:ind w:firstLine="413" w:firstLineChars="196"/>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投标文件的评审、比较和否决</w:t>
      </w:r>
    </w:p>
    <w:p w14:paraId="5CB7F9EB">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评标小组将按照本须知规定，仅对在实质上响应招标文件要求的投标文件进行评估和比较。</w:t>
      </w:r>
    </w:p>
    <w:p w14:paraId="2A782E16">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在评审过程后，评标小组可以以书面形式要求投标人就投标文件中含义不明确的内容进行书面说明并提供相关材料。</w:t>
      </w:r>
    </w:p>
    <w:p w14:paraId="1F969B1D">
      <w:pPr>
        <w:adjustRightInd w:val="0"/>
        <w:snapToGrid w:val="0"/>
        <w:spacing w:line="46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ascii="宋体" w:hAnsi="宋体" w:cs="宋体"/>
          <w:color w:val="auto"/>
          <w:szCs w:val="21"/>
          <w:highlight w:val="none"/>
        </w:rPr>
        <w:t>.3</w:t>
      </w:r>
      <w:r>
        <w:rPr>
          <w:rFonts w:hint="eastAsia" w:ascii="宋体" w:hAnsi="宋体" w:cs="宋体"/>
          <w:color w:val="auto"/>
          <w:szCs w:val="21"/>
          <w:highlight w:val="none"/>
        </w:rPr>
        <w:t>评标小组在作出任何一项无效标决定前，都应当严格遵循以下程序：</w:t>
      </w:r>
    </w:p>
    <w:p w14:paraId="4B47B494">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.3.1</w:t>
      </w:r>
      <w:r>
        <w:rPr>
          <w:rFonts w:hint="eastAsia" w:ascii="宋体" w:hAnsi="宋体" w:cs="宋体"/>
          <w:b/>
          <w:color w:val="auto"/>
          <w:szCs w:val="21"/>
          <w:highlight w:val="none"/>
        </w:rPr>
        <w:t>要求当事投标人作相应的答辩；</w:t>
      </w:r>
    </w:p>
    <w:p w14:paraId="1109DC2F">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.3.2</w:t>
      </w:r>
      <w:r>
        <w:rPr>
          <w:rFonts w:hint="eastAsia" w:ascii="宋体" w:hAnsi="宋体" w:cs="宋体"/>
          <w:b/>
          <w:color w:val="auto"/>
          <w:szCs w:val="21"/>
          <w:highlight w:val="none"/>
        </w:rPr>
        <w:t>将答辩记录送当事投标人法定代表人或其授权委托的全权代表签字确认；</w:t>
      </w:r>
    </w:p>
    <w:p w14:paraId="3738EDAA">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.3.3</w:t>
      </w:r>
      <w:r>
        <w:rPr>
          <w:rFonts w:hint="eastAsia" w:ascii="宋体" w:hAnsi="宋体" w:cs="宋体"/>
          <w:b/>
          <w:color w:val="auto"/>
          <w:szCs w:val="21"/>
          <w:highlight w:val="none"/>
        </w:rPr>
        <w:t>在充分讨论的基础上集体表决；</w:t>
      </w:r>
    </w:p>
    <w:p w14:paraId="23745FBA">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w:t>
      </w:r>
      <w:r>
        <w:rPr>
          <w:rFonts w:ascii="宋体" w:hAnsi="宋体" w:cs="宋体"/>
          <w:b/>
          <w:color w:val="auto"/>
          <w:szCs w:val="21"/>
          <w:highlight w:val="none"/>
        </w:rPr>
        <w:t>.3.4</w:t>
      </w:r>
      <w:r>
        <w:rPr>
          <w:rFonts w:hint="eastAsia" w:ascii="宋体" w:hAnsi="宋体" w:cs="宋体"/>
          <w:b/>
          <w:color w:val="auto"/>
          <w:szCs w:val="21"/>
          <w:highlight w:val="none"/>
        </w:rPr>
        <w:t>若表决通过无效标决定，告知当事投标人，并在评标报告中详细载明废标理由、依据、答辩的情况和集体表决的情况（同意废标和不同意废标的评标小组成员均应当注明）。</w:t>
      </w:r>
    </w:p>
    <w:p w14:paraId="7A783064">
      <w:pPr>
        <w:pStyle w:val="18"/>
        <w:spacing w:line="460" w:lineRule="exact"/>
        <w:ind w:firstLine="420" w:firstLineChars="200"/>
        <w:rPr>
          <w:rFonts w:hAnsi="宋体" w:cs="宋体"/>
          <w:color w:val="auto"/>
          <w:highlight w:val="none"/>
        </w:rPr>
      </w:pPr>
      <w:r>
        <w:rPr>
          <w:rFonts w:hAnsi="宋体" w:cs="宋体"/>
          <w:color w:val="auto"/>
          <w:highlight w:val="none"/>
        </w:rPr>
        <w:t>1</w:t>
      </w:r>
      <w:r>
        <w:rPr>
          <w:rFonts w:hint="eastAsia" w:hAnsi="宋体" w:cs="宋体"/>
          <w:color w:val="auto"/>
          <w:highlight w:val="none"/>
        </w:rPr>
        <w:t>1</w:t>
      </w:r>
      <w:r>
        <w:rPr>
          <w:rFonts w:hAnsi="宋体" w:cs="宋体"/>
          <w:color w:val="auto"/>
          <w:highlight w:val="none"/>
        </w:rPr>
        <w:t>.4</w:t>
      </w:r>
      <w:r>
        <w:rPr>
          <w:rFonts w:hint="eastAsia" w:hAnsi="宋体" w:cs="宋体"/>
          <w:color w:val="auto"/>
          <w:highlight w:val="none"/>
        </w:rPr>
        <w:t>评标小组经评审，认为所有投标都不符合招标文件要求时，可以否决所有投标。所有投标被否决后，采购人应当依法重新招标。</w:t>
      </w:r>
    </w:p>
    <w:p w14:paraId="2E9009C1">
      <w:pPr>
        <w:pStyle w:val="18"/>
        <w:spacing w:line="460" w:lineRule="exact"/>
        <w:ind w:firstLine="406" w:firstLineChars="200"/>
        <w:rPr>
          <w:rFonts w:hAnsi="宋体" w:cs="宋体"/>
          <w:b/>
          <w:color w:val="auto"/>
          <w:spacing w:val="-4"/>
          <w:highlight w:val="none"/>
        </w:rPr>
      </w:pPr>
      <w:r>
        <w:rPr>
          <w:rFonts w:hAnsi="宋体" w:cs="宋体"/>
          <w:b/>
          <w:color w:val="auto"/>
          <w:spacing w:val="-4"/>
          <w:highlight w:val="none"/>
        </w:rPr>
        <w:t>1</w:t>
      </w:r>
      <w:r>
        <w:rPr>
          <w:rFonts w:hint="eastAsia" w:hAnsi="宋体" w:cs="宋体"/>
          <w:b/>
          <w:color w:val="auto"/>
          <w:spacing w:val="-4"/>
          <w:highlight w:val="none"/>
        </w:rPr>
        <w:t>2</w:t>
      </w:r>
      <w:r>
        <w:rPr>
          <w:rFonts w:hint="eastAsia" w:hAnsi="宋体" w:cs="宋体"/>
          <w:b/>
          <w:color w:val="auto"/>
          <w:spacing w:val="-4"/>
          <w:highlight w:val="none"/>
          <w:lang w:eastAsia="zh-CN"/>
        </w:rPr>
        <w:t>.</w:t>
      </w:r>
      <w:r>
        <w:rPr>
          <w:rFonts w:hint="eastAsia" w:hAnsi="宋体" w:cs="宋体"/>
          <w:b/>
          <w:color w:val="auto"/>
          <w:spacing w:val="-4"/>
          <w:highlight w:val="none"/>
        </w:rPr>
        <w:t>评标办法</w:t>
      </w:r>
    </w:p>
    <w:p w14:paraId="3220313C">
      <w:pPr>
        <w:adjustRightInd w:val="0"/>
        <w:snapToGrid w:val="0"/>
        <w:spacing w:line="44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采用综合评分法（具体评标办法见后）。</w:t>
      </w:r>
    </w:p>
    <w:p w14:paraId="4188BF54">
      <w:pPr>
        <w:adjustRightInd w:val="0"/>
        <w:snapToGrid w:val="0"/>
        <w:spacing w:line="460" w:lineRule="exact"/>
        <w:ind w:firstLine="422" w:firstLineChars="200"/>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决标</w:t>
      </w:r>
    </w:p>
    <w:p w14:paraId="4ED9D2F6">
      <w:pPr>
        <w:adjustRightInd w:val="0"/>
        <w:snapToGrid w:val="0"/>
        <w:spacing w:line="4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13.1</w:t>
      </w:r>
      <w:bookmarkStart w:id="53" w:name="_Toc261519848"/>
      <w:bookmarkStart w:id="54" w:name="_Toc274303254"/>
      <w:bookmarkStart w:id="55" w:name="_Toc226973003"/>
      <w:bookmarkStart w:id="56" w:name="_Toc263090376"/>
      <w:bookmarkStart w:id="57" w:name="_Toc362250706"/>
      <w:bookmarkStart w:id="58" w:name="_Toc10636"/>
      <w:bookmarkStart w:id="59" w:name="_Toc4305"/>
      <w:r>
        <w:rPr>
          <w:rFonts w:hint="eastAsia" w:ascii="宋体" w:hAnsi="宋体" w:cs="宋体"/>
          <w:color w:val="auto"/>
          <w:szCs w:val="21"/>
          <w:highlight w:val="none"/>
        </w:rPr>
        <w:t>采购人授权评标小组推荐</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名中标候选人（不排序）</w:t>
      </w:r>
      <w:r>
        <w:rPr>
          <w:rFonts w:hint="eastAsia" w:ascii="宋体" w:hAnsi="宋体" w:cs="宋体"/>
          <w:color w:val="auto"/>
          <w:sz w:val="24"/>
          <w:highlight w:val="none"/>
        </w:rPr>
        <w:t>。</w:t>
      </w:r>
      <w:r>
        <w:rPr>
          <w:rFonts w:hint="eastAsia" w:ascii="宋体" w:hAnsi="宋体" w:cs="宋体"/>
          <w:color w:val="auto"/>
          <w:szCs w:val="21"/>
          <w:highlight w:val="none"/>
          <w:lang w:val="en-US" w:eastAsia="zh-CN"/>
        </w:rPr>
        <w:t>中标候选人公告</w:t>
      </w:r>
      <w:r>
        <w:rPr>
          <w:rFonts w:hint="eastAsia" w:ascii="宋体" w:hAnsi="宋体" w:cs="宋体"/>
          <w:color w:val="auto"/>
          <w:szCs w:val="21"/>
          <w:highlight w:val="none"/>
        </w:rPr>
        <w:t>应与发布招标公告媒介一致，公示期不少于3个工作日</w:t>
      </w:r>
      <w:r>
        <w:rPr>
          <w:rFonts w:hint="eastAsia" w:ascii="宋体" w:hAnsi="宋体" w:cs="宋体"/>
          <w:color w:val="auto"/>
          <w:szCs w:val="21"/>
          <w:highlight w:val="none"/>
          <w:lang w:eastAsia="zh-CN"/>
        </w:rPr>
        <w:t>。</w:t>
      </w:r>
    </w:p>
    <w:p w14:paraId="7C862745">
      <w:pPr>
        <w:adjustRightInd w:val="0"/>
        <w:snapToGrid w:val="0"/>
        <w:spacing w:line="4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 xml:space="preserve"> 定标方式 评定分离</w:t>
      </w:r>
    </w:p>
    <w:p w14:paraId="2AEA49D1">
      <w:pPr>
        <w:spacing w:line="460" w:lineRule="exact"/>
        <w:ind w:firstLine="420" w:firstLineChars="200"/>
        <w:rPr>
          <w:rFonts w:hint="eastAsia" w:ascii="宋体" w:hAnsi="宋体" w:cs="宋体"/>
          <w:color w:val="auto"/>
          <w:highlight w:val="none"/>
        </w:rPr>
      </w:pPr>
      <w:r>
        <w:rPr>
          <w:rFonts w:hint="eastAsia" w:ascii="宋体" w:hAnsi="宋体" w:cs="宋体"/>
          <w:color w:val="auto"/>
          <w:highlight w:val="none"/>
        </w:rPr>
        <w:t>14.1定标由采购人组建的定标委员会负责。定标委员会成员人数以及确定方式见投标人须知前附表。</w:t>
      </w:r>
    </w:p>
    <w:p w14:paraId="58C9A521">
      <w:pPr>
        <w:spacing w:line="460" w:lineRule="exact"/>
        <w:ind w:firstLine="420" w:firstLineChars="200"/>
        <w:rPr>
          <w:rFonts w:hint="eastAsia" w:ascii="宋体" w:hAnsi="宋体" w:cs="宋体"/>
          <w:color w:val="auto"/>
          <w:highlight w:val="none"/>
        </w:rPr>
      </w:pPr>
      <w:r>
        <w:rPr>
          <w:rFonts w:hint="eastAsia" w:ascii="宋体" w:hAnsi="宋体" w:cs="宋体"/>
          <w:color w:val="auto"/>
          <w:highlight w:val="none"/>
        </w:rPr>
        <w:t>14.2定标委员会成员有下列情形之一的，应当回避：（1）投标人的主要负责人的近亲属；（2）与投标人有经济利益关系，可能影响对投标公正评审的；（3）曾因在招标、评标以及其他与招标投标有关活动中从事违法行为而受过行政处罚或刑事处罚的；（4）法律法规规定的其他情形。</w:t>
      </w:r>
    </w:p>
    <w:p w14:paraId="5E6FEBDA">
      <w:pPr>
        <w:spacing w:line="460" w:lineRule="exact"/>
        <w:ind w:firstLine="420" w:firstLineChars="200"/>
        <w:rPr>
          <w:rFonts w:hint="eastAsia" w:ascii="宋体" w:hAnsi="宋体" w:cs="宋体"/>
          <w:color w:val="auto"/>
          <w:highlight w:val="none"/>
        </w:rPr>
      </w:pPr>
      <w:r>
        <w:rPr>
          <w:rFonts w:hint="eastAsia" w:ascii="宋体" w:hAnsi="宋体" w:cs="宋体"/>
          <w:color w:val="auto"/>
          <w:highlight w:val="none"/>
        </w:rPr>
        <w:t>14.3投标人自202</w:t>
      </w:r>
      <w:r>
        <w:rPr>
          <w:rFonts w:hint="eastAsia" w:ascii="宋体" w:hAnsi="宋体" w:cs="宋体"/>
          <w:color w:val="auto"/>
          <w:highlight w:val="none"/>
          <w:lang w:val="en-US" w:eastAsia="zh-CN"/>
        </w:rPr>
        <w:t>2</w:t>
      </w:r>
      <w:r>
        <w:rPr>
          <w:rFonts w:hint="eastAsia" w:ascii="宋体" w:hAnsi="宋体" w:cs="宋体"/>
          <w:color w:val="auto"/>
          <w:highlight w:val="none"/>
        </w:rPr>
        <w:t>年1月1日起到中标候选人公示期结束前无行贿犯罪记录（评标结束后，定标前由采购人通过中国裁判文书网（http://wenshu.court.gov.cn/）按照招标文件约定对中标候选人的行贿犯罪记录进行查询，查询结果以网站页面显示内容为准）。</w:t>
      </w:r>
    </w:p>
    <w:p w14:paraId="6A5C9ECC">
      <w:pPr>
        <w:spacing w:line="460" w:lineRule="exact"/>
        <w:ind w:firstLine="420" w:firstLineChars="200"/>
        <w:rPr>
          <w:rFonts w:hint="eastAsia" w:ascii="宋体" w:hAnsi="宋体" w:cs="宋体"/>
          <w:color w:val="auto"/>
          <w:highlight w:val="none"/>
        </w:rPr>
      </w:pPr>
      <w:r>
        <w:rPr>
          <w:rFonts w:hint="eastAsia" w:ascii="宋体" w:hAnsi="宋体" w:cs="宋体"/>
          <w:color w:val="auto"/>
          <w:highlight w:val="none"/>
        </w:rPr>
        <w:t>14.4采购人在定标会议召开前可以对中标候选人及拟派项目负责人进行考察、质询，是否需要详见投标人须知前附表。如采购人组织考察的，应对所有中标候选人进行，并出具考察报告作为定标辅助。考察报告中不得有明示或暗示中标单位的内容。</w:t>
      </w:r>
    </w:p>
    <w:p w14:paraId="03E0F37C">
      <w:pPr>
        <w:spacing w:line="460" w:lineRule="exact"/>
        <w:ind w:firstLine="420" w:firstLineChars="200"/>
        <w:rPr>
          <w:rFonts w:hint="eastAsia" w:ascii="宋体" w:hAnsi="宋体" w:cs="宋体"/>
          <w:color w:val="auto"/>
          <w:highlight w:val="none"/>
        </w:rPr>
      </w:pPr>
      <w:r>
        <w:rPr>
          <w:rFonts w:hint="eastAsia" w:ascii="宋体" w:hAnsi="宋体" w:cs="宋体"/>
          <w:color w:val="auto"/>
          <w:highlight w:val="none"/>
        </w:rPr>
        <w:t>14.5采购人应在收到中标候选人名单7日内在市交易中心召开定标会议，完成定标工作。采购人若未能按时完成定标的，应通过义乌产权交易网公示延期原因和最终定标时间。定标委员会依据采购人推荐的中标候选人，按照招标文件规定的方法确定中标人，定标方法见投标人须知前附表。</w:t>
      </w:r>
    </w:p>
    <w:p w14:paraId="0EC7FC4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中标候选人公示期间，有中标候选人因质疑投诉并查实被取消中标候选人资格时或查实存在本章第14.3条情形被取消中标候选人资格时，不再递补，中标候选人不足5名时，本项目重新组织招标。</w:t>
      </w:r>
    </w:p>
    <w:p w14:paraId="13A4435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14.6定标委员会在票决前不对中标候选人进行面试。</w:t>
      </w:r>
    </w:p>
    <w:p w14:paraId="4C49A19D">
      <w:pPr>
        <w:spacing w:line="460" w:lineRule="exact"/>
        <w:ind w:firstLine="420" w:firstLineChars="200"/>
        <w:rPr>
          <w:rFonts w:hint="eastAsia" w:ascii="宋体" w:hAnsi="宋体" w:cs="宋体"/>
          <w:color w:val="auto"/>
          <w:highlight w:val="none"/>
        </w:rPr>
      </w:pPr>
      <w:r>
        <w:rPr>
          <w:rFonts w:hint="eastAsia" w:ascii="宋体" w:hAnsi="宋体" w:cs="宋体"/>
          <w:color w:val="auto"/>
          <w:highlight w:val="none"/>
        </w:rPr>
        <w:t>14.</w:t>
      </w:r>
      <w:r>
        <w:rPr>
          <w:rFonts w:hint="eastAsia" w:ascii="宋体" w:hAnsi="宋体" w:cs="宋体"/>
          <w:color w:val="auto"/>
          <w:highlight w:val="none"/>
          <w:lang w:val="en-US" w:eastAsia="zh-CN"/>
        </w:rPr>
        <w:t>7</w:t>
      </w:r>
      <w:r>
        <w:rPr>
          <w:rFonts w:hint="eastAsia" w:ascii="宋体" w:hAnsi="宋体" w:cs="宋体"/>
          <w:color w:val="auto"/>
          <w:highlight w:val="none"/>
        </w:rPr>
        <w:t>被定标委员会确定为中标人放弃中标、因不可抗力不能履行合同或不符合招标文件要求，或者被查实存在影响中标结果的违法违规行为等情形，不符合中标条件的，采购人将重新招标</w:t>
      </w:r>
      <w:r>
        <w:rPr>
          <w:rFonts w:hint="eastAsia" w:ascii="宋体" w:hAnsi="宋体" w:cs="宋体"/>
          <w:color w:val="auto"/>
          <w:sz w:val="24"/>
          <w:highlight w:val="none"/>
        </w:rPr>
        <w:t>。</w:t>
      </w:r>
    </w:p>
    <w:p w14:paraId="60CD5C6B">
      <w:pPr>
        <w:pStyle w:val="3"/>
        <w:pageBreakBefore w:val="0"/>
        <w:widowControl w:val="0"/>
        <w:kinsoku/>
        <w:wordWrap/>
        <w:overflowPunct/>
        <w:topLinePunct w:val="0"/>
        <w:autoSpaceDE/>
        <w:autoSpaceDN/>
        <w:bidi w:val="0"/>
        <w:spacing w:before="120" w:after="120" w:line="360" w:lineRule="auto"/>
        <w:textAlignment w:val="auto"/>
        <w:rPr>
          <w:rFonts w:hint="eastAsia" w:ascii="宋体" w:hAnsi="宋体" w:eastAsia="宋体" w:cs="宋体"/>
          <w:color w:val="auto"/>
          <w:sz w:val="21"/>
          <w:szCs w:val="21"/>
          <w:highlight w:val="none"/>
        </w:rPr>
      </w:pPr>
      <w:bookmarkStart w:id="60" w:name="_Toc13588"/>
      <w:r>
        <w:rPr>
          <w:rFonts w:hint="eastAsia" w:ascii="宋体" w:hAnsi="宋体" w:eastAsia="宋体" w:cs="宋体"/>
          <w:color w:val="auto"/>
          <w:sz w:val="21"/>
          <w:szCs w:val="21"/>
          <w:highlight w:val="none"/>
        </w:rPr>
        <w:t>三、定标</w:t>
      </w:r>
      <w:bookmarkEnd w:id="53"/>
      <w:bookmarkEnd w:id="54"/>
      <w:bookmarkEnd w:id="55"/>
      <w:bookmarkEnd w:id="56"/>
      <w:bookmarkEnd w:id="57"/>
      <w:bookmarkEnd w:id="58"/>
      <w:bookmarkEnd w:id="59"/>
      <w:bookmarkEnd w:id="60"/>
    </w:p>
    <w:p w14:paraId="0752EEBE">
      <w:pPr>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中标通知</w:t>
      </w:r>
    </w:p>
    <w:p w14:paraId="039DE471">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15.1采购人应当在中标（成交）供应商确定后2个工作日内，在义乌产权交易网公告中标（成交）结果，</w:t>
      </w:r>
      <w:r>
        <w:rPr>
          <w:rFonts w:hint="eastAsia" w:ascii="宋体" w:hAnsi="宋体" w:cs="宋体"/>
          <w:color w:val="auto"/>
          <w:szCs w:val="21"/>
          <w:highlight w:val="none"/>
          <w:lang w:val="en-US" w:eastAsia="zh-CN"/>
        </w:rPr>
        <w:t>中标公告</w:t>
      </w:r>
      <w:r>
        <w:rPr>
          <w:rFonts w:hint="eastAsia" w:ascii="宋体" w:hAnsi="宋体" w:cs="宋体"/>
          <w:color w:val="auto"/>
          <w:szCs w:val="21"/>
          <w:highlight w:val="none"/>
        </w:rPr>
        <w:t>应与发布招标公告媒介一致，公示期不少于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个工作日</w:t>
      </w:r>
      <w:r>
        <w:rPr>
          <w:rFonts w:hint="eastAsia" w:ascii="宋体" w:hAnsi="宋体" w:cs="宋体"/>
          <w:color w:val="auto"/>
          <w:szCs w:val="21"/>
          <w:highlight w:val="none"/>
          <w:lang w:eastAsia="zh-CN"/>
        </w:rPr>
        <w:t>，</w:t>
      </w:r>
      <w:r>
        <w:rPr>
          <w:rFonts w:hint="eastAsia" w:ascii="宋体" w:hAnsi="宋体" w:cs="宋体"/>
          <w:color w:val="auto"/>
          <w:szCs w:val="21"/>
          <w:highlight w:val="none"/>
        </w:rPr>
        <w:t>公</w:t>
      </w:r>
      <w:r>
        <w:rPr>
          <w:rFonts w:hint="eastAsia" w:hAnsi="宋体" w:cs="宋体"/>
          <w:color w:val="auto"/>
          <w:highlight w:val="none"/>
        </w:rPr>
        <w:t>告期内，如无有效异议，公告期结束，由采购人和义乌产权交易所有限公司共同签发《中标通知书》</w:t>
      </w:r>
      <w:r>
        <w:rPr>
          <w:rFonts w:hint="eastAsia" w:ascii="宋体" w:hAnsi="宋体" w:cs="宋体"/>
          <w:color w:val="auto"/>
          <w:szCs w:val="21"/>
          <w:highlight w:val="none"/>
        </w:rPr>
        <w:t>，中标人凭有效证明到义乌产权交易所有限公司领取《中标通知书》。《中标通知书》一经发出即发生法律效力。</w:t>
      </w:r>
    </w:p>
    <w:p w14:paraId="63B521D2">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开标过程中，投标人对开标有异议的，应当在</w:t>
      </w:r>
      <w:r>
        <w:rPr>
          <w:rFonts w:hint="eastAsia" w:ascii="宋体" w:hAnsi="宋体" w:cs="宋体"/>
          <w:color w:val="auto"/>
          <w:szCs w:val="21"/>
          <w:highlight w:val="none"/>
          <w:lang w:eastAsia="zh-CN"/>
        </w:rPr>
        <w:t>“义乌市阳光招标采购平台”</w:t>
      </w:r>
      <w:r>
        <w:rPr>
          <w:rFonts w:hint="eastAsia" w:ascii="宋体" w:hAnsi="宋体" w:cs="宋体"/>
          <w:color w:val="auto"/>
          <w:szCs w:val="21"/>
          <w:highlight w:val="none"/>
        </w:rPr>
        <w:t>上及时提出，评标委员应对异常情况制作相关记录。投标人若对开评标结果提出质疑的，质疑材料可加盖单位公章后以扫描件形式通过邮箱（ywcqztb001@ywcq.com）送达。</w:t>
      </w:r>
    </w:p>
    <w:p w14:paraId="0E83DC58">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质疑投诉的相关规定</w:t>
      </w:r>
    </w:p>
    <w:p w14:paraId="2C0693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243D2A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0BFD83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737D6F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2E2A58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4C1623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7E62F3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lt;浙江省政府采购供应商质疑处理办法&gt;的通知》（浙财采监[2012]18号）等有关规定的质疑投诉。</w:t>
      </w:r>
    </w:p>
    <w:p w14:paraId="2043BBC0">
      <w:pPr>
        <w:pStyle w:val="18"/>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16</w:t>
      </w:r>
      <w:r>
        <w:rPr>
          <w:rFonts w:hint="eastAsia" w:hAnsi="宋体" w:cs="宋体"/>
          <w:b/>
          <w:color w:val="auto"/>
          <w:highlight w:val="none"/>
          <w:lang w:eastAsia="zh-CN"/>
        </w:rPr>
        <w:t>.</w:t>
      </w:r>
      <w:r>
        <w:rPr>
          <w:rFonts w:hint="eastAsia" w:hAnsi="宋体" w:cs="宋体"/>
          <w:b/>
          <w:color w:val="auto"/>
          <w:highlight w:val="none"/>
        </w:rPr>
        <w:t>合同签订</w:t>
      </w:r>
    </w:p>
    <w:p w14:paraId="561F0F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16.1中标人自接到《中标通知书》后应在三十天内与采购人签订合同。</w:t>
      </w:r>
    </w:p>
    <w:p w14:paraId="16624D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16.2招标文件、中标人的投标文件、评标过程中投标人在询标时作出的承诺及其澄清文件等，均为签订合同的依据。</w:t>
      </w:r>
    </w:p>
    <w:p w14:paraId="35E212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16.3采购人与中标（成交）供应商应当在中标（成交）通知书发出之日起30日内，按照采购文件确定的合同文本以及采购标的、规格型号、采购金额、采购数量、技术和服务要求等事项签订采购合同。</w:t>
      </w:r>
    </w:p>
    <w:p w14:paraId="6632F6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225870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16.4除不可抗力等因素外，中标（成交）通知书发出后，采购人改变中标（成交）结果，或者中标（成交）供应商拒绝签订采购合同的，应当承担相应的法律责任。</w:t>
      </w:r>
    </w:p>
    <w:p w14:paraId="5FC6B3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16.5中标（成交）供应商拒绝签订采购合同的，采购人应重新开展采购活动。拒绝签订采购合同的中标（成交）供应商不得参加对该项目重新开展的采购活动。</w:t>
      </w:r>
    </w:p>
    <w:p w14:paraId="4E2B01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48C353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16.7采购人变更数量的权利</w:t>
      </w:r>
    </w:p>
    <w:p w14:paraId="13AE57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7324D3C8">
      <w:pPr>
        <w:spacing w:line="420" w:lineRule="exact"/>
        <w:ind w:firstLine="480" w:firstLineChars="200"/>
        <w:rPr>
          <w:color w:val="auto"/>
          <w:sz w:val="24"/>
          <w:highlight w:val="none"/>
        </w:rPr>
      </w:pPr>
    </w:p>
    <w:p w14:paraId="2F968E84">
      <w:pPr>
        <w:spacing w:line="420" w:lineRule="exact"/>
        <w:ind w:firstLine="480" w:firstLineChars="200"/>
        <w:rPr>
          <w:rFonts w:hint="eastAsia"/>
          <w:color w:val="auto"/>
          <w:sz w:val="24"/>
          <w:highlight w:val="none"/>
        </w:rPr>
      </w:pPr>
    </w:p>
    <w:p w14:paraId="116DFE54">
      <w:pPr>
        <w:spacing w:line="420" w:lineRule="exact"/>
        <w:ind w:firstLine="480" w:firstLineChars="200"/>
        <w:rPr>
          <w:rFonts w:hint="eastAsia"/>
          <w:color w:val="auto"/>
          <w:sz w:val="24"/>
          <w:highlight w:val="none"/>
        </w:rPr>
      </w:pPr>
    </w:p>
    <w:p w14:paraId="6017CEA1">
      <w:pPr>
        <w:spacing w:line="420" w:lineRule="exact"/>
        <w:ind w:firstLine="480" w:firstLineChars="200"/>
        <w:rPr>
          <w:rFonts w:hint="eastAsia"/>
          <w:color w:val="auto"/>
          <w:sz w:val="24"/>
          <w:highlight w:val="none"/>
        </w:rPr>
      </w:pPr>
    </w:p>
    <w:p w14:paraId="787D620E">
      <w:pPr>
        <w:pStyle w:val="2"/>
        <w:keepNext/>
        <w:keepLines/>
        <w:pageBreakBefore w:val="0"/>
        <w:widowControl w:val="0"/>
        <w:kinsoku/>
        <w:wordWrap/>
        <w:overflowPunct/>
        <w:topLinePunct w:val="0"/>
        <w:autoSpaceDE/>
        <w:autoSpaceDN/>
        <w:bidi w:val="0"/>
        <w:adjustRightInd/>
        <w:snapToGrid/>
        <w:spacing w:line="240" w:lineRule="exact"/>
        <w:jc w:val="center"/>
        <w:textAlignment w:val="auto"/>
        <w:rPr>
          <w:rFonts w:hAnsi="宋体"/>
          <w:color w:val="auto"/>
          <w:sz w:val="36"/>
          <w:highlight w:val="none"/>
        </w:rPr>
      </w:pPr>
      <w:bookmarkStart w:id="61" w:name="_Toc23756"/>
      <w:r>
        <w:rPr>
          <w:rFonts w:hint="eastAsia" w:hAnsi="宋体"/>
          <w:color w:val="auto"/>
          <w:sz w:val="36"/>
          <w:highlight w:val="none"/>
        </w:rPr>
        <w:br w:type="page"/>
      </w:r>
      <w:bookmarkStart w:id="62" w:name="_Toc14551"/>
      <w:r>
        <w:rPr>
          <w:rFonts w:hint="eastAsia" w:hAnsi="宋体"/>
          <w:color w:val="auto"/>
          <w:sz w:val="36"/>
          <w:highlight w:val="none"/>
        </w:rPr>
        <w:t>第五章</w:t>
      </w:r>
      <w:r>
        <w:rPr>
          <w:rFonts w:hAnsi="宋体"/>
          <w:color w:val="auto"/>
          <w:sz w:val="36"/>
          <w:highlight w:val="none"/>
        </w:rPr>
        <w:t xml:space="preserve">  </w:t>
      </w:r>
      <w:r>
        <w:rPr>
          <w:rFonts w:hint="eastAsia" w:hAnsi="宋体"/>
          <w:color w:val="auto"/>
          <w:sz w:val="36"/>
          <w:highlight w:val="none"/>
        </w:rPr>
        <w:t>投标文件的有效性</w:t>
      </w:r>
      <w:bookmarkEnd w:id="61"/>
      <w:bookmarkEnd w:id="62"/>
    </w:p>
    <w:p w14:paraId="41138180">
      <w:pPr>
        <w:pStyle w:val="18"/>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7ED80A85">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1.1逾期上传电子档投标文件至“义乌市阳光招标采购平台”平台的；</w:t>
      </w:r>
    </w:p>
    <w:p w14:paraId="68A2171F">
      <w:pPr>
        <w:adjustRightInd w:val="0"/>
        <w:snapToGrid w:val="0"/>
        <w:spacing w:line="440" w:lineRule="exact"/>
        <w:ind w:firstLine="420" w:firstLineChars="200"/>
        <w:rPr>
          <w:rFonts w:hint="default"/>
          <w:color w:val="auto"/>
          <w:highlight w:val="none"/>
        </w:rPr>
      </w:pPr>
      <w:r>
        <w:rPr>
          <w:rFonts w:hint="eastAsia" w:ascii="新宋体" w:hAnsi="新宋体" w:eastAsia="新宋体"/>
          <w:color w:val="auto"/>
          <w:szCs w:val="21"/>
          <w:highlight w:val="none"/>
        </w:rPr>
        <w:t>1.2电子投标文件在规定时间内解密未成功的</w:t>
      </w:r>
      <w:r>
        <w:rPr>
          <w:rFonts w:hint="default" w:ascii="新宋体" w:hAnsi="新宋体" w:eastAsia="新宋体"/>
          <w:color w:val="auto"/>
          <w:szCs w:val="21"/>
          <w:highlight w:val="none"/>
        </w:rPr>
        <w:t>；</w:t>
      </w:r>
    </w:p>
    <w:p w14:paraId="020D8F6C">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507EDAB2">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266F5F76">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30EEAFAA">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3F017F49">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6F27970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4FFA3B2A">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216612EF">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125BE3DB">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2994B50A">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投标文件附有采购人不能接受的条件。</w:t>
      </w:r>
    </w:p>
    <w:p w14:paraId="4C399629">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2.10评标委员会要求投标人对其投标文件作出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15C51726">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16A8CF37">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内容，投标人的投标文件内容未提供完整，或关键字迹模糊、无法辨认的，或未按其规定的格式及要求填写、签字、盖章，或提供的投标文件内容不符合招标文件的中有关打★号的条款的规定。</w:t>
      </w:r>
    </w:p>
    <w:p w14:paraId="41DA2633">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3.2投标总价高于预算价或最高限价，或投标单价高于单价最高限价。</w:t>
      </w:r>
    </w:p>
    <w:p w14:paraId="1566CEDE">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0A5D2B5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340F5EA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2660E2AF">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4522E3F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0EA365DD">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lang w:val="en-US" w:eastAsia="zh-CN"/>
        </w:rPr>
        <w:t>4.</w:t>
      </w:r>
      <w:r>
        <w:rPr>
          <w:rFonts w:hint="eastAsia" w:ascii="新宋体" w:hAnsi="新宋体" w:eastAsia="新宋体"/>
          <w:b/>
          <w:bCs/>
          <w:color w:val="auto"/>
          <w:szCs w:val="21"/>
          <w:highlight w:val="none"/>
        </w:rPr>
        <w:t>在资格审查及评审过程中，符合中华人民共和国财政部令第87号《政府采购货物和服务招标投标管理办法》第三十七条情形之一的，视为投标人串通投标，其投标无效，并移送采购监管部门：</w:t>
      </w:r>
    </w:p>
    <w:p w14:paraId="12ECA0E7">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0EB1AB4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4AC63958">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7DDFA8C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42AFBBE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18AD7D53">
      <w:pPr>
        <w:spacing w:line="440" w:lineRule="exact"/>
        <w:ind w:firstLine="422" w:firstLineChars="200"/>
        <w:rPr>
          <w:rFonts w:hint="eastAsia" w:ascii="宋体" w:hAnsi="宋体" w:eastAsia="宋体" w:cs="宋体"/>
          <w:b/>
          <w:color w:val="auto"/>
          <w:kern w:val="0"/>
          <w:szCs w:val="21"/>
          <w:highlight w:val="none"/>
        </w:rPr>
      </w:pPr>
      <w:r>
        <w:rPr>
          <w:rFonts w:hint="eastAsia" w:ascii="新宋体" w:hAnsi="新宋体" w:eastAsia="新宋体" w:cs="Times New Roman"/>
          <w:b/>
          <w:bCs/>
          <w:color w:val="auto"/>
          <w:szCs w:val="21"/>
          <w:highlight w:val="none"/>
          <w:lang w:val="en-US" w:eastAsia="zh-CN"/>
        </w:rPr>
        <w:t>5.</w:t>
      </w:r>
      <w:r>
        <w:rPr>
          <w:rFonts w:hint="eastAsia" w:ascii="宋体" w:hAnsi="宋体" w:eastAsia="宋体" w:cs="宋体"/>
          <w:b/>
          <w:color w:val="auto"/>
          <w:kern w:val="0"/>
          <w:szCs w:val="21"/>
          <w:highlight w:val="none"/>
        </w:rPr>
        <w:t>同一个标段（包）的供应商存在下列情形之一的，其投标（响应）文件无效：</w:t>
      </w:r>
    </w:p>
    <w:p w14:paraId="79E71250">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5.1不同供应商制作电子投标（响应）文件的计算机网卡 mAc 地址相同的。</w:t>
      </w:r>
    </w:p>
    <w:p w14:paraId="3E9199E9">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5.2不同供应商制作电子投标（响应）文件的计算机硬盘序列号相同的。</w:t>
      </w:r>
    </w:p>
    <w:p w14:paraId="669A3AF1">
      <w:pPr>
        <w:adjustRightInd w:val="0"/>
        <w:snapToGrid w:val="0"/>
        <w:spacing w:line="440" w:lineRule="exact"/>
        <w:ind w:firstLine="420" w:firstLineChars="200"/>
        <w:rPr>
          <w:rFonts w:hint="eastAsia" w:ascii="新宋体" w:hAnsi="新宋体" w:eastAsia="新宋体" w:cs="Times New Roman"/>
          <w:b/>
          <w:bCs/>
          <w:color w:val="auto"/>
          <w:szCs w:val="21"/>
          <w:highlight w:val="none"/>
        </w:rPr>
      </w:pPr>
      <w:r>
        <w:rPr>
          <w:rFonts w:hint="eastAsia" w:ascii="宋体" w:hAnsi="宋体" w:eastAsia="宋体" w:cs="宋体"/>
          <w:color w:val="auto"/>
          <w:szCs w:val="21"/>
          <w:highlight w:val="none"/>
        </w:rPr>
        <w:t>5.3不同供应商的投标（响应）文件的内容存在两处以上细节错误一致，且无法合理解释的。</w:t>
      </w:r>
    </w:p>
    <w:p w14:paraId="68E52D53">
      <w:pPr>
        <w:adjustRightInd w:val="0"/>
        <w:snapToGrid w:val="0"/>
        <w:spacing w:line="440" w:lineRule="exact"/>
        <w:ind w:firstLine="422" w:firstLineChars="200"/>
        <w:rPr>
          <w:rFonts w:hint="eastAsia" w:ascii="新宋体" w:hAnsi="新宋体" w:eastAsia="新宋体" w:cs="Times New Roman"/>
          <w:b/>
          <w:bCs/>
          <w:color w:val="auto"/>
          <w:szCs w:val="21"/>
          <w:highlight w:val="none"/>
        </w:rPr>
      </w:pPr>
      <w:r>
        <w:rPr>
          <w:rFonts w:hint="eastAsia" w:ascii="新宋体" w:hAnsi="新宋体" w:eastAsia="新宋体" w:cs="Times New Roman"/>
          <w:b/>
          <w:bCs/>
          <w:color w:val="auto"/>
          <w:szCs w:val="21"/>
          <w:highlight w:val="none"/>
          <w:lang w:val="en-US" w:eastAsia="zh-CN"/>
        </w:rPr>
        <w:t>6</w:t>
      </w:r>
      <w:r>
        <w:rPr>
          <w:rFonts w:hint="eastAsia" w:ascii="新宋体" w:hAnsi="新宋体" w:eastAsia="新宋体" w:cs="Times New Roman"/>
          <w:b/>
          <w:bCs/>
          <w:color w:val="auto"/>
          <w:szCs w:val="21"/>
          <w:highlight w:val="none"/>
        </w:rPr>
        <w:t>.其他违反法律法规的情况。</w:t>
      </w:r>
    </w:p>
    <w:p w14:paraId="27FFE98A">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lang w:val="en-US" w:eastAsia="zh-CN"/>
        </w:rPr>
        <w:t>7</w:t>
      </w:r>
      <w:r>
        <w:rPr>
          <w:rFonts w:hint="eastAsia" w:ascii="新宋体" w:hAnsi="新宋体" w:eastAsia="新宋体"/>
          <w:b/>
          <w:color w:val="auto"/>
          <w:kern w:val="0"/>
          <w:szCs w:val="21"/>
          <w:highlight w:val="none"/>
        </w:rPr>
        <w:t>.评标过程中，非上述所罗列的情况，不得以无效标处理</w:t>
      </w:r>
      <w:r>
        <w:rPr>
          <w:rFonts w:hint="eastAsia" w:ascii="宋体" w:hAnsi="宋体" w:cs="宋体"/>
          <w:b/>
          <w:bCs/>
          <w:color w:val="auto"/>
          <w:kern w:val="0"/>
          <w:szCs w:val="21"/>
          <w:highlight w:val="none"/>
        </w:rPr>
        <w:t>。</w:t>
      </w:r>
    </w:p>
    <w:p w14:paraId="1BB579A5">
      <w:pPr>
        <w:spacing w:line="420" w:lineRule="exact"/>
        <w:ind w:firstLine="422" w:firstLineChars="200"/>
        <w:rPr>
          <w:rFonts w:hint="eastAsia"/>
          <w:b/>
          <w:bCs/>
          <w:color w:val="auto"/>
          <w:szCs w:val="21"/>
          <w:highlight w:val="none"/>
        </w:rPr>
      </w:pPr>
    </w:p>
    <w:p w14:paraId="3C41D4B4">
      <w:pPr>
        <w:spacing w:line="420" w:lineRule="exact"/>
        <w:ind w:firstLine="480" w:firstLineChars="200"/>
        <w:rPr>
          <w:rFonts w:hint="eastAsia"/>
          <w:color w:val="auto"/>
          <w:sz w:val="24"/>
          <w:highlight w:val="none"/>
        </w:rPr>
      </w:pPr>
    </w:p>
    <w:p w14:paraId="5DD0C822">
      <w:pPr>
        <w:spacing w:line="420" w:lineRule="exact"/>
        <w:rPr>
          <w:rFonts w:hint="eastAsia"/>
          <w:color w:val="auto"/>
          <w:sz w:val="24"/>
          <w:highlight w:val="none"/>
        </w:rPr>
      </w:pPr>
    </w:p>
    <w:p w14:paraId="4F526E59">
      <w:pPr>
        <w:spacing w:line="420" w:lineRule="exact"/>
        <w:rPr>
          <w:rFonts w:hint="eastAsia"/>
          <w:color w:val="auto"/>
          <w:sz w:val="24"/>
          <w:highlight w:val="none"/>
        </w:rPr>
      </w:pPr>
    </w:p>
    <w:p w14:paraId="3B7F8932">
      <w:pPr>
        <w:spacing w:line="420" w:lineRule="exact"/>
        <w:rPr>
          <w:rFonts w:hint="eastAsia"/>
          <w:color w:val="auto"/>
          <w:sz w:val="24"/>
          <w:highlight w:val="none"/>
        </w:rPr>
      </w:pPr>
    </w:p>
    <w:p w14:paraId="3CE45F49">
      <w:pPr>
        <w:spacing w:line="420" w:lineRule="exact"/>
        <w:rPr>
          <w:rFonts w:hint="eastAsia"/>
          <w:color w:val="auto"/>
          <w:sz w:val="24"/>
          <w:highlight w:val="none"/>
        </w:rPr>
      </w:pPr>
    </w:p>
    <w:p w14:paraId="1AA70412">
      <w:pPr>
        <w:spacing w:line="420" w:lineRule="exact"/>
        <w:rPr>
          <w:rFonts w:hint="eastAsia"/>
          <w:color w:val="auto"/>
          <w:sz w:val="24"/>
          <w:highlight w:val="none"/>
        </w:rPr>
      </w:pPr>
    </w:p>
    <w:p w14:paraId="7B6EE85A">
      <w:pPr>
        <w:spacing w:line="420" w:lineRule="exact"/>
        <w:rPr>
          <w:rFonts w:hint="eastAsia"/>
          <w:color w:val="auto"/>
          <w:sz w:val="24"/>
          <w:highlight w:val="none"/>
        </w:rPr>
      </w:pPr>
    </w:p>
    <w:p w14:paraId="2991BB12">
      <w:pPr>
        <w:spacing w:line="420" w:lineRule="exact"/>
        <w:rPr>
          <w:rFonts w:hint="eastAsia"/>
          <w:color w:val="auto"/>
          <w:sz w:val="24"/>
          <w:highlight w:val="none"/>
        </w:rPr>
      </w:pPr>
    </w:p>
    <w:p w14:paraId="418901CE">
      <w:pPr>
        <w:spacing w:line="420" w:lineRule="exact"/>
        <w:rPr>
          <w:rFonts w:hint="eastAsia"/>
          <w:color w:val="auto"/>
          <w:sz w:val="24"/>
          <w:highlight w:val="none"/>
        </w:rPr>
      </w:pPr>
    </w:p>
    <w:p w14:paraId="7E7565D6">
      <w:pPr>
        <w:pStyle w:val="55"/>
        <w:ind w:firstLine="420" w:firstLineChars="200"/>
        <w:rPr>
          <w:rFonts w:hint="eastAsia" w:ascii="宋体" w:hAnsi="宋体" w:cs="宋体"/>
          <w:color w:val="auto"/>
          <w:sz w:val="21"/>
          <w:szCs w:val="21"/>
          <w:highlight w:val="none"/>
        </w:rPr>
      </w:pPr>
      <w:bookmarkStart w:id="63" w:name="_Toc274303257"/>
    </w:p>
    <w:p w14:paraId="1AE8DBF6">
      <w:pPr>
        <w:pStyle w:val="2"/>
        <w:keepNext/>
        <w:keepLines/>
        <w:pageBreakBefore w:val="0"/>
        <w:widowControl w:val="0"/>
        <w:tabs>
          <w:tab w:val="left" w:pos="360"/>
        </w:tabs>
        <w:kinsoku/>
        <w:wordWrap/>
        <w:overflowPunct/>
        <w:topLinePunct w:val="0"/>
        <w:autoSpaceDE/>
        <w:autoSpaceDN/>
        <w:bidi w:val="0"/>
        <w:adjustRightInd/>
        <w:snapToGrid/>
        <w:spacing w:line="240" w:lineRule="exact"/>
        <w:jc w:val="center"/>
        <w:textAlignment w:val="auto"/>
        <w:rPr>
          <w:rFonts w:hint="eastAsia" w:ascii="宋体" w:hAnsi="宋体" w:cs="宋体"/>
          <w:color w:val="auto"/>
          <w:sz w:val="21"/>
          <w:szCs w:val="21"/>
          <w:highlight w:val="none"/>
        </w:rPr>
      </w:pPr>
      <w:bookmarkStart w:id="64" w:name="_Toc362250708"/>
      <w:bookmarkStart w:id="65" w:name="_Toc226973004"/>
      <w:bookmarkStart w:id="66" w:name="_Toc145992551"/>
      <w:bookmarkStart w:id="67" w:name="_Toc19786"/>
      <w:bookmarkStart w:id="68" w:name="_Toc274303255"/>
      <w:r>
        <w:rPr>
          <w:rFonts w:hint="eastAsia"/>
          <w:color w:val="auto"/>
          <w:sz w:val="36"/>
          <w:highlight w:val="none"/>
        </w:rPr>
        <w:br w:type="page"/>
      </w:r>
      <w:bookmarkStart w:id="69" w:name="_Toc28011"/>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64"/>
      <w:bookmarkEnd w:id="65"/>
      <w:bookmarkEnd w:id="66"/>
      <w:bookmarkEnd w:id="67"/>
      <w:bookmarkEnd w:id="68"/>
      <w:bookmarkEnd w:id="69"/>
    </w:p>
    <w:bookmarkEnd w:id="63"/>
    <w:p w14:paraId="79B78682">
      <w:pPr>
        <w:pStyle w:val="55"/>
        <w:ind w:firstLine="420" w:firstLineChars="200"/>
        <w:rPr>
          <w:rFonts w:hint="eastAsia" w:ascii="宋体" w:hAnsi="宋体" w:cs="宋体"/>
          <w:color w:val="auto"/>
          <w:sz w:val="21"/>
          <w:szCs w:val="21"/>
          <w:highlight w:val="none"/>
        </w:rPr>
      </w:pPr>
      <w:bookmarkStart w:id="70" w:name="_Toc330474791"/>
      <w:bookmarkStart w:id="71" w:name="_Toc323024194"/>
      <w:bookmarkStart w:id="72" w:name="_Toc269969080"/>
      <w:bookmarkStart w:id="73" w:name="_Toc358884475"/>
      <w:bookmarkStart w:id="74" w:name="_Toc362250710"/>
      <w:bookmarkStart w:id="75" w:name="_Toc295815145"/>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6455A549">
      <w:pPr>
        <w:pStyle w:val="3"/>
        <w:spacing w:before="120" w:after="120" w:line="460" w:lineRule="exact"/>
        <w:rPr>
          <w:rFonts w:hint="eastAsia" w:ascii="宋体" w:hAnsi="宋体" w:eastAsia="宋体" w:cs="宋体"/>
          <w:b/>
          <w:bCs/>
          <w:color w:val="auto"/>
          <w:sz w:val="21"/>
          <w:szCs w:val="21"/>
          <w:highlight w:val="none"/>
        </w:rPr>
      </w:pPr>
      <w:bookmarkStart w:id="76" w:name="_Toc30149"/>
      <w:r>
        <w:rPr>
          <w:rFonts w:hint="eastAsia" w:ascii="宋体" w:hAnsi="宋体" w:eastAsia="宋体" w:cs="宋体"/>
          <w:b/>
          <w:bCs/>
          <w:color w:val="auto"/>
          <w:sz w:val="21"/>
          <w:szCs w:val="21"/>
          <w:highlight w:val="none"/>
        </w:rPr>
        <w:t>一、评审程序</w:t>
      </w:r>
      <w:bookmarkEnd w:id="76"/>
    </w:p>
    <w:p w14:paraId="272D4E2B">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44DD31E7">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460614AB">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（二）对通过资格性审查合格的投标标人的商务技术响应文件进行符合性审查；</w:t>
      </w:r>
    </w:p>
    <w:p w14:paraId="549B32BB">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568F5B35">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7B63D36A">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（五）对通过报价评审有效的投标人，由“</w:t>
      </w:r>
      <w:r>
        <w:rPr>
          <w:rFonts w:hint="eastAsia" w:hAnsi="宋体" w:cs="宋体"/>
          <w:color w:val="auto"/>
          <w:highlight w:val="none"/>
          <w:lang w:eastAsia="zh-CN"/>
        </w:rPr>
        <w:t>义乌市阳光招标采购平台</w:t>
      </w:r>
      <w:r>
        <w:rPr>
          <w:rFonts w:hint="eastAsia" w:hAnsi="宋体" w:cs="宋体"/>
          <w:color w:val="auto"/>
          <w:highlight w:val="none"/>
        </w:rPr>
        <w:t>”平台计算出其报价分及总得分，并由评标委员会进行确认；</w:t>
      </w:r>
    </w:p>
    <w:p w14:paraId="0E551FE9">
      <w:pPr>
        <w:pStyle w:val="18"/>
        <w:spacing w:line="440" w:lineRule="exact"/>
        <w:ind w:firstLine="420" w:firstLineChars="200"/>
        <w:rPr>
          <w:rFonts w:hint="eastAsia" w:hAnsi="宋体" w:cs="宋体"/>
          <w:color w:val="auto"/>
          <w:highlight w:val="none"/>
        </w:rPr>
      </w:pPr>
      <w:r>
        <w:rPr>
          <w:rFonts w:hint="eastAsia" w:hAnsi="宋体" w:cs="宋体"/>
          <w:color w:val="auto"/>
          <w:highlight w:val="none"/>
        </w:rPr>
        <w:t>（六）确定中标人</w:t>
      </w:r>
    </w:p>
    <w:p w14:paraId="7EC143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57CC71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w:t>
      </w:r>
      <w:r>
        <w:rPr>
          <w:rFonts w:hint="eastAsia" w:ascii="宋体" w:hAnsi="宋体" w:cs="宋体"/>
          <w:color w:val="auto"/>
          <w:szCs w:val="21"/>
          <w:highlight w:val="none"/>
          <w:lang w:val="en-US" w:eastAsia="zh-CN"/>
        </w:rPr>
        <w:t>前六</w:t>
      </w:r>
      <w:r>
        <w:rPr>
          <w:rFonts w:hint="eastAsia" w:ascii="宋体" w:hAnsi="宋体" w:cs="宋体"/>
          <w:color w:val="auto"/>
          <w:szCs w:val="21"/>
          <w:highlight w:val="none"/>
        </w:rPr>
        <w:t>的投标人为</w:t>
      </w:r>
      <w:r>
        <w:rPr>
          <w:rFonts w:hint="eastAsia" w:ascii="宋体" w:hAnsi="宋体" w:cs="宋体"/>
          <w:color w:val="auto"/>
          <w:szCs w:val="21"/>
          <w:highlight w:val="none"/>
          <w:lang w:val="en-US" w:eastAsia="zh-CN"/>
        </w:rPr>
        <w:t>中标候选人</w:t>
      </w:r>
      <w:r>
        <w:rPr>
          <w:rFonts w:hint="eastAsia" w:ascii="宋体" w:hAnsi="宋体" w:cs="宋体"/>
          <w:color w:val="auto"/>
          <w:szCs w:val="21"/>
          <w:highlight w:val="none"/>
        </w:rPr>
        <w:t>。</w:t>
      </w:r>
    </w:p>
    <w:p w14:paraId="7E271A2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18A1E59E">
      <w:pPr>
        <w:pStyle w:val="18"/>
        <w:spacing w:line="440" w:lineRule="exact"/>
        <w:ind w:firstLine="420" w:firstLineChars="200"/>
        <w:jc w:val="left"/>
        <w:rPr>
          <w:rFonts w:hint="eastAsia" w:hAnsi="宋体" w:cs="宋体"/>
          <w:color w:val="auto"/>
          <w:highlight w:val="none"/>
        </w:rPr>
      </w:pPr>
      <w:r>
        <w:rPr>
          <w:rFonts w:hint="eastAsia" w:hAnsi="宋体" w:cs="宋体"/>
          <w:color w:val="auto"/>
          <w:highlight w:val="none"/>
        </w:rPr>
        <w:t xml:space="preserve">评标委员会向采购人提出评标报告，内容包括评标过程、投标人的优劣对比分析、中标候选人推荐情况、基本结论、存在的问题和评标专家的不同意见。评标报告应经评标委员会所有专家签字，在评标结束时当场提交给采购人。 </w:t>
      </w:r>
    </w:p>
    <w:p w14:paraId="3426D059">
      <w:pPr>
        <w:pStyle w:val="3"/>
        <w:spacing w:before="120" w:after="120" w:line="460" w:lineRule="exact"/>
        <w:rPr>
          <w:rFonts w:hint="eastAsia" w:ascii="宋体" w:hAnsi="宋体" w:eastAsia="宋体" w:cs="宋体"/>
          <w:b/>
          <w:bCs/>
          <w:color w:val="auto"/>
          <w:sz w:val="21"/>
          <w:szCs w:val="21"/>
          <w:highlight w:val="none"/>
        </w:rPr>
      </w:pPr>
      <w:bookmarkStart w:id="77" w:name="_Toc31074"/>
      <w:r>
        <w:rPr>
          <w:rFonts w:hint="eastAsia" w:ascii="宋体" w:hAnsi="宋体" w:eastAsia="宋体" w:cs="宋体"/>
          <w:b/>
          <w:bCs/>
          <w:color w:val="auto"/>
          <w:sz w:val="21"/>
          <w:szCs w:val="21"/>
          <w:highlight w:val="none"/>
        </w:rPr>
        <w:t>二、确定的中标人放弃中标等情况的处理</w:t>
      </w:r>
      <w:bookmarkEnd w:id="77"/>
    </w:p>
    <w:p w14:paraId="5A7FA0EC">
      <w:pPr>
        <w:pStyle w:val="18"/>
        <w:spacing w:line="440" w:lineRule="exact"/>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06CD5EAE">
      <w:pPr>
        <w:pStyle w:val="18"/>
        <w:spacing w:line="440" w:lineRule="exact"/>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2D4A436F">
      <w:pPr>
        <w:pStyle w:val="3"/>
        <w:spacing w:before="120" w:after="120" w:line="460" w:lineRule="exact"/>
        <w:rPr>
          <w:rFonts w:hint="eastAsia" w:ascii="宋体" w:hAnsi="宋体" w:eastAsia="宋体" w:cs="宋体"/>
          <w:b/>
          <w:bCs/>
          <w:color w:val="auto"/>
          <w:sz w:val="21"/>
          <w:szCs w:val="21"/>
          <w:highlight w:val="none"/>
          <w:lang w:val="en-US" w:eastAsia="zh-CN"/>
        </w:rPr>
      </w:pPr>
      <w:bookmarkStart w:id="78" w:name="_Toc11195"/>
      <w:r>
        <w:rPr>
          <w:rFonts w:hint="eastAsia" w:ascii="宋体" w:hAnsi="宋体" w:eastAsia="宋体" w:cs="宋体"/>
          <w:b/>
          <w:bCs/>
          <w:color w:val="auto"/>
          <w:sz w:val="21"/>
          <w:szCs w:val="21"/>
          <w:highlight w:val="none"/>
          <w:lang w:val="en-US" w:eastAsia="zh-CN"/>
        </w:rPr>
        <w:t>三、评分细则</w:t>
      </w:r>
      <w:bookmarkEnd w:id="78"/>
    </w:p>
    <w:p w14:paraId="7346C00E">
      <w:pPr>
        <w:bidi w:val="0"/>
        <w:rPr>
          <w:rFonts w:hint="eastAsia"/>
          <w:color w:val="auto"/>
          <w:highlight w:val="none"/>
        </w:rPr>
      </w:pPr>
    </w:p>
    <w:tbl>
      <w:tblPr>
        <w:tblStyle w:val="37"/>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410"/>
        <w:gridCol w:w="5721"/>
        <w:gridCol w:w="849"/>
        <w:gridCol w:w="904"/>
      </w:tblGrid>
      <w:tr w14:paraId="565C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45" w:type="dxa"/>
            <w:noWrap w:val="0"/>
            <w:vAlign w:val="center"/>
          </w:tcPr>
          <w:p w14:paraId="524A8308">
            <w:pPr>
              <w:spacing w:line="360" w:lineRule="exact"/>
              <w:jc w:val="center"/>
              <w:rPr>
                <w:rFonts w:ascii="宋体" w:hAnsi="Times New Roman" w:eastAsia="宋体" w:cs="Times New Roman"/>
                <w:b/>
                <w:bCs/>
                <w:color w:val="auto"/>
                <w:highlight w:val="none"/>
              </w:rPr>
            </w:pPr>
            <w:r>
              <w:rPr>
                <w:rFonts w:hint="eastAsia" w:ascii="宋体" w:hAnsi="宋体" w:eastAsia="宋体" w:cs="宋体"/>
                <w:b/>
                <w:bCs/>
                <w:color w:val="auto"/>
                <w:highlight w:val="none"/>
              </w:rPr>
              <w:t>序号</w:t>
            </w:r>
          </w:p>
        </w:tc>
        <w:tc>
          <w:tcPr>
            <w:tcW w:w="1410" w:type="dxa"/>
            <w:noWrap w:val="0"/>
            <w:vAlign w:val="center"/>
          </w:tcPr>
          <w:p w14:paraId="68ECA111">
            <w:pPr>
              <w:spacing w:line="360" w:lineRule="exact"/>
              <w:jc w:val="center"/>
              <w:rPr>
                <w:rFonts w:ascii="宋体" w:hAnsi="Times New Roman" w:eastAsia="宋体" w:cs="Times New Roman"/>
                <w:b/>
                <w:bCs/>
                <w:color w:val="auto"/>
                <w:highlight w:val="none"/>
              </w:rPr>
            </w:pPr>
            <w:r>
              <w:rPr>
                <w:rFonts w:hint="eastAsia" w:ascii="宋体" w:hAnsi="宋体" w:eastAsia="宋体" w:cs="Times New Roman"/>
                <w:b/>
                <w:bCs/>
                <w:color w:val="auto"/>
                <w:szCs w:val="21"/>
                <w:highlight w:val="none"/>
              </w:rPr>
              <w:t>评分内容</w:t>
            </w:r>
          </w:p>
        </w:tc>
        <w:tc>
          <w:tcPr>
            <w:tcW w:w="5721" w:type="dxa"/>
            <w:noWrap w:val="0"/>
            <w:vAlign w:val="center"/>
          </w:tcPr>
          <w:p w14:paraId="699E02B7">
            <w:pPr>
              <w:spacing w:line="360" w:lineRule="exact"/>
              <w:jc w:val="center"/>
              <w:rPr>
                <w:rFonts w:ascii="宋体" w:hAnsi="Times New Roman" w:eastAsia="宋体" w:cs="Times New Roman"/>
                <w:b/>
                <w:bCs/>
                <w:color w:val="auto"/>
                <w:highlight w:val="none"/>
              </w:rPr>
            </w:pPr>
            <w:r>
              <w:rPr>
                <w:rFonts w:hint="eastAsia" w:ascii="宋体" w:hAnsi="宋体" w:eastAsia="宋体" w:cs="宋体"/>
                <w:b/>
                <w:bCs/>
                <w:color w:val="auto"/>
                <w:highlight w:val="none"/>
              </w:rPr>
              <w:t>评分标准</w:t>
            </w:r>
          </w:p>
        </w:tc>
        <w:tc>
          <w:tcPr>
            <w:tcW w:w="849" w:type="dxa"/>
            <w:noWrap w:val="0"/>
            <w:vAlign w:val="center"/>
          </w:tcPr>
          <w:p w14:paraId="491E20CF">
            <w:pPr>
              <w:spacing w:line="360" w:lineRule="exact"/>
              <w:jc w:val="center"/>
              <w:rPr>
                <w:rFonts w:ascii="宋体" w:hAnsi="Times New Roman" w:eastAsia="宋体" w:cs="Times New Roman"/>
                <w:b/>
                <w:bCs/>
                <w:color w:val="auto"/>
                <w:highlight w:val="none"/>
              </w:rPr>
            </w:pPr>
            <w:r>
              <w:rPr>
                <w:rFonts w:hint="eastAsia" w:ascii="宋体" w:hAnsi="宋体" w:eastAsia="宋体" w:cs="宋体"/>
                <w:b/>
                <w:bCs/>
                <w:color w:val="auto"/>
                <w:highlight w:val="none"/>
              </w:rPr>
              <w:t>分数</w:t>
            </w:r>
          </w:p>
        </w:tc>
        <w:tc>
          <w:tcPr>
            <w:tcW w:w="904" w:type="dxa"/>
            <w:noWrap w:val="0"/>
            <w:vAlign w:val="center"/>
          </w:tcPr>
          <w:p w14:paraId="7EBB78A1">
            <w:pPr>
              <w:spacing w:line="360" w:lineRule="exact"/>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备注</w:t>
            </w:r>
          </w:p>
        </w:tc>
      </w:tr>
      <w:tr w14:paraId="307B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jc w:val="center"/>
        </w:trPr>
        <w:tc>
          <w:tcPr>
            <w:tcW w:w="645" w:type="dxa"/>
            <w:noWrap w:val="0"/>
            <w:vAlign w:val="center"/>
          </w:tcPr>
          <w:p w14:paraId="61911E7C">
            <w:pPr>
              <w:jc w:val="center"/>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一</w:t>
            </w:r>
          </w:p>
        </w:tc>
        <w:tc>
          <w:tcPr>
            <w:tcW w:w="1410" w:type="dxa"/>
            <w:noWrap w:val="0"/>
            <w:vAlign w:val="center"/>
          </w:tcPr>
          <w:p w14:paraId="701FFB48">
            <w:pPr>
              <w:jc w:val="center"/>
              <w:rPr>
                <w:rFonts w:hint="eastAsia" w:ascii="宋体" w:hAnsi="Times New Roman" w:eastAsia="宋体" w:cs="Times New Roman"/>
                <w:color w:val="auto"/>
                <w:highlight w:val="none"/>
                <w:lang w:val="en-US" w:eastAsia="zh-CN"/>
              </w:rPr>
            </w:pPr>
            <w:r>
              <w:rPr>
                <w:rFonts w:hint="eastAsia" w:ascii="宋体" w:hAnsi="Times New Roman" w:eastAsia="宋体" w:cs="Times New Roman"/>
                <w:color w:val="auto"/>
                <w:highlight w:val="none"/>
                <w:lang w:val="en-US" w:eastAsia="zh-CN"/>
              </w:rPr>
              <w:t>商务技术分</w:t>
            </w:r>
          </w:p>
        </w:tc>
        <w:tc>
          <w:tcPr>
            <w:tcW w:w="5721" w:type="dxa"/>
            <w:noWrap w:val="0"/>
            <w:vAlign w:val="center"/>
          </w:tcPr>
          <w:p w14:paraId="16FCEFCA">
            <w:pPr>
              <w:pStyle w:val="18"/>
              <w:spacing w:line="360" w:lineRule="auto"/>
              <w:rPr>
                <w:rFonts w:hint="eastAsia" w:ascii="宋体" w:hAnsi="宋体" w:eastAsia="宋体" w:cs="宋体"/>
                <w:color w:val="auto"/>
                <w:szCs w:val="21"/>
                <w:highlight w:val="none"/>
              </w:rPr>
            </w:pPr>
            <w:r>
              <w:rPr>
                <w:rFonts w:hint="eastAsia" w:hAnsi="宋体"/>
                <w:bCs/>
                <w:color w:val="auto"/>
                <w:sz w:val="21"/>
                <w:szCs w:val="21"/>
                <w:highlight w:val="none"/>
              </w:rPr>
              <w:t>评标委员会根据</w:t>
            </w:r>
            <w:r>
              <w:rPr>
                <w:rFonts w:hint="eastAsia" w:hAnsi="宋体"/>
                <w:bCs/>
                <w:color w:val="auto"/>
                <w:sz w:val="21"/>
                <w:szCs w:val="21"/>
                <w:highlight w:val="none"/>
                <w:lang w:val="en-US" w:eastAsia="zh-CN"/>
              </w:rPr>
              <w:t>细则</w:t>
            </w:r>
            <w:r>
              <w:rPr>
                <w:rFonts w:hint="eastAsia" w:hAnsi="宋体"/>
                <w:bCs/>
                <w:color w:val="auto"/>
                <w:sz w:val="21"/>
                <w:szCs w:val="21"/>
                <w:highlight w:val="none"/>
              </w:rPr>
              <w:t>，对各投标单位的商务技术响应文件进行书面审核和评论后，由各专家独立给分，打分时保留小数1位，每人一份评分表，并签名。在统计得分时，如果发现某一单项评分超过评分细则规定的分值范围，则该张评分表无效。投标人的商务技术响应文件的最终得分为评标委员会成员的算术平均值。计算时保留小数2位（第3位四舍五入）。</w:t>
            </w:r>
          </w:p>
        </w:tc>
        <w:tc>
          <w:tcPr>
            <w:tcW w:w="849" w:type="dxa"/>
            <w:noWrap w:val="0"/>
            <w:vAlign w:val="center"/>
          </w:tcPr>
          <w:p w14:paraId="2759FDC1">
            <w:pPr>
              <w:spacing w:line="320" w:lineRule="exact"/>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20</w:t>
            </w:r>
          </w:p>
        </w:tc>
        <w:tc>
          <w:tcPr>
            <w:tcW w:w="904" w:type="dxa"/>
            <w:noWrap w:val="0"/>
            <w:vAlign w:val="center"/>
          </w:tcPr>
          <w:p w14:paraId="7088B08C">
            <w:pPr>
              <w:spacing w:line="320" w:lineRule="exact"/>
              <w:jc w:val="center"/>
              <w:rPr>
                <w:rFonts w:hint="eastAsia" w:ascii="宋体" w:hAnsi="宋体" w:eastAsia="宋体" w:cs="宋体"/>
                <w:color w:val="auto"/>
                <w:highlight w:val="none"/>
                <w:lang w:val="en-US" w:eastAsia="zh-CN"/>
              </w:rPr>
            </w:pPr>
          </w:p>
        </w:tc>
      </w:tr>
      <w:tr w14:paraId="7889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45" w:type="dxa"/>
            <w:vMerge w:val="restart"/>
            <w:noWrap w:val="0"/>
            <w:vAlign w:val="center"/>
          </w:tcPr>
          <w:p w14:paraId="78938045">
            <w:pPr>
              <w:widowControl/>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410" w:type="dxa"/>
            <w:vMerge w:val="restart"/>
            <w:noWrap w:val="0"/>
            <w:vAlign w:val="center"/>
          </w:tcPr>
          <w:p w14:paraId="359E4188">
            <w:pPr>
              <w:spacing w:line="288"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人员配备</w:t>
            </w:r>
          </w:p>
          <w:p w14:paraId="7AB18259">
            <w:pPr>
              <w:spacing w:line="2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highlight w:val="none"/>
                <w:lang w:val="en-US" w:eastAsia="zh-CN"/>
              </w:rPr>
              <w:t>（8分）</w:t>
            </w:r>
          </w:p>
        </w:tc>
        <w:tc>
          <w:tcPr>
            <w:tcW w:w="5721" w:type="dxa"/>
            <w:noWrap w:val="0"/>
            <w:vAlign w:val="center"/>
          </w:tcPr>
          <w:p w14:paraId="217B3E56">
            <w:pPr>
              <w:pStyle w:val="18"/>
              <w:spacing w:line="360" w:lineRule="auto"/>
              <w:rPr>
                <w:rFonts w:hint="eastAsia" w:ascii="宋体" w:hAnsi="Courier New" w:eastAsia="宋体" w:cs="Courier New"/>
                <w:color w:val="auto"/>
                <w:highlight w:val="none"/>
                <w:lang w:val="en-US" w:eastAsia="zh-CN"/>
              </w:rPr>
            </w:pPr>
            <w:r>
              <w:rPr>
                <w:rFonts w:hint="eastAsia" w:ascii="宋体" w:hAnsi="Courier New" w:eastAsia="宋体" w:cs="Courier New"/>
                <w:color w:val="auto"/>
                <w:highlight w:val="none"/>
                <w:lang w:val="en-US" w:eastAsia="zh-CN"/>
              </w:rPr>
              <w:t>项目负责人取得高级职称（工程相关专业）的，得2分，其余不得分（提供项目负责人社保缴纳记录，不提供不得分）。</w:t>
            </w:r>
          </w:p>
        </w:tc>
        <w:tc>
          <w:tcPr>
            <w:tcW w:w="849" w:type="dxa"/>
            <w:noWrap w:val="0"/>
            <w:vAlign w:val="center"/>
          </w:tcPr>
          <w:p w14:paraId="452330E9">
            <w:pPr>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c>
          <w:tcPr>
            <w:tcW w:w="904" w:type="dxa"/>
            <w:vMerge w:val="restart"/>
            <w:noWrap w:val="0"/>
            <w:vAlign w:val="center"/>
          </w:tcPr>
          <w:p w14:paraId="563CECE9">
            <w:pPr>
              <w:pStyle w:val="18"/>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r w14:paraId="28C4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45" w:type="dxa"/>
            <w:vMerge w:val="continue"/>
            <w:noWrap w:val="0"/>
            <w:vAlign w:val="center"/>
          </w:tcPr>
          <w:p w14:paraId="1B285507">
            <w:pPr>
              <w:pStyle w:val="18"/>
              <w:spacing w:line="360" w:lineRule="auto"/>
              <w:rPr>
                <w:color w:val="auto"/>
                <w:highlight w:val="none"/>
              </w:rPr>
            </w:pPr>
          </w:p>
        </w:tc>
        <w:tc>
          <w:tcPr>
            <w:tcW w:w="1410" w:type="dxa"/>
            <w:vMerge w:val="continue"/>
            <w:noWrap w:val="0"/>
            <w:vAlign w:val="center"/>
          </w:tcPr>
          <w:p w14:paraId="35223594">
            <w:pPr>
              <w:spacing w:line="288" w:lineRule="auto"/>
              <w:rPr>
                <w:rFonts w:ascii="Times New Roman" w:hAnsi="Times New Roman" w:eastAsia="宋体" w:cs="Times New Roman"/>
                <w:color w:val="auto"/>
                <w:highlight w:val="none"/>
              </w:rPr>
            </w:pPr>
          </w:p>
        </w:tc>
        <w:tc>
          <w:tcPr>
            <w:tcW w:w="5721" w:type="dxa"/>
            <w:noWrap w:val="0"/>
            <w:vAlign w:val="center"/>
          </w:tcPr>
          <w:p w14:paraId="20C4E366">
            <w:pPr>
              <w:pStyle w:val="18"/>
              <w:spacing w:line="360" w:lineRule="auto"/>
              <w:rPr>
                <w:rFonts w:hint="eastAsia" w:ascii="宋体" w:hAnsi="Courier New" w:eastAsia="宋体" w:cs="Courier New"/>
                <w:color w:val="auto"/>
                <w:highlight w:val="none"/>
                <w:lang w:val="en-US" w:eastAsia="zh-CN"/>
              </w:rPr>
            </w:pPr>
            <w:r>
              <w:rPr>
                <w:rFonts w:hint="eastAsia" w:ascii="宋体" w:hAnsi="Courier New" w:eastAsia="宋体" w:cs="Courier New"/>
                <w:color w:val="auto"/>
                <w:highlight w:val="none"/>
                <w:lang w:val="en-US" w:eastAsia="zh-CN"/>
              </w:rPr>
              <w:t>拟安排造价人员（含项目负责人）具有省级建设主管部门颁发的“金牌造价师”的得2分，具有省级建设主管部门颁发的“优秀造价师”或“优秀造价从业人员”的得1分，本项最高得2分。（提供证书、人员社保缴纳记录等相应资料扫描件并加电子签章，不提供不得分）</w:t>
            </w:r>
          </w:p>
        </w:tc>
        <w:tc>
          <w:tcPr>
            <w:tcW w:w="849" w:type="dxa"/>
            <w:noWrap w:val="0"/>
            <w:vAlign w:val="center"/>
          </w:tcPr>
          <w:p w14:paraId="4D28DF48">
            <w:pPr>
              <w:spacing w:line="288" w:lineRule="auto"/>
              <w:jc w:val="center"/>
              <w:rPr>
                <w:rFonts w:hint="default" w:ascii="宋体" w:hAnsi="宋体" w:eastAsia="宋体" w:cs="Courier New"/>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c>
          <w:tcPr>
            <w:tcW w:w="904" w:type="dxa"/>
            <w:vMerge w:val="continue"/>
            <w:noWrap w:val="0"/>
            <w:vAlign w:val="center"/>
          </w:tcPr>
          <w:p w14:paraId="769B611E">
            <w:pPr>
              <w:pStyle w:val="18"/>
              <w:spacing w:line="360" w:lineRule="auto"/>
              <w:rPr>
                <w:rFonts w:hint="eastAsia" w:ascii="宋体" w:hAnsi="宋体" w:eastAsia="宋体" w:cs="Courier New"/>
                <w:bCs/>
                <w:color w:val="auto"/>
                <w:sz w:val="21"/>
                <w:szCs w:val="21"/>
                <w:highlight w:val="none"/>
                <w:lang w:val="en-US" w:eastAsia="zh-CN"/>
              </w:rPr>
            </w:pPr>
          </w:p>
        </w:tc>
      </w:tr>
      <w:tr w14:paraId="437A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45" w:type="dxa"/>
            <w:vMerge w:val="continue"/>
            <w:noWrap w:val="0"/>
            <w:vAlign w:val="center"/>
          </w:tcPr>
          <w:p w14:paraId="1B89ABDC">
            <w:pPr>
              <w:pStyle w:val="18"/>
              <w:spacing w:line="360" w:lineRule="auto"/>
              <w:rPr>
                <w:color w:val="auto"/>
                <w:highlight w:val="none"/>
              </w:rPr>
            </w:pPr>
          </w:p>
        </w:tc>
        <w:tc>
          <w:tcPr>
            <w:tcW w:w="1410" w:type="dxa"/>
            <w:vMerge w:val="continue"/>
            <w:noWrap w:val="0"/>
            <w:vAlign w:val="center"/>
          </w:tcPr>
          <w:p w14:paraId="78C459A5">
            <w:pPr>
              <w:spacing w:line="288" w:lineRule="auto"/>
              <w:rPr>
                <w:rFonts w:ascii="Times New Roman" w:hAnsi="Times New Roman" w:eastAsia="宋体" w:cs="Times New Roman"/>
                <w:color w:val="auto"/>
                <w:highlight w:val="none"/>
              </w:rPr>
            </w:pPr>
          </w:p>
        </w:tc>
        <w:tc>
          <w:tcPr>
            <w:tcW w:w="5721" w:type="dxa"/>
            <w:noWrap w:val="0"/>
            <w:vAlign w:val="center"/>
          </w:tcPr>
          <w:p w14:paraId="12500E51">
            <w:pPr>
              <w:pStyle w:val="18"/>
              <w:spacing w:line="360" w:lineRule="auto"/>
              <w:rPr>
                <w:rFonts w:hint="eastAsia" w:ascii="宋体" w:hAnsi="Courier New" w:eastAsia="宋体" w:cs="Courier New"/>
                <w:color w:val="auto"/>
                <w:highlight w:val="none"/>
                <w:lang w:val="en-US" w:eastAsia="zh-CN"/>
              </w:rPr>
            </w:pPr>
            <w:r>
              <w:rPr>
                <w:rFonts w:hint="eastAsia" w:ascii="宋体" w:hAnsi="Courier New" w:eastAsia="宋体" w:cs="Courier New"/>
                <w:color w:val="auto"/>
                <w:highlight w:val="none"/>
                <w:lang w:val="en-US" w:eastAsia="zh-CN"/>
              </w:rPr>
              <w:t>除项目负责人以外的注册造价师取得高级职称（工程相关专业）的，每有1名得1分，最高得4分。其余不得分（提供项目组成员清单、社保缴纳记录，不提供不得分）。</w:t>
            </w:r>
          </w:p>
        </w:tc>
        <w:tc>
          <w:tcPr>
            <w:tcW w:w="849" w:type="dxa"/>
            <w:noWrap w:val="0"/>
            <w:vAlign w:val="center"/>
          </w:tcPr>
          <w:p w14:paraId="1A84CDE9">
            <w:pPr>
              <w:spacing w:line="288"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0-4.0</w:t>
            </w:r>
          </w:p>
        </w:tc>
        <w:tc>
          <w:tcPr>
            <w:tcW w:w="904" w:type="dxa"/>
            <w:vMerge w:val="continue"/>
            <w:noWrap w:val="0"/>
            <w:vAlign w:val="center"/>
          </w:tcPr>
          <w:p w14:paraId="0D57C85A">
            <w:pPr>
              <w:pStyle w:val="18"/>
              <w:spacing w:line="360" w:lineRule="auto"/>
              <w:rPr>
                <w:rFonts w:hint="eastAsia" w:ascii="宋体" w:hAnsi="宋体" w:eastAsia="宋体" w:cs="Courier New"/>
                <w:bCs/>
                <w:color w:val="auto"/>
                <w:sz w:val="21"/>
                <w:szCs w:val="21"/>
                <w:highlight w:val="none"/>
                <w:lang w:val="en-US" w:eastAsia="zh-CN"/>
              </w:rPr>
            </w:pPr>
          </w:p>
        </w:tc>
      </w:tr>
      <w:tr w14:paraId="1311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noWrap w:val="0"/>
            <w:vAlign w:val="center"/>
          </w:tcPr>
          <w:p w14:paraId="78B09942">
            <w:pPr>
              <w:widowControl/>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410" w:type="dxa"/>
            <w:noWrap w:val="0"/>
            <w:vAlign w:val="center"/>
          </w:tcPr>
          <w:p w14:paraId="0DB4F189">
            <w:pPr>
              <w:spacing w:line="288"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企业业绩</w:t>
            </w:r>
          </w:p>
          <w:p w14:paraId="253FA182">
            <w:pPr>
              <w:spacing w:line="288"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（4分）</w:t>
            </w:r>
          </w:p>
        </w:tc>
        <w:tc>
          <w:tcPr>
            <w:tcW w:w="5721" w:type="dxa"/>
            <w:noWrap w:val="0"/>
            <w:vAlign w:val="center"/>
          </w:tcPr>
          <w:p w14:paraId="3B12C6A0">
            <w:pPr>
              <w:pStyle w:val="18"/>
              <w:spacing w:line="360" w:lineRule="auto"/>
              <w:rPr>
                <w:rFonts w:hint="eastAsia" w:ascii="宋体" w:hAnsi="Courier New" w:eastAsia="宋体" w:cs="Courier New"/>
                <w:color w:val="auto"/>
                <w:highlight w:val="none"/>
                <w:lang w:val="en-US" w:eastAsia="zh-CN"/>
              </w:rPr>
            </w:pPr>
            <w:r>
              <w:rPr>
                <w:rFonts w:hint="eastAsia" w:ascii="宋体" w:hAnsi="Courier New" w:eastAsia="宋体" w:cs="Courier New"/>
                <w:color w:val="auto"/>
                <w:highlight w:val="none"/>
                <w:lang w:val="en-US" w:eastAsia="zh-CN"/>
              </w:rPr>
              <w:t>近三年（202</w:t>
            </w:r>
            <w:r>
              <w:rPr>
                <w:rFonts w:hint="eastAsia" w:cs="Courier New"/>
                <w:color w:val="auto"/>
                <w:highlight w:val="none"/>
                <w:lang w:val="en-US" w:eastAsia="zh-CN"/>
              </w:rPr>
              <w:t>2</w:t>
            </w:r>
            <w:r>
              <w:rPr>
                <w:rFonts w:hint="eastAsia" w:ascii="宋体" w:hAnsi="Courier New" w:eastAsia="宋体" w:cs="Courier New"/>
                <w:color w:val="auto"/>
                <w:highlight w:val="none"/>
                <w:lang w:val="en-US" w:eastAsia="zh-CN"/>
              </w:rPr>
              <w:t>年1月1日以来</w:t>
            </w:r>
            <w:r>
              <w:rPr>
                <w:rFonts w:hint="eastAsia" w:cs="Courier New"/>
                <w:color w:val="auto"/>
                <w:highlight w:val="none"/>
                <w:lang w:val="en-US" w:eastAsia="zh-CN"/>
              </w:rPr>
              <w:t>，以合同签订时间为准</w:t>
            </w:r>
            <w:r>
              <w:rPr>
                <w:rFonts w:hint="eastAsia" w:ascii="宋体" w:hAnsi="Courier New" w:eastAsia="宋体" w:cs="Courier New"/>
                <w:color w:val="auto"/>
                <w:highlight w:val="none"/>
                <w:lang w:val="en-US" w:eastAsia="zh-CN"/>
              </w:rPr>
              <w:t>）承担过政府部门、事业单位及国有企业招标代理业绩的，每1个加1分，最多加4分。</w:t>
            </w:r>
          </w:p>
        </w:tc>
        <w:tc>
          <w:tcPr>
            <w:tcW w:w="849" w:type="dxa"/>
            <w:noWrap w:val="0"/>
            <w:vAlign w:val="center"/>
          </w:tcPr>
          <w:p w14:paraId="1E2F57C1">
            <w:pPr>
              <w:spacing w:line="312"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4.0</w:t>
            </w:r>
          </w:p>
        </w:tc>
        <w:tc>
          <w:tcPr>
            <w:tcW w:w="904" w:type="dxa"/>
            <w:noWrap w:val="0"/>
            <w:vAlign w:val="center"/>
          </w:tcPr>
          <w:p w14:paraId="6D9A8B82">
            <w:pPr>
              <w:pStyle w:val="18"/>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r w14:paraId="2E4A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Merge w:val="restart"/>
            <w:noWrap w:val="0"/>
            <w:vAlign w:val="center"/>
          </w:tcPr>
          <w:p w14:paraId="60189AB8">
            <w:pPr>
              <w:widowControl/>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410" w:type="dxa"/>
            <w:vMerge w:val="restart"/>
            <w:noWrap w:val="0"/>
            <w:vAlign w:val="center"/>
          </w:tcPr>
          <w:p w14:paraId="710DE38E">
            <w:pPr>
              <w:pStyle w:val="18"/>
              <w:spacing w:line="360" w:lineRule="auto"/>
              <w:jc w:val="center"/>
              <w:rPr>
                <w:rFonts w:hint="default"/>
                <w:color w:val="auto"/>
                <w:highlight w:val="none"/>
                <w:lang w:val="en-US" w:eastAsia="zh-CN"/>
              </w:rPr>
            </w:pPr>
            <w:r>
              <w:rPr>
                <w:rFonts w:hint="eastAsia" w:ascii="宋体" w:hAnsi="宋体" w:eastAsia="宋体" w:cs="宋体"/>
                <w:color w:val="auto"/>
                <w:highlight w:val="none"/>
                <w:lang w:val="en-US" w:eastAsia="zh-CN"/>
              </w:rPr>
              <w:t>技术和服务方案（8分）</w:t>
            </w:r>
          </w:p>
        </w:tc>
        <w:tc>
          <w:tcPr>
            <w:tcW w:w="5721" w:type="dxa"/>
            <w:noWrap w:val="0"/>
            <w:vAlign w:val="center"/>
          </w:tcPr>
          <w:p w14:paraId="5A06439A">
            <w:pPr>
              <w:pStyle w:val="18"/>
              <w:spacing w:line="360" w:lineRule="auto"/>
              <w:rPr>
                <w:rFonts w:hint="eastAsia" w:ascii="宋体" w:hAnsi="Courier New" w:eastAsia="宋体" w:cs="Courier New"/>
                <w:color w:val="auto"/>
                <w:highlight w:val="none"/>
                <w:lang w:val="en-US" w:eastAsia="zh-CN"/>
              </w:rPr>
            </w:pPr>
            <w:r>
              <w:rPr>
                <w:rFonts w:hint="eastAsia" w:ascii="宋体" w:hAnsi="Courier New" w:eastAsia="宋体" w:cs="Courier New"/>
                <w:color w:val="auto"/>
                <w:highlight w:val="none"/>
                <w:lang w:val="en-US" w:eastAsia="zh-CN"/>
              </w:rPr>
              <w:t>根据投标文件中对招标代理服务大纲的全面性、完整性、可行性进行打分。</w:t>
            </w:r>
          </w:p>
        </w:tc>
        <w:tc>
          <w:tcPr>
            <w:tcW w:w="849" w:type="dxa"/>
            <w:noWrap w:val="0"/>
            <w:vAlign w:val="center"/>
          </w:tcPr>
          <w:p w14:paraId="5515B26C">
            <w:pPr>
              <w:pStyle w:val="18"/>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c>
          <w:tcPr>
            <w:tcW w:w="904" w:type="dxa"/>
            <w:noWrap w:val="0"/>
            <w:vAlign w:val="center"/>
          </w:tcPr>
          <w:p w14:paraId="2F389EFF">
            <w:pPr>
              <w:pStyle w:val="18"/>
              <w:spacing w:line="360" w:lineRule="auto"/>
              <w:rPr>
                <w:rFonts w:hint="eastAsia" w:ascii="宋体" w:hAnsi="宋体" w:eastAsia="宋体" w:cs="宋体"/>
                <w:color w:val="auto"/>
                <w:sz w:val="21"/>
                <w:szCs w:val="21"/>
                <w:highlight w:val="none"/>
                <w:lang w:val="en-US" w:eastAsia="zh-CN"/>
              </w:rPr>
            </w:pPr>
            <w:r>
              <w:rPr>
                <w:rFonts w:hint="eastAsia" w:ascii="宋体" w:hAnsi="Courier New" w:eastAsia="宋体" w:cs="Courier New"/>
                <w:color w:val="auto"/>
                <w:highlight w:val="none"/>
                <w:lang w:val="en-US" w:eastAsia="zh-CN"/>
              </w:rPr>
              <w:t>主观分</w:t>
            </w:r>
          </w:p>
        </w:tc>
      </w:tr>
      <w:tr w14:paraId="5D56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Merge w:val="continue"/>
            <w:noWrap w:val="0"/>
            <w:vAlign w:val="center"/>
          </w:tcPr>
          <w:p w14:paraId="7A163574">
            <w:pPr>
              <w:widowControl/>
              <w:jc w:val="center"/>
              <w:rPr>
                <w:rFonts w:hint="eastAsia" w:ascii="宋体" w:hAnsi="宋体" w:eastAsia="宋体" w:cs="宋体"/>
                <w:color w:val="auto"/>
                <w:highlight w:val="none"/>
                <w:lang w:val="en-US" w:eastAsia="zh-CN"/>
              </w:rPr>
            </w:pPr>
          </w:p>
        </w:tc>
        <w:tc>
          <w:tcPr>
            <w:tcW w:w="1410" w:type="dxa"/>
            <w:vMerge w:val="continue"/>
            <w:noWrap w:val="0"/>
            <w:vAlign w:val="center"/>
          </w:tcPr>
          <w:p w14:paraId="0A75AB5E">
            <w:pPr>
              <w:pStyle w:val="18"/>
              <w:spacing w:line="360" w:lineRule="auto"/>
              <w:rPr>
                <w:rFonts w:hint="eastAsia" w:ascii="宋体" w:hAnsi="宋体" w:eastAsia="宋体" w:cs="宋体"/>
                <w:color w:val="auto"/>
                <w:highlight w:val="none"/>
                <w:lang w:val="en-US" w:eastAsia="zh-CN"/>
              </w:rPr>
            </w:pPr>
          </w:p>
        </w:tc>
        <w:tc>
          <w:tcPr>
            <w:tcW w:w="5721" w:type="dxa"/>
            <w:noWrap w:val="0"/>
            <w:vAlign w:val="center"/>
          </w:tcPr>
          <w:p w14:paraId="38FBC9A4">
            <w:pPr>
              <w:pStyle w:val="18"/>
              <w:spacing w:line="360" w:lineRule="auto"/>
              <w:rPr>
                <w:rFonts w:hint="eastAsia" w:ascii="宋体" w:hAnsi="Courier New" w:eastAsia="宋体" w:cs="Courier New"/>
                <w:color w:val="auto"/>
                <w:highlight w:val="none"/>
                <w:lang w:val="en-US" w:eastAsia="zh-CN"/>
              </w:rPr>
            </w:pPr>
            <w:r>
              <w:rPr>
                <w:rFonts w:hint="eastAsia" w:ascii="宋体" w:hAnsi="Courier New" w:eastAsia="宋体" w:cs="Courier New"/>
                <w:color w:val="auto"/>
                <w:highlight w:val="none"/>
                <w:lang w:val="en-US" w:eastAsia="zh-CN"/>
              </w:rPr>
              <w:t>根据投标文件中对避免投诉的招标工作预案和投诉处理办法等进行相应打分。</w:t>
            </w:r>
          </w:p>
        </w:tc>
        <w:tc>
          <w:tcPr>
            <w:tcW w:w="849" w:type="dxa"/>
            <w:noWrap w:val="0"/>
            <w:vAlign w:val="center"/>
          </w:tcPr>
          <w:p w14:paraId="49DA7012">
            <w:pPr>
              <w:pStyle w:val="18"/>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c>
          <w:tcPr>
            <w:tcW w:w="904" w:type="dxa"/>
            <w:noWrap w:val="0"/>
            <w:vAlign w:val="center"/>
          </w:tcPr>
          <w:p w14:paraId="75EF9E5E">
            <w:pPr>
              <w:pStyle w:val="18"/>
              <w:spacing w:line="360" w:lineRule="auto"/>
              <w:rPr>
                <w:rFonts w:hint="eastAsia" w:ascii="宋体" w:hAnsi="宋体" w:eastAsia="宋体" w:cs="宋体"/>
                <w:color w:val="auto"/>
                <w:sz w:val="21"/>
                <w:szCs w:val="21"/>
                <w:highlight w:val="none"/>
                <w:lang w:val="en-US" w:eastAsia="zh-CN"/>
              </w:rPr>
            </w:pPr>
            <w:r>
              <w:rPr>
                <w:rFonts w:hint="eastAsia" w:ascii="宋体" w:hAnsi="Courier New" w:eastAsia="宋体" w:cs="Courier New"/>
                <w:color w:val="auto"/>
                <w:highlight w:val="none"/>
                <w:lang w:val="en-US" w:eastAsia="zh-CN"/>
              </w:rPr>
              <w:t>主观分</w:t>
            </w:r>
          </w:p>
        </w:tc>
      </w:tr>
      <w:tr w14:paraId="6033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Merge w:val="continue"/>
            <w:noWrap w:val="0"/>
            <w:vAlign w:val="center"/>
          </w:tcPr>
          <w:p w14:paraId="6D4F704C">
            <w:pPr>
              <w:widowControl/>
              <w:jc w:val="center"/>
              <w:rPr>
                <w:rFonts w:hint="eastAsia" w:ascii="宋体" w:hAnsi="宋体" w:eastAsia="宋体" w:cs="宋体"/>
                <w:color w:val="auto"/>
                <w:highlight w:val="none"/>
                <w:lang w:val="en-US" w:eastAsia="zh-CN"/>
              </w:rPr>
            </w:pPr>
          </w:p>
        </w:tc>
        <w:tc>
          <w:tcPr>
            <w:tcW w:w="1410" w:type="dxa"/>
            <w:vMerge w:val="continue"/>
            <w:noWrap w:val="0"/>
            <w:vAlign w:val="center"/>
          </w:tcPr>
          <w:p w14:paraId="6A78FA43">
            <w:pPr>
              <w:pStyle w:val="18"/>
              <w:spacing w:line="360" w:lineRule="auto"/>
              <w:rPr>
                <w:rFonts w:hint="eastAsia" w:ascii="宋体" w:hAnsi="宋体" w:eastAsia="宋体" w:cs="宋体"/>
                <w:color w:val="auto"/>
                <w:highlight w:val="none"/>
                <w:lang w:val="en-US" w:eastAsia="zh-CN"/>
              </w:rPr>
            </w:pPr>
          </w:p>
        </w:tc>
        <w:tc>
          <w:tcPr>
            <w:tcW w:w="5721" w:type="dxa"/>
            <w:noWrap w:val="0"/>
            <w:vAlign w:val="center"/>
          </w:tcPr>
          <w:p w14:paraId="3BB66A3C">
            <w:pPr>
              <w:pStyle w:val="18"/>
              <w:spacing w:line="360" w:lineRule="auto"/>
              <w:rPr>
                <w:rFonts w:hint="eastAsia" w:ascii="宋体" w:hAnsi="Courier New" w:eastAsia="宋体" w:cs="Courier New"/>
                <w:color w:val="auto"/>
                <w:highlight w:val="none"/>
                <w:lang w:val="en-US" w:eastAsia="zh-CN"/>
              </w:rPr>
            </w:pPr>
            <w:r>
              <w:rPr>
                <w:rFonts w:hint="eastAsia" w:ascii="宋体" w:hAnsi="Courier New" w:eastAsia="宋体" w:cs="Courier New"/>
                <w:color w:val="auto"/>
                <w:highlight w:val="none"/>
                <w:lang w:val="en-US" w:eastAsia="zh-CN"/>
              </w:rPr>
              <w:t>根据投标人阐述的管理工作机制、沟通方案、服务响应能力，服务响应时间等内容打分。</w:t>
            </w:r>
          </w:p>
        </w:tc>
        <w:tc>
          <w:tcPr>
            <w:tcW w:w="849" w:type="dxa"/>
            <w:noWrap w:val="0"/>
            <w:vAlign w:val="center"/>
          </w:tcPr>
          <w:p w14:paraId="61949D03">
            <w:pPr>
              <w:pStyle w:val="18"/>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c>
          <w:tcPr>
            <w:tcW w:w="904" w:type="dxa"/>
            <w:noWrap w:val="0"/>
            <w:vAlign w:val="center"/>
          </w:tcPr>
          <w:p w14:paraId="71382DED">
            <w:pPr>
              <w:pStyle w:val="18"/>
              <w:spacing w:line="360" w:lineRule="auto"/>
              <w:rPr>
                <w:rFonts w:hint="eastAsia" w:ascii="宋体" w:hAnsi="宋体" w:eastAsia="宋体" w:cs="宋体"/>
                <w:color w:val="auto"/>
                <w:sz w:val="21"/>
                <w:szCs w:val="21"/>
                <w:highlight w:val="none"/>
                <w:lang w:val="en-US" w:eastAsia="zh-CN"/>
              </w:rPr>
            </w:pPr>
            <w:r>
              <w:rPr>
                <w:rFonts w:hint="eastAsia" w:ascii="宋体" w:hAnsi="Courier New" w:eastAsia="宋体" w:cs="Courier New"/>
                <w:color w:val="auto"/>
                <w:highlight w:val="none"/>
                <w:lang w:val="en-US" w:eastAsia="zh-CN"/>
              </w:rPr>
              <w:t>主观分</w:t>
            </w:r>
          </w:p>
        </w:tc>
      </w:tr>
      <w:tr w14:paraId="0673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Merge w:val="continue"/>
            <w:noWrap w:val="0"/>
            <w:vAlign w:val="center"/>
          </w:tcPr>
          <w:p w14:paraId="579F7C44">
            <w:pPr>
              <w:widowControl/>
              <w:jc w:val="center"/>
              <w:rPr>
                <w:rFonts w:hint="eastAsia" w:ascii="宋体" w:hAnsi="宋体" w:eastAsia="宋体" w:cs="宋体"/>
                <w:color w:val="auto"/>
                <w:highlight w:val="none"/>
                <w:lang w:val="en-US" w:eastAsia="zh-CN"/>
              </w:rPr>
            </w:pPr>
          </w:p>
        </w:tc>
        <w:tc>
          <w:tcPr>
            <w:tcW w:w="1410" w:type="dxa"/>
            <w:vMerge w:val="continue"/>
            <w:noWrap w:val="0"/>
            <w:vAlign w:val="center"/>
          </w:tcPr>
          <w:p w14:paraId="0F63C4B2">
            <w:pPr>
              <w:pStyle w:val="18"/>
              <w:spacing w:line="360" w:lineRule="auto"/>
              <w:rPr>
                <w:rFonts w:hint="eastAsia" w:ascii="宋体" w:hAnsi="宋体" w:eastAsia="宋体" w:cs="宋体"/>
                <w:color w:val="auto"/>
                <w:highlight w:val="none"/>
                <w:lang w:val="en-US" w:eastAsia="zh-CN"/>
              </w:rPr>
            </w:pPr>
          </w:p>
        </w:tc>
        <w:tc>
          <w:tcPr>
            <w:tcW w:w="5721" w:type="dxa"/>
            <w:noWrap w:val="0"/>
            <w:vAlign w:val="center"/>
          </w:tcPr>
          <w:p w14:paraId="24B7EDAC">
            <w:pPr>
              <w:pStyle w:val="18"/>
              <w:spacing w:line="360" w:lineRule="auto"/>
              <w:rPr>
                <w:rFonts w:hint="eastAsia" w:ascii="宋体" w:hAnsi="Courier New" w:eastAsia="宋体" w:cs="Courier New"/>
                <w:color w:val="auto"/>
                <w:highlight w:val="none"/>
                <w:lang w:val="en-US" w:eastAsia="zh-CN"/>
              </w:rPr>
            </w:pPr>
            <w:r>
              <w:rPr>
                <w:rFonts w:hint="eastAsia" w:ascii="宋体" w:hAnsi="Courier New" w:eastAsia="宋体" w:cs="Courier New"/>
                <w:color w:val="auto"/>
                <w:highlight w:val="none"/>
                <w:lang w:val="en-US" w:eastAsia="zh-CN"/>
              </w:rPr>
              <w:t>根据投标人阐述的政府及国有平台投资项目</w:t>
            </w:r>
            <w:r>
              <w:rPr>
                <w:rFonts w:hint="default" w:ascii="宋体" w:hAnsi="Courier New" w:eastAsia="宋体" w:cs="Courier New"/>
                <w:color w:val="auto"/>
                <w:highlight w:val="none"/>
                <w:lang w:val="en-US" w:eastAsia="zh-CN"/>
              </w:rPr>
              <w:t>工程造价咨询服务的</w:t>
            </w:r>
            <w:r>
              <w:rPr>
                <w:rFonts w:hint="eastAsia" w:ascii="宋体" w:hAnsi="Courier New" w:eastAsia="宋体" w:cs="Courier New"/>
                <w:color w:val="auto"/>
                <w:highlight w:val="none"/>
                <w:lang w:val="en-US" w:eastAsia="zh-CN"/>
              </w:rPr>
              <w:t>特点，以及对项目的</w:t>
            </w:r>
            <w:r>
              <w:rPr>
                <w:rFonts w:hint="default" w:ascii="宋体" w:hAnsi="Courier New" w:eastAsia="宋体" w:cs="Courier New"/>
                <w:color w:val="auto"/>
                <w:highlight w:val="none"/>
                <w:lang w:val="en-US" w:eastAsia="zh-CN"/>
              </w:rPr>
              <w:t>定位、目标及标准</w:t>
            </w:r>
            <w:r>
              <w:rPr>
                <w:rFonts w:hint="eastAsia" w:ascii="宋体" w:hAnsi="Courier New" w:eastAsia="宋体" w:cs="Courier New"/>
                <w:color w:val="auto"/>
                <w:highlight w:val="none"/>
                <w:lang w:val="en-US" w:eastAsia="zh-CN"/>
              </w:rPr>
              <w:t>等内容进行打分</w:t>
            </w:r>
            <w:r>
              <w:rPr>
                <w:rFonts w:hint="eastAsia" w:cs="Courier New"/>
                <w:color w:val="auto"/>
                <w:highlight w:val="none"/>
                <w:lang w:val="en-US" w:eastAsia="zh-CN"/>
              </w:rPr>
              <w:t>。</w:t>
            </w:r>
          </w:p>
        </w:tc>
        <w:tc>
          <w:tcPr>
            <w:tcW w:w="849" w:type="dxa"/>
            <w:noWrap w:val="0"/>
            <w:vAlign w:val="center"/>
          </w:tcPr>
          <w:p w14:paraId="68B77B5E">
            <w:pPr>
              <w:pStyle w:val="18"/>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0-2.0</w:t>
            </w:r>
          </w:p>
        </w:tc>
        <w:tc>
          <w:tcPr>
            <w:tcW w:w="904" w:type="dxa"/>
            <w:noWrap w:val="0"/>
            <w:vAlign w:val="center"/>
          </w:tcPr>
          <w:p w14:paraId="483B8FDF">
            <w:pPr>
              <w:pStyle w:val="18"/>
              <w:spacing w:line="360" w:lineRule="auto"/>
              <w:rPr>
                <w:rFonts w:hint="eastAsia" w:ascii="宋体" w:hAnsi="宋体" w:eastAsia="宋体" w:cs="宋体"/>
                <w:color w:val="auto"/>
                <w:sz w:val="21"/>
                <w:szCs w:val="21"/>
                <w:highlight w:val="none"/>
                <w:lang w:val="en-US" w:eastAsia="zh-CN"/>
              </w:rPr>
            </w:pPr>
            <w:r>
              <w:rPr>
                <w:rFonts w:hint="eastAsia" w:ascii="宋体" w:hAnsi="Courier New" w:eastAsia="宋体" w:cs="Courier New"/>
                <w:color w:val="auto"/>
                <w:highlight w:val="none"/>
                <w:lang w:val="en-US" w:eastAsia="zh-CN"/>
              </w:rPr>
              <w:t>主观分</w:t>
            </w:r>
          </w:p>
        </w:tc>
      </w:tr>
      <w:tr w14:paraId="3FC8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45" w:type="dxa"/>
            <w:noWrap w:val="0"/>
            <w:vAlign w:val="center"/>
          </w:tcPr>
          <w:p w14:paraId="122FDAE5">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highlight w:val="none"/>
                <w:lang w:val="en-US" w:eastAsia="zh-CN"/>
              </w:rPr>
              <w:t>二</w:t>
            </w:r>
          </w:p>
        </w:tc>
        <w:tc>
          <w:tcPr>
            <w:tcW w:w="1410" w:type="dxa"/>
            <w:noWrap w:val="0"/>
            <w:vAlign w:val="center"/>
          </w:tcPr>
          <w:p w14:paraId="141A6D0F">
            <w:pPr>
              <w:jc w:val="center"/>
              <w:rPr>
                <w:rFonts w:hint="eastAsia" w:ascii="宋体" w:hAnsi="宋体" w:eastAsia="宋体" w:cs="宋体"/>
                <w:bCs/>
                <w:color w:val="auto"/>
                <w:sz w:val="21"/>
                <w:szCs w:val="21"/>
                <w:highlight w:val="none"/>
                <w:lang w:val="en-US" w:eastAsia="zh-CN"/>
              </w:rPr>
            </w:pPr>
            <w:r>
              <w:rPr>
                <w:rFonts w:hint="eastAsia" w:ascii="新宋体" w:hAnsi="新宋体" w:eastAsia="新宋体" w:cs="Times New Roman"/>
                <w:color w:val="auto"/>
                <w:szCs w:val="21"/>
                <w:highlight w:val="none"/>
              </w:rPr>
              <w:t>商务报价分</w:t>
            </w:r>
          </w:p>
        </w:tc>
        <w:tc>
          <w:tcPr>
            <w:tcW w:w="5721" w:type="dxa"/>
            <w:noWrap w:val="0"/>
            <w:vAlign w:val="center"/>
          </w:tcPr>
          <w:p w14:paraId="58A9B0B4">
            <w:pPr>
              <w:pStyle w:val="18"/>
              <w:spacing w:line="360" w:lineRule="auto"/>
              <w:rPr>
                <w:rFonts w:hint="eastAsia" w:ascii="宋体" w:hAnsi="Courier New" w:eastAsia="宋体" w:cs="Courier New"/>
                <w:b/>
                <w:bCs/>
                <w:color w:val="auto"/>
                <w:highlight w:val="none"/>
                <w:lang w:val="en-US" w:eastAsia="zh-CN"/>
              </w:rPr>
            </w:pPr>
            <w:r>
              <w:rPr>
                <w:rFonts w:hint="eastAsia" w:ascii="宋体" w:hAnsi="Courier New" w:eastAsia="宋体" w:cs="Courier New"/>
                <w:b/>
                <w:bCs/>
                <w:color w:val="auto"/>
                <w:highlight w:val="none"/>
                <w:lang w:val="en-US" w:eastAsia="zh-CN"/>
              </w:rPr>
              <w:t>评标价=1-投标人所报的服务费让利率</w:t>
            </w:r>
          </w:p>
          <w:p w14:paraId="00FA2510">
            <w:pPr>
              <w:pStyle w:val="18"/>
              <w:spacing w:line="360" w:lineRule="auto"/>
              <w:rPr>
                <w:rFonts w:hint="eastAsia" w:ascii="宋体" w:hAnsi="Courier New" w:eastAsia="宋体" w:cs="Courier New"/>
                <w:color w:val="auto"/>
                <w:highlight w:val="none"/>
                <w:lang w:val="en-US" w:eastAsia="zh-CN"/>
              </w:rPr>
            </w:pPr>
            <w:r>
              <w:rPr>
                <w:rFonts w:hint="eastAsia" w:ascii="宋体" w:hAnsi="Courier New" w:eastAsia="宋体" w:cs="Courier New"/>
                <w:color w:val="auto"/>
                <w:highlight w:val="none"/>
                <w:lang w:val="en-US" w:eastAsia="zh-CN"/>
              </w:rPr>
              <w:t>1.以满足招标文件要求且评标价最低的为评标基准价，其报价得分为满分。</w:t>
            </w:r>
          </w:p>
          <w:p w14:paraId="5BC08C29">
            <w:pPr>
              <w:pStyle w:val="18"/>
              <w:spacing w:line="360" w:lineRule="auto"/>
              <w:rPr>
                <w:rFonts w:hint="eastAsia" w:ascii="宋体" w:hAnsi="Courier New" w:eastAsia="宋体" w:cs="Courier New"/>
                <w:color w:val="auto"/>
                <w:highlight w:val="none"/>
                <w:lang w:val="en-US" w:eastAsia="zh-CN"/>
              </w:rPr>
            </w:pPr>
            <w:r>
              <w:rPr>
                <w:rFonts w:hint="eastAsia" w:ascii="宋体" w:hAnsi="Courier New" w:eastAsia="宋体" w:cs="Courier New"/>
                <w:color w:val="auto"/>
                <w:highlight w:val="none"/>
                <w:lang w:val="en-US" w:eastAsia="zh-CN"/>
              </w:rPr>
              <w:t>2.其他投标人的报价分统一按照下列公式计算：</w:t>
            </w:r>
          </w:p>
          <w:p w14:paraId="009C143A">
            <w:pPr>
              <w:pStyle w:val="18"/>
              <w:spacing w:line="360" w:lineRule="auto"/>
              <w:rPr>
                <w:rFonts w:hint="eastAsia" w:ascii="宋体" w:hAnsi="Courier New" w:eastAsia="宋体" w:cs="Courier New"/>
                <w:color w:val="auto"/>
                <w:highlight w:val="none"/>
                <w:lang w:val="en-US" w:eastAsia="zh-CN"/>
              </w:rPr>
            </w:pPr>
            <w:r>
              <w:rPr>
                <w:rFonts w:hint="eastAsia" w:ascii="宋体" w:hAnsi="Courier New" w:eastAsia="宋体" w:cs="Courier New"/>
                <w:b w:val="0"/>
                <w:bCs w:val="0"/>
                <w:color w:val="auto"/>
                <w:highlight w:val="none"/>
                <w:lang w:val="en-US" w:eastAsia="zh-CN"/>
              </w:rPr>
              <w:t>报价分＝</w:t>
            </w:r>
            <w:r>
              <w:rPr>
                <w:rFonts w:hint="eastAsia" w:ascii="宋体" w:hAnsi="Courier New" w:eastAsia="宋体" w:cs="Courier New"/>
                <w:color w:val="auto"/>
                <w:highlight w:val="none"/>
                <w:lang w:val="en-US" w:eastAsia="zh-CN"/>
              </w:rPr>
              <w:t>（评标基准价／评标价）×80，计算结果保留2位小数（第三位小数四舍五入）</w:t>
            </w:r>
          </w:p>
        </w:tc>
        <w:tc>
          <w:tcPr>
            <w:tcW w:w="849" w:type="dxa"/>
            <w:noWrap w:val="0"/>
            <w:vAlign w:val="center"/>
          </w:tcPr>
          <w:p w14:paraId="00FD00EB">
            <w:pPr>
              <w:pStyle w:val="18"/>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80</w:t>
            </w:r>
          </w:p>
        </w:tc>
        <w:tc>
          <w:tcPr>
            <w:tcW w:w="904" w:type="dxa"/>
            <w:noWrap w:val="0"/>
            <w:vAlign w:val="center"/>
          </w:tcPr>
          <w:p w14:paraId="5D19DF15">
            <w:pPr>
              <w:pStyle w:val="18"/>
              <w:jc w:val="center"/>
              <w:rPr>
                <w:rFonts w:hint="eastAsia" w:ascii="宋体" w:hAnsi="宋体" w:eastAsia="宋体" w:cs="宋体"/>
                <w:color w:val="auto"/>
                <w:highlight w:val="none"/>
                <w:lang w:val="en-US" w:eastAsia="zh-CN"/>
              </w:rPr>
            </w:pPr>
          </w:p>
        </w:tc>
      </w:tr>
      <w:tr w14:paraId="51DF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45" w:type="dxa"/>
            <w:noWrap w:val="0"/>
            <w:vAlign w:val="center"/>
          </w:tcPr>
          <w:p w14:paraId="7ADFD439">
            <w:pPr>
              <w:jc w:val="center"/>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三</w:t>
            </w:r>
          </w:p>
        </w:tc>
        <w:tc>
          <w:tcPr>
            <w:tcW w:w="1410" w:type="dxa"/>
            <w:noWrap w:val="0"/>
            <w:vAlign w:val="center"/>
          </w:tcPr>
          <w:p w14:paraId="7547DE8B">
            <w:pPr>
              <w:jc w:val="center"/>
              <w:rPr>
                <w:rFonts w:hint="eastAsia" w:ascii="宋体" w:hAnsi="宋体" w:eastAsia="宋体" w:cs="Times New Roman"/>
                <w:color w:val="auto"/>
                <w:kern w:val="2"/>
                <w:sz w:val="21"/>
                <w:szCs w:val="21"/>
                <w:highlight w:val="none"/>
                <w:lang w:val="en-US" w:eastAsia="zh-CN" w:bidi="ar-SA"/>
              </w:rPr>
            </w:pPr>
            <w:r>
              <w:rPr>
                <w:rFonts w:hint="eastAsia" w:ascii="新宋体" w:hAnsi="新宋体" w:eastAsia="新宋体" w:cs="Times New Roman"/>
                <w:color w:val="auto"/>
                <w:szCs w:val="21"/>
                <w:highlight w:val="none"/>
              </w:rPr>
              <w:t>综合得分</w:t>
            </w:r>
          </w:p>
        </w:tc>
        <w:tc>
          <w:tcPr>
            <w:tcW w:w="5721" w:type="dxa"/>
            <w:noWrap w:val="0"/>
            <w:vAlign w:val="center"/>
          </w:tcPr>
          <w:p w14:paraId="6301E19D">
            <w:pPr>
              <w:rPr>
                <w:rFonts w:hint="eastAsia" w:ascii="Times New Roman" w:hAnsi="Times New Roman" w:eastAsia="宋体" w:cs="仿宋"/>
                <w:color w:val="auto"/>
                <w:kern w:val="2"/>
                <w:sz w:val="21"/>
                <w:szCs w:val="21"/>
                <w:highlight w:val="none"/>
                <w:lang w:val="en-US" w:eastAsia="zh-CN" w:bidi="ar-SA"/>
              </w:rPr>
            </w:pPr>
            <w:r>
              <w:rPr>
                <w:rFonts w:hint="eastAsia" w:ascii="新宋体" w:hAnsi="新宋体" w:eastAsia="新宋体" w:cs="Times New Roman"/>
                <w:color w:val="auto"/>
                <w:szCs w:val="21"/>
                <w:highlight w:val="none"/>
              </w:rPr>
              <w:t>投标人综合得分=</w:t>
            </w:r>
            <w:r>
              <w:rPr>
                <w:rFonts w:hint="eastAsia" w:ascii="新宋体" w:hAnsi="新宋体" w:eastAsia="新宋体" w:cs="Times New Roman"/>
                <w:color w:val="auto"/>
                <w:szCs w:val="21"/>
                <w:highlight w:val="none"/>
                <w:lang w:val="en-US" w:eastAsia="zh-CN"/>
              </w:rPr>
              <w:t>商务</w:t>
            </w:r>
            <w:r>
              <w:rPr>
                <w:rFonts w:hint="eastAsia" w:ascii="新宋体" w:hAnsi="新宋体" w:eastAsia="新宋体" w:cs="Times New Roman"/>
                <w:color w:val="auto"/>
                <w:szCs w:val="21"/>
                <w:highlight w:val="none"/>
              </w:rPr>
              <w:t>技术分+报价分</w:t>
            </w:r>
          </w:p>
        </w:tc>
        <w:tc>
          <w:tcPr>
            <w:tcW w:w="849" w:type="dxa"/>
            <w:noWrap w:val="0"/>
            <w:vAlign w:val="center"/>
          </w:tcPr>
          <w:p w14:paraId="4BE686FE">
            <w:pPr>
              <w:pStyle w:val="18"/>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p>
        </w:tc>
        <w:tc>
          <w:tcPr>
            <w:tcW w:w="904" w:type="dxa"/>
            <w:noWrap w:val="0"/>
            <w:vAlign w:val="center"/>
          </w:tcPr>
          <w:p w14:paraId="0FCD5CE2">
            <w:pPr>
              <w:pStyle w:val="18"/>
              <w:jc w:val="center"/>
              <w:rPr>
                <w:rFonts w:hint="eastAsia" w:ascii="宋体" w:hAnsi="宋体" w:eastAsia="宋体" w:cs="宋体"/>
                <w:color w:val="auto"/>
                <w:highlight w:val="none"/>
                <w:lang w:val="en-US" w:eastAsia="zh-CN"/>
              </w:rPr>
            </w:pPr>
          </w:p>
        </w:tc>
      </w:tr>
    </w:tbl>
    <w:p w14:paraId="3D720CE9">
      <w:pPr>
        <w:rPr>
          <w:rFonts w:hint="eastAsia" w:ascii="宋体" w:hAnsi="宋体" w:eastAsia="宋体" w:cs="宋体"/>
          <w:color w:val="auto"/>
          <w:sz w:val="21"/>
          <w:szCs w:val="21"/>
          <w:highlight w:val="none"/>
        </w:rPr>
      </w:pPr>
    </w:p>
    <w:p w14:paraId="53E0E45C">
      <w:pPr>
        <w:spacing w:line="42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以上评分内容仅限对未打“★”条款进行评分</w:t>
      </w:r>
      <w:r>
        <w:rPr>
          <w:rFonts w:hint="eastAsia" w:ascii="宋体" w:hAnsi="宋体" w:eastAsia="宋体" w:cs="宋体"/>
          <w:b/>
          <w:bCs/>
          <w:color w:val="auto"/>
          <w:sz w:val="21"/>
          <w:szCs w:val="21"/>
          <w:highlight w:val="none"/>
        </w:rPr>
        <w:t>。</w:t>
      </w:r>
    </w:p>
    <w:p w14:paraId="64EA2300">
      <w:pPr>
        <w:spacing w:line="42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09284A5F">
      <w:pPr>
        <w:spacing w:line="300" w:lineRule="auto"/>
        <w:jc w:val="center"/>
        <w:outlineLvl w:val="0"/>
        <w:rPr>
          <w:rFonts w:hint="default" w:ascii="Times New Roman" w:hAnsi="宋体" w:eastAsia="宋体" w:cs="Times New Roman"/>
          <w:b/>
          <w:bCs/>
          <w:color w:val="auto"/>
          <w:kern w:val="44"/>
          <w:sz w:val="36"/>
          <w:szCs w:val="44"/>
          <w:highlight w:val="none"/>
        </w:rPr>
      </w:pPr>
      <w:bookmarkStart w:id="79" w:name="_Toc25490"/>
      <w:r>
        <w:rPr>
          <w:rFonts w:hint="default" w:ascii="Times New Roman" w:hAnsi="宋体" w:eastAsia="宋体" w:cs="Times New Roman"/>
          <w:b/>
          <w:bCs/>
          <w:color w:val="auto"/>
          <w:kern w:val="44"/>
          <w:sz w:val="36"/>
          <w:szCs w:val="44"/>
          <w:highlight w:val="none"/>
        </w:rPr>
        <w:t>第七章  定标办法</w:t>
      </w:r>
      <w:bookmarkEnd w:id="79"/>
    </w:p>
    <w:p w14:paraId="1261B8F6">
      <w:pPr>
        <w:pStyle w:val="3"/>
        <w:spacing w:before="120" w:after="120" w:line="460" w:lineRule="exact"/>
        <w:rPr>
          <w:rFonts w:hint="eastAsia" w:ascii="宋体" w:hAnsi="宋体" w:eastAsia="宋体" w:cs="宋体"/>
          <w:b/>
          <w:bCs/>
          <w:color w:val="auto"/>
          <w:sz w:val="21"/>
          <w:szCs w:val="21"/>
          <w:highlight w:val="none"/>
        </w:rPr>
      </w:pPr>
      <w:bookmarkStart w:id="80" w:name="_Toc31764"/>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定标原则</w:t>
      </w:r>
      <w:bookmarkEnd w:id="80"/>
    </w:p>
    <w:p w14:paraId="0F84604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定标应遵循价格竞争和择优的原则。</w:t>
      </w:r>
    </w:p>
    <w:p w14:paraId="38A2AEC6">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定标委员会成员投票时，应按照招标文件规定的投票规则独立行使投票权；不得弃权或产生废票，应采用记名方式并注明投票理由。</w:t>
      </w:r>
    </w:p>
    <w:p w14:paraId="3FA6144A">
      <w:pPr>
        <w:pStyle w:val="3"/>
        <w:spacing w:before="120" w:after="120" w:line="460" w:lineRule="exact"/>
        <w:rPr>
          <w:rFonts w:hint="eastAsia" w:ascii="宋体" w:hAnsi="宋体" w:eastAsia="宋体" w:cs="宋体"/>
          <w:b/>
          <w:bCs/>
          <w:color w:val="auto"/>
          <w:sz w:val="21"/>
          <w:szCs w:val="21"/>
          <w:highlight w:val="none"/>
        </w:rPr>
      </w:pPr>
      <w:bookmarkStart w:id="81" w:name="_Toc11372"/>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定标组织</w:t>
      </w:r>
      <w:bookmarkEnd w:id="81"/>
    </w:p>
    <w:p w14:paraId="1EF56BF6">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标工作由采购人组建的定标委员会负责，定标委员会的组建见投标人须知前附表，组长由采购人的法定代表人或主要负责人或项目分管领导担任，定标委员会组长负责组织定标、掌握定标进程、主持质询、编写定标报告等工作，定标委员会组长与其他成员具有同等的权利。定标委员会成员对所提出的意见承担个人责任。</w:t>
      </w:r>
    </w:p>
    <w:p w14:paraId="3E6FD0C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定标委员会应当按照招标文件确定的定标标准和方法，客观、公正定标，招标文件没有规定的定标标准和方法不得作为定标的依据。</w:t>
      </w:r>
    </w:p>
    <w:p w14:paraId="43C9D58F">
      <w:pPr>
        <w:pStyle w:val="3"/>
        <w:spacing w:before="120" w:after="120" w:line="460" w:lineRule="exact"/>
        <w:rPr>
          <w:rFonts w:hint="eastAsia" w:ascii="宋体" w:hAnsi="宋体" w:eastAsia="宋体" w:cs="宋体"/>
          <w:b/>
          <w:bCs/>
          <w:color w:val="auto"/>
          <w:sz w:val="21"/>
          <w:szCs w:val="21"/>
          <w:highlight w:val="none"/>
        </w:rPr>
      </w:pPr>
      <w:bookmarkStart w:id="82" w:name="_Toc16377"/>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定标程序</w:t>
      </w:r>
      <w:bookmarkEnd w:id="82"/>
    </w:p>
    <w:p w14:paraId="5BC52E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3.1公示结束后，无质疑投诉的，将中标候选人推荐给采购人定标。中标候选人公示期间，有中标候选人因质疑投诉并查实被取消中标候选人资格时或查实存在第四章第1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.3条情形被取消中标候选人资格时，不再递补，将有效中标候选人推荐给采购人定标。</w:t>
      </w:r>
    </w:p>
    <w:p w14:paraId="6CDD924F">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3.2定标委员会按投标人须知前附表规定的方法，确定中标人。投标人须知前附表规定采购人组织考察、质询的，定标委员会可结合考察报告作为定标辅助。考察报告中不得有明示或暗示中标单位的内容。</w:t>
      </w:r>
    </w:p>
    <w:p w14:paraId="59BC80B3">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3.3当确定的中标人放弃中标，因不可抗力提出不能履行合同或发现中标人在投标时存在虚假应标或提供不出招标文件要求必须提供的资料，重新组织招标。</w:t>
      </w:r>
    </w:p>
    <w:p w14:paraId="60FFE566">
      <w:pPr>
        <w:pStyle w:val="3"/>
        <w:spacing w:before="120" w:after="120" w:line="460" w:lineRule="exact"/>
        <w:rPr>
          <w:rFonts w:hint="eastAsia" w:ascii="宋体" w:hAnsi="宋体" w:eastAsia="宋体" w:cs="宋体"/>
          <w:b/>
          <w:bCs/>
          <w:color w:val="auto"/>
          <w:sz w:val="21"/>
          <w:szCs w:val="21"/>
          <w:highlight w:val="none"/>
        </w:rPr>
      </w:pPr>
      <w:bookmarkStart w:id="83" w:name="_Toc8455"/>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rPr>
        <w:t>完成定标报告</w:t>
      </w:r>
      <w:bookmarkEnd w:id="83"/>
    </w:p>
    <w:p w14:paraId="5B3CC57D">
      <w:pPr>
        <w:spacing w:line="42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4.1定标委员会应当向采购人提交书面定标报告。</w:t>
      </w:r>
      <w:r>
        <w:rPr>
          <w:rFonts w:hint="eastAsia" w:ascii="宋体" w:hAnsi="宋体" w:cs="宋体"/>
          <w:color w:val="auto"/>
          <w:szCs w:val="21"/>
          <w:highlight w:val="none"/>
        </w:rPr>
        <w:t>定标报告由定标委员会全体成员签字。</w:t>
      </w:r>
    </w:p>
    <w:p w14:paraId="057AE579">
      <w:pPr>
        <w:spacing w:line="42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4.2定标报告应包括以下内容：</w:t>
      </w:r>
    </w:p>
    <w:p w14:paraId="4308FA76">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（1）定标委员会的产生过程；</w:t>
      </w:r>
    </w:p>
    <w:p w14:paraId="1221FD9F">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（2）定标程序；</w:t>
      </w:r>
    </w:p>
    <w:p w14:paraId="3BC2AE1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（3）定标结果；</w:t>
      </w:r>
    </w:p>
    <w:p w14:paraId="787B9934">
      <w:pPr>
        <w:spacing w:line="420" w:lineRule="exact"/>
        <w:ind w:firstLine="420" w:firstLineChars="200"/>
        <w:rPr>
          <w:rFonts w:hint="eastAsia" w:ascii="宋体" w:hAnsi="宋体"/>
          <w:color w:val="auto"/>
          <w:sz w:val="36"/>
          <w:szCs w:val="36"/>
          <w:highlight w:val="none"/>
        </w:rPr>
      </w:pPr>
      <w:r>
        <w:rPr>
          <w:rFonts w:hint="eastAsia" w:ascii="宋体" w:hAnsi="宋体" w:cs="宋体"/>
          <w:color w:val="auto"/>
          <w:szCs w:val="21"/>
          <w:highlight w:val="none"/>
        </w:rPr>
        <w:t>（4）定标委员会名单。</w:t>
      </w:r>
    </w:p>
    <w:p w14:paraId="6B0FE135">
      <w:pPr>
        <w:pStyle w:val="2"/>
        <w:keepNext w:val="0"/>
        <w:keepLines w:val="0"/>
        <w:pageBreakBefore/>
        <w:kinsoku/>
        <w:wordWrap/>
        <w:overflowPunct/>
        <w:topLinePunct w:val="0"/>
        <w:autoSpaceDE/>
        <w:autoSpaceDN/>
        <w:bidi w:val="0"/>
        <w:adjustRightInd/>
        <w:snapToGrid/>
        <w:spacing w:before="340" w:after="330" w:line="240" w:lineRule="exact"/>
        <w:jc w:val="center"/>
        <w:textAlignment w:val="auto"/>
        <w:rPr>
          <w:rFonts w:ascii="宋体" w:hAnsi="宋体"/>
          <w:color w:val="auto"/>
          <w:sz w:val="36"/>
          <w:szCs w:val="36"/>
          <w:highlight w:val="none"/>
        </w:rPr>
      </w:pPr>
      <w:bookmarkStart w:id="84" w:name="_Toc20078"/>
      <w:r>
        <w:rPr>
          <w:rFonts w:hint="eastAsia" w:ascii="宋体" w:hAnsi="宋体"/>
          <w:color w:val="auto"/>
          <w:sz w:val="36"/>
          <w:szCs w:val="36"/>
          <w:highlight w:val="none"/>
        </w:rPr>
        <w:t>第</w:t>
      </w:r>
      <w:r>
        <w:rPr>
          <w:rFonts w:hint="eastAsia" w:ascii="宋体" w:hAnsi="宋体"/>
          <w:color w:val="auto"/>
          <w:sz w:val="36"/>
          <w:szCs w:val="36"/>
          <w:highlight w:val="none"/>
          <w:lang w:val="en-US" w:eastAsia="zh-CN"/>
        </w:rPr>
        <w:t>八</w:t>
      </w:r>
      <w:r>
        <w:rPr>
          <w:rFonts w:hint="eastAsia" w:ascii="宋体" w:hAnsi="宋体"/>
          <w:color w:val="auto"/>
          <w:sz w:val="36"/>
          <w:szCs w:val="36"/>
          <w:highlight w:val="none"/>
        </w:rPr>
        <w:t>章  合同主要条款</w:t>
      </w:r>
      <w:bookmarkEnd w:id="84"/>
    </w:p>
    <w:p w14:paraId="398B1C1E">
      <w:pPr>
        <w:keepNext w:val="0"/>
        <w:keepLines w:val="0"/>
        <w:widowControl/>
        <w:kinsoku/>
        <w:wordWrap/>
        <w:overflowPunct/>
        <w:topLinePunct w:val="0"/>
        <w:autoSpaceDE/>
        <w:autoSpaceDN/>
        <w:bidi w:val="0"/>
        <w:adjustRightInd/>
        <w:snapToGrid/>
        <w:spacing w:before="340" w:after="330" w:line="240" w:lineRule="exact"/>
        <w:ind w:firstLine="482" w:firstLineChars="200"/>
        <w:jc w:val="center"/>
        <w:textAlignment w:val="auto"/>
        <w:rPr>
          <w:rFonts w:ascii="Verdana" w:hAnsi="Verdana" w:cs="Arial"/>
          <w:b/>
          <w:color w:val="auto"/>
          <w:kern w:val="0"/>
          <w:sz w:val="24"/>
          <w:highlight w:val="none"/>
        </w:rPr>
      </w:pPr>
      <w:r>
        <w:rPr>
          <w:rFonts w:ascii="Verdana" w:hAnsi="Verdana" w:cs="Arial"/>
          <w:b/>
          <w:color w:val="auto"/>
          <w:kern w:val="0"/>
          <w:sz w:val="24"/>
          <w:highlight w:val="none"/>
        </w:rPr>
        <w:t>（样本）</w:t>
      </w:r>
    </w:p>
    <w:p w14:paraId="367FDBD7">
      <w:pPr>
        <w:adjustRightInd w:val="0"/>
        <w:snapToGrid w:val="0"/>
        <w:spacing w:line="560" w:lineRule="exact"/>
        <w:jc w:val="center"/>
        <w:rPr>
          <w:color w:val="auto"/>
          <w:sz w:val="28"/>
          <w:szCs w:val="28"/>
          <w:highlight w:val="none"/>
        </w:rPr>
      </w:pPr>
      <w:r>
        <w:rPr>
          <w:rFonts w:hint="eastAsia" w:cs="宋体"/>
          <w:color w:val="auto"/>
          <w:sz w:val="28"/>
          <w:szCs w:val="28"/>
          <w:highlight w:val="none"/>
        </w:rPr>
        <w:t>使用建设部、国家工商行政管理局</w:t>
      </w:r>
    </w:p>
    <w:p w14:paraId="355D545E">
      <w:pPr>
        <w:adjustRightInd w:val="0"/>
        <w:snapToGrid w:val="0"/>
        <w:spacing w:line="560" w:lineRule="exact"/>
        <w:jc w:val="center"/>
        <w:rPr>
          <w:color w:val="auto"/>
          <w:sz w:val="28"/>
          <w:szCs w:val="28"/>
          <w:highlight w:val="none"/>
        </w:rPr>
      </w:pPr>
      <w:r>
        <w:rPr>
          <w:color w:val="auto"/>
          <w:sz w:val="28"/>
          <w:szCs w:val="28"/>
          <w:highlight w:val="none"/>
        </w:rPr>
        <w:t>2005</w:t>
      </w:r>
      <w:r>
        <w:rPr>
          <w:rFonts w:hint="eastAsia" w:cs="宋体"/>
          <w:color w:val="auto"/>
          <w:sz w:val="28"/>
          <w:szCs w:val="28"/>
          <w:highlight w:val="none"/>
        </w:rPr>
        <w:t>年</w:t>
      </w:r>
      <w:r>
        <w:rPr>
          <w:color w:val="auto"/>
          <w:sz w:val="28"/>
          <w:szCs w:val="28"/>
          <w:highlight w:val="none"/>
        </w:rPr>
        <w:t>6</w:t>
      </w:r>
      <w:r>
        <w:rPr>
          <w:rFonts w:hint="eastAsia" w:cs="宋体"/>
          <w:color w:val="auto"/>
          <w:sz w:val="28"/>
          <w:szCs w:val="28"/>
          <w:highlight w:val="none"/>
        </w:rPr>
        <w:t>月</w:t>
      </w:r>
      <w:r>
        <w:rPr>
          <w:color w:val="auto"/>
          <w:sz w:val="28"/>
          <w:szCs w:val="28"/>
          <w:highlight w:val="none"/>
        </w:rPr>
        <w:t>6</w:t>
      </w:r>
      <w:r>
        <w:rPr>
          <w:rFonts w:hint="eastAsia" w:cs="宋体"/>
          <w:color w:val="auto"/>
          <w:sz w:val="28"/>
          <w:szCs w:val="28"/>
          <w:highlight w:val="none"/>
        </w:rPr>
        <w:t>日印发的《工程建设项目招标代理合同示范文本》（</w:t>
      </w:r>
      <w:r>
        <w:rPr>
          <w:color w:val="auto"/>
          <w:sz w:val="28"/>
          <w:szCs w:val="28"/>
          <w:highlight w:val="none"/>
        </w:rPr>
        <w:t>GF—2005—0215</w:t>
      </w:r>
      <w:r>
        <w:rPr>
          <w:rFonts w:hint="eastAsia" w:cs="宋体"/>
          <w:color w:val="auto"/>
          <w:sz w:val="28"/>
          <w:szCs w:val="28"/>
          <w:highlight w:val="none"/>
        </w:rPr>
        <w:t>）</w:t>
      </w:r>
    </w:p>
    <w:p w14:paraId="02480BEB">
      <w:pPr>
        <w:adjustRightInd w:val="0"/>
        <w:snapToGrid w:val="0"/>
        <w:spacing w:line="560" w:lineRule="exact"/>
        <w:jc w:val="center"/>
        <w:rPr>
          <w:color w:val="auto"/>
          <w:sz w:val="28"/>
          <w:szCs w:val="28"/>
          <w:highlight w:val="none"/>
        </w:rPr>
      </w:pPr>
    </w:p>
    <w:p w14:paraId="09E53C12">
      <w:pPr>
        <w:adjustRightInd w:val="0"/>
        <w:snapToGrid w:val="0"/>
        <w:spacing w:line="560" w:lineRule="exact"/>
        <w:jc w:val="center"/>
        <w:rPr>
          <w:color w:val="auto"/>
          <w:sz w:val="28"/>
          <w:szCs w:val="28"/>
          <w:highlight w:val="none"/>
        </w:rPr>
      </w:pPr>
    </w:p>
    <w:p w14:paraId="1FF9BEC2">
      <w:pPr>
        <w:adjustRightInd w:val="0"/>
        <w:snapToGrid w:val="0"/>
        <w:spacing w:line="560" w:lineRule="exact"/>
        <w:jc w:val="both"/>
        <w:rPr>
          <w:color w:val="auto"/>
          <w:sz w:val="28"/>
          <w:szCs w:val="28"/>
          <w:highlight w:val="none"/>
        </w:rPr>
      </w:pPr>
    </w:p>
    <w:p w14:paraId="6D8C55EE">
      <w:pPr>
        <w:adjustRightInd w:val="0"/>
        <w:snapToGrid w:val="0"/>
        <w:spacing w:line="500" w:lineRule="exact"/>
        <w:rPr>
          <w:color w:val="auto"/>
          <w:sz w:val="28"/>
          <w:szCs w:val="28"/>
          <w:highlight w:val="none"/>
        </w:rPr>
      </w:pPr>
    </w:p>
    <w:p w14:paraId="38582549">
      <w:pPr>
        <w:adjustRightInd w:val="0"/>
        <w:snapToGrid w:val="0"/>
        <w:spacing w:line="500" w:lineRule="exact"/>
        <w:jc w:val="center"/>
        <w:rPr>
          <w:rFonts w:eastAsia="黑体"/>
          <w:b/>
          <w:bCs/>
          <w:color w:val="auto"/>
          <w:sz w:val="44"/>
          <w:szCs w:val="44"/>
          <w:highlight w:val="none"/>
        </w:rPr>
      </w:pPr>
      <w:r>
        <w:rPr>
          <w:rFonts w:hint="eastAsia" w:eastAsia="黑体" w:cs="黑体"/>
          <w:b/>
          <w:bCs/>
          <w:color w:val="auto"/>
          <w:sz w:val="44"/>
          <w:szCs w:val="44"/>
          <w:highlight w:val="none"/>
        </w:rPr>
        <w:t>目录</w:t>
      </w:r>
    </w:p>
    <w:p w14:paraId="037F6743">
      <w:pPr>
        <w:adjustRightInd w:val="0"/>
        <w:snapToGrid w:val="0"/>
        <w:spacing w:line="500" w:lineRule="exact"/>
        <w:rPr>
          <w:rFonts w:ascii="宋体"/>
          <w:b/>
          <w:bCs/>
          <w:color w:val="auto"/>
          <w:spacing w:val="20"/>
          <w:sz w:val="28"/>
          <w:szCs w:val="28"/>
          <w:highlight w:val="none"/>
        </w:rPr>
      </w:pPr>
    </w:p>
    <w:p w14:paraId="146176A4">
      <w:pPr>
        <w:adjustRightInd w:val="0"/>
        <w:snapToGrid w:val="0"/>
        <w:spacing w:line="500" w:lineRule="exact"/>
        <w:rPr>
          <w:rFonts w:ascii="宋体"/>
          <w:b/>
          <w:bCs/>
          <w:color w:val="auto"/>
          <w:spacing w:val="20"/>
          <w:sz w:val="28"/>
          <w:szCs w:val="28"/>
          <w:highlight w:val="none"/>
        </w:rPr>
      </w:pPr>
    </w:p>
    <w:p w14:paraId="2185D5A9">
      <w:pPr>
        <w:adjustRightInd w:val="0"/>
        <w:snapToGrid w:val="0"/>
        <w:spacing w:line="500" w:lineRule="exact"/>
        <w:rPr>
          <w:rFonts w:ascii="宋体"/>
          <w:b/>
          <w:bCs/>
          <w:color w:val="auto"/>
          <w:spacing w:val="20"/>
          <w:sz w:val="28"/>
          <w:szCs w:val="28"/>
          <w:highlight w:val="none"/>
        </w:rPr>
      </w:pPr>
    </w:p>
    <w:p w14:paraId="5F52D470">
      <w:pPr>
        <w:adjustRightInd w:val="0"/>
        <w:snapToGrid w:val="0"/>
        <w:spacing w:line="500" w:lineRule="exact"/>
        <w:ind w:firstLine="1259" w:firstLineChars="392"/>
        <w:rPr>
          <w:rFonts w:ascii="宋体"/>
          <w:b/>
          <w:bCs/>
          <w:color w:val="auto"/>
          <w:spacing w:val="20"/>
          <w:sz w:val="28"/>
          <w:szCs w:val="28"/>
          <w:highlight w:val="none"/>
        </w:rPr>
      </w:pPr>
      <w:r>
        <w:rPr>
          <w:rFonts w:hint="eastAsia" w:ascii="宋体" w:cs="宋体"/>
          <w:b/>
          <w:bCs/>
          <w:color w:val="auto"/>
          <w:spacing w:val="20"/>
          <w:sz w:val="28"/>
          <w:szCs w:val="28"/>
          <w:highlight w:val="none"/>
        </w:rPr>
        <w:t>第一部分　　协议书</w:t>
      </w:r>
    </w:p>
    <w:p w14:paraId="756263BE">
      <w:pPr>
        <w:adjustRightInd w:val="0"/>
        <w:snapToGrid w:val="0"/>
        <w:spacing w:line="500" w:lineRule="exact"/>
        <w:ind w:firstLine="1259" w:firstLineChars="392"/>
        <w:rPr>
          <w:rFonts w:ascii="宋体"/>
          <w:b/>
          <w:bCs/>
          <w:color w:val="auto"/>
          <w:spacing w:val="20"/>
          <w:sz w:val="28"/>
          <w:szCs w:val="28"/>
          <w:highlight w:val="none"/>
        </w:rPr>
      </w:pPr>
    </w:p>
    <w:p w14:paraId="23D8BD07">
      <w:pPr>
        <w:adjustRightInd w:val="0"/>
        <w:snapToGrid w:val="0"/>
        <w:spacing w:line="500" w:lineRule="exact"/>
        <w:ind w:firstLine="1259" w:firstLineChars="392"/>
        <w:rPr>
          <w:rFonts w:ascii="宋体"/>
          <w:b/>
          <w:bCs/>
          <w:color w:val="auto"/>
          <w:spacing w:val="20"/>
          <w:sz w:val="28"/>
          <w:szCs w:val="28"/>
          <w:highlight w:val="none"/>
        </w:rPr>
      </w:pPr>
      <w:r>
        <w:rPr>
          <w:rFonts w:hint="eastAsia" w:ascii="宋体" w:cs="宋体"/>
          <w:b/>
          <w:bCs/>
          <w:color w:val="auto"/>
          <w:spacing w:val="20"/>
          <w:sz w:val="28"/>
          <w:szCs w:val="28"/>
          <w:highlight w:val="none"/>
        </w:rPr>
        <w:t>第二部分　　通用条款（参照国家示范文本）</w:t>
      </w:r>
    </w:p>
    <w:p w14:paraId="5AB60A92">
      <w:pPr>
        <w:adjustRightInd w:val="0"/>
        <w:snapToGrid w:val="0"/>
        <w:spacing w:line="500" w:lineRule="exact"/>
        <w:ind w:firstLine="1259" w:firstLineChars="392"/>
        <w:rPr>
          <w:rFonts w:ascii="宋体"/>
          <w:b/>
          <w:bCs/>
          <w:color w:val="auto"/>
          <w:spacing w:val="20"/>
          <w:sz w:val="28"/>
          <w:szCs w:val="28"/>
          <w:highlight w:val="none"/>
        </w:rPr>
      </w:pPr>
    </w:p>
    <w:p w14:paraId="74124F3D">
      <w:pPr>
        <w:adjustRightInd w:val="0"/>
        <w:snapToGrid w:val="0"/>
        <w:spacing w:line="500" w:lineRule="exact"/>
        <w:ind w:firstLine="1259" w:firstLineChars="392"/>
        <w:rPr>
          <w:rFonts w:ascii="宋体"/>
          <w:b/>
          <w:bCs/>
          <w:color w:val="auto"/>
          <w:spacing w:val="20"/>
          <w:sz w:val="28"/>
          <w:szCs w:val="28"/>
          <w:highlight w:val="none"/>
        </w:rPr>
      </w:pPr>
      <w:r>
        <w:rPr>
          <w:rFonts w:hint="eastAsia" w:ascii="宋体" w:cs="宋体"/>
          <w:b/>
          <w:bCs/>
          <w:color w:val="auto"/>
          <w:spacing w:val="20"/>
          <w:sz w:val="28"/>
          <w:szCs w:val="28"/>
          <w:highlight w:val="none"/>
        </w:rPr>
        <w:t>第三部分　　专用条款</w:t>
      </w:r>
    </w:p>
    <w:p w14:paraId="6911DDA8">
      <w:pPr>
        <w:adjustRightInd w:val="0"/>
        <w:snapToGrid w:val="0"/>
        <w:spacing w:line="500" w:lineRule="exact"/>
        <w:ind w:firstLine="1097" w:firstLineChars="392"/>
        <w:rPr>
          <w:color w:val="auto"/>
          <w:sz w:val="28"/>
          <w:szCs w:val="28"/>
          <w:highlight w:val="none"/>
        </w:rPr>
      </w:pPr>
    </w:p>
    <w:p w14:paraId="23AF670D">
      <w:pPr>
        <w:adjustRightInd w:val="0"/>
        <w:snapToGrid w:val="0"/>
        <w:spacing w:line="560" w:lineRule="exact"/>
        <w:jc w:val="center"/>
        <w:rPr>
          <w:color w:val="auto"/>
          <w:sz w:val="28"/>
          <w:szCs w:val="28"/>
          <w:highlight w:val="none"/>
        </w:rPr>
      </w:pPr>
    </w:p>
    <w:p w14:paraId="0AB6D5BB">
      <w:pPr>
        <w:adjustRightInd w:val="0"/>
        <w:snapToGrid w:val="0"/>
        <w:spacing w:line="560" w:lineRule="exact"/>
        <w:jc w:val="center"/>
        <w:rPr>
          <w:color w:val="auto"/>
          <w:sz w:val="28"/>
          <w:szCs w:val="28"/>
          <w:highlight w:val="none"/>
        </w:rPr>
      </w:pPr>
    </w:p>
    <w:p w14:paraId="06BEBC17">
      <w:pPr>
        <w:adjustRightInd w:val="0"/>
        <w:snapToGrid w:val="0"/>
        <w:spacing w:line="560" w:lineRule="exact"/>
        <w:jc w:val="center"/>
        <w:rPr>
          <w:color w:val="auto"/>
          <w:sz w:val="28"/>
          <w:szCs w:val="28"/>
          <w:highlight w:val="none"/>
        </w:rPr>
      </w:pPr>
    </w:p>
    <w:p w14:paraId="19364433">
      <w:pPr>
        <w:adjustRightInd w:val="0"/>
        <w:snapToGrid w:val="0"/>
        <w:spacing w:line="560" w:lineRule="exact"/>
        <w:jc w:val="center"/>
        <w:rPr>
          <w:color w:val="auto"/>
          <w:sz w:val="28"/>
          <w:szCs w:val="28"/>
          <w:highlight w:val="none"/>
        </w:rPr>
      </w:pPr>
    </w:p>
    <w:p w14:paraId="4F4D5CA1">
      <w:pPr>
        <w:adjustRightInd w:val="0"/>
        <w:snapToGrid w:val="0"/>
        <w:spacing w:line="560" w:lineRule="exact"/>
        <w:jc w:val="center"/>
        <w:rPr>
          <w:color w:val="auto"/>
          <w:sz w:val="28"/>
          <w:szCs w:val="28"/>
          <w:highlight w:val="none"/>
        </w:rPr>
      </w:pPr>
    </w:p>
    <w:p w14:paraId="59FBCED7">
      <w:pPr>
        <w:adjustRightInd w:val="0"/>
        <w:snapToGrid w:val="0"/>
        <w:spacing w:line="560" w:lineRule="exact"/>
        <w:jc w:val="center"/>
        <w:rPr>
          <w:color w:val="auto"/>
          <w:sz w:val="28"/>
          <w:szCs w:val="28"/>
          <w:highlight w:val="none"/>
        </w:rPr>
      </w:pPr>
    </w:p>
    <w:p w14:paraId="25E63768">
      <w:pPr>
        <w:adjustRightInd w:val="0"/>
        <w:snapToGrid w:val="0"/>
        <w:spacing w:line="560" w:lineRule="exact"/>
        <w:rPr>
          <w:color w:val="auto"/>
          <w:sz w:val="28"/>
          <w:szCs w:val="28"/>
          <w:highlight w:val="none"/>
        </w:rPr>
      </w:pPr>
    </w:p>
    <w:p w14:paraId="77BB90D0">
      <w:pPr>
        <w:pStyle w:val="4"/>
        <w:spacing w:before="156" w:beforeLines="50" w:after="156" w:afterLines="50"/>
        <w:jc w:val="center"/>
        <w:rPr>
          <w:rFonts w:hint="eastAsia" w:ascii="宋体" w:hAnsi="宋体" w:eastAsia="宋体" w:cs="宋体"/>
          <w:color w:val="auto"/>
          <w:highlight w:val="none"/>
        </w:rPr>
      </w:pPr>
      <w:bookmarkStart w:id="85" w:name="_Toc329778207"/>
      <w:r>
        <w:rPr>
          <w:rFonts w:hint="eastAsia" w:ascii="宋体" w:hAnsi="宋体" w:eastAsia="宋体" w:cs="宋体"/>
          <w:color w:val="auto"/>
          <w:highlight w:val="none"/>
        </w:rPr>
        <w:t>第一部分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工程建设项目招标代理协议书</w:t>
      </w:r>
      <w:bookmarkEnd w:id="85"/>
    </w:p>
    <w:p w14:paraId="12FBED9B">
      <w:pPr>
        <w:pStyle w:val="16"/>
        <w:adjustRightInd w:val="0"/>
        <w:snapToGrid w:val="0"/>
        <w:spacing w:after="0" w:line="520" w:lineRule="exact"/>
        <w:ind w:firstLine="420" w:firstLineChars="200"/>
        <w:jc w:val="lef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委托人：</w:t>
      </w:r>
      <w:r>
        <w:rPr>
          <w:rFonts w:hint="eastAsia" w:ascii="宋体" w:hAnsi="宋体" w:cs="宋体"/>
          <w:color w:val="auto"/>
          <w:sz w:val="21"/>
          <w:szCs w:val="21"/>
          <w:highlight w:val="none"/>
          <w:lang w:val="en-US" w:eastAsia="zh-CN"/>
        </w:rPr>
        <w:t>义乌市第三自来水有限公司</w:t>
      </w:r>
    </w:p>
    <w:p w14:paraId="20CD8AE4">
      <w:pPr>
        <w:pStyle w:val="16"/>
        <w:adjustRightInd w:val="0"/>
        <w:snapToGrid w:val="0"/>
        <w:spacing w:after="0" w:line="520" w:lineRule="exact"/>
        <w:ind w:firstLine="420" w:firstLineChars="20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受托人：</w:t>
      </w:r>
      <w:r>
        <w:rPr>
          <w:rFonts w:hint="eastAsia" w:ascii="宋体" w:hAnsi="宋体" w:eastAsia="宋体" w:cs="宋体"/>
          <w:color w:val="auto"/>
          <w:sz w:val="21"/>
          <w:szCs w:val="21"/>
          <w:highlight w:val="none"/>
          <w:u w:val="single"/>
          <w:lang w:eastAsia="zh-CN"/>
        </w:rPr>
        <w:t xml:space="preserve">                               </w:t>
      </w:r>
    </w:p>
    <w:p w14:paraId="3EE72FB1">
      <w:pPr>
        <w:pStyle w:val="16"/>
        <w:adjustRightInd w:val="0"/>
        <w:snapToGrid w:val="0"/>
        <w:spacing w:after="0" w:line="520" w:lineRule="exact"/>
        <w:ind w:firstLine="420" w:firstLineChars="200"/>
        <w:jc w:val="both"/>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rPr>
        <w:t>依照《中华人民共和国</w:t>
      </w:r>
      <w:r>
        <w:rPr>
          <w:rFonts w:hint="eastAsia" w:eastAsia="宋体" w:cs="宋体"/>
          <w:b w:val="0"/>
          <w:bCs w:val="0"/>
          <w:color w:val="auto"/>
          <w:sz w:val="21"/>
          <w:szCs w:val="21"/>
          <w:highlight w:val="none"/>
          <w:lang w:val="en-US" w:eastAsia="zh-CN"/>
        </w:rPr>
        <w:t>民法典</w:t>
      </w:r>
      <w:r>
        <w:rPr>
          <w:rFonts w:hint="eastAsia" w:ascii="宋体" w:hAnsi="宋体" w:eastAsia="宋体" w:cs="宋体"/>
          <w:b w:val="0"/>
          <w:bCs w:val="0"/>
          <w:color w:val="auto"/>
          <w:sz w:val="21"/>
          <w:szCs w:val="21"/>
          <w:highlight w:val="none"/>
        </w:rPr>
        <w:t>》、《中华人民共和国招标投标法》及国家的有关法律、行政法规，遵循平等、自愿、公平和诚实信用的原则，双方就</w:t>
      </w:r>
      <w:r>
        <w:rPr>
          <w:rFonts w:hint="eastAsia" w:ascii="宋体" w:hAnsi="宋体" w:cs="宋体"/>
          <w:b w:val="0"/>
          <w:bCs w:val="0"/>
          <w:color w:val="auto"/>
          <w:sz w:val="21"/>
          <w:szCs w:val="21"/>
          <w:highlight w:val="none"/>
          <w:u w:val="single"/>
          <w:lang w:val="en-US" w:eastAsia="zh-CN"/>
        </w:rPr>
        <w:t>义乌市第三自来水有限公</w:t>
      </w:r>
      <w:r>
        <w:rPr>
          <w:rFonts w:hint="eastAsia" w:ascii="宋体" w:hAnsi="宋体" w:eastAsia="宋体" w:cs="宋体"/>
          <w:b w:val="0"/>
          <w:bCs w:val="0"/>
          <w:color w:val="auto"/>
          <w:sz w:val="21"/>
          <w:szCs w:val="21"/>
          <w:highlight w:val="none"/>
          <w:u w:val="single"/>
          <w:lang w:val="en-US" w:eastAsia="zh-CN"/>
        </w:rPr>
        <w:t>司202</w:t>
      </w:r>
      <w:r>
        <w:rPr>
          <w:rFonts w:hint="eastAsia" w:ascii="宋体" w:hAnsi="宋体" w:cs="宋体"/>
          <w:b w:val="0"/>
          <w:bCs w:val="0"/>
          <w:color w:val="auto"/>
          <w:sz w:val="21"/>
          <w:szCs w:val="21"/>
          <w:highlight w:val="none"/>
          <w:u w:val="single"/>
          <w:lang w:val="en-US" w:eastAsia="zh-CN"/>
        </w:rPr>
        <w:t>5-2026</w:t>
      </w:r>
      <w:r>
        <w:rPr>
          <w:rFonts w:hint="eastAsia" w:ascii="宋体" w:hAnsi="宋体" w:eastAsia="宋体" w:cs="宋体"/>
          <w:b w:val="0"/>
          <w:bCs w:val="0"/>
          <w:color w:val="auto"/>
          <w:sz w:val="21"/>
          <w:szCs w:val="21"/>
          <w:highlight w:val="none"/>
          <w:u w:val="single"/>
          <w:lang w:val="en-US" w:eastAsia="zh-CN"/>
        </w:rPr>
        <w:t>年度招标代理和造价咨询服务采购项目</w:t>
      </w:r>
      <w:r>
        <w:rPr>
          <w:rFonts w:hint="eastAsia" w:ascii="宋体" w:hAnsi="宋体" w:eastAsia="宋体" w:cs="宋体"/>
          <w:b w:val="0"/>
          <w:bCs w:val="0"/>
          <w:color w:val="auto"/>
          <w:sz w:val="21"/>
          <w:szCs w:val="21"/>
          <w:highlight w:val="none"/>
        </w:rPr>
        <w:t>事</w:t>
      </w:r>
      <w:r>
        <w:rPr>
          <w:rFonts w:hint="eastAsia" w:ascii="宋体" w:hAnsi="宋体" w:eastAsia="宋体" w:cs="宋体"/>
          <w:b w:val="0"/>
          <w:bCs w:val="0"/>
          <w:color w:val="auto"/>
          <w:kern w:val="2"/>
          <w:sz w:val="21"/>
          <w:szCs w:val="21"/>
          <w:highlight w:val="none"/>
          <w:lang w:val="en-US" w:eastAsia="zh-CN"/>
        </w:rPr>
        <w:t>项协商一致，订立本合同。</w:t>
      </w:r>
    </w:p>
    <w:p w14:paraId="6BBFB890">
      <w:pPr>
        <w:pStyle w:val="16"/>
        <w:adjustRightInd w:val="0"/>
        <w:snapToGrid w:val="0"/>
        <w:spacing w:after="0" w:line="520" w:lineRule="exact"/>
        <w:ind w:firstLine="420" w:firstLineChars="200"/>
        <w:jc w:val="both"/>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一、工程概况</w:t>
      </w:r>
    </w:p>
    <w:p w14:paraId="3BFEE124">
      <w:pPr>
        <w:pStyle w:val="16"/>
        <w:adjustRightInd w:val="0"/>
        <w:snapToGrid w:val="0"/>
        <w:spacing w:after="0" w:line="520" w:lineRule="exact"/>
        <w:ind w:firstLine="420" w:firstLineChars="200"/>
        <w:jc w:val="both"/>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1、工程名</w:t>
      </w:r>
      <w:r>
        <w:rPr>
          <w:rFonts w:hint="eastAsia" w:ascii="宋体" w:hAnsi="宋体" w:eastAsia="宋体" w:cs="宋体"/>
          <w:b w:val="0"/>
          <w:bCs w:val="0"/>
          <w:color w:val="auto"/>
          <w:sz w:val="21"/>
          <w:szCs w:val="21"/>
          <w:highlight w:val="none"/>
        </w:rPr>
        <w:t>称：</w:t>
      </w:r>
      <w:r>
        <w:rPr>
          <w:rFonts w:hint="eastAsia" w:ascii="宋体" w:hAnsi="宋体" w:eastAsia="宋体" w:cs="宋体"/>
          <w:b w:val="0"/>
          <w:bCs w:val="0"/>
          <w:color w:val="auto"/>
          <w:sz w:val="21"/>
          <w:szCs w:val="21"/>
          <w:highlight w:val="none"/>
          <w:u w:val="single"/>
        </w:rPr>
        <w:t>义乌市第三自来水有限公司2025-2026</w:t>
      </w:r>
      <w:r>
        <w:rPr>
          <w:rFonts w:hint="eastAsia" w:ascii="宋体" w:hAnsi="宋体" w:eastAsia="宋体" w:cs="宋体"/>
          <w:b w:val="0"/>
          <w:bCs w:val="0"/>
          <w:color w:val="auto"/>
          <w:sz w:val="21"/>
          <w:szCs w:val="21"/>
          <w:highlight w:val="none"/>
          <w:u w:val="single"/>
          <w:lang w:val="en-US" w:eastAsia="zh-CN"/>
        </w:rPr>
        <w:t>年度招标代理和造价咨询服务采购项目</w:t>
      </w:r>
      <w:r>
        <w:rPr>
          <w:rFonts w:hint="eastAsia" w:ascii="宋体" w:hAnsi="宋体" w:eastAsia="宋体" w:cs="宋体"/>
          <w:b w:val="0"/>
          <w:bCs w:val="0"/>
          <w:color w:val="auto"/>
          <w:sz w:val="21"/>
          <w:szCs w:val="21"/>
          <w:highlight w:val="none"/>
          <w:u w:val="single"/>
        </w:rPr>
        <w:t>。</w:t>
      </w:r>
    </w:p>
    <w:p w14:paraId="2E810BA9">
      <w:pPr>
        <w:adjustRightInd w:val="0"/>
        <w:snapToGrid w:val="0"/>
        <w:spacing w:line="520" w:lineRule="exact"/>
        <w:ind w:firstLine="420" w:firstLineChars="200"/>
        <w:jc w:val="both"/>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2、地点：位于义乌。</w:t>
      </w:r>
    </w:p>
    <w:p w14:paraId="69D883E8">
      <w:pPr>
        <w:adjustRightInd w:val="0"/>
        <w:snapToGrid w:val="0"/>
        <w:spacing w:line="520" w:lineRule="exact"/>
        <w:ind w:firstLine="420" w:firstLineChars="200"/>
        <w:jc w:val="both"/>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w:t>
      </w:r>
      <w:r>
        <w:rPr>
          <w:rFonts w:hint="eastAsia" w:ascii="宋体" w:hAnsi="宋体" w:eastAsia="宋体" w:cs="宋体"/>
          <w:b w:val="0"/>
          <w:bCs w:val="0"/>
          <w:color w:val="auto"/>
          <w:highlight w:val="none"/>
          <w:lang w:eastAsia="zh-CN"/>
        </w:rPr>
        <w:t>项目规模：义乌市第三自来水有限公司2025-2026招标代理（含施工招标、货物及服务采购等）和造价咨询（含工程量清单及预算、招标控制价编制或审核、施工阶段全过程工程造价控制，工程结算审核等）服务（服务期内</w:t>
      </w:r>
      <w:r>
        <w:rPr>
          <w:rFonts w:hint="eastAsia" w:ascii="宋体" w:hAnsi="宋体" w:eastAsia="宋体" w:cs="宋体"/>
          <w:b w:val="0"/>
          <w:bCs w:val="0"/>
          <w:color w:val="auto"/>
          <w:highlight w:val="none"/>
          <w:lang w:val="en-US" w:eastAsia="zh-CN"/>
        </w:rPr>
        <w:t>单个委托项目</w:t>
      </w:r>
      <w:r>
        <w:rPr>
          <w:rFonts w:hint="eastAsia" w:ascii="宋体" w:hAnsi="宋体" w:eastAsia="宋体" w:cs="宋体"/>
          <w:b w:val="0"/>
          <w:bCs w:val="0"/>
          <w:color w:val="auto"/>
          <w:highlight w:val="none"/>
          <w:lang w:eastAsia="zh-CN"/>
        </w:rPr>
        <w:t>招标代理和造价咨询服务费不超过</w:t>
      </w:r>
      <w:r>
        <w:rPr>
          <w:rFonts w:hint="eastAsia" w:ascii="宋体" w:hAnsi="宋体" w:eastAsia="宋体" w:cs="宋体"/>
          <w:b w:val="0"/>
          <w:bCs w:val="0"/>
          <w:color w:val="auto"/>
          <w:highlight w:val="none"/>
          <w:lang w:val="en-US" w:eastAsia="zh-CN"/>
        </w:rPr>
        <w:t>50万元</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w:t>
      </w:r>
    </w:p>
    <w:p w14:paraId="157FCBBC">
      <w:pPr>
        <w:adjustRightInd w:val="0"/>
        <w:snapToGrid w:val="0"/>
        <w:spacing w:line="520" w:lineRule="exact"/>
        <w:ind w:firstLine="420" w:firstLineChars="200"/>
        <w:jc w:val="both"/>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二、委托人委托受托人为</w:t>
      </w:r>
      <w:r>
        <w:rPr>
          <w:rFonts w:hint="eastAsia" w:ascii="宋体" w:hAnsi="宋体" w:eastAsia="宋体" w:cs="宋体"/>
          <w:b w:val="0"/>
          <w:bCs w:val="0"/>
          <w:color w:val="auto"/>
          <w:highlight w:val="none"/>
          <w:u w:val="single"/>
        </w:rPr>
        <w:t xml:space="preserve">                   </w:t>
      </w:r>
      <w:r>
        <w:rPr>
          <w:rFonts w:hint="eastAsia" w:ascii="宋体" w:hAnsi="宋体" w:eastAsia="宋体" w:cs="宋体"/>
          <w:b w:val="0"/>
          <w:bCs w:val="0"/>
          <w:color w:val="auto"/>
          <w:highlight w:val="none"/>
        </w:rPr>
        <w:t>的招标代理机构，承担该年度项目涉及的设计、施工、服务、工程货物等全过程的招标代理、</w:t>
      </w:r>
      <w:r>
        <w:rPr>
          <w:rFonts w:hint="eastAsia" w:ascii="宋体" w:hAnsi="宋体" w:eastAsia="宋体" w:cs="宋体"/>
          <w:b w:val="0"/>
          <w:bCs w:val="0"/>
          <w:color w:val="auto"/>
          <w:highlight w:val="none"/>
          <w:lang w:val="en-US" w:eastAsia="zh-CN"/>
        </w:rPr>
        <w:t>造价咨询</w:t>
      </w:r>
      <w:r>
        <w:rPr>
          <w:rFonts w:hint="eastAsia" w:ascii="宋体" w:hAnsi="宋体" w:eastAsia="宋体" w:cs="宋体"/>
          <w:b w:val="0"/>
          <w:bCs w:val="0"/>
          <w:color w:val="auto"/>
          <w:highlight w:val="none"/>
        </w:rPr>
        <w:t>工作。</w:t>
      </w:r>
      <w:r>
        <w:rPr>
          <w:rFonts w:hint="eastAsia" w:ascii="宋体" w:hAnsi="宋体" w:eastAsia="宋体" w:cs="宋体"/>
          <w:color w:val="auto"/>
          <w:sz w:val="21"/>
          <w:szCs w:val="21"/>
          <w:highlight w:val="none"/>
          <w:lang w:val="en-US" w:eastAsia="zh-CN"/>
        </w:rPr>
        <w:t xml:space="preserve"> 服务期限为合同签订之日起一年。</w:t>
      </w:r>
    </w:p>
    <w:p w14:paraId="286060DD">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三、合同价款</w:t>
      </w:r>
    </w:p>
    <w:p w14:paraId="6ACB50B9">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招标代理服务费及工程造价咨询服务费的计算方法：招标代理服务费及工程造价咨询服务费=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招标代理服务费+工程造价咨询服务费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×（1—中标让利率）。</w:t>
      </w:r>
    </w:p>
    <w:p w14:paraId="61B86750">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标代理服务费按国家计委计价格（2002）1980号《招标代理服务收费管理暂行办法》及国家发改委发改价格（2011）534号文件规定计算，工程造价咨询服务费按浙价服（2009）84号文件规定计算（招标代理服务费以施工、服务、货物等招标的中标价作为计费依据；工程量清单及招标控制价的编制费以施工图预算价或货物采购预算价作为计费依据；施工阶段全过程造价控制服务费以预算价（招标控制价）为计费基数</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但需根据浙价服(2009)84号文件中附件1“第10项(施工阶段全过程工程造价控制)规定计算的收费基准价”扣除“第5项(工程量清单及预算、招标控制价的编制或审核)规定计算的收费基准价”；工程结算审核基本费以送审工程造价为计费基数。若各项目分为若干个标段合并招标的，则以若干个标段的合计总价为基数，若项目分为若干个标段且分开招标的，则以各标段的价格为基数。）</w:t>
      </w:r>
    </w:p>
    <w:p w14:paraId="652E3322">
      <w:pPr>
        <w:pStyle w:val="16"/>
        <w:adjustRightInd w:val="0"/>
        <w:snapToGrid w:val="0"/>
        <w:spacing w:after="0" w:line="520" w:lineRule="exact"/>
        <w:ind w:firstLine="420" w:firstLineChars="200"/>
        <w:jc w:val="both"/>
        <w:rPr>
          <w:rFonts w:hint="eastAsia"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Hans"/>
        </w:rPr>
        <w:t>单个项目招标代理费按标准计算并让利后不足</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Hans"/>
        </w:rPr>
        <w:t>000元的，按</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Hans"/>
        </w:rPr>
        <w:t>000元/项收费，最低收费不再让利；</w:t>
      </w:r>
      <w:r>
        <w:rPr>
          <w:rFonts w:hint="eastAsia"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eastAsia="zh-Hans"/>
        </w:rPr>
        <w:t>单个项目造价咨询服务费按标准计算并让利后不足2000元的，按2000元/项收费，最低收费不再让利。</w:t>
      </w:r>
      <w:r>
        <w:rPr>
          <w:rFonts w:hint="eastAsia" w:eastAsia="宋体" w:cs="宋体"/>
          <w:b w:val="0"/>
          <w:bCs w:val="0"/>
          <w:color w:val="auto"/>
          <w:sz w:val="21"/>
          <w:szCs w:val="21"/>
          <w:highlight w:val="none"/>
          <w:lang w:val="en-US" w:eastAsia="zh-CN"/>
        </w:rPr>
        <w:t xml:space="preserve">  </w:t>
      </w:r>
    </w:p>
    <w:p w14:paraId="12CDF998">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lang w:eastAsia="zh-Hans"/>
        </w:rPr>
      </w:pPr>
      <w:r>
        <w:rPr>
          <w:rFonts w:hint="eastAsia" w:ascii="宋体" w:hAnsi="宋体" w:eastAsia="宋体" w:cs="宋体"/>
          <w:b w:val="0"/>
          <w:bCs w:val="0"/>
          <w:color w:val="auto"/>
          <w:sz w:val="21"/>
          <w:szCs w:val="21"/>
          <w:highlight w:val="none"/>
          <w:lang w:val="en-US" w:eastAsia="zh-CN"/>
        </w:rPr>
        <w:t>结算方式：</w:t>
      </w:r>
      <w:r>
        <w:rPr>
          <w:rFonts w:hint="eastAsia" w:ascii="宋体" w:hAnsi="宋体" w:eastAsia="宋体" w:cs="宋体"/>
          <w:b w:val="0"/>
          <w:bCs w:val="0"/>
          <w:color w:val="auto"/>
          <w:sz w:val="21"/>
          <w:szCs w:val="21"/>
          <w:highlight w:val="none"/>
        </w:rPr>
        <w:t>按已完</w:t>
      </w:r>
      <w:r>
        <w:rPr>
          <w:rFonts w:hint="eastAsia" w:eastAsia="宋体" w:cs="宋体"/>
          <w:b w:val="0"/>
          <w:bCs w:val="0"/>
          <w:color w:val="auto"/>
          <w:sz w:val="21"/>
          <w:szCs w:val="21"/>
          <w:highlight w:val="none"/>
          <w:lang w:val="en-US" w:eastAsia="zh-CN"/>
        </w:rPr>
        <w:t>成</w:t>
      </w:r>
      <w:r>
        <w:rPr>
          <w:rFonts w:hint="eastAsia" w:ascii="宋体" w:hAnsi="宋体" w:eastAsia="宋体" w:cs="宋体"/>
          <w:b w:val="0"/>
          <w:bCs w:val="0"/>
          <w:color w:val="auto"/>
          <w:sz w:val="21"/>
          <w:szCs w:val="21"/>
          <w:highlight w:val="none"/>
        </w:rPr>
        <w:t>项目每</w:t>
      </w:r>
      <w:r>
        <w:rPr>
          <w:rFonts w:hint="eastAsia" w:ascii="宋体" w:hAnsi="宋体" w:eastAsia="宋体" w:cs="宋体"/>
          <w:b w:val="0"/>
          <w:bCs w:val="0"/>
          <w:color w:val="auto"/>
          <w:sz w:val="21"/>
          <w:szCs w:val="21"/>
          <w:highlight w:val="none"/>
          <w:lang w:val="en-US" w:eastAsia="zh-CN"/>
        </w:rPr>
        <w:t>半年</w:t>
      </w:r>
      <w:r>
        <w:rPr>
          <w:rFonts w:hint="eastAsia" w:ascii="宋体" w:hAnsi="宋体" w:eastAsia="宋体" w:cs="宋体"/>
          <w:b w:val="0"/>
          <w:bCs w:val="0"/>
          <w:color w:val="auto"/>
          <w:sz w:val="21"/>
          <w:szCs w:val="21"/>
          <w:highlight w:val="none"/>
        </w:rPr>
        <w:t>结算一次</w:t>
      </w:r>
      <w:r>
        <w:rPr>
          <w:rFonts w:hint="eastAsia" w:eastAsia="宋体" w:cs="宋体"/>
          <w:b w:val="0"/>
          <w:bCs w:val="0"/>
          <w:color w:val="auto"/>
          <w:sz w:val="21"/>
          <w:szCs w:val="21"/>
          <w:highlight w:val="none"/>
          <w:lang w:eastAsia="zh-CN"/>
        </w:rPr>
        <w:t>（</w:t>
      </w:r>
      <w:r>
        <w:rPr>
          <w:rFonts w:hint="eastAsia" w:eastAsia="宋体" w:cs="宋体"/>
          <w:b w:val="0"/>
          <w:bCs w:val="0"/>
          <w:color w:val="auto"/>
          <w:sz w:val="21"/>
          <w:szCs w:val="21"/>
          <w:highlight w:val="none"/>
          <w:lang w:val="en-US" w:eastAsia="zh-CN"/>
        </w:rPr>
        <w:t>如服务期限提前结束，则以提前结束时间为结算时间</w:t>
      </w:r>
      <w:r>
        <w:rPr>
          <w:rFonts w:hint="eastAsia"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w:t>
      </w:r>
    </w:p>
    <w:p w14:paraId="5BFAEC72">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四、组成本合同的文件：</w:t>
      </w:r>
    </w:p>
    <w:p w14:paraId="553AF8F8">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1、本合同履行过程中双方以书面形式签署的补充和修正文件；</w:t>
      </w:r>
    </w:p>
    <w:p w14:paraId="14337890">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2、本合同协议书；</w:t>
      </w:r>
    </w:p>
    <w:p w14:paraId="14A97D04">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3、本合同专用条款；</w:t>
      </w:r>
    </w:p>
    <w:p w14:paraId="6A73782D">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4、本合同通用条款；</w:t>
      </w:r>
    </w:p>
    <w:p w14:paraId="2FD83426">
      <w:pPr>
        <w:pStyle w:val="32"/>
        <w:adjustRightInd w:val="0"/>
        <w:snapToGrid w:val="0"/>
        <w:spacing w:before="0" w:beforeAutospacing="0" w:after="0" w:afterAutospacing="0" w:line="520" w:lineRule="exact"/>
        <w:ind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5、招标文件；</w:t>
      </w:r>
    </w:p>
    <w:p w14:paraId="22ABA366">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6、投标文件。</w:t>
      </w:r>
    </w:p>
    <w:p w14:paraId="50BC1235">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五、本协议书中的有关词语定义与本合同第一部分《通用条款》中分别赋予它们的定义相同。</w:t>
      </w:r>
    </w:p>
    <w:p w14:paraId="75DF4CA4">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六、受托人向委托人承诺，按照本合同的约定，承担本合同专用条款中约定范围内的代理业务。</w:t>
      </w:r>
    </w:p>
    <w:p w14:paraId="2966E979">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七、委托人向受托人承诺，按照本合同的约定，确保代理报酬的支付。</w:t>
      </w:r>
    </w:p>
    <w:p w14:paraId="5F77C113">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八、合同订立</w:t>
      </w:r>
    </w:p>
    <w:p w14:paraId="183BC7DF">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合同订立时间：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3588554C">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合同订立地点：</w:t>
      </w:r>
      <w:r>
        <w:rPr>
          <w:rFonts w:hint="eastAsia" w:ascii="宋体" w:hAnsi="宋体" w:eastAsia="宋体" w:cs="宋体"/>
          <w:b w:val="0"/>
          <w:bCs w:val="0"/>
          <w:color w:val="auto"/>
          <w:sz w:val="21"/>
          <w:szCs w:val="21"/>
          <w:highlight w:val="none"/>
          <w:u w:val="single"/>
        </w:rPr>
        <w:t>浙江省义乌市</w:t>
      </w:r>
    </w:p>
    <w:p w14:paraId="024CC526">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九、合同生效</w:t>
      </w:r>
    </w:p>
    <w:p w14:paraId="50636684">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本合同双方约定</w:t>
      </w:r>
      <w:r>
        <w:rPr>
          <w:rFonts w:hint="eastAsia" w:ascii="宋体" w:hAnsi="宋体" w:eastAsia="宋体" w:cs="宋体"/>
          <w:b w:val="0"/>
          <w:bCs w:val="0"/>
          <w:color w:val="auto"/>
          <w:sz w:val="21"/>
          <w:szCs w:val="21"/>
          <w:highlight w:val="none"/>
          <w:u w:val="single"/>
        </w:rPr>
        <w:t>签字盖章</w:t>
      </w:r>
      <w:r>
        <w:rPr>
          <w:rFonts w:hint="eastAsia" w:ascii="宋体" w:hAnsi="宋体" w:eastAsia="宋体" w:cs="宋体"/>
          <w:b w:val="0"/>
          <w:bCs w:val="0"/>
          <w:color w:val="auto"/>
          <w:sz w:val="21"/>
          <w:szCs w:val="21"/>
          <w:highlight w:val="none"/>
        </w:rPr>
        <w:t>后生效。</w:t>
      </w:r>
    </w:p>
    <w:p w14:paraId="337431DC">
      <w:pPr>
        <w:pStyle w:val="16"/>
        <w:adjustRightInd w:val="0"/>
        <w:snapToGrid w:val="0"/>
        <w:spacing w:after="0" w:line="520" w:lineRule="exact"/>
        <w:ind w:firstLine="482"/>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十、合同双方确认，本合同及本合同约定的其它文件组成部分中的各项约定都是通过法定招标过程形成的合法成果，不存在与招标文件和承包人投标文件实质性内容不一致的条款。如果存在任何此类不一致的条款，也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404A29F9">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p>
    <w:p w14:paraId="50B6631B">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委托人(盖章)：</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受托人(盖章)：</w:t>
      </w:r>
    </w:p>
    <w:p w14:paraId="0615834E">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法定代表人(签字或盖章)：</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法定代表人(签字或盖章)：</w:t>
      </w:r>
    </w:p>
    <w:p w14:paraId="461DC6EE">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授权代理人(签字或盖章)：</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授权代理人(签字或盖章)：</w:t>
      </w:r>
    </w:p>
    <w:p w14:paraId="5C6489A7">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单位地址：</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单位地址：</w:t>
      </w:r>
    </w:p>
    <w:p w14:paraId="5EF804A2">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邮政编码：</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邮政编码：</w:t>
      </w:r>
    </w:p>
    <w:p w14:paraId="3634A151">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联系电话：</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联系电话：</w:t>
      </w:r>
    </w:p>
    <w:p w14:paraId="18E80A1F">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开户银行：</w:t>
      </w:r>
    </w:p>
    <w:p w14:paraId="24EF3B66">
      <w:pPr>
        <w:pStyle w:val="16"/>
        <w:adjustRightInd w:val="0"/>
        <w:snapToGrid w:val="0"/>
        <w:spacing w:after="0" w:line="52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账</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lang w:val="en-US" w:eastAsia="zh-CN"/>
        </w:rPr>
        <w:t xml:space="preserve">                                 账</w:t>
      </w:r>
      <w:r>
        <w:rPr>
          <w:rFonts w:hint="eastAsia" w:ascii="宋体" w:hAnsi="宋体" w:eastAsia="宋体" w:cs="宋体"/>
          <w:b w:val="0"/>
          <w:bCs w:val="0"/>
          <w:color w:val="auto"/>
          <w:sz w:val="21"/>
          <w:szCs w:val="21"/>
          <w:highlight w:val="none"/>
        </w:rPr>
        <w:t>号：</w:t>
      </w:r>
    </w:p>
    <w:p w14:paraId="63E8856D">
      <w:pPr>
        <w:rPr>
          <w:rFonts w:hint="eastAsia" w:ascii="宋体" w:hAnsi="宋体" w:eastAsia="宋体" w:cs="宋体"/>
          <w:color w:val="auto"/>
          <w:highlight w:val="none"/>
        </w:rPr>
      </w:pPr>
    </w:p>
    <w:p w14:paraId="4E9B1417">
      <w:pPr>
        <w:pStyle w:val="4"/>
        <w:spacing w:before="156" w:beforeLines="50" w:after="156" w:afterLines="50"/>
        <w:ind w:firstLine="3213" w:firstLineChars="1000"/>
        <w:rPr>
          <w:rFonts w:hint="eastAsia" w:ascii="宋体" w:hAnsi="宋体" w:eastAsia="宋体" w:cs="宋体"/>
          <w:color w:val="auto"/>
          <w:highlight w:val="none"/>
        </w:rPr>
      </w:pPr>
      <w:r>
        <w:rPr>
          <w:rFonts w:hint="eastAsia" w:ascii="宋体" w:hAnsi="宋体" w:eastAsia="宋体" w:cs="宋体"/>
          <w:color w:val="auto"/>
          <w:highlight w:val="none"/>
        </w:rPr>
        <w:t>第二部分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通用条款</w:t>
      </w:r>
    </w:p>
    <w:p w14:paraId="40F9E431">
      <w:pPr>
        <w:pStyle w:val="16"/>
        <w:spacing w:line="50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（参照国家示范文本）</w:t>
      </w:r>
    </w:p>
    <w:p w14:paraId="6C162C60">
      <w:pPr>
        <w:pStyle w:val="4"/>
        <w:spacing w:before="156" w:beforeLines="50" w:after="156" w:afterLines="50"/>
        <w:jc w:val="center"/>
        <w:rPr>
          <w:rFonts w:hint="eastAsia" w:ascii="宋体" w:hAnsi="宋体" w:eastAsia="宋体" w:cs="宋体"/>
          <w:color w:val="auto"/>
          <w:highlight w:val="none"/>
        </w:rPr>
      </w:pPr>
      <w:r>
        <w:rPr>
          <w:rFonts w:hint="eastAsia" w:ascii="宋体" w:hAnsi="宋体" w:eastAsia="宋体" w:cs="宋体"/>
          <w:color w:val="auto"/>
          <w:highlight w:val="none"/>
        </w:rPr>
        <w:t>第三部分专用条款</w:t>
      </w:r>
    </w:p>
    <w:p w14:paraId="753B6B3D">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一、词语定义和适用法律</w:t>
      </w:r>
    </w:p>
    <w:p w14:paraId="61E30ADE">
      <w:pPr>
        <w:pStyle w:val="16"/>
        <w:adjustRightInd w:val="0"/>
        <w:snapToGrid w:val="0"/>
        <w:spacing w:after="0" w:line="46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2、合同文件及解释顺序</w:t>
      </w:r>
    </w:p>
    <w:p w14:paraId="0D1B2C26">
      <w:pPr>
        <w:pStyle w:val="32"/>
        <w:adjustRightInd w:val="0"/>
        <w:snapToGrid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2.1合同文件及解释顺序协议书、招标文件、专用条款、通用条款、投标文件及其附件等。</w:t>
      </w:r>
    </w:p>
    <w:p w14:paraId="65CB2966">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3、语言文字和适用法律</w:t>
      </w:r>
    </w:p>
    <w:p w14:paraId="22CB1233">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3.1语言文字</w:t>
      </w:r>
    </w:p>
    <w:p w14:paraId="7502BD43">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本合同采用的文字为：汉语。</w:t>
      </w:r>
    </w:p>
    <w:p w14:paraId="34EE41E6">
      <w:pPr>
        <w:pStyle w:val="32"/>
        <w:adjustRightInd w:val="0"/>
        <w:snapToGrid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3.2本合同需要明示的法律、行政法规：合同法、招投标法、义乌市相关招投标管理规定。</w:t>
      </w:r>
    </w:p>
    <w:p w14:paraId="64CDFFB1">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二、双方一般权利和义务</w:t>
      </w:r>
    </w:p>
    <w:p w14:paraId="21B04884">
      <w:pPr>
        <w:pStyle w:val="16"/>
        <w:adjustRightInd w:val="0"/>
        <w:snapToGrid w:val="0"/>
        <w:spacing w:after="0" w:line="46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4、委托人的义务</w:t>
      </w:r>
    </w:p>
    <w:p w14:paraId="714F99F4">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4.1委托招标代理工作的具体范围和内容：</w:t>
      </w:r>
      <w:r>
        <w:rPr>
          <w:rFonts w:hint="eastAsia" w:ascii="宋体" w:hAnsi="宋体" w:eastAsia="宋体" w:cs="宋体"/>
          <w:color w:val="auto"/>
          <w:sz w:val="21"/>
          <w:szCs w:val="21"/>
          <w:highlight w:val="none"/>
          <w:u w:val="single"/>
        </w:rPr>
        <w:t>按照招标文件要求</w:t>
      </w:r>
      <w:r>
        <w:rPr>
          <w:rFonts w:hint="eastAsia" w:ascii="宋体" w:hAnsi="宋体" w:eastAsia="宋体" w:cs="宋体"/>
          <w:color w:val="auto"/>
          <w:sz w:val="21"/>
          <w:szCs w:val="21"/>
          <w:highlight w:val="none"/>
        </w:rPr>
        <w:t>。</w:t>
      </w:r>
    </w:p>
    <w:p w14:paraId="3677D7AE">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4.2委托人应按约定的时间和要求完成下列工作：</w:t>
      </w:r>
    </w:p>
    <w:p w14:paraId="7DB867F3">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（1）向受托人提供本工程招标代理业务应具备的相关工程前期资料（如立项批准手续、规划许可、报建证等）及资金落实情况资料的时间：</w:t>
      </w:r>
      <w:r>
        <w:rPr>
          <w:rFonts w:hint="eastAsia" w:ascii="宋体" w:hAnsi="宋体" w:eastAsia="宋体" w:cs="宋体"/>
          <w:color w:val="auto"/>
          <w:sz w:val="21"/>
          <w:szCs w:val="21"/>
          <w:highlight w:val="none"/>
          <w:u w:val="single"/>
        </w:rPr>
        <w:t>招标公告备案前三天</w:t>
      </w:r>
      <w:r>
        <w:rPr>
          <w:rFonts w:hint="eastAsia" w:ascii="宋体" w:hAnsi="宋体" w:eastAsia="宋体" w:cs="宋体"/>
          <w:color w:val="auto"/>
          <w:sz w:val="21"/>
          <w:szCs w:val="21"/>
          <w:highlight w:val="none"/>
        </w:rPr>
        <w:t>；</w:t>
      </w:r>
    </w:p>
    <w:p w14:paraId="120656CC">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（2）向受托人提供完成代理招标业务所需的全部资料的时间：</w:t>
      </w:r>
      <w:r>
        <w:rPr>
          <w:rFonts w:hint="eastAsia" w:ascii="宋体" w:hAnsi="宋体" w:eastAsia="宋体" w:cs="宋体"/>
          <w:color w:val="auto"/>
          <w:sz w:val="21"/>
          <w:szCs w:val="21"/>
          <w:highlight w:val="none"/>
          <w:u w:val="single"/>
        </w:rPr>
        <w:t>招标公告备案前三天</w:t>
      </w:r>
      <w:r>
        <w:rPr>
          <w:rFonts w:hint="eastAsia" w:ascii="宋体" w:hAnsi="宋体" w:eastAsia="宋体" w:cs="宋体"/>
          <w:color w:val="auto"/>
          <w:sz w:val="21"/>
          <w:szCs w:val="21"/>
          <w:highlight w:val="none"/>
        </w:rPr>
        <w:t>；</w:t>
      </w:r>
    </w:p>
    <w:p w14:paraId="10211FF9">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（3）指定的与受托人联系的人员</w:t>
      </w:r>
    </w:p>
    <w:p w14:paraId="097D04CF">
      <w:pPr>
        <w:pStyle w:val="16"/>
        <w:adjustRightInd w:val="0"/>
        <w:snapToGrid w:val="0"/>
        <w:spacing w:after="0" w:line="460" w:lineRule="exact"/>
        <w:ind w:firstLine="555"/>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lang w:val="en-US" w:eastAsia="zh-CN"/>
        </w:rPr>
        <w:t xml:space="preserve">                         </w:t>
      </w:r>
    </w:p>
    <w:p w14:paraId="0EC6442A">
      <w:pPr>
        <w:pStyle w:val="16"/>
        <w:adjustRightInd w:val="0"/>
        <w:snapToGrid w:val="0"/>
        <w:spacing w:after="0" w:line="460" w:lineRule="exact"/>
        <w:ind w:firstLine="55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lang w:val="en-US" w:eastAsia="zh-CN"/>
        </w:rPr>
        <w:t xml:space="preserve">                         </w:t>
      </w:r>
    </w:p>
    <w:p w14:paraId="754E81EB">
      <w:pPr>
        <w:pStyle w:val="16"/>
        <w:adjustRightInd w:val="0"/>
        <w:snapToGrid w:val="0"/>
        <w:spacing w:after="0" w:line="460" w:lineRule="exact"/>
        <w:ind w:firstLine="55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u w:val="single"/>
          <w:lang w:val="en-US" w:eastAsia="zh-CN"/>
        </w:rPr>
        <w:t xml:space="preserve">                         </w:t>
      </w:r>
    </w:p>
    <w:p w14:paraId="62D91ABC">
      <w:pPr>
        <w:pStyle w:val="16"/>
        <w:adjustRightInd w:val="0"/>
        <w:snapToGrid w:val="0"/>
        <w:spacing w:after="0" w:line="460" w:lineRule="exact"/>
        <w:ind w:firstLine="55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 xml:space="preserve">                         </w:t>
      </w:r>
    </w:p>
    <w:p w14:paraId="3265DC21">
      <w:pPr>
        <w:pStyle w:val="16"/>
        <w:adjustRightInd w:val="0"/>
        <w:snapToGrid w:val="0"/>
        <w:spacing w:after="0" w:line="460" w:lineRule="exact"/>
        <w:ind w:firstLine="555"/>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5、受托人的义务</w:t>
      </w:r>
    </w:p>
    <w:p w14:paraId="1471A0DA">
      <w:pPr>
        <w:pStyle w:val="16"/>
        <w:adjustRightInd w:val="0"/>
        <w:snapToGrid w:val="0"/>
        <w:spacing w:after="0" w:line="460" w:lineRule="exact"/>
        <w:ind w:firstLine="555"/>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5.1招标代理项目负责人姓名：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70B2BFD3">
      <w:pPr>
        <w:pStyle w:val="16"/>
        <w:adjustRightInd w:val="0"/>
        <w:snapToGrid w:val="0"/>
        <w:spacing w:after="0" w:line="460" w:lineRule="exact"/>
        <w:ind w:firstLine="55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5.2受托人应按约定的时间和要求完成下列工作：</w:t>
      </w:r>
    </w:p>
    <w:p w14:paraId="0BE049E5">
      <w:pPr>
        <w:adjustRightInd w:val="0"/>
        <w:snapToGrid w:val="0"/>
        <w:spacing w:line="46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组织招标工作的内容和时间：1、根据招标人的工作计划安排，中标人在接到招标人的招标通知后，应在8日历天内完成该项目的招标文件编制并提交招标人审查，30日历天内完成工程量清单的编制及备案；如工程造价超过1亿元的项目，35日历天内完成招标控制价和工程量清单的编制及备案；在规定的投标截止时间 3个工作日前完成招标控制价编制。2、中标人在本工程招标公告发布后应在30日历天内完成项目的招标代理工程（含监理招标）。</w:t>
      </w:r>
    </w:p>
    <w:p w14:paraId="2C2CB5FB">
      <w:pPr>
        <w:pStyle w:val="16"/>
        <w:adjustRightInd w:val="0"/>
        <w:snapToGrid w:val="0"/>
        <w:spacing w:after="0" w:line="460" w:lineRule="exact"/>
        <w:ind w:firstLine="55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（2）为招标人提供的为完成招标工作的相关咨询服务：</w:t>
      </w:r>
      <w:r>
        <w:rPr>
          <w:rFonts w:hint="eastAsia" w:ascii="宋体" w:hAnsi="宋体" w:eastAsia="宋体" w:cs="宋体"/>
          <w:color w:val="auto"/>
          <w:sz w:val="21"/>
          <w:szCs w:val="21"/>
          <w:highlight w:val="none"/>
          <w:u w:val="single"/>
        </w:rPr>
        <w:t>编制工程量清单、招标控制价及预算报告、编制招标文件、安排开评标等</w:t>
      </w:r>
      <w:r>
        <w:rPr>
          <w:rFonts w:hint="eastAsia" w:ascii="宋体" w:hAnsi="宋体" w:eastAsia="宋体" w:cs="宋体"/>
          <w:color w:val="auto"/>
          <w:sz w:val="21"/>
          <w:szCs w:val="21"/>
          <w:highlight w:val="none"/>
        </w:rPr>
        <w:t>；</w:t>
      </w:r>
    </w:p>
    <w:p w14:paraId="2009BEA8">
      <w:pPr>
        <w:pStyle w:val="16"/>
        <w:adjustRightInd w:val="0"/>
        <w:snapToGrid w:val="0"/>
        <w:spacing w:after="0" w:line="460" w:lineRule="exact"/>
        <w:ind w:firstLine="55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（3）承担招标代理业务过程中，应由受托人支付的费用：</w:t>
      </w:r>
      <w:r>
        <w:rPr>
          <w:rFonts w:hint="eastAsia" w:ascii="宋体" w:hAnsi="宋体" w:eastAsia="宋体" w:cs="宋体"/>
          <w:color w:val="auto"/>
          <w:sz w:val="21"/>
          <w:szCs w:val="21"/>
          <w:highlight w:val="none"/>
          <w:u w:val="single"/>
        </w:rPr>
        <w:t>评标专家费</w:t>
      </w:r>
      <w:r>
        <w:rPr>
          <w:rFonts w:hint="eastAsia" w:ascii="宋体" w:hAnsi="宋体" w:eastAsia="宋体" w:cs="宋体"/>
          <w:color w:val="auto"/>
          <w:sz w:val="21"/>
          <w:szCs w:val="21"/>
          <w:highlight w:val="none"/>
        </w:rPr>
        <w:t>；</w:t>
      </w:r>
    </w:p>
    <w:p w14:paraId="0D90C406">
      <w:pPr>
        <w:pStyle w:val="16"/>
        <w:adjustRightInd w:val="0"/>
        <w:snapToGrid w:val="0"/>
        <w:spacing w:after="0" w:line="460" w:lineRule="exact"/>
        <w:ind w:firstLine="630" w:firstLineChars="3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（4）应尽的其他义务：</w:t>
      </w:r>
      <w:r>
        <w:rPr>
          <w:rFonts w:hint="eastAsia" w:ascii="宋体" w:hAnsi="宋体" w:eastAsia="宋体" w:cs="宋体"/>
          <w:color w:val="auto"/>
          <w:sz w:val="21"/>
          <w:szCs w:val="21"/>
          <w:highlight w:val="none"/>
          <w:u w:val="single"/>
        </w:rPr>
        <w:t>委托人交办的其他工作</w:t>
      </w:r>
      <w:r>
        <w:rPr>
          <w:rFonts w:hint="eastAsia" w:ascii="宋体" w:hAnsi="宋体" w:eastAsia="宋体" w:cs="宋体"/>
          <w:color w:val="auto"/>
          <w:sz w:val="21"/>
          <w:szCs w:val="21"/>
          <w:highlight w:val="none"/>
        </w:rPr>
        <w:t>。</w:t>
      </w:r>
    </w:p>
    <w:p w14:paraId="5DE9C9F1">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三、委托代理报酬与收取</w:t>
      </w:r>
    </w:p>
    <w:p w14:paraId="3141FA5F">
      <w:pPr>
        <w:pStyle w:val="16"/>
        <w:adjustRightInd w:val="0"/>
        <w:snapToGrid w:val="0"/>
        <w:spacing w:after="0" w:line="46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8、委托代理报酬</w:t>
      </w:r>
    </w:p>
    <w:p w14:paraId="18FD1384">
      <w:pPr>
        <w:pStyle w:val="16"/>
        <w:adjustRightInd w:val="0"/>
        <w:snapToGrid w:val="0"/>
        <w:spacing w:line="460" w:lineRule="exact"/>
        <w:ind w:firstLine="420" w:firstLineChars="200"/>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color w:val="auto"/>
          <w:sz w:val="21"/>
          <w:szCs w:val="21"/>
          <w:highlight w:val="none"/>
        </w:rPr>
        <w:t>8.1代理报酬的计算方法：</w:t>
      </w:r>
    </w:p>
    <w:p w14:paraId="04A9A4CB">
      <w:pPr>
        <w:adjustRightInd w:val="0"/>
        <w:snapToGrid w:val="0"/>
        <w:spacing w:line="46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招标代理服务费及工程造价咨询服务费的计算方法：招标代理服务费及工程造价咨询服务费=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招标代理服务费+工程造价咨询服务费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×（1—中标让利率）。</w:t>
      </w:r>
    </w:p>
    <w:p w14:paraId="4561A4C7">
      <w:pPr>
        <w:adjustRightInd w:val="0"/>
        <w:snapToGrid w:val="0"/>
        <w:spacing w:line="460" w:lineRule="exact"/>
        <w:ind w:firstLine="420" w:firstLineChars="200"/>
        <w:jc w:val="both"/>
        <w:rPr>
          <w:rFonts w:hint="eastAsia" w:ascii="宋体" w:hAnsi="宋体" w:eastAsia="宋体" w:cs="宋体"/>
          <w:color w:val="auto"/>
          <w:highlight w:val="none"/>
          <w:u w:val="single"/>
        </w:rPr>
      </w:pPr>
      <w:r>
        <w:rPr>
          <w:rFonts w:hint="eastAsia" w:ascii="宋体" w:hAnsi="宋体" w:eastAsia="宋体" w:cs="宋体"/>
          <w:color w:val="auto"/>
          <w:highlight w:val="none"/>
        </w:rPr>
        <w:t>代理报酬的支付方式：按已完项目每</w:t>
      </w:r>
      <w:r>
        <w:rPr>
          <w:rFonts w:hint="eastAsia" w:ascii="宋体" w:hAnsi="宋体" w:eastAsia="宋体" w:cs="宋体"/>
          <w:color w:val="auto"/>
          <w:highlight w:val="none"/>
          <w:lang w:val="en-US" w:eastAsia="zh-CN"/>
        </w:rPr>
        <w:t>半年</w:t>
      </w:r>
      <w:r>
        <w:rPr>
          <w:rFonts w:hint="eastAsia" w:ascii="宋体" w:hAnsi="宋体" w:eastAsia="宋体" w:cs="宋体"/>
          <w:color w:val="auto"/>
          <w:highlight w:val="none"/>
        </w:rPr>
        <w:t>结算一次。</w:t>
      </w:r>
      <w:r>
        <w:rPr>
          <w:rFonts w:hint="eastAsia" w:eastAsia="宋体" w:cs="宋体"/>
          <w:b w:val="0"/>
          <w:bCs w:val="0"/>
          <w:color w:val="auto"/>
          <w:sz w:val="21"/>
          <w:szCs w:val="21"/>
          <w:highlight w:val="none"/>
          <w:lang w:eastAsia="zh-CN"/>
        </w:rPr>
        <w:t>（</w:t>
      </w:r>
      <w:r>
        <w:rPr>
          <w:rFonts w:hint="eastAsia" w:eastAsia="宋体" w:cs="宋体"/>
          <w:b w:val="0"/>
          <w:bCs w:val="0"/>
          <w:color w:val="auto"/>
          <w:sz w:val="21"/>
          <w:szCs w:val="21"/>
          <w:highlight w:val="none"/>
          <w:lang w:val="en-US" w:eastAsia="zh-CN"/>
        </w:rPr>
        <w:t>如服务期限提前结束，则以提前结束时间为结算时间</w:t>
      </w:r>
      <w:r>
        <w:rPr>
          <w:rFonts w:hint="eastAsia"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w:t>
      </w:r>
    </w:p>
    <w:p w14:paraId="30C566D7">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四、违约、索赔和争议</w:t>
      </w:r>
    </w:p>
    <w:p w14:paraId="5C1EBFA1">
      <w:pPr>
        <w:pStyle w:val="16"/>
        <w:adjustRightInd w:val="0"/>
        <w:snapToGrid w:val="0"/>
        <w:spacing w:after="0" w:line="46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10、违约</w:t>
      </w:r>
    </w:p>
    <w:p w14:paraId="53B01014">
      <w:pPr>
        <w:pStyle w:val="32"/>
        <w:adjustRightInd w:val="0"/>
        <w:snapToGrid w:val="0"/>
        <w:spacing w:before="0" w:beforeAutospacing="0" w:after="0" w:afterAutospacing="0" w:line="460" w:lineRule="exact"/>
        <w:ind w:left="601" w:leftChars="28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本合同关于受托人违约的具体责任：</w:t>
      </w:r>
    </w:p>
    <w:p w14:paraId="1FDF3078">
      <w:pPr>
        <w:adjustRightInd w:val="0"/>
        <w:snapToGrid w:val="0"/>
        <w:spacing w:line="46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（1）如招标代理机构由于工作失误造成招标失败的，或清单编制未按规定时间完成的，扣除该项目代理</w:t>
      </w:r>
      <w:r>
        <w:rPr>
          <w:rFonts w:hint="eastAsia" w:ascii="宋体" w:hAnsi="宋体" w:eastAsia="宋体" w:cs="宋体"/>
          <w:color w:val="auto"/>
          <w:highlight w:val="none"/>
          <w:lang w:val="en-US" w:eastAsia="zh-CN"/>
        </w:rPr>
        <w:t>或造价咨询</w:t>
      </w:r>
      <w:r>
        <w:rPr>
          <w:rFonts w:hint="eastAsia" w:ascii="宋体" w:hAnsi="宋体" w:eastAsia="宋体" w:cs="宋体"/>
          <w:color w:val="auto"/>
          <w:highlight w:val="none"/>
        </w:rPr>
        <w:t>费的</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%，并报义乌市建设工程招投标中心依据相关规定进行处理。</w:t>
      </w:r>
    </w:p>
    <w:p w14:paraId="1E79C681">
      <w:pPr>
        <w:adjustRightInd w:val="0"/>
        <w:snapToGrid w:val="0"/>
        <w:spacing w:line="46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（2）招标文件未按规定时间提交并完成备案的，扣除该项目代理费的1%，并报义乌市建设工程招投标中心依据相关规定进行处理。</w:t>
      </w:r>
    </w:p>
    <w:p w14:paraId="5F728849">
      <w:pPr>
        <w:adjustRightInd w:val="0"/>
        <w:snapToGrid w:val="0"/>
        <w:spacing w:line="46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（3）每一招标代理工程项目未能按要求期限全部完成，扣除该项目代理费的1%，并报义乌市建设工程招投标中心依据相关规定进行处理。</w:t>
      </w:r>
    </w:p>
    <w:p w14:paraId="54434325">
      <w:pPr>
        <w:adjustRightInd w:val="0"/>
        <w:snapToGrid w:val="0"/>
        <w:spacing w:line="46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（4）代理机构在代理过程中出现其他各种违规行为的，由义乌市建设工程招投标中心按（义公共资源办〔2012〕37号）文件规定处理。</w:t>
      </w:r>
    </w:p>
    <w:p w14:paraId="2B2E1F28">
      <w:pPr>
        <w:adjustRightInd w:val="0"/>
        <w:snapToGrid w:val="0"/>
        <w:spacing w:line="46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（5）出现上述（1）-（4）种情形的，招标人有权终止中标人后续工程项目的招标代理服务工作。</w:t>
      </w:r>
    </w:p>
    <w:p w14:paraId="231CCC54">
      <w:pPr>
        <w:pStyle w:val="32"/>
        <w:adjustRightInd w:val="0"/>
        <w:snapToGrid w:val="0"/>
        <w:spacing w:before="0" w:beforeAutospacing="0" w:after="0" w:afterAutospacing="0" w:line="460" w:lineRule="exact"/>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工程施工过程中及结算中，如发现单个工程工程量清单数量有错算、漏算的，代理单位应及时派员进行复核。经复核确认，错算、漏算项目累计工程价款超过该工程施工合同价正负3%（不含）以上，每超过1%扣除整个工程招标代理服务费及工程造价咨询服务费的2%，</w:t>
      </w:r>
      <w:r>
        <w:rPr>
          <w:rFonts w:hint="eastAsia" w:ascii="宋体" w:hAnsi="宋体" w:eastAsia="宋体" w:cs="宋体"/>
          <w:color w:val="auto"/>
          <w:kern w:val="2"/>
          <w:sz w:val="21"/>
          <w:szCs w:val="21"/>
          <w:highlight w:val="none"/>
          <w:lang w:val="en-US" w:eastAsia="zh-CN"/>
        </w:rPr>
        <w:t>扣除上限为6</w:t>
      </w:r>
      <w:r>
        <w:rPr>
          <w:rFonts w:hint="eastAsia" w:ascii="宋体" w:hAnsi="宋体" w:eastAsia="宋体" w:cs="宋体"/>
          <w:color w:val="auto"/>
          <w:kern w:val="2"/>
          <w:sz w:val="21"/>
          <w:szCs w:val="21"/>
          <w:highlight w:val="none"/>
        </w:rPr>
        <w:t>%招标代理服务费及工程造价咨询服务费。</w:t>
      </w:r>
    </w:p>
    <w:p w14:paraId="459F672D">
      <w:pPr>
        <w:adjustRightInd w:val="0"/>
        <w:snapToGrid w:val="0"/>
        <w:spacing w:line="46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（7）中标人未按投标承诺安排人员编制预算或招标代理工作的，招标人每发现一次扣除该项目代理</w:t>
      </w:r>
      <w:r>
        <w:rPr>
          <w:rFonts w:hint="eastAsia" w:ascii="宋体" w:hAnsi="宋体" w:eastAsia="宋体" w:cs="宋体"/>
          <w:color w:val="auto"/>
          <w:highlight w:val="none"/>
          <w:lang w:val="en-US" w:eastAsia="zh-CN"/>
        </w:rPr>
        <w:t>或造价咨询</w:t>
      </w:r>
      <w:r>
        <w:rPr>
          <w:rFonts w:hint="eastAsia" w:ascii="宋体" w:hAnsi="宋体" w:eastAsia="宋体" w:cs="宋体"/>
          <w:color w:val="auto"/>
          <w:highlight w:val="none"/>
        </w:rPr>
        <w:t>费</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1%，情节严重的招标人有权终止合同，并由中标人承担全部责任。</w:t>
      </w:r>
    </w:p>
    <w:p w14:paraId="6FD85143">
      <w:pPr>
        <w:adjustRightInd w:val="0"/>
        <w:snapToGrid w:val="0"/>
        <w:spacing w:line="46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（8）发现中标人将预算、招标代理</w:t>
      </w:r>
      <w:r>
        <w:rPr>
          <w:rFonts w:hint="eastAsia" w:ascii="宋体" w:hAnsi="宋体" w:eastAsia="宋体" w:cs="宋体"/>
          <w:color w:val="auto"/>
          <w:highlight w:val="none"/>
          <w:lang w:eastAsia="zh-CN"/>
        </w:rPr>
        <w:t>、结算审计</w:t>
      </w:r>
      <w:r>
        <w:rPr>
          <w:rFonts w:hint="eastAsia" w:ascii="宋体" w:hAnsi="宋体" w:eastAsia="宋体" w:cs="宋体"/>
          <w:color w:val="auto"/>
          <w:highlight w:val="none"/>
        </w:rPr>
        <w:t>服务等交由他人实施的，招标人将直接终止代理合同，期间中标履约产生的费用由中标人承担，并报义乌市建设工程招投标中心备案，列入不良行为记录。</w:t>
      </w:r>
    </w:p>
    <w:p w14:paraId="715DFA91">
      <w:pPr>
        <w:pStyle w:val="16"/>
        <w:adjustRightInd w:val="0"/>
        <w:snapToGrid w:val="0"/>
        <w:spacing w:after="0" w:line="460" w:lineRule="exact"/>
        <w:ind w:left="370" w:leftChars="176"/>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12、争议</w:t>
      </w:r>
    </w:p>
    <w:p w14:paraId="17D52877">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12.1双方约定，凡因执行本合同所发生的与本合同有关的一切争议，当和解或调解不成时，选择下列方式解决：</w:t>
      </w:r>
    </w:p>
    <w:p w14:paraId="5C35A281">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（1）依法向</w:t>
      </w:r>
      <w:r>
        <w:rPr>
          <w:rFonts w:hint="eastAsia" w:ascii="宋体" w:hAnsi="宋体" w:eastAsia="宋体" w:cs="宋体"/>
          <w:color w:val="auto"/>
          <w:sz w:val="21"/>
          <w:szCs w:val="21"/>
          <w:highlight w:val="none"/>
          <w:u w:val="single"/>
          <w:lang w:eastAsia="zh-CN"/>
        </w:rPr>
        <w:t>义乌市</w:t>
      </w:r>
      <w:r>
        <w:rPr>
          <w:rFonts w:hint="eastAsia" w:ascii="宋体" w:hAnsi="宋体" w:eastAsia="宋体" w:cs="宋体"/>
          <w:color w:val="auto"/>
          <w:sz w:val="21"/>
          <w:szCs w:val="21"/>
          <w:highlight w:val="none"/>
        </w:rPr>
        <w:t>人民法院提起拆讼。</w:t>
      </w:r>
    </w:p>
    <w:p w14:paraId="19E20E16">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w:t>
      </w:r>
    </w:p>
    <w:p w14:paraId="1306B2A0">
      <w:pPr>
        <w:pStyle w:val="16"/>
        <w:adjustRightInd w:val="0"/>
        <w:snapToGrid w:val="0"/>
        <w:spacing w:after="0" w:line="460" w:lineRule="exact"/>
        <w:ind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16、合同份数</w:t>
      </w:r>
    </w:p>
    <w:p w14:paraId="5C4936A8">
      <w:pPr>
        <w:pStyle w:val="16"/>
        <w:adjustRightInd w:val="0"/>
        <w:snapToGrid w:val="0"/>
        <w:spacing w:after="0" w:line="4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16.2双方约定本合同副本</w:t>
      </w:r>
      <w:r>
        <w:rPr>
          <w:rFonts w:hint="eastAsia" w:ascii="宋体" w:hAnsi="宋体" w:eastAsia="宋体" w:cs="宋体"/>
          <w:color w:val="auto"/>
          <w:sz w:val="21"/>
          <w:szCs w:val="21"/>
          <w:highlight w:val="none"/>
          <w:u w:val="single"/>
        </w:rPr>
        <w:t xml:space="preserve">  8  </w:t>
      </w:r>
      <w:r>
        <w:rPr>
          <w:rFonts w:hint="eastAsia" w:ascii="宋体" w:hAnsi="宋体" w:eastAsia="宋体" w:cs="宋体"/>
          <w:color w:val="auto"/>
          <w:sz w:val="21"/>
          <w:szCs w:val="21"/>
          <w:highlight w:val="none"/>
        </w:rPr>
        <w:t>份，其中，委托人</w:t>
      </w:r>
      <w:r>
        <w:rPr>
          <w:rFonts w:hint="eastAsia" w:ascii="宋体" w:hAnsi="宋体" w:eastAsia="宋体" w:cs="宋体"/>
          <w:color w:val="auto"/>
          <w:sz w:val="21"/>
          <w:szCs w:val="21"/>
          <w:highlight w:val="none"/>
          <w:u w:val="single"/>
        </w:rPr>
        <w:t xml:space="preserve">  4  </w:t>
      </w:r>
      <w:r>
        <w:rPr>
          <w:rFonts w:hint="eastAsia" w:ascii="宋体" w:hAnsi="宋体" w:eastAsia="宋体" w:cs="宋体"/>
          <w:color w:val="auto"/>
          <w:sz w:val="21"/>
          <w:szCs w:val="21"/>
          <w:highlight w:val="none"/>
        </w:rPr>
        <w:t>份，受托人</w:t>
      </w:r>
      <w:r>
        <w:rPr>
          <w:rFonts w:hint="eastAsia" w:ascii="宋体" w:hAnsi="宋体" w:eastAsia="宋体" w:cs="宋体"/>
          <w:color w:val="auto"/>
          <w:sz w:val="21"/>
          <w:szCs w:val="21"/>
          <w:highlight w:val="none"/>
          <w:u w:val="single"/>
        </w:rPr>
        <w:t xml:space="preserve">  4   </w:t>
      </w:r>
      <w:r>
        <w:rPr>
          <w:rFonts w:hint="eastAsia" w:ascii="宋体" w:hAnsi="宋体" w:eastAsia="宋体" w:cs="宋体"/>
          <w:color w:val="auto"/>
          <w:sz w:val="21"/>
          <w:szCs w:val="21"/>
          <w:highlight w:val="none"/>
        </w:rPr>
        <w:t>份。</w:t>
      </w:r>
    </w:p>
    <w:p w14:paraId="5529A05F">
      <w:pPr>
        <w:adjustRightInd w:val="0"/>
        <w:snapToGrid w:val="0"/>
        <w:spacing w:line="460" w:lineRule="exact"/>
        <w:ind w:firstLine="42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17、补充条款：</w:t>
      </w:r>
    </w:p>
    <w:p w14:paraId="1D938D40">
      <w:pPr>
        <w:adjustRightInd w:val="0"/>
        <w:snapToGrid w:val="0"/>
        <w:spacing w:line="46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1、受托人应向委托人提供招标文件（含清单及标底）成果性文件的电子版和软件版、工程量计算稿明细的电子版及软件版，并刻录光盘。</w:t>
      </w:r>
    </w:p>
    <w:p w14:paraId="7F58469A">
      <w:pPr>
        <w:adjustRightInd w:val="0"/>
        <w:snapToGrid w:val="0"/>
        <w:spacing w:line="46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2、受托人应无偿配合委托人在后续项目实施过程中对清单工程量的解释及核对，设计变更造价咨询等工作。</w:t>
      </w:r>
    </w:p>
    <w:p w14:paraId="4A0B7EFC">
      <w:pPr>
        <w:pStyle w:val="16"/>
        <w:spacing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3、完成招标工作后，受托人提供招投标存档资料至少一式二份。</w:t>
      </w:r>
    </w:p>
    <w:p w14:paraId="791F31EC">
      <w:pPr>
        <w:pStyle w:val="16"/>
        <w:spacing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4、受托人接到委托人工作任务后，需根据委托人要求上报工作计划及人员配备情况报委托人审核。</w:t>
      </w:r>
    </w:p>
    <w:p w14:paraId="00668534">
      <w:pPr>
        <w:pStyle w:val="16"/>
        <w:spacing w:line="4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5、受托人需对招标文件（含清单及标底）进行三级审核，过程中提交委托人审核的资料均需加盖受托人公章。</w:t>
      </w:r>
    </w:p>
    <w:p w14:paraId="52F4B91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宋体"/>
          <w:color w:val="auto"/>
          <w:kern w:val="2"/>
          <w:sz w:val="21"/>
          <w:szCs w:val="21"/>
          <w:highlight w:val="none"/>
          <w:lang w:val="en-US" w:eastAsia="zh-CN"/>
        </w:rPr>
        <w:t>6、受托人在出具工程咨询成果时（包括过程稿）须同时提供委托人要求格式的各种经济技</w:t>
      </w:r>
      <w:r>
        <w:rPr>
          <w:rFonts w:hint="eastAsia" w:ascii="宋体" w:hAnsi="宋体" w:eastAsia="宋体" w:cs="宋体"/>
          <w:color w:val="auto"/>
          <w:highlight w:val="none"/>
          <w:lang w:val="en-US" w:eastAsia="zh-CN"/>
        </w:rPr>
        <w:t>术指标表。</w:t>
      </w:r>
      <w:r>
        <w:rPr>
          <w:rFonts w:hint="eastAsia" w:ascii="宋体" w:hAnsi="宋体" w:eastAsia="宋体"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工程施工过程中，如发现单个工程标底工程量清单数量有错算、漏算的，受托人应及时派员进行复核。经复核确认，错算、漏算项目累计工程价款超过该工程施工合同价正负3%（不含）以上，每超过1%扣除该工程招标代理服务费及工程造价咨询服务费的2%，直至扣完剩余的10%招标代理服务费及工程造价咨询服务费。误差率由委托人负责认定。</w:t>
      </w:r>
    </w:p>
    <w:p w14:paraId="28573CC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结算审核有下列情形之一，经确认，扣除协审中介该项目的全部审核费，如审核费已支付，在下次支付审核费时扣回：</w:t>
      </w:r>
    </w:p>
    <w:p w14:paraId="2F786A7E">
      <w:pPr>
        <w:keepNext w:val="0"/>
        <w:keepLines w:val="0"/>
        <w:pageBreakBefore w:val="0"/>
        <w:widowControl w:val="0"/>
        <w:kinsoku/>
        <w:wordWrap/>
        <w:overflowPunct/>
        <w:topLinePunct w:val="0"/>
        <w:autoSpaceDE w:val="0"/>
        <w:autoSpaceDN w:val="0"/>
        <w:bidi w:val="0"/>
        <w:adjustRightInd w:val="0"/>
        <w:snapToGrid/>
        <w:spacing w:line="360" w:lineRule="auto"/>
        <w:ind w:firstLine="54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（1）因协审中介原因，结算审核误差率大于3%且误差总额10万元及以上，或单项误差金额50万元及以上的；</w:t>
      </w:r>
    </w:p>
    <w:p w14:paraId="314A797F">
      <w:pPr>
        <w:keepNext w:val="0"/>
        <w:keepLines w:val="0"/>
        <w:pageBreakBefore w:val="0"/>
        <w:widowControl w:val="0"/>
        <w:kinsoku/>
        <w:wordWrap/>
        <w:overflowPunct/>
        <w:topLinePunct w:val="0"/>
        <w:autoSpaceDE w:val="0"/>
        <w:autoSpaceDN w:val="0"/>
        <w:bidi w:val="0"/>
        <w:adjustRightInd w:val="0"/>
        <w:snapToGrid/>
        <w:spacing w:line="360" w:lineRule="auto"/>
        <w:ind w:firstLine="54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（2）审计或相关部门抽查项目，因协审中介技术性差错导致误差率大于2%且误差总额10万元及以上，或单项误差金额30万元及以上的；</w:t>
      </w:r>
    </w:p>
    <w:p w14:paraId="5980F6B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受托人未按委托人要求安排人员编制预算、结算审核或招标代理工作的，招标人每发现一次扣除1000元，情节严重的招标人有权终止合同，并由受托人承担全部责任。</w:t>
      </w:r>
    </w:p>
    <w:p w14:paraId="1237770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发现受托人将预算、结算审核、招标代理服务等交由他人实施的，招标人将直接终止代理合同，扣除10000元，期间中标履约产生的费用由中标人承担，并列入不良行为记录。</w:t>
      </w:r>
    </w:p>
    <w:p w14:paraId="7E72101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en-US" w:eastAsia="zh-CN"/>
        </w:rPr>
        <w:t>11、</w:t>
      </w:r>
      <w:r>
        <w:rPr>
          <w:rFonts w:hint="eastAsia" w:ascii="宋体" w:hAnsi="宋体" w:eastAsia="宋体" w:cs="Times New Roman"/>
          <w:color w:val="auto"/>
          <w:sz w:val="21"/>
          <w:szCs w:val="21"/>
          <w:highlight w:val="none"/>
          <w:lang w:val="zh-CN"/>
        </w:rPr>
        <w:t>双方根据有关法律、行政法规规定，结合本合同招标项目实际，一般性项目在接到委托人的招标通知后，应在8日历天内完成该项目的招标文件编制并提交招标人审查。在收到完整的资料后，1000万元以下项目中标人在10日内完成预算初稿，1000万元—5000万元的项目中标人在15日内完成预算初稿，5000万元以上的项目中标人在20日内完成预算初稿。审核项目期限：自受理项目之日起，500万元以下的项目中标人在30天以内，500万元—2000万元的项目中标人在40天以内，2000万元—5000万元的项目中标人在50天以内，5000万元以上的项目中标人在70天以内提出完整的书面审核结果。确有特殊原因不能审结或不能完成预算编制初稿，向发包人提供书面或电子版本情况说明，经发包人同意后方可延长期限。如在二个月试用期内有项目出现重大差错或者未在规定的时间内完成造价咨询及招标文件编制工作的，委托人将终止合同。</w:t>
      </w:r>
    </w:p>
    <w:p w14:paraId="63DCADA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val="zh-CN"/>
        </w:rPr>
        <w:t>项目分配：义乌市第三自来水有限公司</w:t>
      </w:r>
      <w:r>
        <w:rPr>
          <w:rFonts w:hint="eastAsia" w:ascii="宋体" w:hAnsi="宋体" w:eastAsia="宋体" w:cs="Times New Roman"/>
          <w:color w:val="auto"/>
          <w:sz w:val="21"/>
          <w:szCs w:val="21"/>
          <w:highlight w:val="none"/>
          <w:lang w:val="zh-CN" w:eastAsia="zh-CN"/>
        </w:rPr>
        <w:t>抽签排序后按顺序轮流进行</w:t>
      </w:r>
      <w:r>
        <w:rPr>
          <w:rFonts w:hint="eastAsia" w:ascii="宋体" w:hAnsi="宋体" w:eastAsia="宋体" w:cs="Times New Roman"/>
          <w:color w:val="auto"/>
          <w:sz w:val="21"/>
          <w:szCs w:val="21"/>
          <w:highlight w:val="none"/>
          <w:lang w:val="zh-CN"/>
        </w:rPr>
        <w:t>项目分配，各中标单位必须无条件实施。</w:t>
      </w:r>
      <w:r>
        <w:rPr>
          <w:rFonts w:hint="eastAsia" w:ascii="宋体" w:hAnsi="宋体" w:eastAsia="宋体" w:cs="Times New Roman"/>
          <w:color w:val="auto"/>
          <w:sz w:val="21"/>
          <w:szCs w:val="21"/>
          <w:highlight w:val="none"/>
          <w:lang w:val="en-US" w:eastAsia="zh-CN"/>
        </w:rPr>
        <w:t>同时</w:t>
      </w:r>
      <w:r>
        <w:rPr>
          <w:rFonts w:hint="eastAsia" w:ascii="宋体" w:hAnsi="宋体" w:eastAsia="宋体" w:cs="Times New Roman"/>
          <w:color w:val="auto"/>
          <w:sz w:val="21"/>
          <w:szCs w:val="21"/>
          <w:highlight w:val="none"/>
          <w:lang w:val="zh-CN"/>
        </w:rPr>
        <w:t>建立考核机制，分配的造价咨询工作或者招标代理工作未及时完成的，根据实际情况每次扣0.5分-1分，累计达2分则暂停分配项目一次。提前完成，且质量较好的，每次加0.5分-1分，累计达2分则优先分配项目一次。</w:t>
      </w:r>
    </w:p>
    <w:p w14:paraId="6F45D1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eastAsia="宋体" w:cs="Times New Roman"/>
          <w:color w:val="auto"/>
          <w:sz w:val="21"/>
          <w:szCs w:val="21"/>
          <w:highlight w:val="none"/>
          <w:lang w:val="zh-CN"/>
        </w:rPr>
        <w:t>1</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zh-CN"/>
        </w:rPr>
        <w:t>预算由中标人1编制的，结算审核分配给中标人2</w:t>
      </w:r>
      <w:r>
        <w:rPr>
          <w:rFonts w:hint="eastAsia" w:ascii="宋体" w:hAnsi="宋体" w:eastAsia="宋体" w:cs="Times New Roman"/>
          <w:color w:val="auto"/>
          <w:sz w:val="21"/>
          <w:szCs w:val="21"/>
          <w:highlight w:val="none"/>
          <w:lang w:val="en-US" w:eastAsia="zh-CN"/>
        </w:rPr>
        <w:t>或者3。</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22D1948F">
      <w:pPr>
        <w:widowControl/>
        <w:spacing w:line="360" w:lineRule="auto"/>
        <w:ind w:firstLine="210" w:firstLineChars="100"/>
        <w:jc w:val="left"/>
        <w:rPr>
          <w:rFonts w:hint="eastAsia" w:ascii="宋体" w:hAnsi="宋体" w:cs="宋体"/>
          <w:color w:val="auto"/>
          <w:kern w:val="0"/>
          <w:szCs w:val="21"/>
          <w:highlight w:val="none"/>
        </w:rPr>
      </w:pPr>
    </w:p>
    <w:p w14:paraId="6C644494">
      <w:pPr>
        <w:widowControl/>
        <w:spacing w:line="360" w:lineRule="auto"/>
        <w:ind w:firstLine="210" w:firstLineChars="100"/>
        <w:jc w:val="left"/>
        <w:rPr>
          <w:rFonts w:hint="eastAsia" w:ascii="宋体" w:hAnsi="宋体" w:cs="宋体"/>
          <w:color w:val="auto"/>
          <w:kern w:val="0"/>
          <w:szCs w:val="21"/>
          <w:highlight w:val="none"/>
        </w:rPr>
      </w:pPr>
    </w:p>
    <w:p w14:paraId="504A1201">
      <w:pPr>
        <w:widowControl/>
        <w:spacing w:line="360" w:lineRule="auto"/>
        <w:rPr>
          <w:rFonts w:hint="eastAsia" w:ascii="宋体" w:hAnsi="宋体"/>
          <w:b/>
          <w:color w:val="auto"/>
          <w:sz w:val="36"/>
          <w:szCs w:val="36"/>
          <w:highlight w:val="none"/>
        </w:rPr>
      </w:pPr>
    </w:p>
    <w:p w14:paraId="36D1E894">
      <w:pPr>
        <w:rPr>
          <w:rFonts w:hint="eastAsia" w:ascii="宋体" w:hAnsi="宋体"/>
          <w:b/>
          <w:color w:val="auto"/>
          <w:sz w:val="36"/>
          <w:szCs w:val="36"/>
          <w:highlight w:val="none"/>
        </w:rPr>
      </w:pPr>
    </w:p>
    <w:p w14:paraId="76C804C5">
      <w:pPr>
        <w:widowControl/>
        <w:spacing w:line="360" w:lineRule="auto"/>
        <w:ind w:firstLine="361" w:firstLineChars="100"/>
        <w:jc w:val="center"/>
        <w:rPr>
          <w:rFonts w:hint="eastAsia" w:ascii="宋体" w:hAnsi="宋体" w:cs="宋体"/>
          <w:b/>
          <w:color w:val="auto"/>
          <w:sz w:val="36"/>
          <w:szCs w:val="36"/>
          <w:highlight w:val="none"/>
        </w:rPr>
      </w:pPr>
    </w:p>
    <w:p w14:paraId="45B0A14D">
      <w:pPr>
        <w:pStyle w:val="2"/>
        <w:keepNext w:val="0"/>
        <w:keepLines w:val="0"/>
        <w:pageBreakBefore/>
        <w:widowControl w:val="0"/>
        <w:kinsoku/>
        <w:wordWrap/>
        <w:overflowPunct/>
        <w:topLinePunct w:val="0"/>
        <w:autoSpaceDE/>
        <w:autoSpaceDN/>
        <w:bidi w:val="0"/>
        <w:adjustRightInd/>
        <w:snapToGrid/>
        <w:spacing w:before="340" w:after="330" w:line="240" w:lineRule="exact"/>
        <w:ind w:firstLine="2891" w:firstLineChars="800"/>
        <w:jc w:val="left"/>
        <w:textAlignment w:val="auto"/>
        <w:rPr>
          <w:rFonts w:hint="eastAsia" w:ascii="宋体" w:hAnsi="宋体" w:eastAsia="宋体" w:cs="Times New Roman"/>
          <w:color w:val="auto"/>
          <w:sz w:val="36"/>
          <w:szCs w:val="36"/>
          <w:highlight w:val="none"/>
        </w:rPr>
      </w:pPr>
      <w:bookmarkStart w:id="86" w:name="_Toc10614"/>
      <w:r>
        <w:rPr>
          <w:rFonts w:hint="eastAsia" w:ascii="宋体" w:hAnsi="宋体" w:eastAsia="宋体" w:cs="Times New Roman"/>
          <w:color w:val="auto"/>
          <w:sz w:val="36"/>
          <w:szCs w:val="36"/>
          <w:highlight w:val="none"/>
        </w:rPr>
        <w:t>第</w:t>
      </w:r>
      <w:r>
        <w:rPr>
          <w:rFonts w:hint="eastAsia" w:ascii="宋体" w:hAnsi="宋体" w:eastAsia="宋体" w:cs="Times New Roman"/>
          <w:color w:val="auto"/>
          <w:sz w:val="36"/>
          <w:szCs w:val="36"/>
          <w:highlight w:val="none"/>
          <w:lang w:val="en-US" w:eastAsia="zh-CN"/>
        </w:rPr>
        <w:t>九</w:t>
      </w:r>
      <w:r>
        <w:rPr>
          <w:rFonts w:hint="eastAsia" w:ascii="宋体" w:hAnsi="宋体" w:eastAsia="宋体" w:cs="Times New Roman"/>
          <w:color w:val="auto"/>
          <w:sz w:val="36"/>
          <w:szCs w:val="36"/>
          <w:highlight w:val="none"/>
        </w:rPr>
        <w:t>章  投标文件部分格式</w:t>
      </w:r>
      <w:bookmarkEnd w:id="86"/>
    </w:p>
    <w:p w14:paraId="3AB38D13">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7" w:name="_Toc12244"/>
      <w:r>
        <w:rPr>
          <w:rFonts w:hint="eastAsia" w:ascii="宋体" w:hAnsi="宋体" w:eastAsia="宋体" w:cs="宋体"/>
          <w:color w:val="auto"/>
          <w:sz w:val="21"/>
          <w:szCs w:val="21"/>
          <w:highlight w:val="none"/>
        </w:rPr>
        <w:t>一、资格响应文件、商务技术响应文件部分格式</w:t>
      </w:r>
      <w:bookmarkEnd w:id="87"/>
    </w:p>
    <w:p w14:paraId="4FB91288">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法定代表人授权书和被授权人身份证复印件［适用于非法定代表人参加投标的,说明：法定代表人以营业执照载明的人员为准］</w:t>
      </w:r>
    </w:p>
    <w:p w14:paraId="6F83C359">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义乌市国企采购项目投标承诺书</w:t>
      </w:r>
    </w:p>
    <w:p w14:paraId="13FE21B4">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技术服务承诺书</w:t>
      </w:r>
    </w:p>
    <w:p w14:paraId="3E46E3DE">
      <w:pPr>
        <w:tabs>
          <w:tab w:val="left" w:pos="105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规范偏离表</w:t>
      </w:r>
    </w:p>
    <w:p w14:paraId="76F14962">
      <w:pPr>
        <w:tabs>
          <w:tab w:val="left" w:pos="1050"/>
        </w:tabs>
        <w:spacing w:line="520" w:lineRule="exact"/>
        <w:ind w:left="528"/>
        <w:rPr>
          <w:rFonts w:hint="eastAsia" w:ascii="宋体" w:hAnsi="宋体" w:eastAsia="宋体" w:cs="宋体"/>
          <w:color w:val="auto"/>
          <w:sz w:val="21"/>
          <w:szCs w:val="21"/>
          <w:highlight w:val="none"/>
        </w:rPr>
      </w:pPr>
    </w:p>
    <w:p w14:paraId="0465B2DB">
      <w:pPr>
        <w:tabs>
          <w:tab w:val="left" w:pos="1050"/>
        </w:tabs>
        <w:spacing w:line="520" w:lineRule="exact"/>
        <w:ind w:left="528"/>
        <w:rPr>
          <w:rFonts w:hint="eastAsia" w:ascii="宋体" w:hAnsi="宋体" w:eastAsia="宋体" w:cs="宋体"/>
          <w:color w:val="auto"/>
          <w:sz w:val="21"/>
          <w:szCs w:val="21"/>
          <w:highlight w:val="none"/>
        </w:rPr>
      </w:pPr>
    </w:p>
    <w:p w14:paraId="5810C00D">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8" w:name="_Toc21195"/>
      <w:r>
        <w:rPr>
          <w:rFonts w:hint="eastAsia" w:ascii="宋体" w:hAnsi="宋体" w:eastAsia="宋体" w:cs="宋体"/>
          <w:color w:val="auto"/>
          <w:sz w:val="21"/>
          <w:szCs w:val="21"/>
          <w:highlight w:val="none"/>
        </w:rPr>
        <w:t>二、报价响应文件部分格式</w:t>
      </w:r>
      <w:bookmarkEnd w:id="88"/>
    </w:p>
    <w:p w14:paraId="7E8FC4E6">
      <w:pPr>
        <w:tabs>
          <w:tab w:val="left" w:pos="1080"/>
        </w:tabs>
        <w:spacing w:line="520" w:lineRule="exact"/>
        <w:ind w:left="5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开标一览表格式</w:t>
      </w:r>
    </w:p>
    <w:p w14:paraId="6BFFD696">
      <w:pPr>
        <w:spacing w:line="340" w:lineRule="exact"/>
        <w:rPr>
          <w:rFonts w:hint="eastAsia" w:ascii="宋体" w:hAnsi="宋体" w:eastAsia="宋体" w:cs="宋体"/>
          <w:color w:val="auto"/>
          <w:sz w:val="21"/>
          <w:szCs w:val="21"/>
          <w:highlight w:val="none"/>
        </w:rPr>
      </w:pPr>
    </w:p>
    <w:p w14:paraId="1FA07C2F">
      <w:pPr>
        <w:spacing w:line="340" w:lineRule="exact"/>
        <w:rPr>
          <w:rFonts w:hint="eastAsia" w:ascii="宋体" w:hAnsi="宋体" w:eastAsia="宋体" w:cs="宋体"/>
          <w:color w:val="auto"/>
          <w:sz w:val="21"/>
          <w:szCs w:val="21"/>
          <w:highlight w:val="none"/>
        </w:rPr>
      </w:pPr>
    </w:p>
    <w:p w14:paraId="17517A51">
      <w:pPr>
        <w:pStyle w:val="3"/>
        <w:pageBreakBefore w:val="0"/>
        <w:widowControl w:val="0"/>
        <w:kinsoku/>
        <w:wordWrap/>
        <w:overflowPunct/>
        <w:topLinePunct w:val="0"/>
        <w:autoSpaceDE/>
        <w:autoSpaceDN/>
        <w:bidi w:val="0"/>
        <w:spacing w:before="120" w:after="120" w:line="360" w:lineRule="auto"/>
        <w:rPr>
          <w:rFonts w:hint="eastAsia" w:ascii="宋体" w:hAnsi="宋体" w:eastAsia="宋体" w:cs="宋体"/>
          <w:color w:val="auto"/>
          <w:sz w:val="21"/>
          <w:szCs w:val="21"/>
          <w:highlight w:val="none"/>
        </w:rPr>
      </w:pPr>
      <w:bookmarkStart w:id="89" w:name="_Toc4702"/>
      <w:r>
        <w:rPr>
          <w:rFonts w:hint="eastAsia" w:ascii="宋体" w:hAnsi="宋体" w:eastAsia="宋体" w:cs="宋体"/>
          <w:color w:val="auto"/>
          <w:sz w:val="21"/>
          <w:szCs w:val="21"/>
          <w:highlight w:val="none"/>
        </w:rPr>
        <w:t>三、质疑函范本</w:t>
      </w:r>
      <w:bookmarkEnd w:id="89"/>
    </w:p>
    <w:p w14:paraId="7CC7F652">
      <w:pPr>
        <w:spacing w:line="340" w:lineRule="exact"/>
        <w:rPr>
          <w:rFonts w:hint="eastAsia" w:ascii="宋体" w:hAnsi="宋体" w:eastAsia="宋体" w:cs="宋体"/>
          <w:color w:val="auto"/>
          <w:sz w:val="21"/>
          <w:szCs w:val="21"/>
          <w:highlight w:val="none"/>
        </w:rPr>
      </w:pPr>
    </w:p>
    <w:p w14:paraId="04084EE3">
      <w:pPr>
        <w:spacing w:line="340" w:lineRule="exact"/>
        <w:rPr>
          <w:rFonts w:hint="eastAsia" w:ascii="宋体" w:hAnsi="宋体" w:eastAsia="宋体" w:cs="宋体"/>
          <w:color w:val="auto"/>
          <w:sz w:val="21"/>
          <w:szCs w:val="21"/>
          <w:highlight w:val="none"/>
        </w:rPr>
      </w:pPr>
    </w:p>
    <w:p w14:paraId="0513355B">
      <w:pPr>
        <w:spacing w:line="340" w:lineRule="exact"/>
        <w:rPr>
          <w:rFonts w:ascii="宋体" w:cs="宋体"/>
          <w:color w:val="auto"/>
          <w:sz w:val="24"/>
          <w:highlight w:val="none"/>
        </w:rPr>
      </w:pPr>
    </w:p>
    <w:p w14:paraId="5B53AE36">
      <w:pPr>
        <w:spacing w:line="340" w:lineRule="exact"/>
        <w:rPr>
          <w:rFonts w:ascii="宋体" w:cs="宋体"/>
          <w:color w:val="auto"/>
          <w:sz w:val="24"/>
          <w:highlight w:val="none"/>
        </w:rPr>
      </w:pPr>
    </w:p>
    <w:p w14:paraId="2D4CD31A">
      <w:pPr>
        <w:spacing w:line="340" w:lineRule="exact"/>
        <w:rPr>
          <w:rFonts w:ascii="宋体" w:cs="宋体"/>
          <w:color w:val="auto"/>
          <w:sz w:val="24"/>
          <w:highlight w:val="none"/>
        </w:rPr>
      </w:pPr>
    </w:p>
    <w:p w14:paraId="160928F0">
      <w:pPr>
        <w:spacing w:line="340" w:lineRule="exact"/>
        <w:rPr>
          <w:rFonts w:ascii="宋体" w:cs="宋体"/>
          <w:color w:val="auto"/>
          <w:sz w:val="24"/>
          <w:highlight w:val="none"/>
        </w:rPr>
      </w:pPr>
    </w:p>
    <w:p w14:paraId="3193D9AF">
      <w:pPr>
        <w:spacing w:line="340" w:lineRule="exact"/>
        <w:rPr>
          <w:rFonts w:ascii="宋体" w:cs="宋体"/>
          <w:color w:val="auto"/>
          <w:sz w:val="24"/>
          <w:highlight w:val="none"/>
        </w:rPr>
      </w:pPr>
    </w:p>
    <w:p w14:paraId="38FF4D6D">
      <w:pPr>
        <w:spacing w:line="340" w:lineRule="exact"/>
        <w:rPr>
          <w:rFonts w:ascii="宋体" w:cs="宋体"/>
          <w:color w:val="auto"/>
          <w:sz w:val="24"/>
          <w:highlight w:val="none"/>
        </w:rPr>
      </w:pPr>
    </w:p>
    <w:p w14:paraId="3AB2A080">
      <w:pPr>
        <w:spacing w:line="340" w:lineRule="exact"/>
        <w:rPr>
          <w:rFonts w:ascii="宋体" w:cs="宋体"/>
          <w:color w:val="auto"/>
          <w:sz w:val="24"/>
          <w:highlight w:val="none"/>
        </w:rPr>
      </w:pPr>
    </w:p>
    <w:p w14:paraId="0E6E85BD">
      <w:pPr>
        <w:spacing w:line="340" w:lineRule="exact"/>
        <w:rPr>
          <w:rFonts w:ascii="宋体" w:cs="宋体"/>
          <w:color w:val="auto"/>
          <w:sz w:val="24"/>
          <w:highlight w:val="none"/>
        </w:rPr>
      </w:pPr>
    </w:p>
    <w:p w14:paraId="2ABE284B">
      <w:pPr>
        <w:spacing w:line="340" w:lineRule="exact"/>
        <w:rPr>
          <w:rFonts w:ascii="宋体" w:cs="宋体"/>
          <w:color w:val="auto"/>
          <w:sz w:val="24"/>
          <w:highlight w:val="none"/>
        </w:rPr>
      </w:pPr>
    </w:p>
    <w:p w14:paraId="6502300B">
      <w:pPr>
        <w:spacing w:line="340" w:lineRule="exact"/>
        <w:rPr>
          <w:rFonts w:ascii="宋体" w:cs="宋体"/>
          <w:color w:val="auto"/>
          <w:sz w:val="24"/>
          <w:highlight w:val="none"/>
        </w:rPr>
      </w:pPr>
    </w:p>
    <w:p w14:paraId="666A7A23">
      <w:pPr>
        <w:pageBreakBefore w:val="0"/>
        <w:widowControl w:val="0"/>
        <w:kinsoku/>
        <w:wordWrap/>
        <w:overflowPunct/>
        <w:topLinePunct w:val="0"/>
        <w:autoSpaceDE/>
        <w:autoSpaceDN/>
        <w:bidi w:val="0"/>
        <w:spacing w:before="120" w:after="120" w:line="360" w:lineRule="auto"/>
        <w:outlineLvl w:val="9"/>
        <w:rPr>
          <w:rFonts w:hint="eastAsia" w:ascii="宋体" w:hAnsi="宋体" w:eastAsia="宋体" w:cs="宋体"/>
          <w:color w:val="auto"/>
          <w:sz w:val="21"/>
          <w:szCs w:val="21"/>
          <w:highlight w:val="none"/>
        </w:rPr>
      </w:pPr>
    </w:p>
    <w:p w14:paraId="75A195B6">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57DDE198">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07A40155">
      <w:pPr>
        <w:jc w:val="center"/>
        <w:rPr>
          <w:rFonts w:hint="eastAsia" w:ascii="宋体" w:hAnsi="宋体"/>
          <w:color w:val="auto"/>
          <w:sz w:val="24"/>
          <w:highlight w:val="none"/>
          <w:u w:val="single"/>
        </w:rPr>
      </w:pPr>
    </w:p>
    <w:p w14:paraId="08734C60">
      <w:pPr>
        <w:jc w:val="center"/>
        <w:rPr>
          <w:rFonts w:hint="eastAsia" w:ascii="宋体" w:hAnsi="宋体"/>
          <w:color w:val="auto"/>
          <w:sz w:val="24"/>
          <w:highlight w:val="none"/>
          <w:u w:val="single"/>
        </w:rPr>
      </w:pPr>
    </w:p>
    <w:p w14:paraId="4A0FA993">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4FA5CD20">
      <w:pPr>
        <w:rPr>
          <w:rFonts w:hint="eastAsia" w:ascii="宋体" w:hAnsi="宋体"/>
          <w:color w:val="auto"/>
          <w:sz w:val="52"/>
          <w:highlight w:val="none"/>
        </w:rPr>
      </w:pPr>
    </w:p>
    <w:p w14:paraId="4A28076A">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7948B8FD">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26419A00">
      <w:pPr>
        <w:jc w:val="center"/>
        <w:rPr>
          <w:rFonts w:hint="eastAsia" w:ascii="宋体" w:hAnsi="宋体"/>
          <w:b/>
          <w:bCs/>
          <w:color w:val="auto"/>
          <w:sz w:val="28"/>
          <w:highlight w:val="none"/>
        </w:rPr>
      </w:pPr>
    </w:p>
    <w:p w14:paraId="1EC1102A">
      <w:pPr>
        <w:jc w:val="center"/>
        <w:rPr>
          <w:rFonts w:hint="eastAsia" w:ascii="宋体" w:hAnsi="宋体"/>
          <w:b/>
          <w:bCs/>
          <w:color w:val="auto"/>
          <w:sz w:val="28"/>
          <w:highlight w:val="none"/>
        </w:rPr>
      </w:pPr>
    </w:p>
    <w:p w14:paraId="33105044">
      <w:pPr>
        <w:jc w:val="center"/>
        <w:rPr>
          <w:rFonts w:hint="eastAsia" w:ascii="宋体" w:hAnsi="宋体"/>
          <w:b/>
          <w:bCs/>
          <w:color w:val="auto"/>
          <w:sz w:val="28"/>
          <w:highlight w:val="none"/>
        </w:rPr>
      </w:pPr>
    </w:p>
    <w:p w14:paraId="0A5EDBA6">
      <w:pPr>
        <w:jc w:val="center"/>
        <w:rPr>
          <w:rFonts w:hint="eastAsia" w:ascii="宋体" w:hAnsi="宋体"/>
          <w:b/>
          <w:bCs/>
          <w:color w:val="auto"/>
          <w:sz w:val="28"/>
          <w:highlight w:val="none"/>
        </w:rPr>
      </w:pPr>
    </w:p>
    <w:p w14:paraId="5206D131">
      <w:pPr>
        <w:rPr>
          <w:rFonts w:hint="eastAsia" w:ascii="宋体" w:hAnsi="宋体"/>
          <w:b/>
          <w:bCs/>
          <w:color w:val="auto"/>
          <w:sz w:val="28"/>
          <w:highlight w:val="none"/>
        </w:rPr>
      </w:pPr>
    </w:p>
    <w:p w14:paraId="225F2BC4">
      <w:pPr>
        <w:jc w:val="center"/>
        <w:rPr>
          <w:rFonts w:hint="eastAsia" w:ascii="宋体" w:hAnsi="宋体"/>
          <w:b/>
          <w:bCs/>
          <w:color w:val="auto"/>
          <w:sz w:val="28"/>
          <w:highlight w:val="none"/>
        </w:rPr>
      </w:pPr>
    </w:p>
    <w:p w14:paraId="1C495183">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62A6F1E5">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680A108D">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09B08D9E">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069003B5">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法定代表人授权书（格式）</w:t>
      </w:r>
    </w:p>
    <w:p w14:paraId="258CA2DA">
      <w:pPr>
        <w:spacing w:line="480" w:lineRule="auto"/>
        <w:jc w:val="center"/>
        <w:rPr>
          <w:rFonts w:hint="eastAsia" w:ascii="宋体" w:hAnsi="宋体" w:cs="宋体"/>
          <w:b/>
          <w:color w:val="auto"/>
          <w:sz w:val="48"/>
          <w:highlight w:val="none"/>
        </w:rPr>
      </w:pPr>
    </w:p>
    <w:p w14:paraId="724E47DF">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6CFF1227">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5B71F5B">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2E27F0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78A40976">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1F12A3D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310F18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7E4FAF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09357598">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191DF3A1">
      <w:pPr>
        <w:spacing w:line="360" w:lineRule="auto"/>
        <w:rPr>
          <w:rFonts w:hint="eastAsia" w:ascii="宋体" w:hAnsi="宋体" w:cs="宋体"/>
          <w:color w:val="auto"/>
          <w:sz w:val="24"/>
          <w:highlight w:val="none"/>
        </w:rPr>
      </w:pPr>
    </w:p>
    <w:p w14:paraId="481A9995">
      <w:pPr>
        <w:spacing w:line="360" w:lineRule="auto"/>
        <w:rPr>
          <w:rFonts w:hint="eastAsia" w:ascii="宋体" w:hAnsi="宋体" w:cs="宋体"/>
          <w:color w:val="auto"/>
          <w:sz w:val="24"/>
          <w:highlight w:val="none"/>
        </w:rPr>
      </w:pPr>
    </w:p>
    <w:p w14:paraId="7B48DC27">
      <w:pPr>
        <w:spacing w:line="360" w:lineRule="auto"/>
        <w:rPr>
          <w:rFonts w:hint="eastAsia" w:ascii="宋体" w:hAnsi="宋体" w:cs="宋体"/>
          <w:color w:val="auto"/>
          <w:sz w:val="24"/>
          <w:highlight w:val="none"/>
        </w:rPr>
      </w:pPr>
    </w:p>
    <w:p w14:paraId="32B7A457">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w:t>
      </w:r>
      <w:r>
        <w:rPr>
          <w:rFonts w:hint="eastAsia" w:ascii="宋体" w:hAnsi="宋体" w:cs="宋体"/>
          <w:color w:val="auto"/>
          <w:sz w:val="24"/>
          <w:highlight w:val="none"/>
          <w:lang w:val="en-US" w:eastAsia="zh-CN"/>
        </w:rPr>
        <w:t>电子签章</w:t>
      </w:r>
      <w:r>
        <w:rPr>
          <w:rFonts w:hint="eastAsia" w:ascii="宋体" w:hAnsi="宋体" w:cs="宋体"/>
          <w:color w:val="auto"/>
          <w:sz w:val="24"/>
          <w:highlight w:val="none"/>
        </w:rPr>
        <w:t>）：</w:t>
      </w:r>
    </w:p>
    <w:p w14:paraId="67C0EC19">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7BD895AF">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773FE97">
      <w:pPr>
        <w:spacing w:line="360" w:lineRule="auto"/>
        <w:rPr>
          <w:rFonts w:hint="eastAsia" w:ascii="宋体" w:hAnsi="宋体" w:cs="宋体"/>
          <w:color w:val="auto"/>
          <w:sz w:val="24"/>
          <w:highlight w:val="none"/>
        </w:rPr>
      </w:pPr>
    </w:p>
    <w:p w14:paraId="7D1692F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注：该表格适用于非法定代表人作为投标方代表参加投标的。</w:t>
      </w:r>
    </w:p>
    <w:p w14:paraId="7FB414F3">
      <w:pPr>
        <w:jc w:val="center"/>
        <w:rPr>
          <w:rFonts w:hint="eastAsia" w:ascii="宋体" w:hAnsi="宋体" w:cs="宋体"/>
          <w:b/>
          <w:bCs/>
          <w:color w:val="auto"/>
          <w:sz w:val="36"/>
          <w:highlight w:val="none"/>
        </w:rPr>
      </w:pPr>
    </w:p>
    <w:p w14:paraId="049CC906">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2D05DB1A">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7AB4FF1E">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2.自愿接受义乌市财政局（以下简称市财政局）的管理，并严格遵守市财政局制定的招投标管理制度、规范和纪律。</w:t>
      </w:r>
    </w:p>
    <w:p w14:paraId="0A33322D">
      <w:pPr>
        <w:pStyle w:val="18"/>
        <w:spacing w:line="360" w:lineRule="exact"/>
        <w:ind w:firstLine="464" w:firstLineChars="200"/>
        <w:rPr>
          <w:rFonts w:hint="eastAsia" w:ascii="宋体" w:hAnsi="宋体" w:eastAsia="宋体" w:cs="宋体"/>
          <w:color w:val="auto"/>
          <w:w w:val="97"/>
          <w:sz w:val="24"/>
          <w:szCs w:val="24"/>
          <w:highlight w:val="none"/>
        </w:rPr>
      </w:pPr>
      <w:r>
        <w:rPr>
          <w:rFonts w:hint="eastAsia" w:ascii="宋体" w:hAnsi="宋体" w:eastAsia="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623E1A59">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6D888A3A">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5.不转让、出借、涂改、伪造资质（资格）证书或者以其他方式允许其他单位（个人）以我单位（本人）名义承接业务。</w:t>
      </w:r>
    </w:p>
    <w:p w14:paraId="2065F49F">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6.不与采购人或者其他投标人相互串通投标，围标，不以行贿等不正当手段谋取中标。</w:t>
      </w:r>
    </w:p>
    <w:p w14:paraId="5B1861C3">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7.在备案、招标、投标、报名、开标、评标、询标、中标、签订合同、合同备案等招投标预备和进行的全过程中提供的资料均真实、有效，不弄虚作假。</w:t>
      </w:r>
    </w:p>
    <w:p w14:paraId="663EAC24">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8.我方已详细审核全部招标文件，包括修改文件(如果有的话)，及有关附件，我方同意放弃提出含糊不清或误解的权力。 </w:t>
      </w:r>
    </w:p>
    <w:p w14:paraId="597CDDDE">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9.投标文件中未明确的内容按招标文件执行。</w:t>
      </w:r>
    </w:p>
    <w:p w14:paraId="7FD6EAF6">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10.我方同意所递交的投标文件在招标期内有效，在此期间内我方有可能中标，我方将受此约束。</w:t>
      </w:r>
    </w:p>
    <w:p w14:paraId="04FCEDD4">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11.我方相信贵方的招标结果是公正、合法的，无论我方中标还是落标，我方将接受这一结果。 </w:t>
      </w:r>
    </w:p>
    <w:p w14:paraId="349F9066">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12.一旦我方中标，我方将严格依照招标文件中的相关规定与招标方签订合同。</w:t>
      </w:r>
    </w:p>
    <w:p w14:paraId="23F30EEF">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13.不低于企业成本价投标，不恶意过高报价，不扰乱招投标的正常秩序。</w:t>
      </w:r>
    </w:p>
    <w:p w14:paraId="63503267">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14.严格遵守开标会议纪律，不在开标会场吵闹、滋事，服从工作人员指挥。</w:t>
      </w:r>
    </w:p>
    <w:p w14:paraId="7C544432">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5EC366A1">
      <w:pPr>
        <w:pStyle w:val="18"/>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414B89ED">
      <w:pPr>
        <w:rPr>
          <w:rFonts w:hint="eastAsia"/>
          <w:color w:val="auto"/>
          <w:szCs w:val="20"/>
          <w:highlight w:val="none"/>
        </w:rPr>
      </w:pPr>
    </w:p>
    <w:p w14:paraId="4101AAFB">
      <w:pPr>
        <w:pStyle w:val="18"/>
        <w:spacing w:line="380" w:lineRule="exact"/>
        <w:rPr>
          <w:rFonts w:hint="eastAsia" w:ascii="宋体"/>
          <w:b/>
          <w:bCs/>
          <w:color w:val="auto"/>
          <w:sz w:val="44"/>
          <w:szCs w:val="44"/>
          <w:highlight w:val="none"/>
        </w:rPr>
      </w:pPr>
      <w:r>
        <w:rPr>
          <w:rFonts w:hint="eastAsia" w:hAnsi="宋体" w:cs="宋体"/>
          <w:color w:val="auto"/>
          <w:sz w:val="24"/>
          <w:szCs w:val="24"/>
          <w:highlight w:val="none"/>
        </w:rPr>
        <w:t>投标人（电子签章）：法定代表人或其授权的委托代理人（签字或盖章）：   年   月   日</w:t>
      </w:r>
    </w:p>
    <w:p w14:paraId="0CB428C2">
      <w:pPr>
        <w:spacing w:line="360" w:lineRule="auto"/>
        <w:jc w:val="both"/>
        <w:rPr>
          <w:rFonts w:hint="eastAsia" w:hAnsi="宋体"/>
          <w:b/>
          <w:color w:val="auto"/>
          <w:sz w:val="24"/>
          <w:highlight w:val="none"/>
        </w:rPr>
      </w:pPr>
    </w:p>
    <w:p w14:paraId="34EC40D3">
      <w:pPr>
        <w:spacing w:line="480" w:lineRule="auto"/>
        <w:jc w:val="center"/>
        <w:outlineLvl w:val="2"/>
        <w:rPr>
          <w:rFonts w:ascii="宋体"/>
          <w:b/>
          <w:bCs/>
          <w:color w:val="auto"/>
          <w:sz w:val="36"/>
          <w:szCs w:val="36"/>
          <w:highlight w:val="none"/>
        </w:rPr>
      </w:pPr>
      <w:r>
        <w:rPr>
          <w:rFonts w:hint="eastAsia" w:ascii="宋体" w:hAnsi="宋体" w:cs="宋体"/>
          <w:b/>
          <w:bCs/>
          <w:color w:val="auto"/>
          <w:sz w:val="36"/>
          <w:szCs w:val="36"/>
          <w:highlight w:val="none"/>
        </w:rPr>
        <w:t>技术服务承诺书</w:t>
      </w:r>
    </w:p>
    <w:p w14:paraId="530E1C4D">
      <w:pPr>
        <w:spacing w:line="360" w:lineRule="auto"/>
        <w:jc w:val="center"/>
        <w:rPr>
          <w:rFonts w:ascii="宋体"/>
          <w:color w:val="auto"/>
          <w:sz w:val="24"/>
          <w:szCs w:val="24"/>
          <w:highlight w:val="none"/>
        </w:rPr>
      </w:pPr>
      <w:r>
        <w:rPr>
          <w:rFonts w:hint="eastAsia" w:ascii="宋体" w:hAnsi="宋体" w:cs="宋体"/>
          <w:color w:val="auto"/>
          <w:sz w:val="24"/>
          <w:szCs w:val="24"/>
          <w:highlight w:val="none"/>
        </w:rPr>
        <w:t>（投标方自行书写）</w:t>
      </w:r>
    </w:p>
    <w:p w14:paraId="77553DF9">
      <w:pPr>
        <w:spacing w:line="360" w:lineRule="auto"/>
        <w:jc w:val="center"/>
        <w:rPr>
          <w:rFonts w:ascii="宋体"/>
          <w:color w:val="auto"/>
          <w:sz w:val="24"/>
          <w:szCs w:val="24"/>
          <w:highlight w:val="none"/>
        </w:rPr>
      </w:pPr>
    </w:p>
    <w:p w14:paraId="4338EDD3">
      <w:pPr>
        <w:pStyle w:val="18"/>
        <w:spacing w:line="460" w:lineRule="exact"/>
        <w:ind w:firstLine="240" w:firstLineChars="100"/>
        <w:rPr>
          <w:rFonts w:hAnsi="宋体"/>
          <w:color w:val="auto"/>
          <w:sz w:val="24"/>
          <w:szCs w:val="24"/>
          <w:highlight w:val="none"/>
        </w:rPr>
      </w:pPr>
      <w:r>
        <w:rPr>
          <w:rFonts w:hint="eastAsia" w:hAnsi="宋体"/>
          <w:color w:val="auto"/>
          <w:sz w:val="24"/>
          <w:szCs w:val="24"/>
          <w:highlight w:val="none"/>
        </w:rPr>
        <w:t>投标单位须对服务期、服务质量、人员等招标文件中要求做出承诺的内容做出相应承诺</w:t>
      </w:r>
    </w:p>
    <w:p w14:paraId="4E62477E">
      <w:pPr>
        <w:spacing w:line="360" w:lineRule="auto"/>
        <w:jc w:val="center"/>
        <w:rPr>
          <w:rFonts w:ascii="宋体"/>
          <w:color w:val="auto"/>
          <w:sz w:val="24"/>
          <w:szCs w:val="24"/>
          <w:highlight w:val="none"/>
        </w:rPr>
      </w:pPr>
    </w:p>
    <w:p w14:paraId="760241DA">
      <w:pPr>
        <w:spacing w:line="360" w:lineRule="auto"/>
        <w:jc w:val="center"/>
        <w:rPr>
          <w:rFonts w:ascii="宋体"/>
          <w:color w:val="auto"/>
          <w:sz w:val="24"/>
          <w:szCs w:val="24"/>
          <w:highlight w:val="none"/>
        </w:rPr>
      </w:pPr>
    </w:p>
    <w:p w14:paraId="3B614CC2">
      <w:pPr>
        <w:spacing w:line="360" w:lineRule="auto"/>
        <w:jc w:val="center"/>
        <w:rPr>
          <w:rFonts w:ascii="宋体"/>
          <w:color w:val="auto"/>
          <w:sz w:val="24"/>
          <w:szCs w:val="24"/>
          <w:highlight w:val="none"/>
        </w:rPr>
      </w:pPr>
    </w:p>
    <w:p w14:paraId="5F21169B">
      <w:pPr>
        <w:spacing w:line="360" w:lineRule="auto"/>
        <w:jc w:val="center"/>
        <w:rPr>
          <w:rFonts w:ascii="宋体"/>
          <w:color w:val="auto"/>
          <w:sz w:val="24"/>
          <w:szCs w:val="24"/>
          <w:highlight w:val="none"/>
        </w:rPr>
      </w:pPr>
    </w:p>
    <w:p w14:paraId="6FEF306F">
      <w:pPr>
        <w:spacing w:line="360" w:lineRule="auto"/>
        <w:jc w:val="center"/>
        <w:rPr>
          <w:rFonts w:ascii="宋体"/>
          <w:color w:val="auto"/>
          <w:sz w:val="24"/>
          <w:szCs w:val="24"/>
          <w:highlight w:val="none"/>
        </w:rPr>
      </w:pPr>
    </w:p>
    <w:p w14:paraId="6DC91830">
      <w:pPr>
        <w:spacing w:line="360" w:lineRule="auto"/>
        <w:jc w:val="center"/>
        <w:rPr>
          <w:rFonts w:ascii="宋体"/>
          <w:color w:val="auto"/>
          <w:sz w:val="24"/>
          <w:szCs w:val="24"/>
          <w:highlight w:val="none"/>
        </w:rPr>
      </w:pPr>
    </w:p>
    <w:p w14:paraId="68FF80BB">
      <w:pPr>
        <w:spacing w:line="360" w:lineRule="auto"/>
        <w:jc w:val="center"/>
        <w:rPr>
          <w:rFonts w:ascii="宋体"/>
          <w:color w:val="auto"/>
          <w:sz w:val="24"/>
          <w:szCs w:val="24"/>
          <w:highlight w:val="none"/>
        </w:rPr>
      </w:pPr>
    </w:p>
    <w:p w14:paraId="7753E261">
      <w:pPr>
        <w:spacing w:line="360" w:lineRule="auto"/>
        <w:jc w:val="center"/>
        <w:rPr>
          <w:rFonts w:ascii="宋体"/>
          <w:color w:val="auto"/>
          <w:sz w:val="24"/>
          <w:szCs w:val="24"/>
          <w:highlight w:val="none"/>
        </w:rPr>
      </w:pPr>
    </w:p>
    <w:p w14:paraId="2A991888">
      <w:pPr>
        <w:spacing w:line="360" w:lineRule="auto"/>
        <w:jc w:val="center"/>
        <w:rPr>
          <w:rFonts w:ascii="宋体"/>
          <w:color w:val="auto"/>
          <w:sz w:val="24"/>
          <w:szCs w:val="24"/>
          <w:highlight w:val="none"/>
        </w:rPr>
      </w:pPr>
    </w:p>
    <w:p w14:paraId="047F1DA7">
      <w:pPr>
        <w:spacing w:line="360" w:lineRule="auto"/>
        <w:jc w:val="center"/>
        <w:rPr>
          <w:rFonts w:ascii="宋体"/>
          <w:color w:val="auto"/>
          <w:sz w:val="24"/>
          <w:szCs w:val="24"/>
          <w:highlight w:val="none"/>
        </w:rPr>
      </w:pPr>
    </w:p>
    <w:p w14:paraId="49CFC983">
      <w:pPr>
        <w:spacing w:line="360" w:lineRule="auto"/>
        <w:ind w:firstLine="2280" w:firstLineChars="950"/>
        <w:rPr>
          <w:rFonts w:ascii="宋体"/>
          <w:color w:val="auto"/>
          <w:sz w:val="24"/>
          <w:szCs w:val="24"/>
          <w:highlight w:val="none"/>
        </w:rPr>
      </w:pPr>
      <w:r>
        <w:rPr>
          <w:rFonts w:hint="eastAsia" w:ascii="宋体" w:hAnsi="宋体" w:cs="宋体"/>
          <w:color w:val="auto"/>
          <w:sz w:val="24"/>
          <w:szCs w:val="24"/>
          <w:highlight w:val="none"/>
        </w:rPr>
        <w:t>投标人法定代表人（或法定代表人授权代表）签字：</w:t>
      </w:r>
    </w:p>
    <w:p w14:paraId="76C4AB4A">
      <w:pPr>
        <w:spacing w:line="360" w:lineRule="auto"/>
        <w:ind w:firstLine="4560" w:firstLineChars="1900"/>
        <w:rPr>
          <w:rFonts w:ascii="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lang w:val="en-US" w:eastAsia="zh-CN"/>
        </w:rPr>
        <w:t>电子签</w:t>
      </w:r>
      <w:r>
        <w:rPr>
          <w:rFonts w:hint="eastAsia" w:ascii="宋体" w:hAnsi="宋体" w:cs="宋体"/>
          <w:color w:val="auto"/>
          <w:sz w:val="24"/>
          <w:szCs w:val="24"/>
          <w:highlight w:val="none"/>
        </w:rPr>
        <w:t>章）：</w:t>
      </w:r>
    </w:p>
    <w:p w14:paraId="7DEFC8F6">
      <w:pPr>
        <w:spacing w:line="360" w:lineRule="auto"/>
        <w:ind w:firstLine="4560" w:firstLineChars="1900"/>
        <w:rPr>
          <w:rFonts w:ascii="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16439DC6">
      <w:pPr>
        <w:spacing w:line="360" w:lineRule="auto"/>
        <w:jc w:val="center"/>
        <w:rPr>
          <w:rFonts w:ascii="宋体"/>
          <w:color w:val="auto"/>
          <w:sz w:val="24"/>
          <w:highlight w:val="none"/>
          <w:u w:val="single"/>
        </w:rPr>
      </w:pPr>
      <w:r>
        <w:rPr>
          <w:rFonts w:ascii="宋体"/>
          <w:color w:val="auto"/>
          <w:sz w:val="24"/>
          <w:highlight w:val="none"/>
          <w:u w:val="single"/>
        </w:rPr>
        <w:t xml:space="preserve">                           </w:t>
      </w:r>
    </w:p>
    <w:p w14:paraId="3C898747">
      <w:pPr>
        <w:spacing w:line="360" w:lineRule="auto"/>
        <w:jc w:val="center"/>
        <w:rPr>
          <w:rFonts w:ascii="宋体"/>
          <w:color w:val="auto"/>
          <w:sz w:val="24"/>
          <w:highlight w:val="none"/>
        </w:rPr>
      </w:pPr>
      <w:r>
        <w:rPr>
          <w:rFonts w:hint="eastAsia" w:ascii="宋体"/>
          <w:color w:val="auto"/>
          <w:sz w:val="24"/>
          <w:highlight w:val="none"/>
        </w:rPr>
        <w:t>签字代表</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p>
    <w:p w14:paraId="5EF58362">
      <w:pPr>
        <w:spacing w:line="360" w:lineRule="auto"/>
        <w:jc w:val="center"/>
        <w:outlineLvl w:val="9"/>
        <w:rPr>
          <w:rFonts w:hint="eastAsia" w:ascii="宋体"/>
          <w:color w:val="auto"/>
          <w:sz w:val="24"/>
          <w:highlight w:val="none"/>
        </w:rPr>
      </w:pP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7B233203">
      <w:pPr>
        <w:spacing w:line="360" w:lineRule="auto"/>
        <w:jc w:val="center"/>
        <w:outlineLvl w:val="2"/>
        <w:rPr>
          <w:rFonts w:hint="eastAsia" w:ascii="宋体" w:hAnsi="宋体" w:eastAsia="宋体" w:cs="宋体"/>
          <w:b/>
          <w:color w:val="auto"/>
          <w:sz w:val="32"/>
          <w:szCs w:val="32"/>
          <w:highlight w:val="none"/>
        </w:rPr>
      </w:pPr>
      <w:r>
        <w:rPr>
          <w:rFonts w:hint="eastAsia" w:ascii="宋体"/>
          <w:color w:val="auto"/>
          <w:sz w:val="24"/>
          <w:highlight w:val="none"/>
        </w:rPr>
        <w:br w:type="page"/>
      </w:r>
      <w:r>
        <w:rPr>
          <w:rFonts w:hint="eastAsia" w:ascii="宋体" w:hAnsi="宋体" w:eastAsia="宋体" w:cs="宋体"/>
          <w:b/>
          <w:color w:val="auto"/>
          <w:sz w:val="32"/>
          <w:szCs w:val="32"/>
          <w:highlight w:val="none"/>
        </w:rPr>
        <w:t>规范偏离表</w:t>
      </w:r>
    </w:p>
    <w:p w14:paraId="4C5D1A9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6CF1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944C48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66170E5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312EE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225803F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07B3F8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281E22E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908B16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3B5AFDC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0A64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46F6673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5344DF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A9C6BA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55072AE">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05A507F">
            <w:pPr>
              <w:spacing w:line="360" w:lineRule="auto"/>
              <w:rPr>
                <w:rFonts w:hint="eastAsia" w:ascii="宋体" w:hAnsi="宋体" w:eastAsia="宋体" w:cs="宋体"/>
                <w:color w:val="auto"/>
                <w:sz w:val="24"/>
                <w:highlight w:val="none"/>
              </w:rPr>
            </w:pPr>
          </w:p>
        </w:tc>
      </w:tr>
      <w:tr w14:paraId="0A50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52C3CE7">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C02AC58">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CED3106">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41B183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9DB92AB">
            <w:pPr>
              <w:spacing w:line="360" w:lineRule="auto"/>
              <w:rPr>
                <w:rFonts w:hint="eastAsia" w:ascii="宋体" w:hAnsi="宋体" w:eastAsia="宋体" w:cs="宋体"/>
                <w:color w:val="auto"/>
                <w:sz w:val="24"/>
                <w:highlight w:val="none"/>
              </w:rPr>
            </w:pPr>
          </w:p>
        </w:tc>
      </w:tr>
      <w:tr w14:paraId="276C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15FC75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8AE861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79CACE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3A1904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C797E69">
            <w:pPr>
              <w:spacing w:line="360" w:lineRule="auto"/>
              <w:rPr>
                <w:rFonts w:hint="eastAsia" w:ascii="宋体" w:hAnsi="宋体" w:eastAsia="宋体" w:cs="宋体"/>
                <w:color w:val="auto"/>
                <w:sz w:val="24"/>
                <w:highlight w:val="none"/>
              </w:rPr>
            </w:pPr>
          </w:p>
        </w:tc>
      </w:tr>
      <w:tr w14:paraId="098F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755BC92">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05DBB5E">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A746A3B">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A11F03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731EDAC">
            <w:pPr>
              <w:spacing w:line="360" w:lineRule="auto"/>
              <w:rPr>
                <w:rFonts w:hint="eastAsia" w:ascii="宋体" w:hAnsi="宋体" w:eastAsia="宋体" w:cs="宋体"/>
                <w:color w:val="auto"/>
                <w:sz w:val="24"/>
                <w:highlight w:val="none"/>
              </w:rPr>
            </w:pPr>
          </w:p>
        </w:tc>
      </w:tr>
      <w:tr w14:paraId="3F41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3ABF4F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A0F2C3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BEBAFD4">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C0B812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07CF23A">
            <w:pPr>
              <w:spacing w:line="360" w:lineRule="auto"/>
              <w:rPr>
                <w:rFonts w:hint="eastAsia" w:ascii="宋体" w:hAnsi="宋体" w:eastAsia="宋体" w:cs="宋体"/>
                <w:color w:val="auto"/>
                <w:sz w:val="24"/>
                <w:highlight w:val="none"/>
              </w:rPr>
            </w:pPr>
          </w:p>
        </w:tc>
      </w:tr>
      <w:tr w14:paraId="7802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688C39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4B5A0DE">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7753EC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9AA864B">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F2760E5">
            <w:pPr>
              <w:spacing w:line="360" w:lineRule="auto"/>
              <w:rPr>
                <w:rFonts w:hint="eastAsia" w:ascii="宋体" w:hAnsi="宋体" w:eastAsia="宋体" w:cs="宋体"/>
                <w:color w:val="auto"/>
                <w:sz w:val="24"/>
                <w:highlight w:val="none"/>
              </w:rPr>
            </w:pPr>
          </w:p>
        </w:tc>
      </w:tr>
      <w:tr w14:paraId="014F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476424F">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BAB8392">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F61C93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A74BC0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B104C1E">
            <w:pPr>
              <w:spacing w:line="360" w:lineRule="auto"/>
              <w:rPr>
                <w:rFonts w:hint="eastAsia" w:ascii="宋体" w:hAnsi="宋体" w:eastAsia="宋体" w:cs="宋体"/>
                <w:color w:val="auto"/>
                <w:sz w:val="24"/>
                <w:highlight w:val="none"/>
              </w:rPr>
            </w:pPr>
          </w:p>
        </w:tc>
      </w:tr>
      <w:tr w14:paraId="4429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85E673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BE80C4B">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8166062">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DC632D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A174E41">
            <w:pPr>
              <w:spacing w:line="360" w:lineRule="auto"/>
              <w:rPr>
                <w:rFonts w:hint="eastAsia" w:ascii="宋体" w:hAnsi="宋体" w:eastAsia="宋体" w:cs="宋体"/>
                <w:color w:val="auto"/>
                <w:sz w:val="24"/>
                <w:highlight w:val="none"/>
              </w:rPr>
            </w:pPr>
          </w:p>
        </w:tc>
      </w:tr>
      <w:tr w14:paraId="3000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962289D">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3B5F77C">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2A5279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37688A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5D27E1D">
            <w:pPr>
              <w:spacing w:line="360" w:lineRule="auto"/>
              <w:rPr>
                <w:rFonts w:hint="eastAsia" w:ascii="宋体" w:hAnsi="宋体" w:eastAsia="宋体" w:cs="宋体"/>
                <w:color w:val="auto"/>
                <w:sz w:val="24"/>
                <w:highlight w:val="none"/>
              </w:rPr>
            </w:pPr>
          </w:p>
        </w:tc>
      </w:tr>
      <w:tr w14:paraId="6457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7E544A82">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E271002">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17D453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DCBB8D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30C186F">
            <w:pPr>
              <w:spacing w:line="360" w:lineRule="auto"/>
              <w:rPr>
                <w:rFonts w:hint="eastAsia" w:ascii="宋体" w:hAnsi="宋体" w:eastAsia="宋体" w:cs="宋体"/>
                <w:color w:val="auto"/>
                <w:sz w:val="24"/>
                <w:highlight w:val="none"/>
              </w:rPr>
            </w:pPr>
          </w:p>
        </w:tc>
      </w:tr>
      <w:tr w14:paraId="7477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3CA184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D4116D4">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891AB20">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599085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887DA89">
            <w:pPr>
              <w:spacing w:line="360" w:lineRule="auto"/>
              <w:rPr>
                <w:rFonts w:hint="eastAsia" w:ascii="宋体" w:hAnsi="宋体" w:eastAsia="宋体" w:cs="宋体"/>
                <w:color w:val="auto"/>
                <w:sz w:val="24"/>
                <w:highlight w:val="none"/>
              </w:rPr>
            </w:pPr>
          </w:p>
        </w:tc>
      </w:tr>
      <w:tr w14:paraId="4C6E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F26DDC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4AE75A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7775E9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7F371D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75A6A18">
            <w:pPr>
              <w:spacing w:line="360" w:lineRule="auto"/>
              <w:rPr>
                <w:rFonts w:hint="eastAsia" w:ascii="宋体" w:hAnsi="宋体" w:eastAsia="宋体" w:cs="宋体"/>
                <w:color w:val="auto"/>
                <w:sz w:val="24"/>
                <w:highlight w:val="none"/>
              </w:rPr>
            </w:pPr>
          </w:p>
        </w:tc>
      </w:tr>
      <w:tr w14:paraId="2FAC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60E9636">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B6A9F0F">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3D903C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9628FEF">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1C6796E">
            <w:pPr>
              <w:spacing w:line="360" w:lineRule="auto"/>
              <w:rPr>
                <w:rFonts w:hint="eastAsia" w:ascii="宋体" w:hAnsi="宋体" w:eastAsia="宋体" w:cs="宋体"/>
                <w:color w:val="auto"/>
                <w:sz w:val="24"/>
                <w:highlight w:val="none"/>
              </w:rPr>
            </w:pPr>
          </w:p>
        </w:tc>
      </w:tr>
      <w:tr w14:paraId="4A9A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971CAB2">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5465C98">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EFE6EF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05A019C">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3099457">
            <w:pPr>
              <w:spacing w:line="360" w:lineRule="auto"/>
              <w:rPr>
                <w:rFonts w:hint="eastAsia" w:ascii="宋体" w:hAnsi="宋体" w:eastAsia="宋体" w:cs="宋体"/>
                <w:color w:val="auto"/>
                <w:sz w:val="24"/>
                <w:highlight w:val="none"/>
              </w:rPr>
            </w:pPr>
          </w:p>
        </w:tc>
      </w:tr>
    </w:tbl>
    <w:p w14:paraId="4DAAA05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671D7E2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0A72092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30D79158">
      <w:pPr>
        <w:spacing w:line="360" w:lineRule="auto"/>
        <w:rPr>
          <w:rFonts w:hint="eastAsia" w:ascii="宋体" w:hAnsi="宋体" w:cs="宋体"/>
          <w:color w:val="auto"/>
          <w:sz w:val="24"/>
          <w:highlight w:val="none"/>
        </w:rPr>
      </w:pPr>
    </w:p>
    <w:p w14:paraId="54CB2268">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投标方应仔细对第三章招标货物清单及项目要求进行逐条分析，对于投标内容与招标文件内容有不一致的条款，则须在上表中列明并详细填写。</w:t>
      </w:r>
    </w:p>
    <w:p w14:paraId="341D2CC1">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如招标文件内容与投标文件内容都一致的，则本表可以在相关的签字、盖章后，不需要填写其他内容或在“偏离情况详细说明”栏内只填写一个无字。</w:t>
      </w:r>
    </w:p>
    <w:p w14:paraId="73FFC4F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此表在不改变表式内容的情况下可自行制作</w:t>
      </w:r>
      <w:r>
        <w:rPr>
          <w:rFonts w:hint="eastAsia" w:ascii="宋体" w:hAnsi="宋体" w:cs="宋体"/>
          <w:color w:val="auto"/>
          <w:sz w:val="24"/>
          <w:highlight w:val="none"/>
          <w:lang w:eastAsia="zh-CN"/>
        </w:rPr>
        <w:t>。</w:t>
      </w:r>
    </w:p>
    <w:p w14:paraId="7B3B05B8">
      <w:pPr>
        <w:pStyle w:val="18"/>
        <w:spacing w:line="360" w:lineRule="auto"/>
        <w:jc w:val="right"/>
        <w:rPr>
          <w:rFonts w:hint="eastAsia" w:hAnsi="宋体"/>
          <w:b/>
          <w:color w:val="auto"/>
          <w:sz w:val="24"/>
          <w:highlight w:val="none"/>
        </w:rPr>
      </w:pPr>
    </w:p>
    <w:p w14:paraId="3085163D">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开标一览表</w:t>
      </w:r>
    </w:p>
    <w:p w14:paraId="708D85D9">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001B7A96">
      <w:pPr>
        <w:spacing w:line="600" w:lineRule="exact"/>
        <w:rPr>
          <w:rFonts w:ascii="宋体"/>
          <w:color w:val="auto"/>
          <w:sz w:val="21"/>
          <w:szCs w:val="21"/>
          <w:highlight w:val="none"/>
        </w:rPr>
      </w:pPr>
      <w:r>
        <w:rPr>
          <w:rFonts w:hint="eastAsia" w:ascii="宋体" w:hAnsi="宋体" w:cs="宋体"/>
          <w:color w:val="auto"/>
          <w:sz w:val="21"/>
          <w:szCs w:val="21"/>
          <w:highlight w:val="none"/>
        </w:rPr>
        <w:t>项目名称：</w:t>
      </w:r>
    </w:p>
    <w:p w14:paraId="6F51094D">
      <w:pPr>
        <w:spacing w:line="600" w:lineRule="exact"/>
        <w:rPr>
          <w:rFonts w:ascii="宋体"/>
          <w:color w:val="auto"/>
          <w:sz w:val="21"/>
          <w:szCs w:val="21"/>
          <w:highlight w:val="none"/>
        </w:rPr>
      </w:pPr>
      <w:r>
        <w:rPr>
          <w:rFonts w:hint="eastAsia" w:ascii="宋体" w:hAnsi="宋体" w:cs="宋体"/>
          <w:color w:val="auto"/>
          <w:sz w:val="21"/>
          <w:szCs w:val="21"/>
          <w:highlight w:val="none"/>
        </w:rPr>
        <w:t>招标编号：</w:t>
      </w:r>
    </w:p>
    <w:tbl>
      <w:tblPr>
        <w:tblStyle w:val="37"/>
        <w:tblW w:w="7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9"/>
        <w:gridCol w:w="3525"/>
      </w:tblGrid>
      <w:tr w14:paraId="62CF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479" w:type="dxa"/>
            <w:noWrap w:val="0"/>
            <w:vAlign w:val="center"/>
          </w:tcPr>
          <w:p w14:paraId="0969B21A">
            <w:pPr>
              <w:spacing w:line="600" w:lineRule="exact"/>
              <w:jc w:val="center"/>
              <w:rPr>
                <w:rFonts w:ascii="宋体" w:hAnsi="Times New Roman" w:eastAsia="宋体" w:cs="Times New Roman"/>
                <w:color w:val="auto"/>
                <w:sz w:val="21"/>
                <w:szCs w:val="21"/>
                <w:highlight w:val="none"/>
              </w:rPr>
            </w:pPr>
            <w:r>
              <w:rPr>
                <w:rFonts w:hint="eastAsia" w:ascii="宋体" w:hAnsi="宋体" w:eastAsia="宋体" w:cs="宋体"/>
                <w:color w:val="auto"/>
                <w:sz w:val="21"/>
                <w:szCs w:val="21"/>
                <w:highlight w:val="none"/>
              </w:rPr>
              <w:t>项目名称</w:t>
            </w:r>
          </w:p>
        </w:tc>
        <w:tc>
          <w:tcPr>
            <w:tcW w:w="3525" w:type="dxa"/>
            <w:noWrap w:val="0"/>
            <w:vAlign w:val="center"/>
          </w:tcPr>
          <w:p w14:paraId="6C98D727">
            <w:pPr>
              <w:spacing w:line="600" w:lineRule="exact"/>
              <w:jc w:val="center"/>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eastAsia="zh-CN"/>
              </w:rPr>
              <w:t>招标代理及造价咨询服务</w:t>
            </w:r>
          </w:p>
          <w:p w14:paraId="5718B89B">
            <w:pPr>
              <w:spacing w:line="600" w:lineRule="exact"/>
              <w:jc w:val="center"/>
              <w:rPr>
                <w:rFonts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服务费让利率</w:t>
            </w:r>
          </w:p>
        </w:tc>
      </w:tr>
      <w:tr w14:paraId="4F44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0" w:hRule="atLeast"/>
          <w:jc w:val="center"/>
        </w:trPr>
        <w:tc>
          <w:tcPr>
            <w:tcW w:w="3479" w:type="dxa"/>
            <w:noWrap w:val="0"/>
            <w:vAlign w:val="center"/>
          </w:tcPr>
          <w:p w14:paraId="00CA2E83">
            <w:pPr>
              <w:spacing w:line="600" w:lineRule="exact"/>
              <w:jc w:val="center"/>
              <w:rPr>
                <w:rFonts w:ascii="宋体" w:hAnsi="Times New Roman" w:eastAsia="宋体" w:cs="Times New Roman"/>
                <w:color w:val="auto"/>
                <w:sz w:val="21"/>
                <w:szCs w:val="21"/>
                <w:highlight w:val="none"/>
              </w:rPr>
            </w:pPr>
            <w:r>
              <w:rPr>
                <w:rFonts w:hint="default" w:ascii="宋体" w:hAnsi="Times New Roman" w:eastAsia="宋体" w:cs="Times New Roman"/>
                <w:color w:val="auto"/>
                <w:sz w:val="21"/>
                <w:szCs w:val="21"/>
                <w:highlight w:val="none"/>
                <w:lang w:val="en-US" w:eastAsia="zh-CN"/>
              </w:rPr>
              <w:t>202</w:t>
            </w:r>
            <w:r>
              <w:rPr>
                <w:rFonts w:hint="eastAsia" w:ascii="宋体" w:hAnsi="Times New Roman" w:eastAsia="宋体" w:cs="Times New Roman"/>
                <w:color w:val="auto"/>
                <w:sz w:val="21"/>
                <w:szCs w:val="21"/>
                <w:highlight w:val="none"/>
                <w:lang w:val="en-US" w:eastAsia="zh-CN"/>
              </w:rPr>
              <w:t>5-2026</w:t>
            </w:r>
            <w:r>
              <w:rPr>
                <w:rFonts w:hint="default" w:ascii="宋体" w:hAnsi="Times New Roman" w:eastAsia="宋体" w:cs="Times New Roman"/>
                <w:color w:val="auto"/>
                <w:sz w:val="21"/>
                <w:szCs w:val="21"/>
                <w:highlight w:val="none"/>
                <w:lang w:val="en-US" w:eastAsia="zh-CN"/>
              </w:rPr>
              <w:t>年度招标代理和造价咨询服务采购项目</w:t>
            </w:r>
          </w:p>
        </w:tc>
        <w:tc>
          <w:tcPr>
            <w:tcW w:w="3525" w:type="dxa"/>
            <w:noWrap w:val="0"/>
            <w:vAlign w:val="center"/>
          </w:tcPr>
          <w:p w14:paraId="373078F8">
            <w:pPr>
              <w:spacing w:line="600" w:lineRule="exact"/>
              <w:jc w:val="center"/>
              <w:rPr>
                <w:rFonts w:ascii="宋体" w:hAnsi="Times New Roman" w:eastAsia="宋体" w:cs="Times New Roman"/>
                <w:color w:val="auto"/>
                <w:sz w:val="24"/>
                <w:szCs w:val="24"/>
                <w:highlight w:val="none"/>
              </w:rPr>
            </w:pPr>
            <w:bookmarkStart w:id="90" w:name="_Hlt76376086"/>
            <w:bookmarkEnd w:id="90"/>
          </w:p>
        </w:tc>
      </w:tr>
    </w:tbl>
    <w:p w14:paraId="01E936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highlight w:val="none"/>
        </w:rPr>
      </w:pPr>
      <w:r>
        <w:rPr>
          <w:rFonts w:hint="eastAsia" w:ascii="宋体" w:hAnsi="宋体" w:cs="宋体"/>
          <w:color w:val="auto"/>
          <w:highlight w:val="none"/>
        </w:rPr>
        <w:t>注：</w:t>
      </w:r>
      <w:r>
        <w:rPr>
          <w:rFonts w:hint="eastAsia" w:ascii="宋体" w:hAnsi="宋体" w:cs="宋体"/>
          <w:color w:val="auto"/>
          <w:highlight w:val="none"/>
          <w:lang w:val="en-US" w:eastAsia="zh-CN"/>
        </w:rPr>
        <w:t>1.所投</w:t>
      </w:r>
      <w:r>
        <w:rPr>
          <w:rFonts w:hint="eastAsia" w:ascii="宋体" w:hAnsi="宋体" w:cs="宋体"/>
          <w:color w:val="auto"/>
          <w:highlight w:val="none"/>
        </w:rPr>
        <w:t>下浮率为唯一报价，若存在两个及以上下浮率</w:t>
      </w:r>
      <w:r>
        <w:rPr>
          <w:rFonts w:hint="eastAsia" w:ascii="宋体" w:hAnsi="宋体" w:cs="宋体"/>
          <w:color w:val="auto"/>
          <w:highlight w:val="none"/>
          <w:lang w:eastAsia="zh-CN"/>
        </w:rPr>
        <w:t>，</w:t>
      </w:r>
      <w:r>
        <w:rPr>
          <w:rFonts w:hint="eastAsia" w:ascii="宋体" w:hAnsi="宋体" w:cs="宋体"/>
          <w:color w:val="auto"/>
          <w:highlight w:val="none"/>
        </w:rPr>
        <w:t>则视为无效标处理。</w:t>
      </w:r>
    </w:p>
    <w:p w14:paraId="0768F2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z w:val="21"/>
          <w:szCs w:val="21"/>
          <w:highlight w:val="none"/>
          <w:lang w:val="en-US" w:eastAsia="zh-CN"/>
        </w:rPr>
      </w:pPr>
      <w:r>
        <w:rPr>
          <w:rFonts w:hint="eastAsia" w:ascii="宋体" w:hAnsi="宋体" w:cs="宋体"/>
          <w:b/>
          <w:bCs/>
          <w:color w:val="auto"/>
          <w:highlight w:val="none"/>
          <w:lang w:val="en-US" w:eastAsia="zh-CN"/>
        </w:rPr>
        <w:t>2.</w:t>
      </w:r>
      <w:r>
        <w:rPr>
          <w:rFonts w:hint="eastAsia" w:ascii="宋体" w:hAnsi="宋体" w:cs="宋体"/>
          <w:b/>
          <w:bCs/>
          <w:color w:val="auto"/>
          <w:highlight w:val="none"/>
        </w:rPr>
        <w:t>招标代理服务费及造价咨询服务费让利区间30%（不含）～40%（含）</w:t>
      </w:r>
      <w:r>
        <w:rPr>
          <w:rFonts w:hint="eastAsia" w:ascii="宋体" w:hAnsi="宋体" w:cs="宋体"/>
          <w:b/>
          <w:bCs/>
          <w:color w:val="auto"/>
          <w:highlight w:val="none"/>
          <w:lang w:eastAsia="zh-CN"/>
        </w:rPr>
        <w:t>。</w:t>
      </w:r>
    </w:p>
    <w:p w14:paraId="6DEABFC7">
      <w:pPr>
        <w:spacing w:line="600" w:lineRule="exact"/>
        <w:rPr>
          <w:rFonts w:ascii="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lang w:val="en-US" w:eastAsia="zh-CN"/>
        </w:rPr>
        <w:t>电子签</w:t>
      </w:r>
      <w:r>
        <w:rPr>
          <w:rFonts w:hint="eastAsia" w:ascii="宋体" w:hAnsi="宋体" w:cs="宋体"/>
          <w:color w:val="auto"/>
          <w:highlight w:val="none"/>
        </w:rPr>
        <w:t>章）：</w:t>
      </w:r>
    </w:p>
    <w:p w14:paraId="2411E933">
      <w:pPr>
        <w:spacing w:line="600" w:lineRule="exact"/>
        <w:rPr>
          <w:rFonts w:ascii="宋体"/>
          <w:color w:val="auto"/>
          <w:highlight w:val="none"/>
        </w:rPr>
      </w:pPr>
      <w:r>
        <w:rPr>
          <w:rFonts w:hint="eastAsia" w:ascii="宋体" w:hAnsi="宋体" w:cs="宋体"/>
          <w:color w:val="auto"/>
          <w:highlight w:val="none"/>
        </w:rPr>
        <w:t>法定代表人或授权代表人签字：</w:t>
      </w:r>
      <w:r>
        <w:rPr>
          <w:rFonts w:ascii="宋体" w:hAnsi="宋体" w:cs="宋体"/>
          <w:color w:val="auto"/>
          <w:highlight w:val="none"/>
        </w:rPr>
        <w:t xml:space="preserve"> ____________       </w:t>
      </w:r>
    </w:p>
    <w:p w14:paraId="488880CA">
      <w:pPr>
        <w:spacing w:line="600" w:lineRule="exact"/>
        <w:ind w:firstLine="5565" w:firstLineChars="2650"/>
        <w:rPr>
          <w:rFonts w:ascii="宋体"/>
          <w:color w:val="auto"/>
          <w:highlight w:val="none"/>
        </w:rPr>
      </w:pPr>
      <w:r>
        <w:rPr>
          <w:rFonts w:hint="eastAsia" w:ascii="宋体" w:hAnsi="宋体" w:cs="宋体"/>
          <w:color w:val="auto"/>
          <w:highlight w:val="none"/>
        </w:rPr>
        <w:t>日期：</w:t>
      </w:r>
      <w:r>
        <w:rPr>
          <w:rFonts w:hint="eastAsia" w:ascii="宋体" w:hAnsi="宋体" w:cs="宋体"/>
          <w:color w:val="auto"/>
          <w:highlight w:val="none"/>
          <w:lang w:val="en-US" w:eastAsia="zh-CN"/>
        </w:rPr>
        <w:t xml:space="preserve">    </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rPr>
        <w:t>日</w:t>
      </w:r>
    </w:p>
    <w:p w14:paraId="50396EBC">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质 疑 函 范 本（供参考）</w:t>
      </w:r>
    </w:p>
    <w:p w14:paraId="52CE50CE">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7B261EA3">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506B6B10">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0A0C030E">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320BA29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62E39616">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6649169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0286FFA4">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68FDD489">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5EC8F589">
      <w:pPr>
        <w:adjustRightInd w:val="0"/>
        <w:snapToGrid w:val="0"/>
        <w:spacing w:line="360" w:lineRule="auto"/>
        <w:rPr>
          <w:rFonts w:hint="eastAsia" w:ascii="宋体" w:hAnsi="宋体" w:eastAsia="宋体" w:cs="宋体"/>
          <w:bCs/>
          <w:color w:val="auto"/>
          <w:highlight w:val="none"/>
        </w:rPr>
      </w:pPr>
      <w:r>
        <w:rPr>
          <w:rFonts w:hint="eastAsia" w:ascii="宋体" w:hAnsi="宋体" w:cs="宋体"/>
          <w:color w:val="auto"/>
          <w:highlight w:val="none"/>
        </w:rPr>
        <w:t>质疑项</w:t>
      </w:r>
      <w:r>
        <w:rPr>
          <w:rFonts w:hint="eastAsia" w:ascii="宋体" w:hAnsi="宋体" w:eastAsia="宋体" w:cs="宋体"/>
          <w:bCs/>
          <w:color w:val="auto"/>
          <w:highlight w:val="none"/>
        </w:rPr>
        <w:t>目的编号：包号（如有请填写）：</w:t>
      </w:r>
    </w:p>
    <w:p w14:paraId="480FBB3A">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采购人名称：</w:t>
      </w:r>
    </w:p>
    <w:p w14:paraId="78F91265">
      <w:pPr>
        <w:adjustRightInd w:val="0"/>
        <w:snapToGrid w:val="0"/>
        <w:spacing w:line="360" w:lineRule="auto"/>
        <w:rPr>
          <w:rFonts w:ascii="宋体" w:hAnsi="宋体" w:cs="宋体"/>
          <w:color w:val="auto"/>
          <w:highlight w:val="none"/>
        </w:rPr>
      </w:pPr>
      <w:r>
        <w:rPr>
          <w:rFonts w:hint="eastAsia" w:ascii="宋体" w:hAnsi="宋体" w:eastAsia="宋体" w:cs="宋体"/>
          <w:bCs/>
          <w:color w:val="auto"/>
          <w:highlight w:val="none"/>
        </w:rPr>
        <w:t>采购文件获取</w:t>
      </w:r>
      <w:r>
        <w:rPr>
          <w:rFonts w:hint="eastAsia" w:ascii="宋体" w:hAnsi="宋体" w:cs="宋体"/>
          <w:color w:val="auto"/>
          <w:highlight w:val="none"/>
        </w:rPr>
        <w:t>日期：</w:t>
      </w:r>
    </w:p>
    <w:p w14:paraId="22E4E43A">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64739EB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6C3A2D0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4E494FD0">
      <w:pPr>
        <w:adjustRightInd w:val="0"/>
        <w:snapToGrid w:val="0"/>
        <w:spacing w:line="360" w:lineRule="auto"/>
        <w:rPr>
          <w:rFonts w:ascii="宋体" w:hAnsi="宋体" w:cs="宋体"/>
          <w:color w:val="auto"/>
          <w:highlight w:val="none"/>
        </w:rPr>
      </w:pPr>
    </w:p>
    <w:p w14:paraId="13F9F9F0">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48F3A801">
      <w:pPr>
        <w:adjustRightInd w:val="0"/>
        <w:snapToGrid w:val="0"/>
        <w:spacing w:line="360" w:lineRule="auto"/>
        <w:rPr>
          <w:rFonts w:ascii="宋体" w:hAnsi="宋体" w:cs="宋体"/>
          <w:color w:val="auto"/>
          <w:highlight w:val="none"/>
          <w:u w:val="dotted"/>
        </w:rPr>
      </w:pPr>
    </w:p>
    <w:p w14:paraId="14337595">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214FA35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532EA0DD">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09F4022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65B8DECF">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6C0A09E9">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44A3CF61">
      <w:pPr>
        <w:spacing w:line="360" w:lineRule="auto"/>
        <w:rPr>
          <w:rFonts w:ascii="宋体" w:hAnsi="宋体" w:cs="宋体"/>
          <w:color w:val="auto"/>
          <w:highlight w:val="none"/>
        </w:rPr>
      </w:pPr>
    </w:p>
    <w:p w14:paraId="2A95DA85">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20ADF535">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0543A9E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0A964190">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4D95F93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58F9F71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4D1644AC">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69B8D15A">
      <w:pPr>
        <w:pStyle w:val="55"/>
        <w:rPr>
          <w:color w:val="auto"/>
          <w:highlight w:val="none"/>
        </w:rPr>
      </w:pPr>
    </w:p>
    <w:p w14:paraId="51F98407">
      <w:pPr>
        <w:pStyle w:val="18"/>
        <w:spacing w:line="460" w:lineRule="exact"/>
        <w:rPr>
          <w:rFonts w:cs="Times New Roman"/>
          <w:color w:val="auto"/>
          <w:highlight w:val="none"/>
        </w:rPr>
      </w:pPr>
    </w:p>
    <w:p w14:paraId="2BA93628">
      <w:pPr>
        <w:rPr>
          <w:color w:val="auto"/>
          <w:highlight w:val="none"/>
        </w:rPr>
      </w:pPr>
    </w:p>
    <w:p w14:paraId="00EF310D">
      <w:pPr>
        <w:rPr>
          <w:color w:val="auto"/>
          <w:highlight w:val="none"/>
        </w:rPr>
      </w:pPr>
    </w:p>
    <w:p w14:paraId="78AF24A7">
      <w:pPr>
        <w:pStyle w:val="2"/>
        <w:rPr>
          <w:color w:val="auto"/>
          <w:highlight w:val="none"/>
        </w:rPr>
      </w:pPr>
    </w:p>
    <w:p w14:paraId="74E2D225">
      <w:pPr>
        <w:rPr>
          <w:color w:val="auto"/>
          <w:highlight w:val="none"/>
        </w:rPr>
      </w:pPr>
    </w:p>
    <w:p w14:paraId="1E818A10">
      <w:pPr>
        <w:jc w:val="center"/>
        <w:rPr>
          <w:rFonts w:hint="eastAsia" w:ascii="宋体" w:hAnsi="宋体"/>
          <w:b/>
          <w:color w:val="auto"/>
          <w:sz w:val="36"/>
          <w:szCs w:val="36"/>
          <w:highlight w:val="none"/>
        </w:rPr>
      </w:pPr>
    </w:p>
    <w:p w14:paraId="5E88EE7D">
      <w:pPr>
        <w:jc w:val="center"/>
        <w:rPr>
          <w:rFonts w:hint="eastAsia" w:ascii="宋体" w:hAnsi="宋体"/>
          <w:b/>
          <w:color w:val="auto"/>
          <w:sz w:val="36"/>
          <w:szCs w:val="36"/>
          <w:highlight w:val="none"/>
        </w:rPr>
      </w:pPr>
    </w:p>
    <w:p w14:paraId="2BCE3139">
      <w:pPr>
        <w:jc w:val="center"/>
        <w:rPr>
          <w:rFonts w:hint="eastAsia" w:ascii="宋体" w:hAnsi="宋体"/>
          <w:b/>
          <w:color w:val="auto"/>
          <w:sz w:val="36"/>
          <w:szCs w:val="36"/>
          <w:highlight w:val="none"/>
        </w:rPr>
      </w:pPr>
    </w:p>
    <w:p w14:paraId="6385A8AF">
      <w:pPr>
        <w:jc w:val="center"/>
        <w:rPr>
          <w:rFonts w:hint="eastAsia" w:ascii="宋体" w:hAnsi="宋体"/>
          <w:b/>
          <w:color w:val="auto"/>
          <w:sz w:val="36"/>
          <w:szCs w:val="36"/>
          <w:highlight w:val="none"/>
        </w:rPr>
      </w:pPr>
    </w:p>
    <w:p w14:paraId="0B1A8915">
      <w:pPr>
        <w:jc w:val="center"/>
        <w:rPr>
          <w:rFonts w:hint="eastAsia" w:ascii="宋体" w:hAnsi="宋体"/>
          <w:b/>
          <w:color w:val="auto"/>
          <w:sz w:val="36"/>
          <w:szCs w:val="36"/>
          <w:highlight w:val="none"/>
        </w:rPr>
      </w:pPr>
    </w:p>
    <w:p w14:paraId="5CFAC4F2">
      <w:pPr>
        <w:jc w:val="center"/>
        <w:rPr>
          <w:rFonts w:hint="eastAsia" w:ascii="宋体" w:hAnsi="宋体"/>
          <w:b/>
          <w:color w:val="auto"/>
          <w:sz w:val="36"/>
          <w:szCs w:val="36"/>
          <w:highlight w:val="none"/>
        </w:rPr>
      </w:pPr>
    </w:p>
    <w:p w14:paraId="703A2348">
      <w:pPr>
        <w:jc w:val="center"/>
        <w:rPr>
          <w:rFonts w:hint="eastAsia" w:ascii="宋体" w:hAnsi="宋体"/>
          <w:b/>
          <w:color w:val="auto"/>
          <w:sz w:val="36"/>
          <w:szCs w:val="36"/>
          <w:highlight w:val="none"/>
        </w:rPr>
      </w:pPr>
    </w:p>
    <w:p w14:paraId="0EFF7A7E">
      <w:pPr>
        <w:jc w:val="center"/>
        <w:rPr>
          <w:rFonts w:hint="eastAsia" w:ascii="宋体" w:hAnsi="宋体"/>
          <w:b/>
          <w:color w:val="auto"/>
          <w:sz w:val="36"/>
          <w:szCs w:val="36"/>
          <w:highlight w:val="none"/>
        </w:rPr>
      </w:pPr>
    </w:p>
    <w:p w14:paraId="2C3DDAD5">
      <w:pPr>
        <w:jc w:val="center"/>
        <w:rPr>
          <w:rFonts w:hint="eastAsia" w:ascii="宋体" w:hAnsi="宋体"/>
          <w:b/>
          <w:color w:val="auto"/>
          <w:sz w:val="36"/>
          <w:szCs w:val="36"/>
          <w:highlight w:val="none"/>
        </w:rPr>
      </w:pPr>
    </w:p>
    <w:p w14:paraId="630B8A00">
      <w:pPr>
        <w:jc w:val="center"/>
        <w:rPr>
          <w:rFonts w:hint="eastAsia" w:ascii="宋体" w:hAnsi="宋体"/>
          <w:b/>
          <w:color w:val="auto"/>
          <w:sz w:val="36"/>
          <w:szCs w:val="36"/>
          <w:highlight w:val="none"/>
        </w:rPr>
      </w:pPr>
    </w:p>
    <w:bookmarkEnd w:id="70"/>
    <w:bookmarkEnd w:id="71"/>
    <w:bookmarkEnd w:id="72"/>
    <w:bookmarkEnd w:id="73"/>
    <w:bookmarkEnd w:id="74"/>
    <w:bookmarkEnd w:id="75"/>
    <w:p w14:paraId="71FBEC05">
      <w:pPr>
        <w:rPr>
          <w:color w:val="auto"/>
          <w:highlight w:val="none"/>
        </w:rPr>
      </w:pPr>
    </w:p>
    <w:sectPr>
      <w:footerReference r:id="rId6" w:type="first"/>
      <w:headerReference r:id="rId4" w:type="default"/>
      <w:footerReference r:id="rId5"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D66C3">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71DED">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5571DED">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FEAE">
    <w:pPr>
      <w:pStyle w:val="22"/>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2C471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62C471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39CF">
    <w:pPr>
      <w:pStyle w:val="22"/>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D3DFB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8D3DFB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3BF20">
    <w:pPr>
      <w:pStyle w:val="23"/>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2CD50"/>
    <w:multiLevelType w:val="singleLevel"/>
    <w:tmpl w:val="8112CD50"/>
    <w:lvl w:ilvl="0" w:tentative="0">
      <w:start w:val="3"/>
      <w:numFmt w:val="chineseCounting"/>
      <w:suff w:val="nothing"/>
      <w:lvlText w:val="%1、"/>
      <w:lvlJc w:val="left"/>
      <w:rPr>
        <w:rFonts w:hint="eastAsia"/>
      </w:rPr>
    </w:lvl>
  </w:abstractNum>
  <w:abstractNum w:abstractNumId="1">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3">
    <w:nsid w:val="270D4A16"/>
    <w:multiLevelType w:val="singleLevel"/>
    <w:tmpl w:val="270D4A16"/>
    <w:lvl w:ilvl="0" w:tentative="0">
      <w:start w:val="1"/>
      <w:numFmt w:val="decimal"/>
      <w:suff w:val="nothing"/>
      <w:lvlText w:val="%1."/>
      <w:lvlJc w:val="left"/>
      <w:rPr>
        <w:rFonts w:hint="default"/>
        <w:b/>
        <w:bCs/>
        <w:sz w:val="21"/>
        <w:szCs w:val="21"/>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jVmZGNlZmI4ZWQ2M2MxMTRiNzE4MWM5MjU5NjQ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5FDF"/>
    <w:rsid w:val="00E9157D"/>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A4B87"/>
    <w:rsid w:val="01CD7566"/>
    <w:rsid w:val="0224362A"/>
    <w:rsid w:val="02465A96"/>
    <w:rsid w:val="02565064"/>
    <w:rsid w:val="02CB7559"/>
    <w:rsid w:val="036068E4"/>
    <w:rsid w:val="049F51EA"/>
    <w:rsid w:val="04F05330"/>
    <w:rsid w:val="05031AF8"/>
    <w:rsid w:val="055A7363"/>
    <w:rsid w:val="05755D10"/>
    <w:rsid w:val="05A35726"/>
    <w:rsid w:val="05FE4192"/>
    <w:rsid w:val="05FE5C3A"/>
    <w:rsid w:val="060F6696"/>
    <w:rsid w:val="06622973"/>
    <w:rsid w:val="06707D2D"/>
    <w:rsid w:val="06C4362D"/>
    <w:rsid w:val="073D7647"/>
    <w:rsid w:val="07862691"/>
    <w:rsid w:val="07B92E8A"/>
    <w:rsid w:val="07FE7AC6"/>
    <w:rsid w:val="08002443"/>
    <w:rsid w:val="08063664"/>
    <w:rsid w:val="08135DD7"/>
    <w:rsid w:val="085C6899"/>
    <w:rsid w:val="08E104C7"/>
    <w:rsid w:val="0932268F"/>
    <w:rsid w:val="093C359F"/>
    <w:rsid w:val="096207EF"/>
    <w:rsid w:val="0A287A2F"/>
    <w:rsid w:val="0A6B1C9E"/>
    <w:rsid w:val="0B6C0A55"/>
    <w:rsid w:val="0BB93035"/>
    <w:rsid w:val="0C19141A"/>
    <w:rsid w:val="0C937D2A"/>
    <w:rsid w:val="0C945850"/>
    <w:rsid w:val="0D35493D"/>
    <w:rsid w:val="0D4E1D51"/>
    <w:rsid w:val="0D847E39"/>
    <w:rsid w:val="0DDE75AF"/>
    <w:rsid w:val="0DEB4982"/>
    <w:rsid w:val="0E177DB4"/>
    <w:rsid w:val="0E3A7EF6"/>
    <w:rsid w:val="0E7771D7"/>
    <w:rsid w:val="0ECE329B"/>
    <w:rsid w:val="0F0E19B1"/>
    <w:rsid w:val="0F625791"/>
    <w:rsid w:val="0F756041"/>
    <w:rsid w:val="0F984E8D"/>
    <w:rsid w:val="0FAE6C29"/>
    <w:rsid w:val="0FE268D2"/>
    <w:rsid w:val="0FF02D9D"/>
    <w:rsid w:val="0FF76461"/>
    <w:rsid w:val="10C0356C"/>
    <w:rsid w:val="10C466DE"/>
    <w:rsid w:val="10E5667A"/>
    <w:rsid w:val="117C68F9"/>
    <w:rsid w:val="11DE03FE"/>
    <w:rsid w:val="11DE5F31"/>
    <w:rsid w:val="12375B71"/>
    <w:rsid w:val="12855BBF"/>
    <w:rsid w:val="12B47007"/>
    <w:rsid w:val="130D1EB8"/>
    <w:rsid w:val="13301948"/>
    <w:rsid w:val="134E57BA"/>
    <w:rsid w:val="135E44C2"/>
    <w:rsid w:val="13A50B07"/>
    <w:rsid w:val="13CD0840"/>
    <w:rsid w:val="13CE1647"/>
    <w:rsid w:val="13F413C8"/>
    <w:rsid w:val="13F90EA8"/>
    <w:rsid w:val="14B22D17"/>
    <w:rsid w:val="15215E1A"/>
    <w:rsid w:val="153E3A1B"/>
    <w:rsid w:val="15590B5F"/>
    <w:rsid w:val="157955E3"/>
    <w:rsid w:val="158721E5"/>
    <w:rsid w:val="15EE5C3A"/>
    <w:rsid w:val="16CA3CE6"/>
    <w:rsid w:val="1772485E"/>
    <w:rsid w:val="177D4EC7"/>
    <w:rsid w:val="17986848"/>
    <w:rsid w:val="17B03764"/>
    <w:rsid w:val="17D11C8B"/>
    <w:rsid w:val="17F536DC"/>
    <w:rsid w:val="18185587"/>
    <w:rsid w:val="187B0A12"/>
    <w:rsid w:val="18B359C5"/>
    <w:rsid w:val="18CE52D6"/>
    <w:rsid w:val="19551E2D"/>
    <w:rsid w:val="19D5497B"/>
    <w:rsid w:val="1A856BB0"/>
    <w:rsid w:val="1B06199E"/>
    <w:rsid w:val="1B860A99"/>
    <w:rsid w:val="1C1F4874"/>
    <w:rsid w:val="1C3E3F31"/>
    <w:rsid w:val="1C532879"/>
    <w:rsid w:val="1C676ADD"/>
    <w:rsid w:val="1CBD2FEC"/>
    <w:rsid w:val="1D1D0F4A"/>
    <w:rsid w:val="1D230C56"/>
    <w:rsid w:val="1D554B87"/>
    <w:rsid w:val="1DF95513"/>
    <w:rsid w:val="1E960FB4"/>
    <w:rsid w:val="1EC6380E"/>
    <w:rsid w:val="1ED76968"/>
    <w:rsid w:val="1F0F41F0"/>
    <w:rsid w:val="1F5F3A9B"/>
    <w:rsid w:val="1F7233D5"/>
    <w:rsid w:val="20F06820"/>
    <w:rsid w:val="211F2E84"/>
    <w:rsid w:val="2131530E"/>
    <w:rsid w:val="21505633"/>
    <w:rsid w:val="2216237D"/>
    <w:rsid w:val="22ED4B08"/>
    <w:rsid w:val="233C481F"/>
    <w:rsid w:val="23B31D5F"/>
    <w:rsid w:val="23F1AFB4"/>
    <w:rsid w:val="23F9544D"/>
    <w:rsid w:val="248046D8"/>
    <w:rsid w:val="24BD16AB"/>
    <w:rsid w:val="24D32F62"/>
    <w:rsid w:val="24E11174"/>
    <w:rsid w:val="255816B9"/>
    <w:rsid w:val="26240F85"/>
    <w:rsid w:val="26325A66"/>
    <w:rsid w:val="265C2AE3"/>
    <w:rsid w:val="27785933"/>
    <w:rsid w:val="277924A6"/>
    <w:rsid w:val="27BD3F01"/>
    <w:rsid w:val="27EFE123"/>
    <w:rsid w:val="28235FAE"/>
    <w:rsid w:val="283E5914"/>
    <w:rsid w:val="28672083"/>
    <w:rsid w:val="28B906C0"/>
    <w:rsid w:val="28C9682E"/>
    <w:rsid w:val="28D42E04"/>
    <w:rsid w:val="28D870B1"/>
    <w:rsid w:val="28E36B60"/>
    <w:rsid w:val="28ED3EC6"/>
    <w:rsid w:val="29A45E3F"/>
    <w:rsid w:val="29D46E34"/>
    <w:rsid w:val="29F54CD2"/>
    <w:rsid w:val="2A04596B"/>
    <w:rsid w:val="2A0D15E4"/>
    <w:rsid w:val="2A67ACEB"/>
    <w:rsid w:val="2AEF03C9"/>
    <w:rsid w:val="2B1C4262"/>
    <w:rsid w:val="2B746468"/>
    <w:rsid w:val="2BA32F62"/>
    <w:rsid w:val="2BD4136D"/>
    <w:rsid w:val="2BD63337"/>
    <w:rsid w:val="2C424529"/>
    <w:rsid w:val="2C6D0CF3"/>
    <w:rsid w:val="2C923702"/>
    <w:rsid w:val="2CB35427"/>
    <w:rsid w:val="2CE3426C"/>
    <w:rsid w:val="2CF63CCC"/>
    <w:rsid w:val="2D0422A3"/>
    <w:rsid w:val="2D3A013A"/>
    <w:rsid w:val="2DB120AF"/>
    <w:rsid w:val="2DB31B82"/>
    <w:rsid w:val="2DFF6B75"/>
    <w:rsid w:val="2E0B376C"/>
    <w:rsid w:val="2E2D0A6B"/>
    <w:rsid w:val="2E5D564A"/>
    <w:rsid w:val="2E78505A"/>
    <w:rsid w:val="2ECD68F7"/>
    <w:rsid w:val="2ED32D39"/>
    <w:rsid w:val="2EFC3AB9"/>
    <w:rsid w:val="2F5268C1"/>
    <w:rsid w:val="2FBF533C"/>
    <w:rsid w:val="2FD951A4"/>
    <w:rsid w:val="30774435"/>
    <w:rsid w:val="30F73331"/>
    <w:rsid w:val="31655E3B"/>
    <w:rsid w:val="31853836"/>
    <w:rsid w:val="318A49A8"/>
    <w:rsid w:val="3192385D"/>
    <w:rsid w:val="31D64091"/>
    <w:rsid w:val="32096215"/>
    <w:rsid w:val="32292413"/>
    <w:rsid w:val="325E7BE3"/>
    <w:rsid w:val="32881945"/>
    <w:rsid w:val="328D6603"/>
    <w:rsid w:val="32BB5AB3"/>
    <w:rsid w:val="32BE3907"/>
    <w:rsid w:val="32EC0397"/>
    <w:rsid w:val="33030382"/>
    <w:rsid w:val="33353039"/>
    <w:rsid w:val="334E7C57"/>
    <w:rsid w:val="335164FE"/>
    <w:rsid w:val="34474EA2"/>
    <w:rsid w:val="345762FD"/>
    <w:rsid w:val="34F265FD"/>
    <w:rsid w:val="352073D1"/>
    <w:rsid w:val="357E2A76"/>
    <w:rsid w:val="35B05222"/>
    <w:rsid w:val="35B75BBE"/>
    <w:rsid w:val="3647730B"/>
    <w:rsid w:val="36D263C4"/>
    <w:rsid w:val="36D609F1"/>
    <w:rsid w:val="36FD5560"/>
    <w:rsid w:val="3702284F"/>
    <w:rsid w:val="374F1469"/>
    <w:rsid w:val="37517D16"/>
    <w:rsid w:val="37B79502"/>
    <w:rsid w:val="37D72DA0"/>
    <w:rsid w:val="37EE37B7"/>
    <w:rsid w:val="37F60FE9"/>
    <w:rsid w:val="382D0232"/>
    <w:rsid w:val="38355AD3"/>
    <w:rsid w:val="384743E1"/>
    <w:rsid w:val="38784230"/>
    <w:rsid w:val="387B504A"/>
    <w:rsid w:val="388859B9"/>
    <w:rsid w:val="38BC1624"/>
    <w:rsid w:val="39643D30"/>
    <w:rsid w:val="3A274C17"/>
    <w:rsid w:val="3A401DF6"/>
    <w:rsid w:val="3A5356E1"/>
    <w:rsid w:val="3A617662"/>
    <w:rsid w:val="3AA40859"/>
    <w:rsid w:val="3AB43149"/>
    <w:rsid w:val="3BC1546A"/>
    <w:rsid w:val="3BC52C95"/>
    <w:rsid w:val="3D073351"/>
    <w:rsid w:val="3DB83658"/>
    <w:rsid w:val="3DE641E3"/>
    <w:rsid w:val="3E674220"/>
    <w:rsid w:val="3E8502AB"/>
    <w:rsid w:val="3EF75D33"/>
    <w:rsid w:val="3F555260"/>
    <w:rsid w:val="3F5C5A01"/>
    <w:rsid w:val="3FBB0422"/>
    <w:rsid w:val="3FC7643C"/>
    <w:rsid w:val="3FE518BE"/>
    <w:rsid w:val="3FEFD773"/>
    <w:rsid w:val="40C91191"/>
    <w:rsid w:val="40C95C12"/>
    <w:rsid w:val="41AA4BF2"/>
    <w:rsid w:val="41F93484"/>
    <w:rsid w:val="42E934F8"/>
    <w:rsid w:val="44BA339E"/>
    <w:rsid w:val="44CC6C2E"/>
    <w:rsid w:val="44DB12E8"/>
    <w:rsid w:val="452D591E"/>
    <w:rsid w:val="45EF49AA"/>
    <w:rsid w:val="464F1744"/>
    <w:rsid w:val="47024B89"/>
    <w:rsid w:val="4714323A"/>
    <w:rsid w:val="48502504"/>
    <w:rsid w:val="4851401A"/>
    <w:rsid w:val="48A85B47"/>
    <w:rsid w:val="48AE1CFE"/>
    <w:rsid w:val="48B9571B"/>
    <w:rsid w:val="48E649B1"/>
    <w:rsid w:val="491F06FD"/>
    <w:rsid w:val="495F7E6E"/>
    <w:rsid w:val="496935E7"/>
    <w:rsid w:val="49D4280C"/>
    <w:rsid w:val="4A68063C"/>
    <w:rsid w:val="4A74435E"/>
    <w:rsid w:val="4B133808"/>
    <w:rsid w:val="4BA426B2"/>
    <w:rsid w:val="4C6F4AF2"/>
    <w:rsid w:val="4CEB0640"/>
    <w:rsid w:val="4CFA7D7E"/>
    <w:rsid w:val="4D114108"/>
    <w:rsid w:val="4D203020"/>
    <w:rsid w:val="4D260EFB"/>
    <w:rsid w:val="4D5B25F7"/>
    <w:rsid w:val="4D775534"/>
    <w:rsid w:val="4D875DE8"/>
    <w:rsid w:val="4D9264EE"/>
    <w:rsid w:val="4DA900E3"/>
    <w:rsid w:val="4EBA13D7"/>
    <w:rsid w:val="4EFC1636"/>
    <w:rsid w:val="4F0C47F7"/>
    <w:rsid w:val="4F126690"/>
    <w:rsid w:val="4F231986"/>
    <w:rsid w:val="4F48245D"/>
    <w:rsid w:val="4F6C0DB8"/>
    <w:rsid w:val="4F6C798B"/>
    <w:rsid w:val="4FA709C3"/>
    <w:rsid w:val="4FB87CE8"/>
    <w:rsid w:val="4FDF7658"/>
    <w:rsid w:val="4FE37716"/>
    <w:rsid w:val="4FFFB71E"/>
    <w:rsid w:val="502C3AFD"/>
    <w:rsid w:val="506B7C43"/>
    <w:rsid w:val="50974594"/>
    <w:rsid w:val="50B9275C"/>
    <w:rsid w:val="5119769F"/>
    <w:rsid w:val="514364CA"/>
    <w:rsid w:val="517D7C2E"/>
    <w:rsid w:val="518666E1"/>
    <w:rsid w:val="52952D55"/>
    <w:rsid w:val="53306393"/>
    <w:rsid w:val="533662E6"/>
    <w:rsid w:val="53381D95"/>
    <w:rsid w:val="53A25729"/>
    <w:rsid w:val="53A616BE"/>
    <w:rsid w:val="5407449D"/>
    <w:rsid w:val="5411465D"/>
    <w:rsid w:val="549758D6"/>
    <w:rsid w:val="5498646D"/>
    <w:rsid w:val="54AD4386"/>
    <w:rsid w:val="554950DA"/>
    <w:rsid w:val="55610682"/>
    <w:rsid w:val="5563713A"/>
    <w:rsid w:val="556829A3"/>
    <w:rsid w:val="557430F6"/>
    <w:rsid w:val="558725E0"/>
    <w:rsid w:val="55EC5382"/>
    <w:rsid w:val="562C39D0"/>
    <w:rsid w:val="56E9340F"/>
    <w:rsid w:val="574D281E"/>
    <w:rsid w:val="5792138F"/>
    <w:rsid w:val="57FB4086"/>
    <w:rsid w:val="581942AD"/>
    <w:rsid w:val="58894E62"/>
    <w:rsid w:val="58B70EBC"/>
    <w:rsid w:val="58BA3146"/>
    <w:rsid w:val="58CE0D6F"/>
    <w:rsid w:val="58CF4005"/>
    <w:rsid w:val="58DC4843"/>
    <w:rsid w:val="58FC3B2E"/>
    <w:rsid w:val="594415A8"/>
    <w:rsid w:val="59961EAF"/>
    <w:rsid w:val="5A250E62"/>
    <w:rsid w:val="5A26728B"/>
    <w:rsid w:val="5A3A3C09"/>
    <w:rsid w:val="5A964E14"/>
    <w:rsid w:val="5AC3040C"/>
    <w:rsid w:val="5ADA1C4D"/>
    <w:rsid w:val="5B06072A"/>
    <w:rsid w:val="5B3550D5"/>
    <w:rsid w:val="5B745BFD"/>
    <w:rsid w:val="5BE9DEFC"/>
    <w:rsid w:val="5C0F7357"/>
    <w:rsid w:val="5C246A34"/>
    <w:rsid w:val="5C2E0916"/>
    <w:rsid w:val="5C715907"/>
    <w:rsid w:val="5CDF3C0D"/>
    <w:rsid w:val="5CFF9DD8"/>
    <w:rsid w:val="5D0631CD"/>
    <w:rsid w:val="5DF2592E"/>
    <w:rsid w:val="5E173D9B"/>
    <w:rsid w:val="5E60690D"/>
    <w:rsid w:val="5EC7073A"/>
    <w:rsid w:val="5F814DDD"/>
    <w:rsid w:val="5FF217E7"/>
    <w:rsid w:val="5FFE018B"/>
    <w:rsid w:val="6099330B"/>
    <w:rsid w:val="60E07891"/>
    <w:rsid w:val="60E94998"/>
    <w:rsid w:val="610A47B8"/>
    <w:rsid w:val="61314591"/>
    <w:rsid w:val="614F54D2"/>
    <w:rsid w:val="61750921"/>
    <w:rsid w:val="618B5A4F"/>
    <w:rsid w:val="622F5DD8"/>
    <w:rsid w:val="624C1682"/>
    <w:rsid w:val="626E28A7"/>
    <w:rsid w:val="628543B1"/>
    <w:rsid w:val="629118D9"/>
    <w:rsid w:val="62FF1D7E"/>
    <w:rsid w:val="635822A8"/>
    <w:rsid w:val="63A92B04"/>
    <w:rsid w:val="63B379DE"/>
    <w:rsid w:val="63C90776"/>
    <w:rsid w:val="63CF5B8B"/>
    <w:rsid w:val="64041AE8"/>
    <w:rsid w:val="64136A11"/>
    <w:rsid w:val="648B0FAA"/>
    <w:rsid w:val="64B96D77"/>
    <w:rsid w:val="65120EC6"/>
    <w:rsid w:val="653603C7"/>
    <w:rsid w:val="658C1FA6"/>
    <w:rsid w:val="65D44CCA"/>
    <w:rsid w:val="667B2D0F"/>
    <w:rsid w:val="66D24F47"/>
    <w:rsid w:val="671D5367"/>
    <w:rsid w:val="677925CA"/>
    <w:rsid w:val="67917B37"/>
    <w:rsid w:val="67CA7195"/>
    <w:rsid w:val="684B23DC"/>
    <w:rsid w:val="689D1A3B"/>
    <w:rsid w:val="68B25FB7"/>
    <w:rsid w:val="68C9702B"/>
    <w:rsid w:val="698E1A1B"/>
    <w:rsid w:val="698E2580"/>
    <w:rsid w:val="69901D8C"/>
    <w:rsid w:val="69982374"/>
    <w:rsid w:val="69E7596B"/>
    <w:rsid w:val="6A1A3E14"/>
    <w:rsid w:val="6A96200E"/>
    <w:rsid w:val="6B1F4881"/>
    <w:rsid w:val="6B223478"/>
    <w:rsid w:val="6B4718D4"/>
    <w:rsid w:val="6B6932A5"/>
    <w:rsid w:val="6BAE515B"/>
    <w:rsid w:val="6BC04E8F"/>
    <w:rsid w:val="6C360CAD"/>
    <w:rsid w:val="6C9B541E"/>
    <w:rsid w:val="6CBD37F6"/>
    <w:rsid w:val="6D0A5334"/>
    <w:rsid w:val="6DAD4F9F"/>
    <w:rsid w:val="6DD62748"/>
    <w:rsid w:val="6DD7112A"/>
    <w:rsid w:val="6E216668"/>
    <w:rsid w:val="6E2F6C77"/>
    <w:rsid w:val="6E6B7334"/>
    <w:rsid w:val="6E781A51"/>
    <w:rsid w:val="6EBA6930"/>
    <w:rsid w:val="6F103A37"/>
    <w:rsid w:val="6F4417EA"/>
    <w:rsid w:val="6F460345"/>
    <w:rsid w:val="6F6D22A6"/>
    <w:rsid w:val="6FB26B0B"/>
    <w:rsid w:val="6FB865A9"/>
    <w:rsid w:val="6FD9207B"/>
    <w:rsid w:val="70231548"/>
    <w:rsid w:val="704735F8"/>
    <w:rsid w:val="70490BA1"/>
    <w:rsid w:val="704C669B"/>
    <w:rsid w:val="7063448F"/>
    <w:rsid w:val="707F2C23"/>
    <w:rsid w:val="70F25AEA"/>
    <w:rsid w:val="70FD1A16"/>
    <w:rsid w:val="710F307D"/>
    <w:rsid w:val="71997ED8"/>
    <w:rsid w:val="71B76065"/>
    <w:rsid w:val="71C06754"/>
    <w:rsid w:val="72646574"/>
    <w:rsid w:val="7271076B"/>
    <w:rsid w:val="72A44BC2"/>
    <w:rsid w:val="72CC236B"/>
    <w:rsid w:val="72DA6836"/>
    <w:rsid w:val="7328617A"/>
    <w:rsid w:val="73533EAF"/>
    <w:rsid w:val="7376394C"/>
    <w:rsid w:val="73993FFB"/>
    <w:rsid w:val="73E14FC8"/>
    <w:rsid w:val="73FF3D5A"/>
    <w:rsid w:val="743F7644"/>
    <w:rsid w:val="74A76BEC"/>
    <w:rsid w:val="75474E11"/>
    <w:rsid w:val="75556648"/>
    <w:rsid w:val="7577EE3A"/>
    <w:rsid w:val="75865DEE"/>
    <w:rsid w:val="75A8474E"/>
    <w:rsid w:val="75B3511C"/>
    <w:rsid w:val="76272697"/>
    <w:rsid w:val="76E556A0"/>
    <w:rsid w:val="76EE2C2B"/>
    <w:rsid w:val="775766A7"/>
    <w:rsid w:val="77B05DB7"/>
    <w:rsid w:val="77F84F7A"/>
    <w:rsid w:val="7811525D"/>
    <w:rsid w:val="781A76D5"/>
    <w:rsid w:val="785D43B4"/>
    <w:rsid w:val="78761AAB"/>
    <w:rsid w:val="7883527A"/>
    <w:rsid w:val="789E4501"/>
    <w:rsid w:val="790243F1"/>
    <w:rsid w:val="793C2330"/>
    <w:rsid w:val="798C63B0"/>
    <w:rsid w:val="7A1C0378"/>
    <w:rsid w:val="7A326409"/>
    <w:rsid w:val="7A684727"/>
    <w:rsid w:val="7A693667"/>
    <w:rsid w:val="7A6D1FE3"/>
    <w:rsid w:val="7A792DD8"/>
    <w:rsid w:val="7A9C5E45"/>
    <w:rsid w:val="7AAA4AFD"/>
    <w:rsid w:val="7ADE01B6"/>
    <w:rsid w:val="7B75AFA1"/>
    <w:rsid w:val="7B821819"/>
    <w:rsid w:val="7C1F350C"/>
    <w:rsid w:val="7C310E84"/>
    <w:rsid w:val="7C5E6574"/>
    <w:rsid w:val="7C776EA4"/>
    <w:rsid w:val="7CB263ED"/>
    <w:rsid w:val="7CB2717C"/>
    <w:rsid w:val="7CB35F23"/>
    <w:rsid w:val="7CB37BC7"/>
    <w:rsid w:val="7CCC3693"/>
    <w:rsid w:val="7D1058BF"/>
    <w:rsid w:val="7D360B0D"/>
    <w:rsid w:val="7D5316A8"/>
    <w:rsid w:val="7DA147E1"/>
    <w:rsid w:val="7DCF629C"/>
    <w:rsid w:val="7E7FEBA3"/>
    <w:rsid w:val="7EABC132"/>
    <w:rsid w:val="7ED625A7"/>
    <w:rsid w:val="7F3B018A"/>
    <w:rsid w:val="7F4E9C34"/>
    <w:rsid w:val="7FA82B99"/>
    <w:rsid w:val="7FBBA8C9"/>
    <w:rsid w:val="7FBE52A6"/>
    <w:rsid w:val="9ADDDAB9"/>
    <w:rsid w:val="AB7F242D"/>
    <w:rsid w:val="AF5D55AA"/>
    <w:rsid w:val="BADFBAB7"/>
    <w:rsid w:val="BDF0F7EC"/>
    <w:rsid w:val="C7BF722B"/>
    <w:rsid w:val="D5EFA6DE"/>
    <w:rsid w:val="DF5FCEEC"/>
    <w:rsid w:val="E6FEC9BD"/>
    <w:rsid w:val="E7F784B6"/>
    <w:rsid w:val="ED7D00B7"/>
    <w:rsid w:val="F3FD8D61"/>
    <w:rsid w:val="F77E3679"/>
    <w:rsid w:val="F79B0276"/>
    <w:rsid w:val="F7FFB7E7"/>
    <w:rsid w:val="F97770F3"/>
    <w:rsid w:val="FBBDE8CD"/>
    <w:rsid w:val="FDB7694F"/>
    <w:rsid w:val="FE6E4AA5"/>
    <w:rsid w:val="FFF2BAC2"/>
    <w:rsid w:val="FFF4F5D6"/>
    <w:rsid w:val="FFF631B5"/>
    <w:rsid w:val="FFFE0E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basedOn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6">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9">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0">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39">
    <w:name w:val="Default Paragraph Font"/>
    <w:qFormat/>
    <w:uiPriority w:val="0"/>
    <w:rPr>
      <w:rFonts w:ascii="Times New Roman" w:hAnsi="Times New Roman" w:eastAsia="宋体" w:cs="Times New Roman"/>
    </w:rPr>
  </w:style>
  <w:style w:type="table" w:default="1" w:styleId="3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2">
    <w:name w:val="Normal Indent"/>
    <w:basedOn w:val="1"/>
    <w:next w:val="13"/>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3">
    <w:name w:val="Body Text Indent"/>
    <w:basedOn w:val="1"/>
    <w:next w:val="12"/>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4">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5">
    <w:name w:val="annotation text"/>
    <w:basedOn w:val="1"/>
    <w:qFormat/>
    <w:uiPriority w:val="0"/>
    <w:pPr>
      <w:jc w:val="left"/>
    </w:pPr>
    <w:rPr>
      <w:rFonts w:ascii="Times New Roman" w:hAnsi="Times New Roman" w:eastAsia="宋体" w:cs="Times New Roman"/>
    </w:rPr>
  </w:style>
  <w:style w:type="paragraph" w:styleId="16">
    <w:name w:val="Body Text"/>
    <w:basedOn w:val="1"/>
    <w:next w:val="17"/>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7">
    <w:name w:val="Body Text First Indent"/>
    <w:basedOn w:val="16"/>
    <w:next w:val="1"/>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18">
    <w:name w:val="Plain Text"/>
    <w:basedOn w:val="1"/>
    <w:next w:val="1"/>
    <w:link w:val="45"/>
    <w:qFormat/>
    <w:uiPriority w:val="0"/>
    <w:rPr>
      <w:rFonts w:ascii="宋体" w:hAnsi="Courier New" w:eastAsia="宋体" w:cs="Courier New"/>
      <w:szCs w:val="21"/>
    </w:rPr>
  </w:style>
  <w:style w:type="paragraph" w:styleId="19">
    <w:name w:val="Date"/>
    <w:basedOn w:val="1"/>
    <w:next w:val="1"/>
    <w:qFormat/>
    <w:uiPriority w:val="0"/>
    <w:rPr>
      <w:rFonts w:ascii="Times New Roman" w:hAnsi="Times New Roman" w:eastAsia="宋体" w:cs="Times New Roman"/>
      <w:sz w:val="28"/>
      <w:szCs w:val="20"/>
    </w:rPr>
  </w:style>
  <w:style w:type="paragraph" w:styleId="20">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1">
    <w:name w:val="Balloon Text"/>
    <w:basedOn w:val="1"/>
    <w:qFormat/>
    <w:uiPriority w:val="0"/>
    <w:rPr>
      <w:rFonts w:ascii="Times New Roman" w:hAnsi="Times New Roman" w:eastAsia="宋体" w:cs="Times New Roman"/>
      <w:sz w:val="18"/>
      <w:szCs w:val="18"/>
    </w:rPr>
  </w:style>
  <w:style w:type="paragraph" w:styleId="22">
    <w:name w:val="footer"/>
    <w:basedOn w:val="1"/>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3">
    <w:name w:val="header"/>
    <w:basedOn w:val="1"/>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4">
    <w:name w:val="toc 1"/>
    <w:basedOn w:val="1"/>
    <w:next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5">
    <w:name w:val="toc 4"/>
    <w:basedOn w:val="1"/>
    <w:next w:val="1"/>
    <w:qFormat/>
    <w:uiPriority w:val="0"/>
    <w:pPr>
      <w:ind w:left="1260"/>
    </w:pPr>
    <w:rPr>
      <w:rFonts w:ascii="Times New Roman" w:hAnsi="Times New Roman" w:eastAsia="宋体" w:cs="Times New Roman"/>
      <w:kern w:val="1"/>
    </w:rPr>
  </w:style>
  <w:style w:type="paragraph" w:styleId="26">
    <w:name w:val="footnote text"/>
    <w:basedOn w:val="1"/>
    <w:link w:val="46"/>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8">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29">
    <w:name w:val="toc 2"/>
    <w:basedOn w:val="1"/>
    <w:next w:val="1"/>
    <w:qFormat/>
    <w:uiPriority w:val="0"/>
    <w:pPr>
      <w:ind w:left="420" w:leftChars="200"/>
    </w:pPr>
    <w:rPr>
      <w:rFonts w:ascii="Times New Roman" w:hAnsi="Times New Roman" w:eastAsia="宋体" w:cs="Times New Roman"/>
    </w:rPr>
  </w:style>
  <w:style w:type="paragraph" w:styleId="30">
    <w:name w:val="toc 9"/>
    <w:basedOn w:val="1"/>
    <w:next w:val="1"/>
    <w:uiPriority w:val="0"/>
    <w:pPr>
      <w:ind w:left="3360" w:leftChars="1600"/>
    </w:pPr>
    <w:rPr>
      <w:rFonts w:ascii="Calibri" w:hAnsi="Calibri" w:eastAsia="宋体" w:cs="Times New Roman"/>
    </w:rPr>
  </w:style>
  <w:style w:type="paragraph" w:styleId="31">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2">
    <w:name w:val="Normal (Web)"/>
    <w:basedOn w:val="1"/>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3">
    <w:name w:val="index 1"/>
    <w:basedOn w:val="1"/>
    <w:next w:val="1"/>
    <w:uiPriority w:val="0"/>
    <w:rPr>
      <w:rFonts w:ascii="Times New Roman" w:hAnsi="Times New Roman" w:eastAsia="宋体" w:cs="Times New Roman"/>
    </w:rPr>
  </w:style>
  <w:style w:type="paragraph" w:styleId="34">
    <w:name w:val="Title"/>
    <w:basedOn w:val="1"/>
    <w:next w:val="1"/>
    <w:link w:val="47"/>
    <w:qFormat/>
    <w:uiPriority w:val="0"/>
    <w:pPr>
      <w:spacing w:before="240" w:after="60"/>
      <w:jc w:val="center"/>
      <w:outlineLvl w:val="0"/>
    </w:pPr>
    <w:rPr>
      <w:rFonts w:ascii="等线 Light" w:hAnsi="等线 Light" w:cs="Times New Roman"/>
      <w:b/>
      <w:bCs/>
      <w:sz w:val="32"/>
      <w:szCs w:val="32"/>
    </w:rPr>
  </w:style>
  <w:style w:type="paragraph" w:styleId="35">
    <w:name w:val="annotation subject"/>
    <w:basedOn w:val="15"/>
    <w:next w:val="15"/>
    <w:qFormat/>
    <w:uiPriority w:val="0"/>
    <w:rPr>
      <w:rFonts w:ascii="Times New Roman" w:hAnsi="Times New Roman" w:eastAsia="宋体" w:cs="Times New Roman"/>
      <w:b/>
      <w:bCs/>
    </w:rPr>
  </w:style>
  <w:style w:type="paragraph" w:styleId="36">
    <w:name w:val="Body Text First Indent 2"/>
    <w:basedOn w:val="13"/>
    <w:next w:val="1"/>
    <w:qFormat/>
    <w:uiPriority w:val="0"/>
    <w:pPr>
      <w:spacing w:after="120" w:line="240" w:lineRule="auto"/>
      <w:ind w:left="420" w:leftChars="200" w:firstLine="420"/>
    </w:pPr>
    <w:rPr>
      <w:rFonts w:ascii="Times New Roman" w:hAnsi="Times New Roman" w:eastAsia="宋体" w:cs="宋体"/>
      <w:sz w:val="21"/>
      <w:szCs w:val="21"/>
    </w:rPr>
  </w:style>
  <w:style w:type="table" w:styleId="38">
    <w:name w:val="Table Grid"/>
    <w:basedOn w:val="3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800080"/>
      <w:szCs w:val="20"/>
      <w:u w:val="single"/>
    </w:rPr>
  </w:style>
  <w:style w:type="character" w:styleId="42">
    <w:name w:val="Hyperlink"/>
    <w:qFormat/>
    <w:uiPriority w:val="0"/>
    <w:rPr>
      <w:rFonts w:ascii="Times New Roman" w:hAnsi="Times New Roman" w:eastAsia="宋体" w:cs="Times New Roman"/>
      <w:color w:val="0000FF"/>
      <w:sz w:val="21"/>
      <w:szCs w:val="20"/>
      <w:u w:val="single"/>
    </w:rPr>
  </w:style>
  <w:style w:type="character" w:styleId="43">
    <w:name w:val="annotation reference"/>
    <w:qFormat/>
    <w:uiPriority w:val="0"/>
    <w:rPr>
      <w:rFonts w:ascii="Times New Roman" w:hAnsi="Times New Roman" w:eastAsia="宋体" w:cs="Times New Roman"/>
      <w:sz w:val="21"/>
      <w:szCs w:val="21"/>
    </w:rPr>
  </w:style>
  <w:style w:type="character" w:styleId="44">
    <w:name w:val="footnote reference"/>
    <w:uiPriority w:val="0"/>
    <w:rPr>
      <w:rFonts w:ascii="Times New Roman" w:hAnsi="Times New Roman" w:eastAsia="宋体" w:cs="Times New Roman"/>
      <w:vertAlign w:val="superscript"/>
    </w:rPr>
  </w:style>
  <w:style w:type="character" w:customStyle="1" w:styleId="45">
    <w:name w:val="纯文本 字符"/>
    <w:link w:val="18"/>
    <w:uiPriority w:val="0"/>
    <w:rPr>
      <w:rFonts w:ascii="宋体" w:hAnsi="Courier New" w:eastAsia="宋体" w:cs="Courier New"/>
      <w:kern w:val="2"/>
      <w:sz w:val="21"/>
      <w:szCs w:val="21"/>
      <w:lang w:val="en-US" w:eastAsia="zh-CN" w:bidi="ar-SA"/>
    </w:rPr>
  </w:style>
  <w:style w:type="character" w:customStyle="1" w:styleId="46">
    <w:name w:val="脚注文本 字符"/>
    <w:link w:val="26"/>
    <w:uiPriority w:val="0"/>
    <w:rPr>
      <w:rFonts w:ascii="Times New Roman" w:hAnsi="Times New Roman" w:eastAsia="宋体" w:cs="Times New Roman"/>
      <w:kern w:val="2"/>
      <w:sz w:val="18"/>
      <w:szCs w:val="18"/>
    </w:rPr>
  </w:style>
  <w:style w:type="character" w:customStyle="1" w:styleId="47">
    <w:name w:val="标题 字符"/>
    <w:link w:val="34"/>
    <w:uiPriority w:val="0"/>
    <w:rPr>
      <w:rFonts w:ascii="等线 Light" w:hAnsi="等线 Light" w:eastAsia="宋体" w:cs="Times New Roman"/>
      <w:b/>
      <w:bCs/>
      <w:kern w:val="2"/>
      <w:sz w:val="32"/>
      <w:szCs w:val="32"/>
    </w:rPr>
  </w:style>
  <w:style w:type="paragraph" w:customStyle="1" w:styleId="48">
    <w:name w:val="_Style 2"/>
    <w:basedOn w:val="1"/>
    <w:qFormat/>
    <w:uiPriority w:val="0"/>
    <w:pPr>
      <w:ind w:firstLine="200" w:firstLineChars="200"/>
    </w:pPr>
    <w:rPr>
      <w:rFonts w:ascii="Calibri" w:hAnsi="Calibri"/>
      <w:sz w:val="28"/>
      <w:szCs w:val="22"/>
    </w:rPr>
  </w:style>
  <w:style w:type="paragraph" w:customStyle="1" w:styleId="49">
    <w:name w:val="xl53"/>
    <w:basedOn w:val="1"/>
    <w:next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paragraph" w:customStyle="1" w:styleId="50">
    <w:name w:val="首行缩进"/>
    <w:basedOn w:val="1"/>
    <w:uiPriority w:val="0"/>
    <w:pPr>
      <w:spacing w:line="360" w:lineRule="auto"/>
      <w:ind w:firstLine="480" w:firstLineChars="200"/>
    </w:pPr>
    <w:rPr>
      <w:rFonts w:ascii="Times New Roman" w:hAnsi="Times New Roman" w:eastAsia="宋体" w:cs="Times New Roman"/>
      <w:lang w:val="zh-CN"/>
    </w:rPr>
  </w:style>
  <w:style w:type="character" w:customStyle="1" w:styleId="51">
    <w:name w:val="font11"/>
    <w:uiPriority w:val="0"/>
    <w:rPr>
      <w:rFonts w:hint="eastAsia" w:ascii="宋体" w:hAnsi="宋体" w:eastAsia="宋体" w:cs="Times New Roman"/>
      <w:color w:val="FF0000"/>
      <w:sz w:val="28"/>
      <w:szCs w:val="28"/>
      <w:u w:val="none"/>
    </w:rPr>
  </w:style>
  <w:style w:type="character" w:customStyle="1" w:styleId="52">
    <w:name w:val="font31"/>
    <w:uiPriority w:val="0"/>
    <w:rPr>
      <w:rFonts w:hint="eastAsia" w:ascii="宋体" w:hAnsi="宋体" w:eastAsia="宋体" w:cs="宋体"/>
      <w:color w:val="000000"/>
      <w:sz w:val="22"/>
      <w:szCs w:val="22"/>
      <w:u w:val="none"/>
    </w:rPr>
  </w:style>
  <w:style w:type="character" w:customStyle="1" w:styleId="53">
    <w:name w:val="font21"/>
    <w:uiPriority w:val="0"/>
    <w:rPr>
      <w:rFonts w:hint="eastAsia" w:ascii="宋体" w:hAnsi="宋体" w:eastAsia="宋体" w:cs="宋体"/>
      <w:color w:val="000000"/>
      <w:sz w:val="21"/>
      <w:szCs w:val="21"/>
      <w:u w:val="none"/>
    </w:rPr>
  </w:style>
  <w:style w:type="character" w:customStyle="1" w:styleId="54">
    <w:name w:val="font01"/>
    <w:qFormat/>
    <w:uiPriority w:val="0"/>
    <w:rPr>
      <w:rFonts w:ascii="Verdana" w:hAnsi="Verdana" w:eastAsia="宋体" w:cs="Verdana"/>
      <w:color w:val="000000"/>
      <w:sz w:val="20"/>
      <w:szCs w:val="20"/>
      <w:u w:val="none"/>
    </w:rPr>
  </w:style>
  <w:style w:type="paragraph" w:customStyle="1" w:styleId="55">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56">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57">
    <w:name w:val="纯文本 Char1"/>
    <w:uiPriority w:val="0"/>
    <w:rPr>
      <w:rFonts w:ascii="宋体" w:hAnsi="Courier New" w:eastAsia="宋体" w:cs="Courier New"/>
      <w:kern w:val="2"/>
      <w:sz w:val="21"/>
      <w:szCs w:val="21"/>
    </w:rPr>
  </w:style>
  <w:style w:type="character" w:customStyle="1" w:styleId="58">
    <w:name w:val="普通文字 Char Char2"/>
    <w:uiPriority w:val="0"/>
    <w:rPr>
      <w:rFonts w:ascii="宋体" w:hAnsi="Courier New" w:eastAsia="宋体" w:cs="Courier New"/>
      <w:kern w:val="2"/>
      <w:sz w:val="21"/>
      <w:szCs w:val="21"/>
      <w:lang w:val="en-US" w:eastAsia="zh-CN" w:bidi="ar-SA"/>
    </w:rPr>
  </w:style>
  <w:style w:type="character" w:customStyle="1" w:styleId="59">
    <w:name w:val=" Char Char1"/>
    <w:uiPriority w:val="0"/>
    <w:rPr>
      <w:rFonts w:ascii="宋体" w:hAnsi="Courier New" w:eastAsia="宋体" w:cs="Courier New"/>
      <w:kern w:val="2"/>
      <w:sz w:val="21"/>
      <w:szCs w:val="21"/>
      <w:lang w:val="en-US" w:eastAsia="zh-CN" w:bidi="ar-SA"/>
    </w:rPr>
  </w:style>
  <w:style w:type="paragraph" w:customStyle="1" w:styleId="60">
    <w:name w:val="Char"/>
    <w:basedOn w:val="1"/>
    <w:uiPriority w:val="0"/>
    <w:rPr>
      <w:rFonts w:ascii="仿宋_GB2312" w:hAnsi="Times New Roman" w:eastAsia="仿宋_GB2312" w:cs="仿宋_GB2312"/>
      <w:b/>
      <w:bCs/>
      <w:sz w:val="32"/>
      <w:szCs w:val="32"/>
    </w:rPr>
  </w:style>
  <w:style w:type="paragraph" w:customStyle="1" w:styleId="61">
    <w:name w:val="标题1"/>
    <w:basedOn w:val="24"/>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2">
    <w:name w:val="Defaul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3">
    <w:name w:val=" Char Char Char2 Char Char Char"/>
    <w:basedOn w:val="1"/>
    <w:uiPriority w:val="0"/>
    <w:rPr>
      <w:rFonts w:ascii="Times New Roman" w:hAnsi="Times New Roman" w:eastAsia="宋体" w:cs="Times New Roman"/>
    </w:rPr>
  </w:style>
  <w:style w:type="paragraph" w:customStyle="1" w:styleId="64">
    <w:name w:val="xl24"/>
    <w:basedOn w:val="1"/>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5">
    <w:name w:val="正"/>
    <w:basedOn w:val="1"/>
    <w:uiPriority w:val="0"/>
    <w:pPr>
      <w:ind w:firstLine="525"/>
    </w:pPr>
    <w:rPr>
      <w:rFonts w:ascii="Times New Roman" w:hAnsi="Times New Roman" w:eastAsia="宋体" w:cs="Times New Roman"/>
      <w:spacing w:val="20"/>
    </w:rPr>
  </w:style>
  <w:style w:type="paragraph" w:customStyle="1" w:styleId="66">
    <w:name w:val="ÕýÎÄ"/>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7">
    <w:name w:val="ÕÂ¡À¨ºÌâ"/>
    <w:basedOn w:val="66"/>
    <w:next w:val="1"/>
    <w:uiPriority w:val="0"/>
    <w:pPr>
      <w:spacing w:before="158" w:after="153" w:line="323" w:lineRule="atLeast"/>
      <w:ind w:firstLine="0"/>
      <w:jc w:val="center"/>
    </w:pPr>
    <w:rPr>
      <w:rFonts w:ascii="Arial" w:hAnsi="Arial" w:eastAsia="宋体" w:cs="Times New Roman"/>
      <w:sz w:val="31"/>
      <w:szCs w:val="22"/>
    </w:rPr>
  </w:style>
  <w:style w:type="paragraph" w:customStyle="1" w:styleId="68">
    <w:name w:val="+正文"/>
    <w:basedOn w:val="1"/>
    <w:uiPriority w:val="0"/>
    <w:pPr>
      <w:spacing w:line="360" w:lineRule="auto"/>
      <w:ind w:firstLine="200" w:firstLineChars="200"/>
    </w:pPr>
    <w:rPr>
      <w:rFonts w:ascii="Times New Roman" w:hAnsi="Times New Roman" w:eastAsia="宋体" w:cs="Times New Roman"/>
      <w:sz w:val="24"/>
      <w:szCs w:val="28"/>
    </w:rPr>
  </w:style>
  <w:style w:type="paragraph" w:customStyle="1" w:styleId="69">
    <w:name w:val="表格"/>
    <w:basedOn w:val="1"/>
    <w:next w:val="12"/>
    <w:uiPriority w:val="0"/>
    <w:pPr>
      <w:widowControl/>
      <w:spacing w:before="100" w:beforeAutospacing="1" w:after="100" w:afterAutospacing="1"/>
      <w:jc w:val="left"/>
    </w:pPr>
    <w:rPr>
      <w:rFonts w:ascii="Arial" w:hAnsi="Arial" w:eastAsia="宋体" w:cs="Times New Roman"/>
      <w:bCs/>
      <w:szCs w:val="20"/>
    </w:rPr>
  </w:style>
  <w:style w:type="paragraph" w:customStyle="1" w:styleId="70">
    <w:name w:val="Plain Text"/>
    <w:basedOn w:val="1"/>
    <w:uiPriority w:val="0"/>
    <w:pPr>
      <w:widowControl/>
      <w:overflowPunct w:val="0"/>
      <w:autoSpaceDE w:val="0"/>
      <w:autoSpaceDN w:val="0"/>
      <w:jc w:val="left"/>
    </w:pPr>
    <w:rPr>
      <w:rFonts w:ascii="宋体" w:hAnsi="Courier New" w:eastAsia="宋体" w:cs="Times New Roman"/>
      <w:kern w:val="0"/>
    </w:rPr>
  </w:style>
  <w:style w:type="paragraph" w:customStyle="1" w:styleId="71">
    <w:name w:val="样式"/>
    <w:basedOn w:val="1"/>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2">
    <w:name w:val=" Char3"/>
    <w:basedOn w:val="1"/>
    <w:uiPriority w:val="0"/>
    <w:pPr>
      <w:tabs>
        <w:tab w:val="left" w:pos="360"/>
      </w:tabs>
    </w:pPr>
    <w:rPr>
      <w:rFonts w:ascii="Times New Roman" w:hAnsi="Times New Roman" w:eastAsia="宋体" w:cs="Times New Roman"/>
      <w:sz w:val="24"/>
    </w:rPr>
  </w:style>
  <w:style w:type="paragraph" w:styleId="73">
    <w:name w:val="List Paragraph"/>
    <w:basedOn w:val="1"/>
    <w:qFormat/>
    <w:uiPriority w:val="0"/>
    <w:pPr>
      <w:ind w:firstLine="420" w:firstLineChars="200"/>
    </w:pPr>
    <w:rPr>
      <w:rFonts w:ascii="Times New Roman" w:hAnsi="Times New Roman" w:eastAsia="宋体" w:cs="Times New Roman"/>
    </w:rPr>
  </w:style>
  <w:style w:type="paragraph" w:customStyle="1" w:styleId="74">
    <w:name w:val=" Char"/>
    <w:basedOn w:val="1"/>
    <w:uiPriority w:val="0"/>
    <w:rPr>
      <w:rFonts w:ascii="Times New Roman" w:hAnsi="Times New Roman" w:eastAsia="宋体" w:cs="Times New Roman"/>
      <w:szCs w:val="20"/>
    </w:rPr>
  </w:style>
  <w:style w:type="paragraph" w:customStyle="1" w:styleId="75">
    <w:name w:val="标题 7 New"/>
    <w:basedOn w:val="1"/>
    <w:next w:val="1"/>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76">
    <w:name w:val=" Char Char Char"/>
    <w:basedOn w:val="1"/>
    <w:uiPriority w:val="0"/>
    <w:rPr>
      <w:rFonts w:ascii="Tahoma" w:hAnsi="Tahoma" w:eastAsia="宋体" w:cs="Times New Roman"/>
      <w:sz w:val="24"/>
      <w:szCs w:val="20"/>
    </w:rPr>
  </w:style>
  <w:style w:type="paragraph" w:customStyle="1" w:styleId="77">
    <w:name w:val=" Char Char Char1 Char Char Char Char Char Char Char Char Char Char Char Char Char"/>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18965</Words>
  <Characters>20433</Characters>
  <Lines>224</Lines>
  <Paragraphs>63</Paragraphs>
  <TotalTime>40</TotalTime>
  <ScaleCrop>false</ScaleCrop>
  <LinksUpToDate>false</LinksUpToDate>
  <CharactersWithSpaces>20639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2024-03-14T00:41:00Z</dcterms:created>
  <dc:creator>Administrator</dc:creator>
  <cp:lastModifiedBy>Administrator</cp:lastModifiedBy>
  <cp:lastPrinted>2023-11-22T16:45:00Z</cp:lastPrinted>
  <dcterms:modified xsi:type="dcterms:W3CDTF">2025-10-22T02:16:54Z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7585A01D0631416FBA7364AB31E8D313_13</vt:lpwstr>
  </property>
  <property fmtid="{D5CDD505-2E9C-101B-9397-08002B2CF9AE}" pid="4" name="KSOTemplateDocerSaveRecord">
    <vt:lpwstr>eyJoZGlkIjoiNTY5MmYwNzM1YTE1YTU4M2FjODczMjY4YmU4NGE5MjAiLCJ1c2VySWQiOiIxNTYwMDA0MzMyIn0=</vt:lpwstr>
  </property>
</Properties>
</file>