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10.odttf" ContentType="application/vnd.openxmlformats-officedocument.obfuscatedFont"/>
  <Override PartName="/word/fonts/font1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nts/font9.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156" w:beforeLines="50"/>
        <w:jc w:val="center"/>
        <w:rPr>
          <w:rFonts w:hint="eastAsia" w:ascii="宋体" w:hAnsi="宋体" w:eastAsia="宋体" w:cs="宋体"/>
          <w:b/>
          <w:color w:val="000000"/>
          <w:sz w:val="52"/>
          <w:szCs w:val="52"/>
        </w:rPr>
      </w:pPr>
      <w:bookmarkStart w:id="0" w:name="OLE_LINK15"/>
      <w:bookmarkStart w:id="1" w:name="OLE_LINK4"/>
      <w:bookmarkStart w:id="2" w:name="OLE_LINK13"/>
      <w:r>
        <w:rPr>
          <w:rFonts w:hint="eastAsia" w:ascii="宋体" w:hAnsi="宋体" w:eastAsia="宋体" w:cs="宋体"/>
          <w:b/>
          <w:bCs/>
          <w:sz w:val="52"/>
          <w:szCs w:val="52"/>
          <w:lang w:eastAsia="zh-CN"/>
        </w:rPr>
        <w:t>义乌市数字经济产业社区项目物业服务采购</w:t>
      </w:r>
      <w:r>
        <w:rPr>
          <w:rFonts w:hint="eastAsia" w:ascii="宋体" w:hAnsi="宋体" w:eastAsia="宋体" w:cs="宋体"/>
          <w:b/>
          <w:color w:val="auto"/>
          <w:sz w:val="52"/>
          <w:szCs w:val="52"/>
          <w:highlight w:val="none"/>
        </w:rPr>
        <w:t>项目</w:t>
      </w:r>
    </w:p>
    <w:bookmarkEnd w:id="0"/>
    <w:p>
      <w:pPr>
        <w:spacing w:line="360" w:lineRule="auto"/>
        <w:ind w:firstLine="964" w:firstLineChars="200"/>
        <w:jc w:val="center"/>
        <w:rPr>
          <w:rFonts w:ascii="宋体" w:hAnsi="宋体" w:cs="宋体"/>
          <w:b/>
          <w:color w:val="000000"/>
          <w:sz w:val="48"/>
          <w:szCs w:val="48"/>
        </w:rPr>
      </w:pPr>
    </w:p>
    <w:p>
      <w:pPr>
        <w:spacing w:line="360" w:lineRule="auto"/>
        <w:rPr>
          <w:rFonts w:ascii="隶书" w:hAnsi="Arial Narrow" w:eastAsia="隶书"/>
          <w:b/>
          <w:sz w:val="30"/>
          <w:szCs w:val="30"/>
        </w:rPr>
      </w:pPr>
    </w:p>
    <w:p>
      <w:pPr>
        <w:spacing w:line="360" w:lineRule="auto"/>
        <w:rPr>
          <w:rFonts w:ascii="隶书" w:hAnsi="Arial Narrow" w:eastAsia="隶书"/>
          <w:b/>
          <w:sz w:val="30"/>
          <w:szCs w:val="30"/>
        </w:rPr>
      </w:pPr>
    </w:p>
    <w:p>
      <w:pPr>
        <w:spacing w:line="360" w:lineRule="auto"/>
        <w:rPr>
          <w:rFonts w:ascii="宋体" w:hAnsi="宋体"/>
          <w:sz w:val="84"/>
          <w:szCs w:val="84"/>
        </w:rPr>
      </w:pPr>
      <w:r>
        <w:rPr>
          <w:rFonts w:hint="eastAsia" w:ascii="宋体" w:hAnsi="宋体"/>
          <w:sz w:val="84"/>
          <w:szCs w:val="84"/>
        </w:rPr>
        <w:t xml:space="preserve">      招标</w:t>
      </w:r>
      <w:r>
        <w:rPr>
          <w:rFonts w:hint="eastAsia" w:ascii="宋体" w:hAnsi="宋体"/>
          <w:color w:val="000000"/>
          <w:sz w:val="84"/>
          <w:szCs w:val="84"/>
        </w:rPr>
        <w:t>文</w:t>
      </w:r>
      <w:r>
        <w:rPr>
          <w:rFonts w:hint="eastAsia" w:ascii="宋体" w:hAnsi="宋体"/>
          <w:sz w:val="84"/>
          <w:szCs w:val="84"/>
        </w:rPr>
        <w:t>件</w:t>
      </w:r>
    </w:p>
    <w:p>
      <w:pPr>
        <w:spacing w:line="360" w:lineRule="auto"/>
        <w:ind w:firstLine="600" w:firstLineChars="200"/>
        <w:jc w:val="center"/>
        <w:rPr>
          <w:rFonts w:ascii="隶书" w:hAnsi="Arial Narrow" w:eastAsia="隶书"/>
          <w:sz w:val="30"/>
          <w:szCs w:val="30"/>
        </w:rPr>
      </w:pPr>
    </w:p>
    <w:p>
      <w:pPr>
        <w:spacing w:line="360" w:lineRule="auto"/>
        <w:ind w:firstLine="600" w:firstLineChars="200"/>
        <w:jc w:val="center"/>
        <w:rPr>
          <w:rFonts w:ascii="隶书" w:hAnsi="Arial Narrow" w:eastAsia="隶书"/>
          <w:sz w:val="30"/>
          <w:szCs w:val="30"/>
        </w:rPr>
      </w:pPr>
    </w:p>
    <w:p>
      <w:pPr>
        <w:pStyle w:val="17"/>
        <w:snapToGrid w:val="0"/>
        <w:spacing w:before="120" w:after="120" w:line="360" w:lineRule="auto"/>
        <w:rPr>
          <w:b/>
          <w:sz w:val="32"/>
          <w:szCs w:val="32"/>
        </w:rPr>
      </w:pPr>
      <w:r>
        <w:rPr>
          <w:rFonts w:hint="eastAsia"/>
          <w:b/>
          <w:sz w:val="32"/>
          <w:szCs w:val="32"/>
        </w:rPr>
        <w:t xml:space="preserve">              采购编号：</w:t>
      </w:r>
      <w:r>
        <w:rPr>
          <w:rFonts w:hint="eastAsia" w:hAnsi="宋体" w:cs="宋体"/>
          <w:b/>
          <w:sz w:val="32"/>
          <w:szCs w:val="32"/>
        </w:rPr>
        <w:t>YCQ-202</w:t>
      </w:r>
      <w:r>
        <w:rPr>
          <w:rFonts w:hint="eastAsia" w:hAnsi="宋体" w:cs="宋体"/>
          <w:b/>
          <w:sz w:val="32"/>
          <w:szCs w:val="32"/>
          <w:lang w:val="en-US" w:eastAsia="zh-CN"/>
        </w:rPr>
        <w:t>5</w:t>
      </w:r>
      <w:r>
        <w:rPr>
          <w:rFonts w:hint="eastAsia" w:hAnsi="宋体" w:cs="宋体"/>
          <w:b/>
          <w:sz w:val="32"/>
          <w:szCs w:val="32"/>
        </w:rPr>
        <w:t>-CG</w:t>
      </w:r>
      <w:r>
        <w:rPr>
          <w:rFonts w:hint="eastAsia" w:hAnsi="宋体" w:cs="宋体"/>
          <w:b/>
          <w:sz w:val="32"/>
          <w:szCs w:val="32"/>
          <w:lang w:val="en-US" w:eastAsia="zh-CN"/>
        </w:rPr>
        <w:t xml:space="preserve">239   </w:t>
      </w:r>
      <w:r>
        <w:rPr>
          <w:rFonts w:hint="eastAsia" w:hAnsi="宋体" w:cs="宋体"/>
          <w:b/>
          <w:sz w:val="32"/>
          <w:szCs w:val="32"/>
        </w:rPr>
        <w:t xml:space="preserve"> </w:t>
      </w:r>
      <w:r>
        <w:rPr>
          <w:rFonts w:hint="eastAsia" w:hAnsi="宋体" w:cs="宋体"/>
          <w:b/>
          <w:sz w:val="32"/>
          <w:szCs w:val="32"/>
          <w:lang w:val="en-US" w:eastAsia="zh-CN"/>
        </w:rPr>
        <w:t xml:space="preserve">     </w:t>
      </w:r>
      <w:r>
        <w:rPr>
          <w:rFonts w:hint="eastAsia" w:hAnsi="宋体" w:cs="宋体"/>
          <w:b/>
          <w:sz w:val="32"/>
          <w:szCs w:val="32"/>
        </w:rPr>
        <w:t xml:space="preserve"> </w:t>
      </w:r>
    </w:p>
    <w:p>
      <w:pPr>
        <w:pStyle w:val="17"/>
        <w:snapToGrid w:val="0"/>
        <w:spacing w:before="120" w:after="120" w:line="360" w:lineRule="auto"/>
        <w:ind w:firstLine="2704" w:firstLineChars="845"/>
        <w:rPr>
          <w:rFonts w:ascii="隶书" w:hAnsi="Arial Narrow" w:eastAsia="楷体_GB2312"/>
          <w:bCs/>
          <w:sz w:val="32"/>
          <w:szCs w:val="32"/>
        </w:rPr>
      </w:pPr>
    </w:p>
    <w:p>
      <w:pPr>
        <w:pStyle w:val="17"/>
        <w:snapToGrid w:val="0"/>
        <w:spacing w:before="120" w:after="120" w:line="360" w:lineRule="auto"/>
        <w:rPr>
          <w:rFonts w:ascii="隶书" w:hAnsi="Arial Narrow" w:eastAsia="楷体_GB2312"/>
          <w:sz w:val="30"/>
          <w:szCs w:val="72"/>
        </w:rPr>
      </w:pPr>
    </w:p>
    <w:p>
      <w:pPr>
        <w:pStyle w:val="17"/>
        <w:snapToGrid w:val="0"/>
        <w:spacing w:before="120" w:after="120" w:line="360" w:lineRule="auto"/>
        <w:rPr>
          <w:rFonts w:hAnsi="宋体"/>
          <w:b/>
          <w:bCs/>
          <w:w w:val="95"/>
          <w:sz w:val="30"/>
          <w:szCs w:val="30"/>
        </w:rPr>
      </w:pPr>
    </w:p>
    <w:p>
      <w:pPr>
        <w:pStyle w:val="17"/>
        <w:snapToGrid w:val="0"/>
        <w:spacing w:before="120" w:after="120" w:line="360" w:lineRule="auto"/>
        <w:rPr>
          <w:rFonts w:hAnsi="宋体"/>
          <w:b/>
          <w:sz w:val="32"/>
          <w:szCs w:val="32"/>
          <w:u w:val="single"/>
        </w:rPr>
      </w:pPr>
      <w:r>
        <w:rPr>
          <w:rFonts w:hint="eastAsia" w:hAnsi="宋体"/>
          <w:b/>
          <w:bCs/>
          <w:w w:val="95"/>
          <w:sz w:val="32"/>
          <w:szCs w:val="32"/>
        </w:rPr>
        <w:t>采</w:t>
      </w:r>
      <w:r>
        <w:rPr>
          <w:rFonts w:hAnsi="宋体"/>
          <w:b/>
          <w:bCs/>
          <w:w w:val="95"/>
          <w:sz w:val="32"/>
          <w:szCs w:val="32"/>
        </w:rPr>
        <w:t xml:space="preserve">   购　 </w:t>
      </w:r>
      <w:r>
        <w:rPr>
          <w:rFonts w:hint="eastAsia" w:hAnsi="宋体"/>
          <w:b/>
          <w:bCs/>
          <w:w w:val="95"/>
          <w:sz w:val="32"/>
          <w:szCs w:val="32"/>
        </w:rPr>
        <w:t>人：</w:t>
      </w:r>
      <w:r>
        <w:rPr>
          <w:rFonts w:hint="eastAsia" w:ascii="宋体" w:hAnsi="宋体" w:eastAsia="宋体" w:cs="宋体"/>
          <w:b/>
          <w:bCs/>
          <w:color w:val="auto"/>
          <w:sz w:val="32"/>
          <w:szCs w:val="32"/>
          <w:highlight w:val="none"/>
          <w:u w:val="single"/>
        </w:rPr>
        <w:t>义乌市</w:t>
      </w:r>
      <w:r>
        <w:rPr>
          <w:rFonts w:hint="eastAsia" w:ascii="宋体" w:hAnsi="宋体" w:eastAsia="宋体" w:cs="宋体"/>
          <w:b/>
          <w:bCs/>
          <w:color w:val="auto"/>
          <w:sz w:val="32"/>
          <w:szCs w:val="32"/>
          <w:highlight w:val="none"/>
          <w:u w:val="single"/>
          <w:lang w:eastAsia="zh-CN"/>
        </w:rPr>
        <w:t>聚合双圆数字科技</w:t>
      </w:r>
      <w:r>
        <w:rPr>
          <w:rFonts w:hint="eastAsia" w:ascii="宋体" w:hAnsi="宋体" w:eastAsia="宋体" w:cs="宋体"/>
          <w:b/>
          <w:bCs/>
          <w:color w:val="auto"/>
          <w:sz w:val="32"/>
          <w:szCs w:val="32"/>
          <w:highlight w:val="none"/>
          <w:u w:val="single"/>
        </w:rPr>
        <w:t>有限公司</w:t>
      </w:r>
      <w:r>
        <w:rPr>
          <w:rFonts w:hAnsi="宋体"/>
          <w:b/>
          <w:sz w:val="32"/>
          <w:szCs w:val="32"/>
          <w:u w:val="single"/>
        </w:rPr>
        <w:t>（盖章）</w:t>
      </w:r>
    </w:p>
    <w:p>
      <w:pPr>
        <w:pStyle w:val="17"/>
        <w:snapToGrid w:val="0"/>
        <w:spacing w:before="120" w:after="120" w:line="360" w:lineRule="auto"/>
        <w:jc w:val="left"/>
        <w:rPr>
          <w:rFonts w:hAnsi="宋体"/>
          <w:b/>
          <w:sz w:val="32"/>
          <w:szCs w:val="32"/>
          <w:u w:val="single"/>
        </w:rPr>
      </w:pPr>
      <w:r>
        <w:rPr>
          <w:rFonts w:hint="eastAsia" w:hAnsi="宋体"/>
          <w:b/>
          <w:bCs/>
          <w:w w:val="95"/>
          <w:sz w:val="32"/>
          <w:szCs w:val="32"/>
        </w:rPr>
        <w:t>采购代理机构：</w:t>
      </w:r>
      <w:r>
        <w:rPr>
          <w:rFonts w:hint="eastAsia" w:hAnsi="宋体"/>
          <w:b/>
          <w:sz w:val="32"/>
          <w:szCs w:val="32"/>
          <w:u w:val="single"/>
        </w:rPr>
        <w:t>义乌产权交易所有限公司（盖章）</w:t>
      </w:r>
    </w:p>
    <w:p>
      <w:pPr>
        <w:pStyle w:val="17"/>
        <w:snapToGrid w:val="0"/>
        <w:spacing w:before="120" w:after="120" w:line="360" w:lineRule="auto"/>
        <w:rPr>
          <w:rFonts w:hAnsi="宋体"/>
          <w:b/>
          <w:sz w:val="32"/>
          <w:szCs w:val="32"/>
        </w:rPr>
      </w:pPr>
      <w:r>
        <w:rPr>
          <w:rFonts w:hint="eastAsia" w:hAnsi="宋体"/>
          <w:b/>
          <w:sz w:val="32"/>
          <w:szCs w:val="32"/>
        </w:rPr>
        <w:t>日　　　</w:t>
      </w:r>
      <w:r>
        <w:rPr>
          <w:rFonts w:hAnsi="宋体"/>
          <w:b/>
          <w:sz w:val="32"/>
          <w:szCs w:val="32"/>
        </w:rPr>
        <w:t xml:space="preserve"> </w:t>
      </w:r>
      <w:r>
        <w:rPr>
          <w:rFonts w:hint="eastAsia" w:hAnsi="宋体"/>
          <w:b/>
          <w:sz w:val="32"/>
          <w:szCs w:val="32"/>
        </w:rPr>
        <w:t>期：</w:t>
      </w:r>
      <w:r>
        <w:rPr>
          <w:rFonts w:hint="eastAsia" w:hAnsi="宋体"/>
          <w:b/>
          <w:sz w:val="32"/>
          <w:szCs w:val="32"/>
          <w:u w:val="single"/>
        </w:rPr>
        <w:t>二〇二</w:t>
      </w:r>
      <w:r>
        <w:rPr>
          <w:rFonts w:hint="eastAsia" w:hAnsi="宋体"/>
          <w:b/>
          <w:sz w:val="32"/>
          <w:szCs w:val="32"/>
          <w:u w:val="single"/>
          <w:lang w:eastAsia="zh-CN"/>
        </w:rPr>
        <w:t>五</w:t>
      </w:r>
      <w:r>
        <w:rPr>
          <w:rFonts w:hint="eastAsia" w:hAnsi="宋体"/>
          <w:b/>
          <w:sz w:val="32"/>
          <w:szCs w:val="32"/>
          <w:u w:val="single"/>
        </w:rPr>
        <w:t>年</w:t>
      </w:r>
      <w:r>
        <w:rPr>
          <w:rFonts w:hint="eastAsia" w:hAnsi="宋体"/>
          <w:b/>
          <w:sz w:val="32"/>
          <w:szCs w:val="32"/>
          <w:u w:val="single"/>
          <w:lang w:val="en-US" w:eastAsia="zh-CN"/>
        </w:rPr>
        <w:t>十</w:t>
      </w:r>
      <w:r>
        <w:rPr>
          <w:rFonts w:hint="eastAsia" w:hAnsi="宋体"/>
          <w:b/>
          <w:sz w:val="32"/>
          <w:szCs w:val="32"/>
          <w:u w:val="single"/>
        </w:rPr>
        <w:t>月</w:t>
      </w:r>
    </w:p>
    <w:p>
      <w:pPr>
        <w:pStyle w:val="17"/>
        <w:spacing w:before="120" w:after="120" w:line="360" w:lineRule="auto"/>
        <w:ind w:firstLine="420" w:firstLineChars="200"/>
        <w:jc w:val="center"/>
      </w:pPr>
      <w:r>
        <w:br w:type="page"/>
      </w:r>
      <w:bookmarkEnd w:id="1"/>
    </w:p>
    <w:p>
      <w:pPr>
        <w:pStyle w:val="17"/>
        <w:keepNext w:val="0"/>
        <w:keepLines w:val="0"/>
        <w:pageBreakBefore w:val="0"/>
        <w:widowControl w:val="0"/>
        <w:kinsoku/>
        <w:wordWrap/>
        <w:overflowPunct/>
        <w:topLinePunct w:val="0"/>
        <w:autoSpaceDE/>
        <w:autoSpaceDN/>
        <w:bidi w:val="0"/>
        <w:adjustRightInd/>
        <w:snapToGrid/>
        <w:spacing w:before="120" w:after="120" w:line="360" w:lineRule="auto"/>
        <w:ind w:firstLine="0" w:firstLineChars="0"/>
        <w:jc w:val="center"/>
        <w:textAlignment w:val="auto"/>
        <w:rPr>
          <w:b/>
          <w:sz w:val="44"/>
          <w:szCs w:val="44"/>
        </w:rPr>
      </w:pPr>
      <w:r>
        <w:rPr>
          <w:rFonts w:hint="eastAsia"/>
          <w:b/>
          <w:sz w:val="44"/>
          <w:szCs w:val="44"/>
        </w:rPr>
        <w:t>招标文件目录</w:t>
      </w:r>
    </w:p>
    <w:p>
      <w:pPr>
        <w:pStyle w:val="17"/>
        <w:snapToGrid w:val="0"/>
        <w:spacing w:before="120" w:after="120" w:line="360" w:lineRule="auto"/>
        <w:rPr>
          <w:rFonts w:hAnsi="宋体"/>
          <w:b/>
          <w:sz w:val="32"/>
          <w:szCs w:val="32"/>
          <w:u w:val="single"/>
        </w:rPr>
      </w:pPr>
    </w:p>
    <w:p>
      <w:pPr>
        <w:pStyle w:val="23"/>
        <w:tabs>
          <w:tab w:val="right" w:leader="dot" w:pos="8306"/>
        </w:tabs>
      </w:pPr>
      <w:r>
        <w:rPr>
          <w:sz w:val="30"/>
        </w:rPr>
        <w:fldChar w:fldCharType="begin"/>
      </w:r>
      <w:r>
        <w:rPr>
          <w:sz w:val="30"/>
        </w:rPr>
        <w:instrText xml:space="preserve">TOC \o "1-2" \h \u </w:instrText>
      </w:r>
      <w:r>
        <w:rPr>
          <w:sz w:val="30"/>
        </w:rPr>
        <w:fldChar w:fldCharType="separate"/>
      </w:r>
      <w:r>
        <w:fldChar w:fldCharType="begin"/>
      </w:r>
      <w:r>
        <w:instrText xml:space="preserve"> HYPERLINK \l _Toc10328 </w:instrText>
      </w:r>
      <w:r>
        <w:fldChar w:fldCharType="separate"/>
      </w:r>
      <w:r>
        <w:rPr>
          <w:rFonts w:cs="Times New Roman"/>
        </w:rPr>
        <w:t xml:space="preserve">第一章 </w:t>
      </w:r>
      <w:r>
        <w:rPr>
          <w:rFonts w:hint="eastAsia"/>
        </w:rPr>
        <w:t>招标公告</w:t>
      </w:r>
      <w:r>
        <w:tab/>
      </w:r>
      <w:r>
        <w:fldChar w:fldCharType="begin"/>
      </w:r>
      <w:r>
        <w:instrText xml:space="preserve"> PAGEREF _Toc10328 \h </w:instrText>
      </w:r>
      <w:r>
        <w:fldChar w:fldCharType="separate"/>
      </w:r>
      <w:r>
        <w:t>1</w:t>
      </w:r>
      <w:r>
        <w:fldChar w:fldCharType="end"/>
      </w:r>
      <w:r>
        <w:fldChar w:fldCharType="end"/>
      </w:r>
    </w:p>
    <w:p>
      <w:pPr>
        <w:pStyle w:val="23"/>
        <w:tabs>
          <w:tab w:val="right" w:leader="dot" w:pos="8306"/>
        </w:tabs>
      </w:pPr>
      <w:r>
        <w:rPr>
          <w:szCs w:val="30"/>
        </w:rPr>
        <w:fldChar w:fldCharType="begin"/>
      </w:r>
      <w:r>
        <w:rPr>
          <w:szCs w:val="30"/>
        </w:rPr>
        <w:instrText xml:space="preserve"> HYPERLINK \l _Toc29319 </w:instrText>
      </w:r>
      <w:r>
        <w:rPr>
          <w:szCs w:val="30"/>
        </w:rPr>
        <w:fldChar w:fldCharType="separate"/>
      </w:r>
      <w:r>
        <w:rPr>
          <w:rFonts w:hint="eastAsia"/>
        </w:rPr>
        <w:t>第二章　投标须知和投标须知前附表</w:t>
      </w:r>
      <w:r>
        <w:tab/>
      </w:r>
      <w:r>
        <w:fldChar w:fldCharType="begin"/>
      </w:r>
      <w:r>
        <w:instrText xml:space="preserve"> PAGEREF _Toc29319 \h </w:instrText>
      </w:r>
      <w:r>
        <w:fldChar w:fldCharType="separate"/>
      </w:r>
      <w:r>
        <w:t>4</w:t>
      </w:r>
      <w:r>
        <w:fldChar w:fldCharType="end"/>
      </w:r>
      <w:r>
        <w:rPr>
          <w:szCs w:val="30"/>
        </w:rPr>
        <w:fldChar w:fldCharType="end"/>
      </w:r>
    </w:p>
    <w:p>
      <w:pPr>
        <w:pStyle w:val="23"/>
        <w:tabs>
          <w:tab w:val="right" w:leader="dot" w:pos="8306"/>
        </w:tabs>
      </w:pPr>
      <w:r>
        <w:rPr>
          <w:szCs w:val="30"/>
        </w:rPr>
        <w:fldChar w:fldCharType="begin"/>
      </w:r>
      <w:r>
        <w:rPr>
          <w:szCs w:val="30"/>
        </w:rPr>
        <w:instrText xml:space="preserve"> HYPERLINK \l _Toc22850 </w:instrText>
      </w:r>
      <w:r>
        <w:rPr>
          <w:szCs w:val="30"/>
        </w:rPr>
        <w:fldChar w:fldCharType="separate"/>
      </w:r>
      <w:r>
        <w:rPr>
          <w:rFonts w:hint="eastAsia"/>
          <w:szCs w:val="32"/>
        </w:rPr>
        <w:t>投标须知</w:t>
      </w:r>
      <w:r>
        <w:tab/>
      </w:r>
      <w:r>
        <w:fldChar w:fldCharType="begin"/>
      </w:r>
      <w:r>
        <w:instrText xml:space="preserve"> PAGEREF _Toc22850 \h </w:instrText>
      </w:r>
      <w:r>
        <w:fldChar w:fldCharType="separate"/>
      </w:r>
      <w:r>
        <w:t>6</w:t>
      </w:r>
      <w:r>
        <w:fldChar w:fldCharType="end"/>
      </w:r>
      <w:r>
        <w:rPr>
          <w:szCs w:val="30"/>
        </w:rPr>
        <w:fldChar w:fldCharType="end"/>
      </w:r>
    </w:p>
    <w:p>
      <w:pPr>
        <w:pStyle w:val="23"/>
        <w:tabs>
          <w:tab w:val="right" w:leader="dot" w:pos="8306"/>
        </w:tabs>
      </w:pPr>
      <w:r>
        <w:rPr>
          <w:szCs w:val="30"/>
        </w:rPr>
        <w:fldChar w:fldCharType="begin"/>
      </w:r>
      <w:r>
        <w:rPr>
          <w:szCs w:val="30"/>
        </w:rPr>
        <w:instrText xml:space="preserve"> HYPERLINK \l _Toc1311 </w:instrText>
      </w:r>
      <w:r>
        <w:rPr>
          <w:szCs w:val="30"/>
        </w:rPr>
        <w:fldChar w:fldCharType="separate"/>
      </w:r>
      <w:r>
        <w:rPr>
          <w:rFonts w:hint="eastAsia" w:ascii="宋体" w:hAnsi="宋体" w:cs="宋体"/>
          <w:bCs/>
          <w:szCs w:val="36"/>
        </w:rPr>
        <w:t>第三章  招标项目要求</w:t>
      </w:r>
      <w:r>
        <w:tab/>
      </w:r>
      <w:r>
        <w:fldChar w:fldCharType="begin"/>
      </w:r>
      <w:r>
        <w:instrText xml:space="preserve"> PAGEREF _Toc1311 \h </w:instrText>
      </w:r>
      <w:r>
        <w:fldChar w:fldCharType="separate"/>
      </w:r>
      <w:r>
        <w:t>13</w:t>
      </w:r>
      <w:r>
        <w:fldChar w:fldCharType="end"/>
      </w:r>
      <w:r>
        <w:rPr>
          <w:szCs w:val="30"/>
        </w:rPr>
        <w:fldChar w:fldCharType="end"/>
      </w:r>
    </w:p>
    <w:p>
      <w:pPr>
        <w:pStyle w:val="23"/>
        <w:tabs>
          <w:tab w:val="right" w:leader="dot" w:pos="8306"/>
        </w:tabs>
        <w:rPr>
          <w:rFonts w:hint="eastAsia" w:eastAsia="宋体"/>
          <w:lang w:val="en-US" w:eastAsia="zh-CN"/>
        </w:rPr>
      </w:pPr>
      <w:r>
        <w:rPr>
          <w:szCs w:val="30"/>
        </w:rPr>
        <w:fldChar w:fldCharType="begin"/>
      </w:r>
      <w:r>
        <w:rPr>
          <w:szCs w:val="30"/>
        </w:rPr>
        <w:instrText xml:space="preserve"> HYPERLINK \l _Toc17758 </w:instrText>
      </w:r>
      <w:r>
        <w:rPr>
          <w:szCs w:val="30"/>
        </w:rPr>
        <w:fldChar w:fldCharType="separate"/>
      </w:r>
      <w:r>
        <w:rPr>
          <w:rFonts w:hint="eastAsia" w:hAnsi="宋体"/>
          <w:bCs/>
        </w:rPr>
        <w:t>第四章</w:t>
      </w:r>
      <w:r>
        <w:rPr>
          <w:rFonts w:hAnsi="宋体"/>
          <w:bCs/>
        </w:rPr>
        <w:t xml:space="preserve">  </w:t>
      </w:r>
      <w:r>
        <w:rPr>
          <w:rFonts w:hint="eastAsia" w:hAnsi="宋体"/>
          <w:bCs/>
        </w:rPr>
        <w:t>开标、评标和定标须知</w:t>
      </w:r>
      <w:r>
        <w:tab/>
      </w:r>
      <w:r>
        <w:rPr>
          <w:rFonts w:hint="eastAsia"/>
          <w:lang w:val="en-US" w:eastAsia="zh-CN"/>
        </w:rPr>
        <w:t>2</w:t>
      </w:r>
      <w:r>
        <w:rPr>
          <w:szCs w:val="30"/>
        </w:rPr>
        <w:fldChar w:fldCharType="end"/>
      </w:r>
      <w:r>
        <w:rPr>
          <w:rFonts w:hint="eastAsia"/>
          <w:szCs w:val="30"/>
          <w:lang w:val="en-US" w:eastAsia="zh-CN"/>
        </w:rPr>
        <w:t>3</w:t>
      </w:r>
    </w:p>
    <w:p>
      <w:pPr>
        <w:pStyle w:val="23"/>
        <w:tabs>
          <w:tab w:val="right" w:leader="dot" w:pos="8306"/>
        </w:tabs>
        <w:rPr>
          <w:rFonts w:hint="eastAsia" w:eastAsia="宋体"/>
          <w:lang w:val="en-US" w:eastAsia="zh-CN"/>
        </w:rPr>
      </w:pPr>
      <w:r>
        <w:rPr>
          <w:szCs w:val="30"/>
        </w:rPr>
        <w:fldChar w:fldCharType="begin"/>
      </w:r>
      <w:r>
        <w:rPr>
          <w:szCs w:val="30"/>
        </w:rPr>
        <w:instrText xml:space="preserve"> HYPERLINK \l _Toc2004 </w:instrText>
      </w:r>
      <w:r>
        <w:rPr>
          <w:szCs w:val="30"/>
        </w:rPr>
        <w:fldChar w:fldCharType="separate"/>
      </w:r>
      <w:r>
        <w:rPr>
          <w:rFonts w:hint="eastAsia" w:hAnsi="宋体"/>
        </w:rPr>
        <w:t>第五章</w:t>
      </w:r>
      <w:r>
        <w:rPr>
          <w:rFonts w:hAnsi="宋体"/>
        </w:rPr>
        <w:t xml:space="preserve">  </w:t>
      </w:r>
      <w:r>
        <w:rPr>
          <w:rFonts w:hint="eastAsia" w:hAnsi="宋体"/>
        </w:rPr>
        <w:t>投标文件的有效性</w:t>
      </w:r>
      <w:r>
        <w:tab/>
      </w:r>
      <w:r>
        <w:rPr>
          <w:rFonts w:hint="eastAsia"/>
          <w:lang w:val="en-US" w:eastAsia="zh-CN"/>
        </w:rPr>
        <w:t>2</w:t>
      </w:r>
      <w:r>
        <w:rPr>
          <w:szCs w:val="30"/>
        </w:rPr>
        <w:fldChar w:fldCharType="end"/>
      </w:r>
      <w:r>
        <w:rPr>
          <w:rFonts w:hint="eastAsia"/>
          <w:szCs w:val="30"/>
          <w:lang w:val="en-US" w:eastAsia="zh-CN"/>
        </w:rPr>
        <w:t>8</w:t>
      </w:r>
    </w:p>
    <w:p>
      <w:pPr>
        <w:pStyle w:val="23"/>
        <w:tabs>
          <w:tab w:val="right" w:leader="dot" w:pos="8306"/>
        </w:tabs>
        <w:rPr>
          <w:rFonts w:hint="eastAsia" w:eastAsia="宋体"/>
          <w:lang w:val="en-US" w:eastAsia="zh-CN"/>
        </w:rPr>
      </w:pPr>
      <w:r>
        <w:rPr>
          <w:szCs w:val="30"/>
        </w:rPr>
        <w:fldChar w:fldCharType="begin"/>
      </w:r>
      <w:r>
        <w:rPr>
          <w:szCs w:val="30"/>
        </w:rPr>
        <w:instrText xml:space="preserve"> HYPERLINK \l _Toc1342 </w:instrText>
      </w:r>
      <w:r>
        <w:rPr>
          <w:szCs w:val="30"/>
        </w:rPr>
        <w:fldChar w:fldCharType="separate"/>
      </w:r>
      <w:r>
        <w:rPr>
          <w:rFonts w:hint="eastAsia"/>
          <w:bCs/>
        </w:rPr>
        <w:t>第六章</w:t>
      </w:r>
      <w:r>
        <w:rPr>
          <w:bCs/>
        </w:rPr>
        <w:t xml:space="preserve">  </w:t>
      </w:r>
      <w:r>
        <w:rPr>
          <w:rFonts w:hint="eastAsia"/>
          <w:bCs/>
        </w:rPr>
        <w:t>评标办法</w:t>
      </w:r>
      <w:r>
        <w:tab/>
      </w:r>
      <w:r>
        <w:rPr>
          <w:rFonts w:hint="eastAsia"/>
          <w:lang w:val="en-US" w:eastAsia="zh-CN"/>
        </w:rPr>
        <w:t>3</w:t>
      </w:r>
      <w:r>
        <w:rPr>
          <w:szCs w:val="30"/>
        </w:rPr>
        <w:fldChar w:fldCharType="end"/>
      </w:r>
      <w:r>
        <w:rPr>
          <w:rFonts w:hint="eastAsia"/>
          <w:szCs w:val="30"/>
          <w:lang w:val="en-US" w:eastAsia="zh-CN"/>
        </w:rPr>
        <w:t>0</w:t>
      </w:r>
    </w:p>
    <w:p>
      <w:pPr>
        <w:pStyle w:val="23"/>
        <w:tabs>
          <w:tab w:val="right" w:leader="dot" w:pos="8306"/>
        </w:tabs>
        <w:rPr>
          <w:rFonts w:hint="eastAsia" w:eastAsia="宋体"/>
          <w:lang w:val="en-US" w:eastAsia="zh-CN"/>
        </w:rPr>
      </w:pPr>
      <w:r>
        <w:rPr>
          <w:szCs w:val="30"/>
        </w:rPr>
        <w:fldChar w:fldCharType="begin"/>
      </w:r>
      <w:r>
        <w:rPr>
          <w:szCs w:val="30"/>
        </w:rPr>
        <w:instrText xml:space="preserve"> HYPERLINK \l _Toc2173 </w:instrText>
      </w:r>
      <w:r>
        <w:rPr>
          <w:szCs w:val="30"/>
        </w:rPr>
        <w:fldChar w:fldCharType="separate"/>
      </w:r>
      <w:r>
        <w:rPr>
          <w:rFonts w:hint="eastAsia" w:ascii="宋体" w:hAnsi="宋体"/>
          <w:szCs w:val="36"/>
        </w:rPr>
        <w:t>第七章</w:t>
      </w:r>
      <w:r>
        <w:rPr>
          <w:rFonts w:ascii="宋体" w:hAnsi="宋体"/>
          <w:szCs w:val="36"/>
        </w:rPr>
        <w:t xml:space="preserve">  合同主要条款</w:t>
      </w:r>
      <w:r>
        <w:tab/>
      </w:r>
      <w:r>
        <w:rPr>
          <w:rFonts w:hint="eastAsia"/>
          <w:lang w:val="en-US" w:eastAsia="zh-CN"/>
        </w:rPr>
        <w:t>3</w:t>
      </w:r>
      <w:r>
        <w:rPr>
          <w:szCs w:val="30"/>
        </w:rPr>
        <w:fldChar w:fldCharType="end"/>
      </w:r>
      <w:r>
        <w:rPr>
          <w:rFonts w:hint="eastAsia"/>
          <w:szCs w:val="30"/>
          <w:lang w:val="en-US" w:eastAsia="zh-CN"/>
        </w:rPr>
        <w:t>3</w:t>
      </w:r>
    </w:p>
    <w:p>
      <w:pPr>
        <w:pStyle w:val="23"/>
        <w:tabs>
          <w:tab w:val="right" w:leader="dot" w:pos="8306"/>
        </w:tabs>
        <w:rPr>
          <w:rFonts w:hint="eastAsia" w:eastAsia="宋体"/>
          <w:lang w:val="en-US" w:eastAsia="zh-CN"/>
        </w:rPr>
      </w:pPr>
      <w:r>
        <w:rPr>
          <w:szCs w:val="30"/>
        </w:rPr>
        <w:fldChar w:fldCharType="begin"/>
      </w:r>
      <w:r>
        <w:rPr>
          <w:szCs w:val="30"/>
        </w:rPr>
        <w:instrText xml:space="preserve"> HYPERLINK \l _Toc12603 </w:instrText>
      </w:r>
      <w:r>
        <w:rPr>
          <w:szCs w:val="30"/>
        </w:rPr>
        <w:fldChar w:fldCharType="separate"/>
      </w:r>
      <w:r>
        <w:rPr>
          <w:rFonts w:hint="eastAsia" w:ascii="宋体" w:hAnsi="宋体" w:cs="宋体"/>
          <w:szCs w:val="36"/>
        </w:rPr>
        <w:t>第八章  投标文件部分格式</w:t>
      </w:r>
      <w:r>
        <w:tab/>
      </w:r>
      <w:r>
        <w:rPr>
          <w:rFonts w:hint="eastAsia"/>
          <w:lang w:val="en-US" w:eastAsia="zh-CN"/>
        </w:rPr>
        <w:t>4</w:t>
      </w:r>
      <w:r>
        <w:rPr>
          <w:szCs w:val="30"/>
        </w:rPr>
        <w:fldChar w:fldCharType="end"/>
      </w:r>
      <w:r>
        <w:rPr>
          <w:rFonts w:hint="eastAsia"/>
          <w:szCs w:val="30"/>
          <w:lang w:val="en-US" w:eastAsia="zh-CN"/>
        </w:rPr>
        <w:t>8</w:t>
      </w:r>
    </w:p>
    <w:p>
      <w:pPr>
        <w:rPr>
          <w:szCs w:val="30"/>
        </w:rPr>
      </w:pPr>
      <w:r>
        <w:rPr>
          <w:szCs w:val="30"/>
        </w:rPr>
        <w:fldChar w:fldCharType="end"/>
      </w:r>
    </w:p>
    <w:p/>
    <w:p/>
    <w:p/>
    <w:p>
      <w:pPr>
        <w:tabs>
          <w:tab w:val="left" w:pos="3073"/>
        </w:tabs>
        <w:jc w:val="left"/>
        <w:sectPr>
          <w:footerReference r:id="rId3" w:type="first"/>
          <w:pgSz w:w="11906" w:h="16838"/>
          <w:pgMar w:top="1440" w:right="1800" w:bottom="1440" w:left="1800" w:header="851" w:footer="992" w:gutter="0"/>
          <w:pgNumType w:start="1"/>
          <w:cols w:space="720" w:num="1"/>
          <w:docGrid w:type="lines" w:linePitch="312" w:charSpace="0"/>
        </w:sectPr>
      </w:pPr>
      <w:r>
        <w:rPr>
          <w:rFonts w:hint="eastAsia"/>
        </w:rPr>
        <w:tab/>
      </w:r>
    </w:p>
    <w:p>
      <w:pPr>
        <w:pStyle w:val="3"/>
        <w:numPr>
          <w:ilvl w:val="0"/>
          <w:numId w:val="3"/>
        </w:numPr>
        <w:spacing w:before="0" w:after="0" w:line="360" w:lineRule="exact"/>
        <w:jc w:val="center"/>
        <w:rPr>
          <w:sz w:val="36"/>
        </w:rPr>
      </w:pPr>
      <w:bookmarkStart w:id="3" w:name="_Toc13402"/>
      <w:r>
        <w:rPr>
          <w:rFonts w:hint="eastAsia"/>
          <w:sz w:val="36"/>
        </w:rPr>
        <w:t>　</w:t>
      </w:r>
      <w:bookmarkStart w:id="4" w:name="_Toc10328"/>
      <w:r>
        <w:rPr>
          <w:rFonts w:hint="eastAsia"/>
          <w:sz w:val="36"/>
        </w:rPr>
        <w:t>招标公告</w:t>
      </w:r>
      <w:bookmarkEnd w:id="3"/>
      <w:bookmarkEnd w:id="4"/>
    </w:p>
    <w:p>
      <w:pPr>
        <w:spacing w:line="360" w:lineRule="auto"/>
        <w:ind w:firstLine="420" w:firstLineChars="200"/>
        <w:rPr>
          <w:rFonts w:ascii="宋体" w:hAnsi="宋体"/>
        </w:rPr>
      </w:pPr>
      <w:r>
        <w:rPr>
          <w:rFonts w:hint="eastAsia" w:ascii="宋体" w:hAnsi="宋体"/>
        </w:rPr>
        <w:t>根据法律法规等相关规定，现就</w:t>
      </w:r>
      <w:r>
        <w:rPr>
          <w:rFonts w:hint="eastAsia" w:ascii="宋体" w:hAnsi="宋体" w:eastAsia="宋体" w:cs="宋体"/>
          <w:sz w:val="21"/>
          <w:szCs w:val="21"/>
          <w:lang w:eastAsia="zh-CN"/>
        </w:rPr>
        <w:t>义乌市数字经济产业社区项目物业服务采购</w:t>
      </w:r>
      <w:r>
        <w:rPr>
          <w:rFonts w:hint="eastAsia" w:ascii="宋体" w:hAnsi="宋体" w:cs="宋体"/>
        </w:rPr>
        <w:t>项目</w:t>
      </w:r>
      <w:r>
        <w:rPr>
          <w:rFonts w:hint="eastAsia" w:ascii="宋体" w:hAnsi="宋体"/>
        </w:rPr>
        <w:t>进行公开招标，欢迎国内合格的</w:t>
      </w:r>
      <w:r>
        <w:rPr>
          <w:rFonts w:hint="eastAsia" w:ascii="宋体" w:hAnsi="宋体"/>
          <w:lang w:val="en-US" w:eastAsia="zh-CN"/>
        </w:rPr>
        <w:t>供应商</w:t>
      </w:r>
      <w:r>
        <w:rPr>
          <w:rFonts w:hint="eastAsia" w:ascii="宋体" w:hAnsi="宋体"/>
        </w:rPr>
        <w:t>参加投标。</w:t>
      </w:r>
    </w:p>
    <w:p>
      <w:pPr>
        <w:spacing w:line="360" w:lineRule="auto"/>
        <w:ind w:firstLine="422" w:firstLineChars="200"/>
        <w:rPr>
          <w:rFonts w:hAnsi="宋体"/>
          <w:b/>
        </w:rPr>
      </w:pPr>
      <w:r>
        <w:rPr>
          <w:rFonts w:hint="eastAsia" w:ascii="宋体" w:hAnsi="宋体" w:cs="宋体"/>
          <w:b/>
        </w:rPr>
        <w:t>1、</w:t>
      </w:r>
      <w:r>
        <w:rPr>
          <w:rFonts w:hint="eastAsia" w:ascii="宋体" w:hAnsi="宋体" w:eastAsia="宋体" w:cs="宋体"/>
          <w:b/>
          <w:bCs w:val="0"/>
          <w:sz w:val="21"/>
          <w:szCs w:val="21"/>
        </w:rPr>
        <w:t>采购编号：</w:t>
      </w:r>
      <w:r>
        <w:rPr>
          <w:rStyle w:val="85"/>
          <w:rFonts w:hint="eastAsia" w:ascii="宋体" w:hAnsi="宋体" w:eastAsia="宋体" w:cs="宋体"/>
          <w:b/>
          <w:bCs w:val="0"/>
          <w:color w:val="3D4B64"/>
          <w:sz w:val="21"/>
          <w:szCs w:val="21"/>
          <w:bdr w:val="none" w:color="auto" w:sz="0" w:space="0"/>
          <w:shd w:val="clear" w:fill="FFFFFF"/>
        </w:rPr>
        <w:t>YWYGZC202510CG0011</w:t>
      </w:r>
      <w:r>
        <w:rPr>
          <w:rStyle w:val="85"/>
          <w:rFonts w:hint="eastAsia" w:ascii="宋体" w:hAnsi="宋体" w:eastAsia="宋体" w:cs="宋体"/>
          <w:b/>
          <w:bCs w:val="0"/>
          <w:color w:val="3D4B64"/>
          <w:sz w:val="21"/>
          <w:szCs w:val="21"/>
          <w:bdr w:val="none" w:color="auto" w:sz="0" w:space="0"/>
          <w:shd w:val="clear" w:fill="FFFFFF"/>
          <w:lang w:eastAsia="zh-CN"/>
        </w:rPr>
        <w:t>（</w:t>
      </w:r>
      <w:r>
        <w:rPr>
          <w:rFonts w:hint="eastAsia" w:ascii="宋体" w:hAnsi="宋体" w:eastAsia="宋体" w:cs="宋体"/>
          <w:b/>
          <w:bCs w:val="0"/>
          <w:sz w:val="21"/>
          <w:szCs w:val="21"/>
          <w:highlight w:val="none"/>
        </w:rPr>
        <w:t>YCQ-202</w:t>
      </w:r>
      <w:r>
        <w:rPr>
          <w:rFonts w:hint="eastAsia" w:ascii="宋体" w:hAnsi="宋体" w:eastAsia="宋体" w:cs="宋体"/>
          <w:b/>
          <w:bCs w:val="0"/>
          <w:sz w:val="21"/>
          <w:szCs w:val="21"/>
          <w:highlight w:val="none"/>
          <w:lang w:val="en-US" w:eastAsia="zh-CN"/>
        </w:rPr>
        <w:t>5</w:t>
      </w:r>
      <w:r>
        <w:rPr>
          <w:rFonts w:hint="eastAsia" w:ascii="宋体" w:hAnsi="宋体" w:eastAsia="宋体" w:cs="宋体"/>
          <w:b/>
          <w:bCs w:val="0"/>
          <w:sz w:val="21"/>
          <w:szCs w:val="21"/>
          <w:highlight w:val="none"/>
        </w:rPr>
        <w:t>-CG</w:t>
      </w:r>
      <w:r>
        <w:rPr>
          <w:rFonts w:hint="eastAsia" w:ascii="宋体" w:hAnsi="宋体" w:eastAsia="宋体" w:cs="宋体"/>
          <w:b/>
          <w:bCs w:val="0"/>
          <w:sz w:val="21"/>
          <w:szCs w:val="21"/>
          <w:highlight w:val="none"/>
          <w:lang w:val="en-US" w:eastAsia="zh-CN"/>
        </w:rPr>
        <w:t>239</w:t>
      </w:r>
      <w:r>
        <w:rPr>
          <w:rStyle w:val="85"/>
          <w:rFonts w:hint="eastAsia" w:ascii="宋体" w:hAnsi="宋体" w:eastAsia="宋体" w:cs="宋体"/>
          <w:b/>
          <w:bCs w:val="0"/>
          <w:color w:val="3D4B64"/>
          <w:sz w:val="21"/>
          <w:szCs w:val="21"/>
          <w:bdr w:val="none" w:color="auto" w:sz="0" w:space="0"/>
          <w:shd w:val="clear" w:fill="FFFFFF"/>
          <w:lang w:eastAsia="zh-CN"/>
        </w:rPr>
        <w:t>）</w:t>
      </w:r>
      <w:r>
        <w:rPr>
          <w:rFonts w:hint="eastAsia" w:ascii="宋体" w:hAnsi="宋体" w:cs="宋体"/>
          <w:b/>
          <w:bCs/>
          <w:highlight w:val="none"/>
          <w:lang w:val="en-US" w:eastAsia="zh-CN"/>
        </w:rPr>
        <w:t xml:space="preserve">     </w:t>
      </w:r>
      <w:r>
        <w:rPr>
          <w:rFonts w:hint="eastAsia" w:ascii="宋体" w:hAnsi="宋体" w:cs="宋体"/>
          <w:b/>
          <w:bCs/>
          <w:lang w:val="en-US" w:eastAsia="zh-CN"/>
        </w:rPr>
        <w:t xml:space="preserve"> </w:t>
      </w:r>
      <w:r>
        <w:rPr>
          <w:rFonts w:hint="eastAsia" w:ascii="宋体" w:hAnsi="宋体" w:cs="宋体"/>
          <w:b/>
          <w:bCs/>
        </w:rPr>
        <w:t xml:space="preserve">      </w:t>
      </w:r>
    </w:p>
    <w:p>
      <w:pPr>
        <w:spacing w:line="360" w:lineRule="auto"/>
        <w:ind w:firstLine="422" w:firstLineChars="200"/>
        <w:rPr>
          <w:rFonts w:ascii="宋体" w:hAnsi="宋体" w:cs="宋体"/>
          <w:highlight w:val="none"/>
        </w:rPr>
      </w:pPr>
      <w:r>
        <w:rPr>
          <w:rFonts w:hint="eastAsia" w:ascii="宋体" w:hAnsi="宋体" w:eastAsia="宋体" w:cs="宋体"/>
          <w:b/>
          <w:sz w:val="21"/>
          <w:szCs w:val="21"/>
          <w:highlight w:val="none"/>
        </w:rPr>
        <w:t>2、</w:t>
      </w:r>
      <w:r>
        <w:rPr>
          <w:rFonts w:hint="eastAsia" w:ascii="宋体" w:hAnsi="宋体" w:eastAsia="宋体" w:cs="宋体"/>
          <w:b/>
          <w:bCs/>
          <w:color w:val="auto"/>
          <w:sz w:val="21"/>
          <w:szCs w:val="21"/>
          <w:highlight w:val="none"/>
        </w:rPr>
        <w:t>采购内容及数量：</w:t>
      </w:r>
      <w:r>
        <w:rPr>
          <w:rFonts w:hint="eastAsia" w:ascii="宋体" w:hAnsi="宋体" w:eastAsia="宋体" w:cs="宋体"/>
          <w:sz w:val="21"/>
          <w:szCs w:val="21"/>
          <w:lang w:eastAsia="zh-CN"/>
        </w:rPr>
        <w:t>义乌市数字经济产业社区项目物业服务采购</w:t>
      </w:r>
      <w:r>
        <w:rPr>
          <w:rFonts w:hint="eastAsia" w:ascii="宋体" w:hAnsi="宋体" w:eastAsia="宋体" w:cs="宋体"/>
          <w:color w:val="auto"/>
          <w:kern w:val="0"/>
          <w:szCs w:val="21"/>
          <w:highlight w:val="none"/>
          <w:lang w:val="en-US" w:eastAsia="zh-CN" w:bidi="ar"/>
        </w:rPr>
        <w:t>，</w:t>
      </w:r>
      <w:r>
        <w:rPr>
          <w:rFonts w:hint="eastAsia" w:ascii="宋体" w:hAnsi="宋体" w:cs="宋体"/>
          <w:color w:val="auto"/>
          <w:kern w:val="0"/>
          <w:szCs w:val="21"/>
          <w:highlight w:val="none"/>
          <w:lang w:val="en-US" w:eastAsia="zh-CN" w:bidi="ar"/>
        </w:rPr>
        <w:t>承包期2年，合同一年一签（经考核合格可续签合同）。</w:t>
      </w:r>
      <w:r>
        <w:rPr>
          <w:rFonts w:hint="eastAsia" w:ascii="宋体" w:hAnsi="宋体" w:eastAsia="宋体" w:cs="宋体"/>
          <w:color w:val="auto"/>
          <w:sz w:val="21"/>
          <w:szCs w:val="21"/>
          <w:highlight w:val="none"/>
        </w:rPr>
        <w:t>具体详见第三章招标项目要求</w:t>
      </w:r>
      <w:r>
        <w:rPr>
          <w:rFonts w:hint="eastAsia" w:ascii="宋体" w:hAnsi="宋体" w:eastAsia="宋体" w:cs="宋体"/>
          <w:b w:val="0"/>
          <w:color w:val="000000"/>
          <w:kern w:val="0"/>
          <w:sz w:val="21"/>
          <w:szCs w:val="21"/>
          <w:highlight w:val="none"/>
          <w:lang w:val="en-US" w:eastAsia="zh-CN" w:bidi="ar"/>
        </w:rPr>
        <w:t>。</w:t>
      </w:r>
    </w:p>
    <w:p>
      <w:pPr>
        <w:spacing w:line="360" w:lineRule="auto"/>
        <w:ind w:firstLine="422" w:firstLineChars="200"/>
        <w:rPr>
          <w:rFonts w:hint="eastAsia" w:ascii="宋体" w:hAnsi="宋体" w:eastAsia="宋体" w:cs="宋体"/>
          <w:bCs/>
          <w:color w:val="auto"/>
          <w:highlight w:val="none"/>
          <w:lang w:eastAsia="zh-CN"/>
        </w:rPr>
      </w:pPr>
      <w:r>
        <w:rPr>
          <w:rFonts w:hint="eastAsia" w:ascii="宋体" w:hAnsi="宋体" w:cs="宋体"/>
          <w:b/>
          <w:color w:val="auto"/>
          <w:highlight w:val="none"/>
        </w:rPr>
        <w:t>3、</w:t>
      </w:r>
      <w:r>
        <w:rPr>
          <w:rFonts w:hint="eastAsia"/>
          <w:b/>
          <w:bCs/>
          <w:color w:val="auto"/>
          <w:highlight w:val="none"/>
          <w:lang w:val="en-US" w:eastAsia="zh-CN"/>
        </w:rPr>
        <w:t>二年采购预算：5472000元（2736000元/年，服务期限2年），投标报价为各</w:t>
      </w:r>
      <w:r>
        <w:rPr>
          <w:rFonts w:hint="eastAsia" w:ascii="宋体" w:hAnsi="宋体" w:eastAsia="宋体" w:cs="宋体"/>
          <w:b w:val="0"/>
          <w:color w:val="auto"/>
          <w:kern w:val="0"/>
          <w:sz w:val="21"/>
          <w:szCs w:val="21"/>
          <w:highlight w:val="none"/>
          <w:lang w:val="en-US" w:eastAsia="zh-CN" w:bidi="ar"/>
        </w:rPr>
        <w:t>出租率对应的预算基础上的下浮率</w:t>
      </w:r>
      <w:r>
        <w:rPr>
          <w:rFonts w:hint="eastAsia"/>
          <w:b/>
          <w:bCs/>
          <w:color w:val="auto"/>
          <w:highlight w:val="none"/>
          <w:lang w:val="en-US" w:eastAsia="zh-CN"/>
        </w:rPr>
        <w:t>。</w:t>
      </w:r>
    </w:p>
    <w:p>
      <w:pPr>
        <w:spacing w:line="360" w:lineRule="auto"/>
        <w:ind w:firstLine="422" w:firstLineChars="200"/>
        <w:rPr>
          <w:rFonts w:hAnsi="宋体"/>
          <w:b/>
        </w:rPr>
      </w:pPr>
      <w:r>
        <w:rPr>
          <w:rFonts w:hint="eastAsia" w:ascii="宋体" w:hAnsi="宋体" w:cs="宋体"/>
          <w:b/>
        </w:rPr>
        <w:t>4</w:t>
      </w:r>
      <w:r>
        <w:rPr>
          <w:rFonts w:hint="eastAsia" w:ascii="宋体" w:hAnsi="宋体" w:cs="宋体"/>
          <w:b/>
          <w:lang w:val="zh-CN"/>
        </w:rPr>
        <w:t>、</w:t>
      </w:r>
      <w:r>
        <w:rPr>
          <w:rFonts w:hint="eastAsia" w:hAnsi="宋体"/>
          <w:b/>
          <w:lang w:val="zh-CN"/>
        </w:rPr>
        <w:t>投标人的资格要求</w:t>
      </w:r>
      <w:r>
        <w:rPr>
          <w:rFonts w:hint="eastAsia" w:hAnsi="宋体"/>
          <w:b/>
        </w:rPr>
        <w:t>：</w:t>
      </w:r>
    </w:p>
    <w:p>
      <w:pPr>
        <w:pStyle w:val="17"/>
        <w:keepNext w:val="0"/>
        <w:keepLines w:val="0"/>
        <w:pageBreakBefore w:val="0"/>
        <w:widowControl/>
        <w:kinsoku/>
        <w:wordWrap/>
        <w:topLinePunct w:val="0"/>
        <w:bidi w:val="0"/>
        <w:spacing w:line="360" w:lineRule="auto"/>
        <w:ind w:firstLine="420" w:firstLineChars="200"/>
        <w:rPr>
          <w:rFonts w:hint="eastAsia" w:ascii="宋体" w:hAnsi="宋体" w:cs="宋体"/>
          <w:color w:val="auto"/>
          <w:szCs w:val="21"/>
          <w:highlight w:val="none"/>
        </w:rPr>
      </w:pPr>
      <w:bookmarkStart w:id="5" w:name="OLE_LINK17"/>
      <w:r>
        <w:rPr>
          <w:rFonts w:hint="eastAsia" w:ascii="宋体" w:hAnsi="宋体"/>
          <w:lang w:val="en-US" w:eastAsia="zh-CN"/>
        </w:rPr>
        <w:t>①</w:t>
      </w:r>
      <w:r>
        <w:rPr>
          <w:rFonts w:hint="eastAsia" w:hAnsi="宋体"/>
          <w:highlight w:val="none"/>
        </w:rPr>
        <w:t>参加采购活动前三年内无重大违法经营活动</w:t>
      </w:r>
      <w:r>
        <w:rPr>
          <w:rFonts w:hint="eastAsia" w:ascii="宋体" w:hAnsi="宋体" w:cs="宋体"/>
          <w:highlight w:val="none"/>
        </w:rPr>
        <w:t>,符合《义乌市国有企业采购管理办法（试行）》第十条供应商应当具备的条件，同时投标人无以下不良行为：在公开网站上能查到的被财政部或浙江省财政厅处理（或处罚）而处于暂停政府采购资格期的或处于暂停承接业务资格期的；或被国家级、浙江省级、义乌市级行业主管部门处罚处于暂停承接业务资格期的；或被义乌市政府采购监管部门列入不良行为还在公示期内的或者处于暂停政府采购资格期的；</w:t>
      </w:r>
    </w:p>
    <w:p>
      <w:pPr>
        <w:pStyle w:val="17"/>
        <w:keepNext w:val="0"/>
        <w:keepLines w:val="0"/>
        <w:pageBreakBefore w:val="0"/>
        <w:widowControl/>
        <w:kinsoku/>
        <w:wordWrap/>
        <w:topLinePunct w:val="0"/>
        <w:bidi w:val="0"/>
        <w:spacing w:line="360" w:lineRule="auto"/>
        <w:ind w:firstLine="420" w:firstLineChars="200"/>
        <w:rPr>
          <w:rFonts w:hint="eastAsia" w:ascii="宋体" w:hAnsi="宋体" w:eastAsia="宋体" w:cs="宋体"/>
          <w:color w:val="auto"/>
          <w:sz w:val="21"/>
          <w:szCs w:val="21"/>
          <w:highlight w:val="none"/>
          <w:lang w:eastAsia="zh-CN"/>
        </w:rPr>
      </w:pPr>
      <w:r>
        <w:rPr>
          <w:rFonts w:hint="eastAsia" w:ascii="宋体" w:hAnsi="宋体" w:cs="宋体"/>
          <w:highlight w:val="none"/>
          <w:lang w:val="en-US" w:eastAsia="zh-CN"/>
        </w:rPr>
        <w:t>②</w:t>
      </w:r>
      <w:r>
        <w:rPr>
          <w:rFonts w:hint="eastAsia" w:ascii="宋体" w:hAnsi="宋体" w:eastAsia="宋体" w:cs="宋体"/>
          <w:color w:val="auto"/>
          <w:sz w:val="21"/>
          <w:szCs w:val="21"/>
          <w:highlight w:val="none"/>
        </w:rPr>
        <w:t>根据《浙江省公共信用信息管理条例》第二十六条的规定，未列入严重失信名单的（查询结果以开标当日网站页面显示为准）</w:t>
      </w:r>
      <w:r>
        <w:rPr>
          <w:rFonts w:hint="eastAsia" w:ascii="宋体" w:hAnsi="宋体" w:eastAsia="宋体" w:cs="宋体"/>
          <w:color w:val="auto"/>
          <w:sz w:val="21"/>
          <w:szCs w:val="21"/>
          <w:highlight w:val="none"/>
          <w:lang w:eastAsia="zh-CN"/>
        </w:rPr>
        <w:t>；</w:t>
      </w:r>
    </w:p>
    <w:p>
      <w:pPr>
        <w:spacing w:line="360" w:lineRule="auto"/>
        <w:ind w:firstLine="420" w:firstLineChars="200"/>
        <w:rPr>
          <w:rFonts w:hint="eastAsia"/>
          <w:lang w:eastAsia="zh-CN"/>
        </w:rPr>
      </w:pPr>
      <w:r>
        <w:rPr>
          <w:rFonts w:hint="eastAsia" w:ascii="宋体" w:hAnsi="宋体"/>
          <w:lang w:val="en-US" w:eastAsia="zh-CN"/>
        </w:rPr>
        <w:t>③</w:t>
      </w:r>
      <w:r>
        <w:rPr>
          <w:rFonts w:hint="eastAsia" w:ascii="宋体" w:hAnsi="宋体" w:cs="宋体"/>
        </w:rPr>
        <w:t>信誉要求：投标人自202</w:t>
      </w:r>
      <w:r>
        <w:rPr>
          <w:rFonts w:hint="eastAsia" w:ascii="宋体" w:hAnsi="宋体" w:cs="宋体"/>
          <w:lang w:val="en-US" w:eastAsia="zh-CN"/>
        </w:rPr>
        <w:t>2</w:t>
      </w:r>
      <w:r>
        <w:rPr>
          <w:rFonts w:hint="eastAsia" w:ascii="宋体" w:hAnsi="宋体" w:cs="宋体"/>
        </w:rPr>
        <w:t>年1月1日起到中标候选人公告期结束前无行贿犯罪记录（评标结束后，由采购人通过中国裁判文书网（http://wenshu.court.gov.cn/）按照招标文件约定对中标候选人及其拟派项目负责人的行贿犯罪记录进行查询，查询结果以网站页面显示内容为准）；</w:t>
      </w:r>
    </w:p>
    <w:p>
      <w:pPr>
        <w:spacing w:line="360" w:lineRule="auto"/>
        <w:ind w:firstLine="420" w:firstLineChars="200"/>
        <w:rPr>
          <w:rFonts w:hint="eastAsia" w:ascii="宋体" w:hAnsi="宋体"/>
          <w:bCs/>
          <w:lang w:val="zh-CN"/>
        </w:rPr>
      </w:pPr>
      <w:r>
        <w:rPr>
          <w:rFonts w:hint="eastAsia" w:ascii="宋体" w:hAnsi="宋体" w:eastAsia="宋体" w:cs="宋体"/>
          <w:color w:val="auto"/>
          <w:highlight w:val="none"/>
        </w:rPr>
        <w:t>④本项目不得转包（如有转包，终止合同），不接受联合体投标。</w:t>
      </w:r>
    </w:p>
    <w:bookmarkEnd w:id="5"/>
    <w:p>
      <w:pPr>
        <w:spacing w:line="360" w:lineRule="auto"/>
        <w:ind w:firstLine="422" w:firstLineChars="200"/>
        <w:rPr>
          <w:rFonts w:hint="eastAsia" w:ascii="宋体" w:hAnsi="宋体" w:cs="宋体"/>
          <w:b/>
          <w:bCs/>
          <w:highlight w:val="none"/>
        </w:rPr>
      </w:pPr>
      <w:r>
        <w:rPr>
          <w:rFonts w:hint="eastAsia" w:ascii="宋体" w:hAnsi="宋体" w:cs="宋体"/>
          <w:b/>
          <w:bCs/>
          <w:highlight w:val="none"/>
        </w:rPr>
        <w:t>5、采购文件（即招标文件，下同）获取时间、地点及方式：</w:t>
      </w:r>
    </w:p>
    <w:p>
      <w:pPr>
        <w:spacing w:line="360" w:lineRule="auto"/>
        <w:ind w:firstLine="420" w:firstLineChars="200"/>
        <w:rPr>
          <w:rFonts w:hint="eastAsia" w:ascii="宋体" w:hAnsi="宋体" w:cs="宋体"/>
          <w:highlight w:val="none"/>
        </w:rPr>
      </w:pPr>
      <w:r>
        <w:rPr>
          <w:rFonts w:hint="eastAsia" w:ascii="宋体" w:cs="Courier New"/>
          <w:highlight w:val="none"/>
        </w:rPr>
        <w:t>①</w:t>
      </w:r>
      <w:r>
        <w:rPr>
          <w:rFonts w:hint="eastAsia" w:ascii="宋体" w:hAnsi="宋体" w:cs="宋体"/>
          <w:highlight w:val="none"/>
        </w:rPr>
        <w:t>时间：公告发布时间起至投标截止时间止。</w:t>
      </w:r>
    </w:p>
    <w:p>
      <w:pPr>
        <w:spacing w:line="360" w:lineRule="auto"/>
        <w:ind w:firstLine="420" w:firstLineChars="200"/>
        <w:rPr>
          <w:rFonts w:hint="eastAsia" w:ascii="宋体" w:hAnsi="宋体" w:cs="宋体"/>
          <w:highlight w:val="none"/>
        </w:rPr>
      </w:pPr>
      <w:r>
        <w:rPr>
          <w:rFonts w:hint="eastAsia" w:ascii="宋体" w:hAnsi="宋体" w:cs="宋体"/>
          <w:highlight w:val="none"/>
        </w:rPr>
        <w:t>②地点：义乌市阳光招标采购平台(www.ywygzc.com)、义乌产权交易网（www.ywcq.com）。</w:t>
      </w:r>
    </w:p>
    <w:p>
      <w:pPr>
        <w:spacing w:line="360" w:lineRule="auto"/>
        <w:ind w:firstLine="420" w:firstLineChars="200"/>
        <w:rPr>
          <w:rFonts w:hint="eastAsia" w:ascii="宋体" w:hAnsi="宋体" w:cs="宋体"/>
          <w:highlight w:val="none"/>
        </w:rPr>
      </w:pPr>
      <w:r>
        <w:rPr>
          <w:rFonts w:hint="eastAsia" w:ascii="宋体" w:hAnsi="宋体" w:cs="宋体"/>
          <w:highlight w:val="none"/>
        </w:rPr>
        <w:t>③方式：登录义乌市阳光招标采购平台账号获取或直接在招标公告下方获取。</w:t>
      </w:r>
    </w:p>
    <w:p>
      <w:pPr>
        <w:spacing w:line="360" w:lineRule="auto"/>
        <w:ind w:firstLine="420" w:firstLineChars="200"/>
        <w:rPr>
          <w:rFonts w:hint="eastAsia" w:ascii="宋体" w:hAnsi="宋体" w:cs="宋体"/>
          <w:highlight w:val="none"/>
        </w:rPr>
      </w:pPr>
      <w:r>
        <w:rPr>
          <w:rFonts w:hint="eastAsia" w:ascii="宋体" w:hAnsi="宋体" w:cs="宋体"/>
          <w:highlight w:val="none"/>
        </w:rPr>
        <w:t>潜在供应商未在规定的期限内按照上述方式获取招标文件的，采购人、采购代理机构可以不予受理其所提出的对招标文件的质疑。</w:t>
      </w:r>
    </w:p>
    <w:p>
      <w:pPr>
        <w:spacing w:line="360" w:lineRule="auto"/>
        <w:ind w:firstLine="422" w:firstLineChars="200"/>
        <w:rPr>
          <w:rFonts w:hint="eastAsia" w:ascii="宋体" w:hAnsi="宋体" w:cs="宋体"/>
          <w:bCs/>
        </w:rPr>
      </w:pPr>
      <w:r>
        <w:rPr>
          <w:rFonts w:hint="eastAsia" w:ascii="宋体" w:hAnsi="宋体" w:cs="宋体"/>
          <w:b/>
          <w:lang w:val="en-US" w:eastAsia="zh-CN"/>
        </w:rPr>
        <w:t>6</w:t>
      </w:r>
      <w:r>
        <w:rPr>
          <w:rFonts w:hint="eastAsia" w:ascii="宋体" w:hAnsi="宋体" w:cs="宋体"/>
          <w:b/>
        </w:rPr>
        <w:t>、技术答疑：</w:t>
      </w:r>
      <w:r>
        <w:rPr>
          <w:rFonts w:hint="eastAsia" w:ascii="宋体" w:hAnsi="宋体" w:cs="宋体"/>
        </w:rPr>
        <w:t>供应商认为采购文件使自己的权益受到</w:t>
      </w:r>
      <w:r>
        <w:rPr>
          <w:rFonts w:hint="eastAsia" w:ascii="宋体" w:hAnsi="宋体" w:cs="宋体"/>
          <w:highlight w:val="none"/>
        </w:rPr>
        <w:t>损害的，请于20</w:t>
      </w:r>
      <w:r>
        <w:rPr>
          <w:rFonts w:hint="eastAsia" w:ascii="宋体" w:hAnsi="宋体" w:cs="宋体"/>
          <w:highlight w:val="none"/>
          <w:lang w:val="en-US" w:eastAsia="zh-CN"/>
        </w:rPr>
        <w:t>25</w:t>
      </w:r>
      <w:r>
        <w:rPr>
          <w:rFonts w:hint="eastAsia" w:ascii="宋体" w:hAnsi="宋体" w:cs="宋体"/>
          <w:highlight w:val="none"/>
        </w:rPr>
        <w:t>年</w:t>
      </w:r>
      <w:r>
        <w:rPr>
          <w:rFonts w:hint="eastAsia" w:ascii="宋体" w:hAnsi="宋体" w:cs="宋体"/>
          <w:highlight w:val="none"/>
          <w:lang w:val="en-US" w:eastAsia="zh-CN"/>
        </w:rPr>
        <w:t>10</w:t>
      </w:r>
      <w:r>
        <w:rPr>
          <w:rFonts w:hint="eastAsia" w:ascii="宋体" w:hAnsi="宋体" w:cs="宋体"/>
          <w:highlight w:val="none"/>
        </w:rPr>
        <w:t>月</w:t>
      </w:r>
      <w:r>
        <w:rPr>
          <w:rFonts w:hint="eastAsia" w:ascii="宋体" w:hAnsi="宋体" w:cs="宋体"/>
          <w:highlight w:val="none"/>
          <w:lang w:val="en-US" w:eastAsia="zh-CN"/>
        </w:rPr>
        <w:t>31</w:t>
      </w:r>
      <w:r>
        <w:rPr>
          <w:rFonts w:hint="eastAsia" w:ascii="宋体" w:hAnsi="宋体" w:cs="宋体"/>
          <w:highlight w:val="none"/>
        </w:rPr>
        <w:t>日17:00前以书面形式向采购人和采购代理机构提出质疑。质疑以书面方式分别提交至</w:t>
      </w:r>
      <w:r>
        <w:rPr>
          <w:rFonts w:hint="eastAsia" w:hAnsi="宋体" w:eastAsia="宋体"/>
          <w:b w:val="0"/>
          <w:bCs w:val="0"/>
          <w:color w:val="auto"/>
          <w:highlight w:val="none"/>
          <w:lang w:val="en-US" w:eastAsia="zh-CN"/>
        </w:rPr>
        <w:t>采购人</w:t>
      </w:r>
      <w:r>
        <w:rPr>
          <w:rFonts w:hint="eastAsia" w:ascii="宋体" w:hAnsi="宋体" w:eastAsia="宋体" w:cs="宋体"/>
          <w:color w:val="auto"/>
          <w:highlight w:val="none"/>
          <w:lang w:eastAsia="zh-CN"/>
        </w:rPr>
        <w:t>：</w:t>
      </w:r>
      <w:r>
        <w:rPr>
          <w:rFonts w:hint="eastAsia" w:hAnsi="宋体" w:eastAsia="宋体" w:cs="宋体"/>
          <w:color w:val="auto"/>
          <w:sz w:val="21"/>
          <w:szCs w:val="21"/>
          <w:highlight w:val="none"/>
          <w:lang w:val="en-US" w:eastAsia="zh-CN"/>
        </w:rPr>
        <w:t>余少帅</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13605824733</w:t>
      </w:r>
      <w:r>
        <w:rPr>
          <w:rFonts w:hint="eastAsia" w:ascii="宋体" w:hAnsi="宋体" w:eastAsia="宋体" w:cs="宋体"/>
          <w:color w:val="auto"/>
          <w:sz w:val="21"/>
          <w:szCs w:val="21"/>
          <w:highlight w:val="none"/>
        </w:rPr>
        <w:t>）</w:t>
      </w:r>
      <w:r>
        <w:rPr>
          <w:rFonts w:hint="eastAsia" w:ascii="宋体" w:hAnsi="宋体" w:cs="宋体"/>
          <w:bCs/>
          <w:highlight w:val="none"/>
        </w:rPr>
        <w:t>和义乌产权交易所有限公司：</w:t>
      </w:r>
      <w:r>
        <w:rPr>
          <w:rFonts w:hint="eastAsia" w:ascii="宋体" w:hAnsi="宋体" w:cs="宋体"/>
          <w:bCs/>
        </w:rPr>
        <w:t>王女士（0579-89903039，ywcqztb001@ywcq.com），并致电采购代理机构确认。书面文件邮寄地址：义乌市北苑街道望道路300号405</w:t>
      </w:r>
      <w:r>
        <w:rPr>
          <w:rFonts w:hint="eastAsia" w:ascii="宋体" w:hAnsi="宋体" w:cs="宋体"/>
          <w:bCs/>
          <w:lang w:val="en-US" w:eastAsia="zh-CN"/>
        </w:rPr>
        <w:t>5</w:t>
      </w:r>
      <w:r>
        <w:rPr>
          <w:rFonts w:hint="eastAsia" w:ascii="宋体" w:hAnsi="宋体" w:cs="宋体"/>
          <w:bCs/>
        </w:rPr>
        <w:t>。</w:t>
      </w:r>
    </w:p>
    <w:p>
      <w:pPr>
        <w:numPr>
          <w:ilvl w:val="0"/>
          <w:numId w:val="4"/>
        </w:numPr>
        <w:spacing w:line="360" w:lineRule="auto"/>
        <w:ind w:firstLine="422" w:firstLineChars="200"/>
        <w:rPr>
          <w:rFonts w:hint="eastAsia" w:ascii="宋体" w:hAnsi="宋体" w:eastAsia="宋体"/>
          <w:b/>
          <w:bCs/>
          <w:sz w:val="21"/>
          <w:szCs w:val="21"/>
          <w:highlight w:val="none"/>
        </w:rPr>
      </w:pPr>
      <w:bookmarkStart w:id="6" w:name="_Toc4701"/>
      <w:r>
        <w:rPr>
          <w:rFonts w:hint="eastAsia" w:ascii="宋体" w:hAnsi="宋体" w:eastAsia="宋体"/>
          <w:b/>
          <w:bCs/>
          <w:sz w:val="21"/>
          <w:szCs w:val="21"/>
          <w:highlight w:val="none"/>
        </w:rPr>
        <w:t>投标截止时间及地点：</w:t>
      </w:r>
      <w:bookmarkEnd w:id="6"/>
    </w:p>
    <w:p>
      <w:pPr>
        <w:numPr>
          <w:ilvl w:val="0"/>
          <w:numId w:val="0"/>
        </w:numPr>
        <w:spacing w:line="360" w:lineRule="auto"/>
        <w:ind w:firstLine="420" w:firstLineChars="200"/>
        <w:rPr>
          <w:rFonts w:hint="eastAsia" w:ascii="宋体" w:hAnsi="宋体" w:cs="Courier New"/>
          <w:sz w:val="21"/>
          <w:szCs w:val="21"/>
          <w:highlight w:val="none"/>
        </w:rPr>
      </w:pPr>
      <w:r>
        <w:rPr>
          <w:rFonts w:hint="eastAsia" w:ascii="宋体" w:hAnsi="宋体" w:cs="Courier New"/>
          <w:sz w:val="21"/>
          <w:szCs w:val="21"/>
          <w:highlight w:val="none"/>
          <w:lang w:val="en-US" w:eastAsia="zh-CN"/>
        </w:rPr>
        <w:t>①</w:t>
      </w:r>
      <w:r>
        <w:rPr>
          <w:rFonts w:hint="eastAsia" w:ascii="宋体" w:hAnsi="宋体" w:cs="Courier New"/>
          <w:sz w:val="21"/>
          <w:szCs w:val="21"/>
          <w:highlight w:val="none"/>
        </w:rPr>
        <w:t>提交投标文件截止时间：</w:t>
      </w:r>
      <w:r>
        <w:rPr>
          <w:rFonts w:hint="eastAsia" w:ascii="宋体" w:hAnsi="宋体" w:cs="宋体"/>
          <w:color w:val="auto"/>
          <w:highlight w:val="none"/>
          <w:lang w:eastAsia="zh-CN"/>
        </w:rPr>
        <w:t>2025年</w:t>
      </w:r>
      <w:r>
        <w:rPr>
          <w:rFonts w:hint="eastAsia" w:ascii="宋体" w:hAnsi="宋体" w:cs="宋体"/>
          <w:color w:val="auto"/>
          <w:highlight w:val="none"/>
          <w:lang w:val="en-US" w:eastAsia="zh-CN"/>
        </w:rPr>
        <w:t>11</w:t>
      </w:r>
      <w:r>
        <w:rPr>
          <w:rFonts w:hint="eastAsia" w:ascii="宋体" w:hAnsi="宋体" w:cs="宋体"/>
          <w:color w:val="auto"/>
          <w:highlight w:val="none"/>
          <w:lang w:eastAsia="zh-CN"/>
        </w:rPr>
        <w:t>月</w:t>
      </w:r>
      <w:r>
        <w:rPr>
          <w:rFonts w:hint="eastAsia" w:ascii="宋体" w:hAnsi="宋体" w:cs="宋体"/>
          <w:color w:val="auto"/>
          <w:highlight w:val="none"/>
          <w:lang w:val="en-US" w:eastAsia="zh-CN"/>
        </w:rPr>
        <w:t>13</w:t>
      </w:r>
      <w:r>
        <w:rPr>
          <w:rFonts w:hint="eastAsia" w:ascii="宋体" w:hAnsi="宋体" w:cs="宋体"/>
          <w:color w:val="auto"/>
          <w:highlight w:val="none"/>
          <w:lang w:eastAsia="zh-CN"/>
        </w:rPr>
        <w:t>日09</w:t>
      </w:r>
      <w:r>
        <w:rPr>
          <w:rFonts w:hint="eastAsia" w:ascii="宋体" w:hAnsi="宋体" w:cs="宋体"/>
          <w:color w:val="auto"/>
          <w:highlight w:val="none"/>
        </w:rPr>
        <w:t>:30</w:t>
      </w:r>
      <w:r>
        <w:rPr>
          <w:rFonts w:hint="eastAsia" w:ascii="宋体" w:hAnsi="宋体" w:cs="Courier New"/>
          <w:sz w:val="21"/>
          <w:szCs w:val="21"/>
          <w:highlight w:val="none"/>
        </w:rPr>
        <w:t>（北京时间）</w:t>
      </w:r>
    </w:p>
    <w:p>
      <w:pPr>
        <w:numPr>
          <w:ilvl w:val="0"/>
          <w:numId w:val="0"/>
        </w:numPr>
        <w:spacing w:line="360" w:lineRule="auto"/>
        <w:ind w:firstLine="420" w:firstLineChars="200"/>
        <w:rPr>
          <w:rFonts w:hint="eastAsia" w:ascii="宋体" w:hAnsi="宋体" w:cs="Courier New"/>
          <w:highlight w:val="none"/>
        </w:rPr>
      </w:pPr>
      <w:r>
        <w:rPr>
          <w:rFonts w:hint="eastAsia" w:ascii="宋体" w:hAnsi="宋体" w:cs="Courier New"/>
          <w:highlight w:val="none"/>
          <w:lang w:val="en-US" w:eastAsia="zh-CN"/>
        </w:rPr>
        <w:t>②</w:t>
      </w:r>
      <w:r>
        <w:rPr>
          <w:rFonts w:hint="eastAsia" w:ascii="宋体" w:hAnsi="宋体" w:cs="Courier New"/>
          <w:highlight w:val="none"/>
        </w:rPr>
        <w:t>投标地点：</w:t>
      </w:r>
      <w:r>
        <w:rPr>
          <w:rFonts w:hint="eastAsia" w:ascii="宋体" w:hAnsi="宋体" w:cs="Courier New"/>
          <w:iCs/>
          <w:highlight w:val="none"/>
        </w:rPr>
        <w:t>在谷歌或IE浏览器上，用账号登录义乌市阳光招标采购平台（www.ywygzc.com），上传电子加密标书至“义乌市阳光招标采购平台”，逾期或未上传成功的将导致无法投标或投标无效。</w:t>
      </w:r>
    </w:p>
    <w:p>
      <w:pPr>
        <w:numPr>
          <w:ilvl w:val="0"/>
          <w:numId w:val="0"/>
        </w:numPr>
        <w:spacing w:line="360" w:lineRule="auto"/>
        <w:ind w:firstLine="420" w:firstLineChars="200"/>
        <w:rPr>
          <w:rFonts w:ascii="宋体" w:hAnsi="宋体" w:cs="Courier New"/>
          <w:highlight w:val="none"/>
        </w:rPr>
      </w:pPr>
      <w:r>
        <w:rPr>
          <w:rFonts w:hint="eastAsia" w:ascii="宋体" w:hAnsi="宋体" w:cs="Courier New"/>
          <w:highlight w:val="none"/>
          <w:lang w:val="en-US" w:eastAsia="zh-CN"/>
        </w:rPr>
        <w:t>③</w:t>
      </w:r>
      <w:r>
        <w:rPr>
          <w:rFonts w:hint="eastAsia" w:ascii="宋体" w:hAnsi="宋体" w:cs="Courier New"/>
          <w:highlight w:val="none"/>
        </w:rPr>
        <w:t>开标时间：</w:t>
      </w:r>
      <w:r>
        <w:rPr>
          <w:rFonts w:hint="eastAsia" w:ascii="宋体" w:hAnsi="宋体" w:cs="宋体"/>
          <w:color w:val="auto"/>
          <w:highlight w:val="none"/>
          <w:lang w:eastAsia="zh-CN"/>
        </w:rPr>
        <w:t>2025年</w:t>
      </w:r>
      <w:r>
        <w:rPr>
          <w:rFonts w:hint="eastAsia" w:ascii="宋体" w:hAnsi="宋体" w:cs="宋体"/>
          <w:color w:val="auto"/>
          <w:highlight w:val="none"/>
          <w:lang w:val="en-US" w:eastAsia="zh-CN"/>
        </w:rPr>
        <w:t>11</w:t>
      </w:r>
      <w:r>
        <w:rPr>
          <w:rFonts w:hint="eastAsia" w:ascii="宋体" w:hAnsi="宋体" w:cs="宋体"/>
          <w:color w:val="auto"/>
          <w:highlight w:val="none"/>
          <w:lang w:eastAsia="zh-CN"/>
        </w:rPr>
        <w:t>月</w:t>
      </w:r>
      <w:r>
        <w:rPr>
          <w:rFonts w:hint="eastAsia" w:ascii="宋体" w:hAnsi="宋体" w:cs="宋体"/>
          <w:color w:val="auto"/>
          <w:highlight w:val="none"/>
          <w:lang w:val="en-US" w:eastAsia="zh-CN"/>
        </w:rPr>
        <w:t>13</w:t>
      </w:r>
      <w:r>
        <w:rPr>
          <w:rFonts w:hint="eastAsia" w:ascii="宋体" w:hAnsi="宋体" w:cs="宋体"/>
          <w:color w:val="auto"/>
          <w:highlight w:val="none"/>
          <w:lang w:eastAsia="zh-CN"/>
        </w:rPr>
        <w:t>日09</w:t>
      </w:r>
      <w:r>
        <w:rPr>
          <w:rFonts w:hint="eastAsia" w:ascii="宋体" w:hAnsi="宋体" w:cs="宋体"/>
          <w:color w:val="auto"/>
          <w:highlight w:val="none"/>
        </w:rPr>
        <w:t>:30</w:t>
      </w:r>
      <w:r>
        <w:rPr>
          <w:rFonts w:ascii="宋体" w:hAnsi="宋体" w:cs="Courier New"/>
          <w:highlight w:val="none"/>
        </w:rPr>
        <w:t> </w:t>
      </w:r>
    </w:p>
    <w:p>
      <w:pPr>
        <w:numPr>
          <w:ilvl w:val="0"/>
          <w:numId w:val="0"/>
        </w:numPr>
        <w:spacing w:line="360" w:lineRule="auto"/>
        <w:ind w:firstLine="420" w:firstLineChars="200"/>
        <w:rPr>
          <w:rFonts w:hint="eastAsia" w:ascii="宋体" w:hAnsi="宋体" w:cs="Courier New"/>
          <w:highlight w:val="none"/>
        </w:rPr>
      </w:pPr>
      <w:r>
        <w:rPr>
          <w:rFonts w:hint="eastAsia" w:ascii="宋体" w:hAnsi="宋体" w:cs="Courier New"/>
          <w:highlight w:val="none"/>
          <w:lang w:val="en-US" w:eastAsia="zh-CN"/>
        </w:rPr>
        <w:t>④</w:t>
      </w:r>
      <w:r>
        <w:rPr>
          <w:rFonts w:hint="eastAsia" w:ascii="宋体" w:hAnsi="宋体" w:cs="Courier New"/>
          <w:highlight w:val="none"/>
        </w:rPr>
        <w:t>开标地点：“义乌市阳光招标采购平台”（www.ywygzc.com）</w:t>
      </w:r>
    </w:p>
    <w:p>
      <w:pPr>
        <w:numPr>
          <w:ilvl w:val="0"/>
          <w:numId w:val="0"/>
        </w:numPr>
        <w:spacing w:line="360" w:lineRule="auto"/>
        <w:ind w:firstLine="442" w:firstLineChars="200"/>
        <w:rPr>
          <w:rFonts w:hint="eastAsia" w:ascii="宋体" w:hAnsi="宋体" w:eastAsia="宋体" w:cs="宋体"/>
          <w:sz w:val="21"/>
          <w:szCs w:val="21"/>
          <w:highlight w:val="none"/>
        </w:rPr>
      </w:pPr>
      <w:r>
        <w:rPr>
          <w:rFonts w:hint="eastAsia" w:ascii="宋体" w:hAnsi="宋体" w:cs="宋体"/>
          <w:b/>
          <w:bCs/>
          <w:sz w:val="22"/>
          <w:szCs w:val="22"/>
          <w:highlight w:val="none"/>
          <w:shd w:val="clear" w:color="auto" w:fill="FFFFFF"/>
          <w:lang w:val="en-US" w:eastAsia="zh-CN"/>
        </w:rPr>
        <w:t>8、投标与开标注意事项：</w:t>
      </w:r>
    </w:p>
    <w:p>
      <w:pPr>
        <w:spacing w:line="360" w:lineRule="auto"/>
        <w:ind w:firstLine="420" w:firstLineChars="200"/>
        <w:rPr>
          <w:rFonts w:hint="eastAsia" w:ascii="宋体" w:hAnsi="宋体" w:cs="宋体"/>
          <w:color w:val="auto"/>
          <w:highlight w:val="none"/>
        </w:rPr>
      </w:pPr>
      <w:r>
        <w:rPr>
          <w:rFonts w:hint="eastAsia" w:ascii="宋体" w:hAnsi="宋体" w:cs="宋体"/>
          <w:color w:val="auto"/>
          <w:highlight w:val="none"/>
        </w:rPr>
        <w:t>①标前准备：本项目通过“义乌市阳光招标采购平台”实行在线投标（电子投标），各供应商在投标前应确保成为义乌市阳光招标采购平台正式注册入库供应商，并完成CA数字证书办理。【供应商入库办理流程：义乌市阳光招标采购平台-下载中心-义乌市阳光招标采购平台供应商入库申报操作手册；CA办理操作流程：义乌市阳光招标采购平台-办事指南-CA在线办理”（</w:t>
      </w:r>
      <w:r>
        <w:rPr>
          <w:rFonts w:hint="eastAsia" w:ascii="宋体" w:hAnsi="宋体" w:cs="宋体"/>
          <w:color w:val="auto"/>
          <w:highlight w:val="none"/>
        </w:rPr>
        <w:fldChar w:fldCharType="begin"/>
      </w:r>
      <w:r>
        <w:rPr>
          <w:rFonts w:ascii="宋体" w:hAnsi="宋体" w:cs="宋体"/>
          <w:color w:val="auto"/>
          <w:highlight w:val="none"/>
        </w:rPr>
        <w:instrText xml:space="preserve">HYPERLINK "../../../Wechat Files/WeChat Files/zxb_weixin/FileStorage/File/Documents/WeChat Files/hyysxhz/FileStorage/Administrator/AppData/Roaming/Microsoft/Word/CA申领操作指南.pdf"</w:instrText>
      </w:r>
      <w:r>
        <w:rPr>
          <w:rFonts w:hint="eastAsia" w:ascii="宋体" w:hAnsi="宋体" w:cs="宋体"/>
          <w:color w:val="auto"/>
          <w:highlight w:val="none"/>
        </w:rPr>
        <w:fldChar w:fldCharType="separate"/>
      </w:r>
      <w:r>
        <w:rPr>
          <w:rFonts w:hint="eastAsia" w:ascii="宋体" w:hAnsi="宋体" w:cs="宋体"/>
          <w:color w:val="auto"/>
          <w:highlight w:val="none"/>
        </w:rPr>
        <w:t>目前“义乌市阳光招标采购平台”仅支持天谷CA锁）</w:t>
      </w:r>
      <w:r>
        <w:rPr>
          <w:rFonts w:hint="eastAsia" w:ascii="宋体" w:hAnsi="宋体" w:cs="宋体"/>
          <w:color w:val="auto"/>
          <w:highlight w:val="none"/>
        </w:rPr>
        <w:fldChar w:fldCharType="end"/>
      </w:r>
      <w:r>
        <w:rPr>
          <w:rFonts w:hint="eastAsia" w:ascii="宋体" w:hAnsi="宋体" w:cs="宋体"/>
          <w:color w:val="auto"/>
          <w:highlight w:val="none"/>
        </w:rPr>
        <w:t>】。因未注册入库、未办理CA数字证书等原因造成无法投标或投标失败等后果由供应商自行承担。</w:t>
      </w:r>
    </w:p>
    <w:p>
      <w:pPr>
        <w:keepNext w:val="0"/>
        <w:keepLines w:val="0"/>
        <w:pageBreakBefore w:val="0"/>
        <w:widowControl w:val="0"/>
        <w:kinsoku/>
        <w:wordWrap w:val="0"/>
        <w:overflowPunct/>
        <w:topLinePunct w:val="0"/>
        <w:autoSpaceDE/>
        <w:autoSpaceDN/>
        <w:bidi w:val="0"/>
        <w:adjustRightInd/>
        <w:snapToGrid/>
        <w:spacing w:line="360" w:lineRule="auto"/>
        <w:ind w:firstLine="420" w:firstLineChars="200"/>
        <w:textAlignment w:val="auto"/>
        <w:rPr>
          <w:rFonts w:hint="eastAsia" w:ascii="宋体" w:hAnsi="宋体" w:cs="宋体"/>
          <w:color w:val="auto"/>
          <w:highlight w:val="none"/>
        </w:rPr>
      </w:pPr>
      <w:r>
        <w:rPr>
          <w:rFonts w:hint="eastAsia" w:ascii="宋体" w:hAnsi="宋体" w:cs="宋体"/>
          <w:color w:val="auto"/>
          <w:highlight w:val="none"/>
        </w:rPr>
        <w:t>②投标文件制作：投标人通过“义乌市阳光招标采购平台”电子投标工具制作投标文件，电子投标工具请供应商自行前往https://download.bqpoint.com/?SourceFrom=Ztb&amp;ZtbSoftXiaQuCode=112203&amp;ZtbSoftType=tballinclusive&amp;SoftGuid=4995a22f-7707-4e9a-bdcd-b81f2f25e809&amp;RootGuid=e9eef476-f8a3-4999-ac46-4f8b3d7857da&amp;softtypecode=03获取。投标文件制作具体流程详见“义乌市阳光招标采购平台-下载中心-义乌市阳光招标采购平台投标人操作手册”以获取最新操作指南。</w:t>
      </w:r>
    </w:p>
    <w:p>
      <w:pPr>
        <w:spacing w:line="360" w:lineRule="auto"/>
        <w:ind w:firstLine="420" w:firstLineChars="200"/>
        <w:rPr>
          <w:rFonts w:hint="eastAsia" w:ascii="宋体" w:hAnsi="宋体" w:cs="宋体"/>
          <w:b/>
          <w:bCs/>
          <w:color w:val="auto"/>
          <w:highlight w:val="none"/>
        </w:rPr>
      </w:pPr>
      <w:r>
        <w:rPr>
          <w:rFonts w:hint="eastAsia" w:ascii="宋体" w:hAnsi="宋体" w:cs="宋体"/>
          <w:color w:val="auto"/>
          <w:highlight w:val="none"/>
        </w:rPr>
        <w:t>③投标文件上传：投标人应在投标截止时间（</w:t>
      </w:r>
      <w:r>
        <w:rPr>
          <w:rFonts w:hint="eastAsia" w:ascii="宋体" w:hAnsi="宋体" w:cs="宋体"/>
          <w:color w:val="auto"/>
          <w:highlight w:val="none"/>
          <w:lang w:eastAsia="zh-CN"/>
        </w:rPr>
        <w:t>2025年</w:t>
      </w:r>
      <w:r>
        <w:rPr>
          <w:rFonts w:hint="eastAsia" w:ascii="宋体" w:hAnsi="宋体" w:cs="宋体"/>
          <w:color w:val="auto"/>
          <w:highlight w:val="none"/>
          <w:lang w:val="en-US" w:eastAsia="zh-CN"/>
        </w:rPr>
        <w:t>11</w:t>
      </w:r>
      <w:r>
        <w:rPr>
          <w:rFonts w:hint="eastAsia" w:ascii="宋体" w:hAnsi="宋体" w:cs="宋体"/>
          <w:color w:val="auto"/>
          <w:highlight w:val="none"/>
          <w:lang w:eastAsia="zh-CN"/>
        </w:rPr>
        <w:t>月</w:t>
      </w:r>
      <w:r>
        <w:rPr>
          <w:rFonts w:hint="eastAsia" w:ascii="宋体" w:hAnsi="宋体" w:cs="宋体"/>
          <w:color w:val="auto"/>
          <w:highlight w:val="none"/>
          <w:lang w:val="en-US" w:eastAsia="zh-CN"/>
        </w:rPr>
        <w:t>13</w:t>
      </w:r>
      <w:r>
        <w:rPr>
          <w:rFonts w:hint="eastAsia" w:ascii="宋体" w:hAnsi="宋体" w:cs="宋体"/>
          <w:color w:val="auto"/>
          <w:highlight w:val="none"/>
          <w:lang w:eastAsia="zh-CN"/>
        </w:rPr>
        <w:t>日09</w:t>
      </w:r>
      <w:r>
        <w:rPr>
          <w:rFonts w:hint="eastAsia" w:ascii="宋体" w:hAnsi="宋体" w:cs="宋体"/>
          <w:color w:val="auto"/>
          <w:highlight w:val="none"/>
        </w:rPr>
        <w:t>:30）之前上传投标文件</w:t>
      </w:r>
      <w:r>
        <w:rPr>
          <w:rFonts w:hint="eastAsia" w:ascii="宋体" w:hAnsi="宋体" w:cs="宋体"/>
          <w:b/>
          <w:bCs/>
          <w:color w:val="auto"/>
          <w:highlight w:val="none"/>
        </w:rPr>
        <w:t>。</w:t>
      </w:r>
    </w:p>
    <w:p>
      <w:pPr>
        <w:spacing w:line="360" w:lineRule="auto"/>
        <w:ind w:firstLine="420" w:firstLineChars="200"/>
        <w:rPr>
          <w:rFonts w:hint="eastAsia" w:ascii="宋体" w:hAnsi="宋体" w:cs="宋体"/>
          <w:color w:val="auto"/>
          <w:highlight w:val="none"/>
        </w:rPr>
      </w:pPr>
      <w:r>
        <w:rPr>
          <w:rFonts w:hint="eastAsia" w:ascii="宋体" w:hAnsi="宋体" w:cs="宋体"/>
          <w:color w:val="auto"/>
          <w:highlight w:val="none"/>
        </w:rPr>
        <w:t>④开标与投标文件解密：本项目采用不见面开标方式，供应商无需到开标现场，但应准时参加线上开标。开标时间后代理机构公布名单并开启解密。开启解密后的30分钟内，供应商应当登录“义乌市阳光招标采购平台”，用“开标签到解密”功能或者登录“不见面开标大厅”解密投标文件。</w:t>
      </w:r>
    </w:p>
    <w:p>
      <w:pPr>
        <w:snapToGrid w:val="0"/>
        <w:spacing w:line="360" w:lineRule="auto"/>
        <w:ind w:firstLine="413" w:firstLineChars="196"/>
        <w:rPr>
          <w:rFonts w:hint="eastAsia" w:ascii="宋体" w:hAnsi="宋体" w:cs="宋体"/>
          <w:color w:val="auto"/>
          <w:highlight w:val="none"/>
        </w:rPr>
      </w:pPr>
      <w:r>
        <w:rPr>
          <w:rFonts w:hint="eastAsia" w:ascii="宋体" w:hAnsi="宋体" w:cs="宋体"/>
          <w:b/>
          <w:bCs/>
          <w:color w:val="auto"/>
          <w:highlight w:val="none"/>
        </w:rPr>
        <w:t>电子交易平台网络不畅</w:t>
      </w:r>
      <w:r>
        <w:rPr>
          <w:rFonts w:hint="eastAsia" w:ascii="宋体" w:hAnsi="宋体" w:cs="宋体"/>
          <w:color w:val="auto"/>
          <w:highlight w:val="none"/>
        </w:rPr>
        <w:t>导致投标人不能在规定时间内完成解密，可相应延长解密时间，超出相应延长解密时间仍然未解密的，视做撤销投标文件。</w:t>
      </w:r>
    </w:p>
    <w:p>
      <w:pPr>
        <w:snapToGrid w:val="0"/>
        <w:spacing w:line="360" w:lineRule="auto"/>
        <w:ind w:firstLine="411" w:firstLineChars="196"/>
        <w:rPr>
          <w:rFonts w:hint="eastAsia" w:ascii="宋体" w:hAnsi="宋体" w:eastAsia="宋体" w:cs="宋体"/>
          <w:sz w:val="21"/>
          <w:szCs w:val="21"/>
          <w:highlight w:val="none"/>
        </w:rPr>
      </w:pPr>
      <w:r>
        <w:rPr>
          <w:rFonts w:hint="eastAsia" w:ascii="宋体" w:hAnsi="宋体" w:cs="宋体"/>
          <w:color w:val="auto"/>
          <w:highlight w:val="none"/>
        </w:rPr>
        <w:t>⑤参与在线投标时如遇平台技术问题详询：</w:t>
      </w:r>
      <w:r>
        <w:rPr>
          <w:rFonts w:ascii="宋体" w:hAnsi="宋体" w:cs="宋体"/>
          <w:color w:val="auto"/>
          <w:highlight w:val="none"/>
        </w:rPr>
        <w:t>0579-8992008</w:t>
      </w:r>
      <w:r>
        <w:rPr>
          <w:rFonts w:hint="eastAsia" w:ascii="宋体" w:hAnsi="宋体" w:cs="宋体"/>
          <w:color w:val="auto"/>
          <w:highlight w:val="none"/>
        </w:rPr>
        <w:t>1 ，电子投标制作问题详询：</w:t>
      </w:r>
      <w:r>
        <w:rPr>
          <w:rFonts w:hint="eastAsia" w:ascii="宋体" w:hAnsi="宋体" w:cs="宋体"/>
          <w:color w:val="auto"/>
          <w:szCs w:val="21"/>
          <w:highlight w:val="none"/>
          <w:lang w:val="en-US" w:eastAsia="zh-CN"/>
        </w:rPr>
        <w:t>吴先生</w:t>
      </w:r>
      <w:r>
        <w:rPr>
          <w:rFonts w:hint="eastAsia" w:ascii="宋体" w:hAnsi="宋体" w:cs="宋体"/>
          <w:color w:val="auto"/>
          <w:szCs w:val="21"/>
          <w:highlight w:val="none"/>
        </w:rPr>
        <w:t>0579－8990</w:t>
      </w:r>
      <w:r>
        <w:rPr>
          <w:rFonts w:hint="eastAsia" w:ascii="宋体" w:hAnsi="宋体" w:cs="宋体"/>
          <w:color w:val="auto"/>
          <w:szCs w:val="21"/>
          <w:highlight w:val="none"/>
          <w:lang w:val="en-US" w:eastAsia="zh-CN"/>
        </w:rPr>
        <w:t>6383</w:t>
      </w:r>
      <w:r>
        <w:rPr>
          <w:rFonts w:hint="eastAsia" w:ascii="宋体" w:hAnsi="宋体" w:cs="宋体"/>
          <w:color w:val="auto"/>
          <w:szCs w:val="21"/>
          <w:highlight w:val="none"/>
        </w:rPr>
        <w:t>。</w:t>
      </w:r>
    </w:p>
    <w:p>
      <w:pPr>
        <w:numPr>
          <w:ilvl w:val="0"/>
          <w:numId w:val="0"/>
        </w:numPr>
        <w:spacing w:line="360" w:lineRule="auto"/>
        <w:ind w:leftChars="200"/>
        <w:rPr>
          <w:rFonts w:hint="eastAsia" w:hAnsi="宋体"/>
          <w:b/>
        </w:rPr>
      </w:pPr>
      <w:r>
        <w:rPr>
          <w:rFonts w:hint="eastAsia" w:ascii="宋体" w:hAnsi="宋体" w:eastAsia="宋体" w:cs="宋体"/>
          <w:b/>
          <w:lang w:val="en-US" w:eastAsia="zh-CN"/>
        </w:rPr>
        <w:t>9、</w:t>
      </w:r>
      <w:r>
        <w:rPr>
          <w:rFonts w:hint="eastAsia" w:hAnsi="宋体"/>
          <w:b/>
        </w:rPr>
        <w:t>投标保证金：无</w:t>
      </w:r>
    </w:p>
    <w:p>
      <w:pPr>
        <w:numPr>
          <w:ilvl w:val="0"/>
          <w:numId w:val="0"/>
        </w:numPr>
        <w:spacing w:line="360" w:lineRule="auto"/>
        <w:ind w:firstLine="422" w:firstLineChars="200"/>
        <w:rPr>
          <w:rFonts w:hAnsi="宋体"/>
          <w:b/>
        </w:rPr>
      </w:pPr>
      <w:r>
        <w:rPr>
          <w:rFonts w:hint="eastAsia" w:ascii="宋体" w:hAnsi="宋体" w:cs="宋体"/>
          <w:b/>
          <w:highlight w:val="none"/>
          <w:lang w:val="en-US" w:eastAsia="zh-CN"/>
        </w:rPr>
        <w:t>10、</w:t>
      </w:r>
      <w:r>
        <w:rPr>
          <w:rFonts w:hint="eastAsia" w:hAnsi="宋体"/>
          <w:b/>
        </w:rPr>
        <w:t>业务咨询：</w:t>
      </w:r>
    </w:p>
    <w:p>
      <w:pPr>
        <w:pStyle w:val="17"/>
        <w:spacing w:line="360" w:lineRule="auto"/>
        <w:ind w:left="420"/>
        <w:jc w:val="left"/>
        <w:rPr>
          <w:rFonts w:hAnsi="宋体"/>
          <w:highlight w:val="none"/>
        </w:rPr>
      </w:pPr>
      <w:r>
        <w:rPr>
          <w:rFonts w:hint="eastAsia" w:ascii="宋体" w:hAnsi="宋体" w:eastAsia="宋体" w:cs="宋体"/>
          <w:bCs/>
          <w:color w:val="auto"/>
          <w:sz w:val="21"/>
          <w:szCs w:val="21"/>
          <w:highlight w:val="none"/>
        </w:rPr>
        <w:t>义乌市</w:t>
      </w:r>
      <w:r>
        <w:rPr>
          <w:rFonts w:hint="eastAsia" w:ascii="宋体" w:hAnsi="宋体" w:eastAsia="宋体" w:cs="宋体"/>
          <w:bCs/>
          <w:color w:val="auto"/>
          <w:sz w:val="21"/>
          <w:szCs w:val="21"/>
          <w:highlight w:val="none"/>
          <w:lang w:eastAsia="zh-CN"/>
        </w:rPr>
        <w:t>聚合双圆数字科技</w:t>
      </w:r>
      <w:r>
        <w:rPr>
          <w:rFonts w:hint="eastAsia" w:ascii="宋体" w:hAnsi="宋体" w:eastAsia="宋体" w:cs="宋体"/>
          <w:bCs/>
          <w:color w:val="auto"/>
          <w:sz w:val="21"/>
          <w:szCs w:val="21"/>
          <w:highlight w:val="none"/>
        </w:rPr>
        <w:t>有限公司</w:t>
      </w:r>
      <w:r>
        <w:rPr>
          <w:rFonts w:hint="eastAsia" w:hAnsi="宋体"/>
          <w:highlight w:val="none"/>
        </w:rPr>
        <w:t>：</w:t>
      </w:r>
      <w:r>
        <w:rPr>
          <w:rFonts w:hint="eastAsia" w:hAnsi="宋体" w:eastAsia="宋体" w:cs="宋体"/>
          <w:color w:val="auto"/>
          <w:sz w:val="21"/>
          <w:szCs w:val="21"/>
          <w:highlight w:val="none"/>
          <w:lang w:eastAsia="zh-CN"/>
        </w:rPr>
        <w:t>余少帅</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 xml:space="preserve"> 联系电话：</w:t>
      </w:r>
      <w:r>
        <w:rPr>
          <w:rFonts w:hint="eastAsia" w:hAnsi="宋体" w:eastAsia="宋体" w:cs="宋体"/>
          <w:color w:val="auto"/>
          <w:sz w:val="21"/>
          <w:szCs w:val="21"/>
          <w:highlight w:val="none"/>
          <w:lang w:val="en-US" w:eastAsia="zh-CN"/>
        </w:rPr>
        <w:t>13605824733</w:t>
      </w:r>
      <w:r>
        <w:rPr>
          <w:rFonts w:hAnsi="宋体"/>
          <w:highlight w:val="none"/>
        </w:rPr>
        <w:t xml:space="preserve"> </w:t>
      </w:r>
    </w:p>
    <w:p>
      <w:pPr>
        <w:pStyle w:val="17"/>
        <w:spacing w:line="360" w:lineRule="auto"/>
        <w:ind w:left="420"/>
        <w:jc w:val="left"/>
        <w:rPr>
          <w:rFonts w:hint="default" w:hAnsi="宋体"/>
          <w:highlight w:val="none"/>
          <w:lang w:val="en-US"/>
        </w:rPr>
      </w:pPr>
      <w:r>
        <w:rPr>
          <w:rFonts w:hint="eastAsia" w:hAnsi="宋体"/>
          <w:highlight w:val="none"/>
        </w:rPr>
        <w:t>义乌产权交易所有限公司：</w:t>
      </w:r>
      <w:r>
        <w:rPr>
          <w:rFonts w:hint="eastAsia" w:ascii="宋体" w:hAnsi="宋体" w:cs="宋体"/>
          <w:color w:val="auto"/>
          <w:szCs w:val="21"/>
          <w:highlight w:val="none"/>
          <w:lang w:val="en-US" w:eastAsia="zh-CN"/>
        </w:rPr>
        <w:t>吴先生</w:t>
      </w:r>
      <w:r>
        <w:rPr>
          <w:rFonts w:hint="eastAsia" w:ascii="宋体" w:hAnsi="宋体" w:eastAsia="宋体" w:cs="宋体"/>
          <w:sz w:val="21"/>
          <w:szCs w:val="21"/>
          <w:highlight w:val="none"/>
        </w:rPr>
        <w:t>； 联系电话：</w:t>
      </w:r>
      <w:r>
        <w:rPr>
          <w:rFonts w:hint="eastAsia" w:ascii="宋体" w:hAnsi="宋体" w:cs="宋体"/>
          <w:color w:val="auto"/>
          <w:szCs w:val="21"/>
          <w:highlight w:val="none"/>
        </w:rPr>
        <w:t>0579－8990</w:t>
      </w:r>
      <w:r>
        <w:rPr>
          <w:rFonts w:hint="eastAsia" w:ascii="宋体" w:hAnsi="宋体" w:cs="宋体"/>
          <w:color w:val="auto"/>
          <w:szCs w:val="21"/>
          <w:highlight w:val="none"/>
          <w:lang w:val="en-US" w:eastAsia="zh-CN"/>
        </w:rPr>
        <w:t>6383</w:t>
      </w:r>
    </w:p>
    <w:p>
      <w:pPr>
        <w:ind w:firstLine="422" w:firstLineChars="200"/>
        <w:rPr>
          <w:rFonts w:hint="eastAsia" w:ascii="宋体" w:hAnsi="宋体" w:eastAsia="宋体" w:cs="宋体"/>
          <w:b/>
          <w:bCs/>
          <w:sz w:val="21"/>
          <w:szCs w:val="21"/>
          <w:highlight w:val="none"/>
          <w:lang w:val="en-US" w:eastAsia="zh-CN"/>
        </w:rPr>
      </w:pPr>
    </w:p>
    <w:p>
      <w:pPr>
        <w:pStyle w:val="17"/>
        <w:adjustRightInd w:val="0"/>
        <w:snapToGrid w:val="0"/>
        <w:spacing w:line="360" w:lineRule="auto"/>
        <w:rPr>
          <w:rFonts w:cs="宋体"/>
          <w:highlight w:val="none"/>
          <w:lang w:val="zh-CN"/>
        </w:rPr>
      </w:pPr>
    </w:p>
    <w:p>
      <w:pPr>
        <w:rPr>
          <w:highlight w:val="none"/>
        </w:rPr>
      </w:pPr>
    </w:p>
    <w:p>
      <w:pPr>
        <w:pStyle w:val="53"/>
        <w:rPr>
          <w:highlight w:val="none"/>
        </w:rPr>
      </w:pPr>
    </w:p>
    <w:p>
      <w:pPr>
        <w:pStyle w:val="17"/>
        <w:adjustRightInd w:val="0"/>
        <w:snapToGrid w:val="0"/>
        <w:spacing w:line="360" w:lineRule="auto"/>
        <w:jc w:val="right"/>
        <w:rPr>
          <w:rFonts w:hint="eastAsia" w:hAnsi="宋体"/>
          <w:highlight w:val="none"/>
        </w:rPr>
      </w:pPr>
    </w:p>
    <w:p>
      <w:pPr>
        <w:pStyle w:val="17"/>
        <w:adjustRightInd w:val="0"/>
        <w:snapToGrid w:val="0"/>
        <w:spacing w:line="360" w:lineRule="auto"/>
        <w:jc w:val="right"/>
        <w:rPr>
          <w:rFonts w:hAnsi="宋体"/>
          <w:highlight w:val="none"/>
        </w:rPr>
      </w:pPr>
      <w:r>
        <w:rPr>
          <w:rFonts w:hint="eastAsia" w:ascii="宋体" w:hAnsi="宋体" w:eastAsia="宋体" w:cs="宋体"/>
          <w:bCs/>
          <w:color w:val="auto"/>
          <w:sz w:val="21"/>
          <w:szCs w:val="21"/>
          <w:highlight w:val="none"/>
        </w:rPr>
        <w:t>义乌市</w:t>
      </w:r>
      <w:r>
        <w:rPr>
          <w:rFonts w:hint="eastAsia" w:ascii="宋体" w:hAnsi="宋体" w:eastAsia="宋体" w:cs="宋体"/>
          <w:bCs/>
          <w:color w:val="auto"/>
          <w:sz w:val="21"/>
          <w:szCs w:val="21"/>
          <w:highlight w:val="none"/>
          <w:lang w:eastAsia="zh-CN"/>
        </w:rPr>
        <w:t>聚合双圆数字科技</w:t>
      </w:r>
      <w:r>
        <w:rPr>
          <w:rFonts w:hint="eastAsia" w:ascii="宋体" w:hAnsi="宋体" w:eastAsia="宋体" w:cs="宋体"/>
          <w:bCs/>
          <w:color w:val="auto"/>
          <w:sz w:val="21"/>
          <w:szCs w:val="21"/>
          <w:highlight w:val="none"/>
        </w:rPr>
        <w:t>有限公司</w:t>
      </w:r>
    </w:p>
    <w:p>
      <w:pPr>
        <w:pStyle w:val="17"/>
        <w:adjustRightInd w:val="0"/>
        <w:snapToGrid w:val="0"/>
        <w:spacing w:line="360" w:lineRule="auto"/>
        <w:jc w:val="right"/>
        <w:rPr>
          <w:rFonts w:hAnsi="宋体"/>
          <w:highlight w:val="none"/>
        </w:rPr>
      </w:pPr>
      <w:r>
        <w:rPr>
          <w:rFonts w:hint="eastAsia" w:hAnsi="宋体"/>
          <w:highlight w:val="none"/>
        </w:rPr>
        <w:t>义乌产权交易所有限公司</w:t>
      </w:r>
    </w:p>
    <w:p>
      <w:pPr>
        <w:pStyle w:val="17"/>
        <w:adjustRightInd w:val="0"/>
        <w:snapToGrid w:val="0"/>
        <w:spacing w:line="360" w:lineRule="auto"/>
        <w:jc w:val="right"/>
        <w:rPr>
          <w:rFonts w:hAnsi="宋体"/>
          <w:highlight w:val="none"/>
        </w:rPr>
      </w:pPr>
      <w:r>
        <w:rPr>
          <w:rFonts w:hint="eastAsia" w:hAnsi="宋体"/>
          <w:highlight w:val="none"/>
          <w:lang w:val="en-US" w:eastAsia="zh-CN"/>
        </w:rPr>
        <w:t>2025</w:t>
      </w:r>
      <w:r>
        <w:rPr>
          <w:rFonts w:hint="eastAsia" w:hAnsi="宋体"/>
          <w:highlight w:val="none"/>
        </w:rPr>
        <w:t>年</w:t>
      </w:r>
      <w:r>
        <w:rPr>
          <w:rFonts w:hint="eastAsia" w:hAnsi="宋体"/>
          <w:highlight w:val="none"/>
          <w:lang w:val="en-US" w:eastAsia="zh-CN"/>
        </w:rPr>
        <w:t>10</w:t>
      </w:r>
      <w:r>
        <w:rPr>
          <w:rFonts w:hint="eastAsia" w:hAnsi="宋体"/>
          <w:highlight w:val="none"/>
        </w:rPr>
        <w:t>月</w:t>
      </w:r>
      <w:r>
        <w:rPr>
          <w:rFonts w:hint="eastAsia" w:hAnsi="宋体"/>
          <w:highlight w:val="none"/>
          <w:lang w:val="en-US" w:eastAsia="zh-CN"/>
        </w:rPr>
        <w:t>23</w:t>
      </w:r>
      <w:r>
        <w:rPr>
          <w:rFonts w:hint="eastAsia" w:hAnsi="宋体"/>
          <w:highlight w:val="none"/>
        </w:rPr>
        <w:t>日</w:t>
      </w:r>
    </w:p>
    <w:p>
      <w:pPr>
        <w:pStyle w:val="3"/>
        <w:numPr>
          <w:ilvl w:val="0"/>
          <w:numId w:val="0"/>
        </w:numPr>
        <w:spacing w:line="240" w:lineRule="auto"/>
        <w:jc w:val="center"/>
        <w:rPr>
          <w:sz w:val="36"/>
        </w:rPr>
      </w:pPr>
      <w:bookmarkStart w:id="7" w:name="_Toc10680"/>
      <w:r>
        <w:rPr>
          <w:rFonts w:hint="eastAsia"/>
          <w:sz w:val="36"/>
        </w:rPr>
        <w:br w:type="page"/>
      </w:r>
      <w:bookmarkStart w:id="8" w:name="_Toc29319"/>
      <w:r>
        <w:rPr>
          <w:rFonts w:hint="eastAsia"/>
          <w:sz w:val="36"/>
        </w:rPr>
        <w:t>第二章　投标须知和投标须知前附表</w:t>
      </w:r>
      <w:bookmarkEnd w:id="7"/>
      <w:bookmarkEnd w:id="8"/>
    </w:p>
    <w:p>
      <w:pPr>
        <w:spacing w:line="360" w:lineRule="auto"/>
        <w:ind w:firstLine="602" w:firstLineChars="200"/>
        <w:jc w:val="center"/>
        <w:rPr>
          <w:rFonts w:ascii="宋体"/>
          <w:b/>
          <w:sz w:val="30"/>
          <w:szCs w:val="30"/>
        </w:rPr>
      </w:pPr>
      <w:r>
        <w:rPr>
          <w:rFonts w:hint="eastAsia" w:ascii="宋体" w:hAnsi="宋体"/>
          <w:b/>
          <w:sz w:val="30"/>
          <w:szCs w:val="30"/>
        </w:rPr>
        <w:t>投标须知前附表</w:t>
      </w:r>
    </w:p>
    <w:tbl>
      <w:tblPr>
        <w:tblStyle w:val="33"/>
        <w:tblW w:w="995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1670"/>
        <w:gridCol w:w="75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jc w:val="center"/>
        </w:trPr>
        <w:tc>
          <w:tcPr>
            <w:tcW w:w="720"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b/>
                <w:sz w:val="24"/>
              </w:rPr>
            </w:pPr>
            <w:r>
              <w:rPr>
                <w:rFonts w:hint="eastAsia" w:ascii="宋体" w:hAnsi="宋体" w:cs="宋体"/>
                <w:b/>
                <w:sz w:val="24"/>
              </w:rPr>
              <w:t>序号</w:t>
            </w:r>
          </w:p>
        </w:tc>
        <w:tc>
          <w:tcPr>
            <w:tcW w:w="9230"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b/>
                <w:sz w:val="24"/>
              </w:rPr>
            </w:pPr>
            <w:r>
              <w:rPr>
                <w:rFonts w:hint="eastAsia" w:ascii="宋体" w:hAnsi="宋体" w:cs="宋体"/>
                <w:b/>
                <w:sz w:val="24"/>
              </w:rPr>
              <w:t>内容规定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720" w:type="dxa"/>
            <w:tcBorders>
              <w:top w:val="single" w:color="auto" w:sz="4" w:space="0"/>
              <w:left w:val="single" w:color="auto" w:sz="4" w:space="0"/>
              <w:bottom w:val="single" w:color="auto" w:sz="4" w:space="0"/>
              <w:right w:val="single" w:color="auto" w:sz="4" w:space="0"/>
            </w:tcBorders>
            <w:noWrap w:val="0"/>
            <w:vAlign w:val="center"/>
          </w:tcPr>
          <w:p>
            <w:pPr>
              <w:ind w:firstLine="210" w:firstLineChars="100"/>
              <w:rPr>
                <w:rFonts w:ascii="宋体" w:hAnsi="宋体" w:cs="宋体"/>
                <w:szCs w:val="21"/>
              </w:rPr>
            </w:pPr>
            <w:r>
              <w:rPr>
                <w:rFonts w:ascii="宋体" w:hAnsi="宋体" w:cs="宋体"/>
                <w:szCs w:val="21"/>
              </w:rPr>
              <w:t>1</w:t>
            </w:r>
          </w:p>
        </w:tc>
        <w:tc>
          <w:tcPr>
            <w:tcW w:w="1670"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szCs w:val="21"/>
              </w:rPr>
            </w:pPr>
            <w:r>
              <w:rPr>
                <w:rFonts w:hint="eastAsia" w:ascii="宋体" w:hAnsi="宋体" w:cs="宋体"/>
                <w:szCs w:val="21"/>
              </w:rPr>
              <w:t>项目综合</w:t>
            </w:r>
          </w:p>
          <w:p>
            <w:pPr>
              <w:jc w:val="center"/>
              <w:rPr>
                <w:rFonts w:ascii="宋体" w:hAnsi="宋体" w:cs="宋体"/>
                <w:szCs w:val="21"/>
              </w:rPr>
            </w:pPr>
            <w:r>
              <w:rPr>
                <w:rFonts w:hint="eastAsia" w:ascii="宋体" w:hAnsi="宋体" w:cs="宋体"/>
                <w:szCs w:val="21"/>
              </w:rPr>
              <w:t>说明</w:t>
            </w:r>
          </w:p>
        </w:tc>
        <w:tc>
          <w:tcPr>
            <w:tcW w:w="756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left"/>
              <w:rPr>
                <w:rFonts w:hint="eastAsia" w:ascii="宋体" w:hAnsi="宋体" w:eastAsia="宋体" w:cs="宋体"/>
                <w:szCs w:val="21"/>
                <w:highlight w:val="none"/>
                <w:lang w:eastAsia="zh-CN"/>
              </w:rPr>
            </w:pPr>
            <w:r>
              <w:rPr>
                <w:rFonts w:hint="eastAsia" w:ascii="宋体" w:hAnsi="宋体" w:eastAsia="宋体" w:cs="宋体"/>
                <w:color w:val="auto"/>
                <w:sz w:val="21"/>
                <w:szCs w:val="21"/>
                <w:highlight w:val="none"/>
              </w:rPr>
              <w:t>项目名称：</w:t>
            </w:r>
            <w:r>
              <w:rPr>
                <w:rFonts w:hint="eastAsia" w:ascii="宋体" w:hAnsi="宋体" w:eastAsia="宋体" w:cs="宋体"/>
                <w:sz w:val="21"/>
                <w:szCs w:val="21"/>
                <w:lang w:eastAsia="zh-CN"/>
              </w:rPr>
              <w:t>义乌市数字经济产业社区项目物业服务采购</w:t>
            </w:r>
            <w:r>
              <w:rPr>
                <w:rFonts w:hint="eastAsia" w:ascii="宋体" w:hAnsi="宋体" w:eastAsia="宋体" w:cs="宋体"/>
                <w:szCs w:val="21"/>
                <w:highlight w:val="none"/>
              </w:rPr>
              <w:t>项目</w:t>
            </w:r>
          </w:p>
          <w:p>
            <w:pPr>
              <w:pStyle w:val="17"/>
              <w:spacing w:line="360" w:lineRule="auto"/>
              <w:rPr>
                <w:rFonts w:hint="eastAsia" w:ascii="宋体" w:hAnsi="宋体" w:eastAsia="宋体" w:cs="宋体"/>
              </w:rPr>
            </w:pPr>
            <w:r>
              <w:rPr>
                <w:rFonts w:hint="eastAsia" w:ascii="宋体" w:hAnsi="宋体" w:eastAsia="宋体" w:cs="宋体"/>
                <w:color w:val="auto"/>
                <w:sz w:val="21"/>
                <w:szCs w:val="21"/>
                <w:highlight w:val="none"/>
              </w:rPr>
              <w:t>采购内容及数量：</w:t>
            </w:r>
            <w:r>
              <w:rPr>
                <w:rFonts w:hint="eastAsia" w:ascii="宋体" w:hAnsi="宋体" w:cs="宋体"/>
                <w:szCs w:val="21"/>
                <w:highlight w:val="none"/>
              </w:rPr>
              <w:t>具</w:t>
            </w:r>
            <w:r>
              <w:rPr>
                <w:rFonts w:hint="eastAsia" w:ascii="宋体" w:hAnsi="宋体" w:cs="宋体"/>
                <w:szCs w:val="21"/>
                <w:highlight w:val="none"/>
                <w:lang w:val="en-US" w:eastAsia="zh-CN"/>
              </w:rPr>
              <w:t>体</w:t>
            </w:r>
            <w:r>
              <w:rPr>
                <w:rFonts w:hint="eastAsia" w:ascii="宋体" w:hAnsi="宋体" w:eastAsia="宋体" w:cs="宋体"/>
                <w:color w:val="auto"/>
                <w:sz w:val="21"/>
                <w:szCs w:val="21"/>
                <w:highlight w:val="none"/>
              </w:rPr>
              <w:t xml:space="preserve">详见第三章招标项目要求。   </w:t>
            </w:r>
            <w:r>
              <w:rPr>
                <w:rFonts w:hint="eastAsia" w:ascii="宋体" w:hAnsi="宋体" w:eastAsia="宋体" w:cs="宋体"/>
                <w:b w:val="0"/>
                <w:bCs w:val="0"/>
              </w:rPr>
              <w:t xml:space="preserve">   </w:t>
            </w:r>
            <w:r>
              <w:rPr>
                <w:rFonts w:hint="eastAsia" w:ascii="宋体" w:hAnsi="宋体" w:eastAsia="宋体" w:cs="宋体"/>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720"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szCs w:val="21"/>
              </w:rPr>
            </w:pPr>
            <w:r>
              <w:rPr>
                <w:rFonts w:ascii="宋体" w:hAnsi="宋体" w:cs="宋体"/>
                <w:szCs w:val="21"/>
              </w:rPr>
              <w:t>2</w:t>
            </w:r>
          </w:p>
        </w:tc>
        <w:tc>
          <w:tcPr>
            <w:tcW w:w="1670"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szCs w:val="21"/>
              </w:rPr>
            </w:pPr>
            <w:r>
              <w:rPr>
                <w:rFonts w:hint="eastAsia" w:ascii="宋体" w:hAnsi="宋体" w:cs="宋体"/>
                <w:szCs w:val="21"/>
              </w:rPr>
              <w:t>招标方式</w:t>
            </w:r>
          </w:p>
        </w:tc>
        <w:tc>
          <w:tcPr>
            <w:tcW w:w="7560" w:type="dxa"/>
            <w:tcBorders>
              <w:top w:val="single" w:color="auto" w:sz="4" w:space="0"/>
              <w:left w:val="single" w:color="auto" w:sz="4" w:space="0"/>
              <w:bottom w:val="single" w:color="auto" w:sz="4" w:space="0"/>
              <w:right w:val="single" w:color="auto" w:sz="4" w:space="0"/>
            </w:tcBorders>
            <w:noWrap w:val="0"/>
            <w:vAlign w:val="center"/>
          </w:tcPr>
          <w:p>
            <w:pPr>
              <w:rPr>
                <w:rFonts w:ascii="宋体" w:hAnsi="宋体" w:cs="宋体"/>
                <w:szCs w:val="21"/>
              </w:rPr>
            </w:pPr>
            <w:r>
              <w:rPr>
                <w:rFonts w:hint="eastAsia" w:ascii="宋体" w:hAnsi="宋体" w:cs="宋体"/>
                <w:szCs w:val="21"/>
              </w:rPr>
              <w:t xml:space="preserve">公开招标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2" w:hRule="atLeast"/>
          <w:jc w:val="center"/>
        </w:trPr>
        <w:tc>
          <w:tcPr>
            <w:tcW w:w="720"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szCs w:val="21"/>
              </w:rPr>
            </w:pPr>
            <w:r>
              <w:rPr>
                <w:rFonts w:ascii="宋体" w:hAnsi="宋体" w:cs="宋体"/>
                <w:szCs w:val="21"/>
              </w:rPr>
              <w:t>3</w:t>
            </w:r>
          </w:p>
        </w:tc>
        <w:tc>
          <w:tcPr>
            <w:tcW w:w="1670"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szCs w:val="21"/>
              </w:rPr>
            </w:pPr>
            <w:r>
              <w:rPr>
                <w:rFonts w:hint="eastAsia" w:ascii="宋体" w:hAnsi="宋体" w:cs="宋体"/>
                <w:szCs w:val="21"/>
              </w:rPr>
              <w:t>投标单位</w:t>
            </w:r>
          </w:p>
          <w:p>
            <w:pPr>
              <w:jc w:val="center"/>
              <w:rPr>
                <w:rFonts w:ascii="宋体" w:hAnsi="宋体" w:cs="宋体"/>
                <w:szCs w:val="21"/>
              </w:rPr>
            </w:pPr>
            <w:r>
              <w:rPr>
                <w:rFonts w:hint="eastAsia" w:ascii="宋体" w:hAnsi="宋体" w:cs="宋体"/>
                <w:szCs w:val="21"/>
              </w:rPr>
              <w:t>资格要求</w:t>
            </w:r>
          </w:p>
        </w:tc>
        <w:tc>
          <w:tcPr>
            <w:tcW w:w="7560" w:type="dxa"/>
            <w:tcBorders>
              <w:top w:val="single" w:color="auto" w:sz="4" w:space="0"/>
              <w:left w:val="single" w:color="auto" w:sz="4" w:space="0"/>
              <w:bottom w:val="single" w:color="auto" w:sz="4" w:space="0"/>
              <w:right w:val="single" w:color="auto" w:sz="4" w:space="0"/>
            </w:tcBorders>
            <w:noWrap w:val="0"/>
            <w:vAlign w:val="center"/>
          </w:tcPr>
          <w:p>
            <w:pPr>
              <w:spacing w:line="240" w:lineRule="exact"/>
              <w:rPr>
                <w:rFonts w:ascii="宋体" w:hAnsi="宋体" w:cs="宋体"/>
                <w:szCs w:val="21"/>
              </w:rPr>
            </w:pPr>
            <w:r>
              <w:rPr>
                <w:rFonts w:hint="eastAsia" w:ascii="宋体" w:hAnsi="宋体" w:cs="宋体"/>
                <w:kern w:val="0"/>
                <w:szCs w:val="21"/>
              </w:rPr>
              <w:t>详见招标公告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7" w:hRule="atLeast"/>
          <w:jc w:val="center"/>
        </w:trPr>
        <w:tc>
          <w:tcPr>
            <w:tcW w:w="720"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szCs w:val="21"/>
              </w:rPr>
            </w:pPr>
            <w:r>
              <w:rPr>
                <w:rFonts w:ascii="宋体" w:hAnsi="宋体" w:cs="宋体"/>
                <w:szCs w:val="21"/>
              </w:rPr>
              <w:t>4</w:t>
            </w:r>
          </w:p>
        </w:tc>
        <w:tc>
          <w:tcPr>
            <w:tcW w:w="1670"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szCs w:val="21"/>
                <w:highlight w:val="yellow"/>
              </w:rPr>
            </w:pPr>
            <w:r>
              <w:rPr>
                <w:rFonts w:hint="eastAsia" w:ascii="宋体" w:hAnsi="宋体" w:cs="宋体"/>
                <w:szCs w:val="21"/>
              </w:rPr>
              <w:t>供货要求</w:t>
            </w:r>
          </w:p>
        </w:tc>
        <w:tc>
          <w:tcPr>
            <w:tcW w:w="7560" w:type="dxa"/>
            <w:tcBorders>
              <w:top w:val="single" w:color="auto" w:sz="4" w:space="0"/>
              <w:left w:val="single" w:color="auto" w:sz="4" w:space="0"/>
              <w:bottom w:val="single" w:color="auto" w:sz="4" w:space="0"/>
              <w:right w:val="single" w:color="auto" w:sz="4" w:space="0"/>
            </w:tcBorders>
            <w:noWrap w:val="0"/>
            <w:vAlign w:val="center"/>
          </w:tcPr>
          <w:p>
            <w:pPr>
              <w:spacing w:line="300" w:lineRule="exact"/>
              <w:rPr>
                <w:rFonts w:ascii="宋体" w:hAnsi="宋体" w:cs="宋体"/>
                <w:szCs w:val="21"/>
                <w:highlight w:val="yellow"/>
              </w:rPr>
            </w:pPr>
            <w:r>
              <w:rPr>
                <w:rFonts w:hint="eastAsia" w:ascii="宋体" w:hAnsi="宋体" w:cs="宋体"/>
                <w:color w:val="000000"/>
                <w:szCs w:val="21"/>
              </w:rPr>
              <w:t>详见招标文件第三章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jc w:val="center"/>
        </w:trPr>
        <w:tc>
          <w:tcPr>
            <w:tcW w:w="720"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szCs w:val="21"/>
              </w:rPr>
            </w:pPr>
            <w:r>
              <w:rPr>
                <w:rFonts w:ascii="宋体" w:hAnsi="宋体" w:cs="宋体"/>
                <w:szCs w:val="21"/>
              </w:rPr>
              <w:t>5</w:t>
            </w:r>
          </w:p>
        </w:tc>
        <w:tc>
          <w:tcPr>
            <w:tcW w:w="1670"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szCs w:val="21"/>
              </w:rPr>
            </w:pPr>
            <w:r>
              <w:rPr>
                <w:rFonts w:hint="eastAsia" w:ascii="宋体" w:hAnsi="宋体" w:cs="宋体"/>
                <w:szCs w:val="21"/>
              </w:rPr>
              <w:t>招标文件</w:t>
            </w:r>
            <w:r>
              <w:rPr>
                <w:rFonts w:hint="eastAsia" w:ascii="宋体" w:hAnsi="宋体" w:cs="宋体"/>
                <w:szCs w:val="21"/>
                <w:lang w:val="en-US" w:eastAsia="zh-CN"/>
              </w:rPr>
              <w:t>获取</w:t>
            </w:r>
            <w:r>
              <w:rPr>
                <w:rFonts w:hint="eastAsia" w:ascii="宋体" w:hAnsi="宋体" w:cs="宋体"/>
                <w:szCs w:val="21"/>
              </w:rPr>
              <w:t>时间和地点</w:t>
            </w:r>
          </w:p>
        </w:tc>
        <w:tc>
          <w:tcPr>
            <w:tcW w:w="7560" w:type="dxa"/>
            <w:tcBorders>
              <w:top w:val="single" w:color="auto" w:sz="4" w:space="0"/>
              <w:left w:val="single" w:color="auto" w:sz="4" w:space="0"/>
              <w:bottom w:val="single" w:color="auto" w:sz="4" w:space="0"/>
              <w:right w:val="single" w:color="auto" w:sz="4" w:space="0"/>
            </w:tcBorders>
            <w:noWrap w:val="0"/>
            <w:vAlign w:val="center"/>
          </w:tcPr>
          <w:p>
            <w:pPr>
              <w:rPr>
                <w:rFonts w:ascii="宋体" w:hAnsi="宋体" w:cs="宋体"/>
                <w:szCs w:val="21"/>
              </w:rPr>
            </w:pPr>
            <w:r>
              <w:rPr>
                <w:rFonts w:hint="eastAsia" w:ascii="宋体" w:hAnsi="宋体" w:cs="宋体"/>
                <w:szCs w:val="21"/>
              </w:rPr>
              <w:t>详见招标公告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5" w:hRule="atLeast"/>
          <w:jc w:val="center"/>
        </w:trPr>
        <w:tc>
          <w:tcPr>
            <w:tcW w:w="720"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szCs w:val="21"/>
              </w:rPr>
            </w:pPr>
            <w:r>
              <w:rPr>
                <w:rFonts w:ascii="宋体" w:hAnsi="宋体" w:cs="宋体"/>
                <w:szCs w:val="21"/>
              </w:rPr>
              <w:t>6</w:t>
            </w:r>
          </w:p>
        </w:tc>
        <w:tc>
          <w:tcPr>
            <w:tcW w:w="1670"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szCs w:val="21"/>
              </w:rPr>
            </w:pPr>
            <w:r>
              <w:rPr>
                <w:rFonts w:hint="eastAsia" w:ascii="宋体" w:hAnsi="宋体" w:cs="宋体"/>
                <w:szCs w:val="21"/>
              </w:rPr>
              <w:t>现场踏勘时间</w:t>
            </w:r>
          </w:p>
        </w:tc>
        <w:tc>
          <w:tcPr>
            <w:tcW w:w="7560" w:type="dxa"/>
            <w:tcBorders>
              <w:top w:val="single" w:color="auto" w:sz="4" w:space="0"/>
              <w:left w:val="single" w:color="auto" w:sz="4" w:space="0"/>
              <w:bottom w:val="single" w:color="auto" w:sz="4" w:space="0"/>
              <w:right w:val="single" w:color="auto" w:sz="4" w:space="0"/>
            </w:tcBorders>
            <w:noWrap w:val="0"/>
            <w:vAlign w:val="center"/>
          </w:tcPr>
          <w:p>
            <w:pPr>
              <w:rPr>
                <w:rFonts w:ascii="宋体" w:hAnsi="宋体" w:cs="宋体"/>
                <w:szCs w:val="21"/>
              </w:rPr>
            </w:pPr>
            <w:r>
              <w:rPr>
                <w:rFonts w:hint="eastAsia" w:ascii="宋体" w:hAnsi="宋体" w:cs="宋体"/>
                <w:szCs w:val="21"/>
              </w:rPr>
              <w:t>投标前，投标人须自行到项目所在地予以踏勘，对项目实施现场及周边环境等进行勘察，以获取编制投标文件和签署合同所需的所有资料，否则，由此所造成的一切后果由投标人自行承担。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3" w:hRule="atLeast"/>
          <w:jc w:val="center"/>
        </w:trPr>
        <w:tc>
          <w:tcPr>
            <w:tcW w:w="720"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szCs w:val="21"/>
              </w:rPr>
            </w:pPr>
            <w:r>
              <w:rPr>
                <w:rFonts w:ascii="宋体" w:hAnsi="宋体" w:cs="宋体"/>
                <w:szCs w:val="21"/>
              </w:rPr>
              <w:t>7</w:t>
            </w:r>
          </w:p>
        </w:tc>
        <w:tc>
          <w:tcPr>
            <w:tcW w:w="1670"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szCs w:val="21"/>
              </w:rPr>
            </w:pPr>
            <w:r>
              <w:rPr>
                <w:rFonts w:hint="eastAsia" w:ascii="宋体" w:hAnsi="宋体" w:cs="宋体"/>
                <w:szCs w:val="21"/>
              </w:rPr>
              <w:t>技术答疑</w:t>
            </w:r>
          </w:p>
        </w:tc>
        <w:tc>
          <w:tcPr>
            <w:tcW w:w="7560" w:type="dxa"/>
            <w:tcBorders>
              <w:top w:val="single" w:color="auto" w:sz="4" w:space="0"/>
              <w:left w:val="single" w:color="auto" w:sz="4" w:space="0"/>
              <w:bottom w:val="single" w:color="auto" w:sz="4" w:space="0"/>
              <w:right w:val="single" w:color="auto" w:sz="4" w:space="0"/>
            </w:tcBorders>
            <w:noWrap w:val="0"/>
            <w:vAlign w:val="center"/>
          </w:tcPr>
          <w:p>
            <w:pPr>
              <w:spacing w:line="380" w:lineRule="exact"/>
              <w:rPr>
                <w:rFonts w:hint="eastAsia" w:ascii="宋体" w:hAnsi="宋体" w:eastAsia="宋体" w:cs="宋体"/>
                <w:szCs w:val="21"/>
                <w:highlight w:val="none"/>
              </w:rPr>
            </w:pPr>
            <w:r>
              <w:rPr>
                <w:rFonts w:hint="eastAsia" w:ascii="宋体" w:hAnsi="宋体" w:cs="宋体"/>
              </w:rPr>
              <w:t>供应商认为采购文件使自己的权益受到损害的，</w:t>
            </w:r>
            <w:r>
              <w:rPr>
                <w:rFonts w:hint="eastAsia" w:ascii="宋体" w:hAnsi="宋体" w:cs="宋体"/>
                <w:highlight w:val="none"/>
              </w:rPr>
              <w:t>请于20</w:t>
            </w:r>
            <w:r>
              <w:rPr>
                <w:rFonts w:hint="eastAsia" w:ascii="宋体" w:hAnsi="宋体" w:cs="宋体"/>
                <w:highlight w:val="none"/>
                <w:lang w:val="en-US" w:eastAsia="zh-CN"/>
              </w:rPr>
              <w:t>25</w:t>
            </w:r>
            <w:r>
              <w:rPr>
                <w:rFonts w:hint="eastAsia" w:ascii="宋体" w:hAnsi="宋体" w:cs="宋体"/>
                <w:highlight w:val="none"/>
              </w:rPr>
              <w:t>年</w:t>
            </w:r>
            <w:r>
              <w:rPr>
                <w:rFonts w:hint="eastAsia" w:ascii="宋体" w:hAnsi="宋体" w:cs="宋体"/>
                <w:highlight w:val="none"/>
                <w:lang w:val="en-US" w:eastAsia="zh-CN"/>
              </w:rPr>
              <w:t>10</w:t>
            </w:r>
            <w:r>
              <w:rPr>
                <w:rFonts w:hint="eastAsia" w:ascii="宋体" w:hAnsi="宋体" w:cs="宋体"/>
                <w:highlight w:val="none"/>
              </w:rPr>
              <w:t>月</w:t>
            </w:r>
            <w:r>
              <w:rPr>
                <w:rFonts w:hint="eastAsia" w:ascii="宋体" w:hAnsi="宋体" w:cs="宋体"/>
                <w:highlight w:val="none"/>
                <w:lang w:val="en-US" w:eastAsia="zh-CN"/>
              </w:rPr>
              <w:t>31</w:t>
            </w:r>
            <w:r>
              <w:rPr>
                <w:rFonts w:hint="eastAsia" w:ascii="宋体" w:hAnsi="宋体" w:cs="宋体"/>
                <w:highlight w:val="none"/>
              </w:rPr>
              <w:t>日17:00前以书</w:t>
            </w:r>
            <w:r>
              <w:rPr>
                <w:rFonts w:hint="eastAsia" w:ascii="宋体" w:hAnsi="宋体" w:cs="宋体"/>
              </w:rPr>
              <w:t>面形式向采购</w:t>
            </w:r>
            <w:r>
              <w:rPr>
                <w:rFonts w:hint="eastAsia" w:ascii="宋体" w:hAnsi="宋体" w:cs="宋体"/>
                <w:highlight w:val="none"/>
              </w:rPr>
              <w:t>人和采购代理机构提出质疑。质疑以书面方式分别提交至</w:t>
            </w:r>
            <w:r>
              <w:rPr>
                <w:rFonts w:hint="eastAsia" w:hAnsi="宋体" w:eastAsia="宋体"/>
                <w:b w:val="0"/>
                <w:bCs w:val="0"/>
                <w:color w:val="auto"/>
                <w:highlight w:val="none"/>
                <w:lang w:val="en-US" w:eastAsia="zh-CN"/>
              </w:rPr>
              <w:t>采购人</w:t>
            </w:r>
            <w:r>
              <w:rPr>
                <w:rFonts w:hint="eastAsia" w:ascii="宋体" w:hAnsi="宋体" w:eastAsia="宋体" w:cs="宋体"/>
                <w:color w:val="auto"/>
                <w:highlight w:val="none"/>
                <w:lang w:eastAsia="zh-CN"/>
              </w:rPr>
              <w:t>：</w:t>
            </w:r>
            <w:r>
              <w:rPr>
                <w:rFonts w:hint="eastAsia" w:hAnsi="宋体" w:eastAsia="宋体" w:cs="宋体"/>
                <w:color w:val="auto"/>
                <w:sz w:val="21"/>
                <w:szCs w:val="21"/>
                <w:highlight w:val="none"/>
                <w:lang w:val="en-US" w:eastAsia="zh-CN"/>
              </w:rPr>
              <w:t>余少帅</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13605824733</w:t>
            </w:r>
            <w:r>
              <w:rPr>
                <w:rFonts w:hint="eastAsia" w:ascii="宋体" w:hAnsi="宋体" w:eastAsia="宋体" w:cs="宋体"/>
                <w:color w:val="auto"/>
                <w:sz w:val="21"/>
                <w:szCs w:val="21"/>
                <w:highlight w:val="none"/>
              </w:rPr>
              <w:t>）</w:t>
            </w:r>
            <w:r>
              <w:rPr>
                <w:rFonts w:hint="eastAsia" w:ascii="宋体" w:hAnsi="宋体" w:cs="宋体"/>
                <w:bCs/>
                <w:highlight w:val="none"/>
              </w:rPr>
              <w:t>和义乌产权交易所有限公司：王女士（0579-89903039，ywcqztb001@ywcq.com</w:t>
            </w:r>
            <w:r>
              <w:rPr>
                <w:rFonts w:hint="eastAsia" w:ascii="宋体" w:hAnsi="宋体" w:cs="宋体"/>
                <w:bCs/>
              </w:rPr>
              <w:t>），并致电采购代理机构确认。书面文件邮寄地址：义乌市北苑街道望道路300号405</w:t>
            </w:r>
            <w:r>
              <w:rPr>
                <w:rFonts w:hint="eastAsia" w:ascii="宋体" w:hAnsi="宋体" w:cs="宋体"/>
                <w:bCs/>
                <w:lang w:val="en-US" w:eastAsia="zh-CN"/>
              </w:rPr>
              <w:t>5</w:t>
            </w:r>
            <w:r>
              <w:rPr>
                <w:rFonts w:hint="eastAsia" w:ascii="宋体" w:hAnsi="宋体" w:eastAsia="宋体" w:cs="宋体"/>
                <w:szCs w:val="21"/>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jc w:val="center"/>
        </w:trPr>
        <w:tc>
          <w:tcPr>
            <w:tcW w:w="720"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szCs w:val="21"/>
              </w:rPr>
            </w:pPr>
            <w:r>
              <w:rPr>
                <w:rFonts w:ascii="宋体" w:hAnsi="宋体" w:cs="宋体"/>
                <w:szCs w:val="21"/>
              </w:rPr>
              <w:t>8</w:t>
            </w:r>
          </w:p>
        </w:tc>
        <w:tc>
          <w:tcPr>
            <w:tcW w:w="1670"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szCs w:val="21"/>
              </w:rPr>
            </w:pPr>
            <w:r>
              <w:rPr>
                <w:rFonts w:hint="eastAsia" w:ascii="宋体" w:hAnsi="宋体" w:cs="宋体"/>
                <w:szCs w:val="21"/>
              </w:rPr>
              <w:t>投标有效期</w:t>
            </w:r>
          </w:p>
        </w:tc>
        <w:tc>
          <w:tcPr>
            <w:tcW w:w="7560" w:type="dxa"/>
            <w:tcBorders>
              <w:top w:val="single" w:color="auto" w:sz="4" w:space="0"/>
              <w:left w:val="single" w:color="auto" w:sz="4" w:space="0"/>
              <w:bottom w:val="single" w:color="auto" w:sz="4" w:space="0"/>
              <w:right w:val="single" w:color="auto" w:sz="4" w:space="0"/>
            </w:tcBorders>
            <w:noWrap w:val="0"/>
            <w:vAlign w:val="center"/>
          </w:tcPr>
          <w:p>
            <w:pPr>
              <w:rPr>
                <w:rFonts w:ascii="宋体" w:hAnsi="宋体" w:cs="宋体"/>
                <w:szCs w:val="21"/>
              </w:rPr>
            </w:pPr>
            <w:r>
              <w:rPr>
                <w:rFonts w:hint="eastAsia" w:ascii="宋体" w:hAnsi="宋体" w:cs="宋体"/>
                <w:szCs w:val="21"/>
              </w:rPr>
              <w:t>自开标之日起</w:t>
            </w:r>
            <w:r>
              <w:rPr>
                <w:rFonts w:ascii="宋体" w:hAnsi="宋体" w:cs="宋体"/>
                <w:szCs w:val="21"/>
              </w:rPr>
              <w:t>60</w:t>
            </w:r>
            <w:r>
              <w:rPr>
                <w:rFonts w:hint="eastAsia" w:ascii="宋体" w:hAnsi="宋体" w:cs="宋体"/>
                <w:szCs w:val="21"/>
              </w:rPr>
              <w:t>天（日历天）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720"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szCs w:val="21"/>
              </w:rPr>
            </w:pPr>
            <w:r>
              <w:rPr>
                <w:rFonts w:ascii="宋体" w:hAnsi="宋体" w:cs="宋体"/>
                <w:szCs w:val="21"/>
              </w:rPr>
              <w:t>9</w:t>
            </w:r>
          </w:p>
        </w:tc>
        <w:tc>
          <w:tcPr>
            <w:tcW w:w="1670"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szCs w:val="21"/>
              </w:rPr>
            </w:pPr>
            <w:r>
              <w:rPr>
                <w:rFonts w:hint="eastAsia" w:ascii="宋体" w:hAnsi="宋体" w:eastAsia="宋体" w:cs="宋体"/>
                <w:szCs w:val="21"/>
                <w:highlight w:val="none"/>
              </w:rPr>
              <w:t>上传电子投标文件时间</w:t>
            </w:r>
          </w:p>
        </w:tc>
        <w:tc>
          <w:tcPr>
            <w:tcW w:w="7560" w:type="dxa"/>
            <w:tcBorders>
              <w:top w:val="single" w:color="auto" w:sz="4" w:space="0"/>
              <w:left w:val="single" w:color="auto" w:sz="4" w:space="0"/>
              <w:bottom w:val="single" w:color="auto" w:sz="4" w:space="0"/>
              <w:right w:val="single" w:color="auto" w:sz="4" w:space="0"/>
            </w:tcBorders>
            <w:noWrap w:val="0"/>
            <w:vAlign w:val="center"/>
          </w:tcPr>
          <w:p>
            <w:pPr>
              <w:spacing w:line="380" w:lineRule="exact"/>
              <w:rPr>
                <w:rFonts w:hint="eastAsia" w:ascii="宋体" w:hAnsi="宋体" w:eastAsia="宋体" w:cs="宋体"/>
                <w:szCs w:val="21"/>
                <w:lang w:eastAsia="zh-CN"/>
              </w:rPr>
            </w:pPr>
            <w:r>
              <w:rPr>
                <w:rFonts w:hint="eastAsia" w:ascii="宋体" w:hAnsi="宋体" w:cs="宋体"/>
                <w:szCs w:val="21"/>
                <w:highlight w:val="none"/>
              </w:rPr>
              <w:t>投标人应在投标截止时间（</w:t>
            </w:r>
            <w:r>
              <w:rPr>
                <w:rFonts w:hint="eastAsia" w:ascii="宋体" w:hAnsi="宋体" w:cs="宋体"/>
                <w:color w:val="auto"/>
                <w:highlight w:val="none"/>
                <w:lang w:eastAsia="zh-CN"/>
              </w:rPr>
              <w:t>2025年</w:t>
            </w:r>
            <w:r>
              <w:rPr>
                <w:rFonts w:hint="eastAsia" w:ascii="宋体" w:hAnsi="宋体" w:cs="宋体"/>
                <w:color w:val="auto"/>
                <w:highlight w:val="none"/>
                <w:lang w:val="en-US" w:eastAsia="zh-CN"/>
              </w:rPr>
              <w:t>11</w:t>
            </w:r>
            <w:r>
              <w:rPr>
                <w:rFonts w:hint="eastAsia" w:ascii="宋体" w:hAnsi="宋体" w:cs="宋体"/>
                <w:color w:val="auto"/>
                <w:highlight w:val="none"/>
                <w:lang w:eastAsia="zh-CN"/>
              </w:rPr>
              <w:t>月</w:t>
            </w:r>
            <w:r>
              <w:rPr>
                <w:rFonts w:hint="eastAsia" w:ascii="宋体" w:hAnsi="宋体" w:cs="宋体"/>
                <w:color w:val="auto"/>
                <w:highlight w:val="none"/>
                <w:lang w:val="en-US" w:eastAsia="zh-CN"/>
              </w:rPr>
              <w:t>13</w:t>
            </w:r>
            <w:r>
              <w:rPr>
                <w:rFonts w:hint="eastAsia" w:ascii="宋体" w:hAnsi="宋体" w:cs="宋体"/>
                <w:color w:val="auto"/>
                <w:highlight w:val="none"/>
                <w:lang w:eastAsia="zh-CN"/>
              </w:rPr>
              <w:t>日09</w:t>
            </w:r>
            <w:r>
              <w:rPr>
                <w:rFonts w:hint="eastAsia" w:ascii="宋体" w:hAnsi="宋体" w:cs="宋体"/>
                <w:color w:val="auto"/>
                <w:highlight w:val="none"/>
              </w:rPr>
              <w:t>:30</w:t>
            </w:r>
            <w:r>
              <w:rPr>
                <w:rFonts w:hint="eastAsia" w:ascii="宋体" w:hAnsi="宋体" w:cs="宋体"/>
                <w:szCs w:val="21"/>
                <w:highlight w:val="none"/>
              </w:rPr>
              <w:t>）之前上传投标文件</w:t>
            </w:r>
            <w:r>
              <w:rPr>
                <w:rFonts w:hint="eastAsia" w:ascii="宋体" w:hAnsi="宋体" w:cs="宋体"/>
                <w:szCs w:val="21"/>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8" w:hRule="atLeast"/>
          <w:jc w:val="center"/>
        </w:trPr>
        <w:tc>
          <w:tcPr>
            <w:tcW w:w="720"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szCs w:val="21"/>
              </w:rPr>
            </w:pPr>
            <w:r>
              <w:rPr>
                <w:rFonts w:ascii="宋体" w:hAnsi="宋体" w:cs="宋体"/>
                <w:szCs w:val="21"/>
              </w:rPr>
              <w:t>10</w:t>
            </w:r>
          </w:p>
        </w:tc>
        <w:tc>
          <w:tcPr>
            <w:tcW w:w="1670" w:type="dxa"/>
            <w:tcBorders>
              <w:top w:val="single" w:color="auto" w:sz="4" w:space="0"/>
              <w:left w:val="single" w:color="auto" w:sz="4" w:space="0"/>
              <w:bottom w:val="single" w:color="auto" w:sz="4" w:space="0"/>
              <w:right w:val="single" w:color="auto" w:sz="4" w:space="0"/>
            </w:tcBorders>
            <w:noWrap w:val="0"/>
            <w:vAlign w:val="center"/>
          </w:tcPr>
          <w:p>
            <w:pPr>
              <w:spacing w:line="380" w:lineRule="exact"/>
              <w:jc w:val="center"/>
              <w:rPr>
                <w:rFonts w:ascii="宋体" w:hAnsi="宋体" w:cs="宋体"/>
                <w:szCs w:val="21"/>
              </w:rPr>
            </w:pPr>
            <w:r>
              <w:rPr>
                <w:rFonts w:hint="eastAsia" w:ascii="宋体" w:hAnsi="宋体" w:cs="宋体"/>
                <w:szCs w:val="21"/>
                <w:highlight w:val="none"/>
              </w:rPr>
              <w:t>开标时间、地点及电子投标文件解密</w:t>
            </w:r>
          </w:p>
        </w:tc>
        <w:tc>
          <w:tcPr>
            <w:tcW w:w="7560" w:type="dxa"/>
            <w:tcBorders>
              <w:top w:val="single" w:color="auto" w:sz="4" w:space="0"/>
              <w:left w:val="single" w:color="auto" w:sz="4" w:space="0"/>
              <w:bottom w:val="single" w:color="auto" w:sz="4" w:space="0"/>
              <w:right w:val="single" w:color="auto" w:sz="4" w:space="0"/>
            </w:tcBorders>
            <w:noWrap w:val="0"/>
            <w:vAlign w:val="center"/>
          </w:tcPr>
          <w:p>
            <w:pPr>
              <w:spacing w:line="400" w:lineRule="exact"/>
              <w:rPr>
                <w:rFonts w:ascii="宋体"/>
                <w:highlight w:val="yellow"/>
              </w:rPr>
            </w:pPr>
            <w:r>
              <w:rPr>
                <w:rFonts w:hint="eastAsia" w:ascii="宋体" w:hAnsi="宋体"/>
                <w:highlight w:val="none"/>
              </w:rPr>
              <w:t>开标时间：</w:t>
            </w:r>
            <w:r>
              <w:rPr>
                <w:rFonts w:hint="eastAsia" w:ascii="宋体" w:hAnsi="宋体" w:cs="宋体"/>
                <w:color w:val="auto"/>
                <w:highlight w:val="none"/>
                <w:lang w:eastAsia="zh-CN"/>
              </w:rPr>
              <w:t>2025年</w:t>
            </w:r>
            <w:r>
              <w:rPr>
                <w:rFonts w:hint="eastAsia" w:ascii="宋体" w:hAnsi="宋体" w:cs="宋体"/>
                <w:color w:val="auto"/>
                <w:highlight w:val="none"/>
                <w:lang w:val="en-US" w:eastAsia="zh-CN"/>
              </w:rPr>
              <w:t>11</w:t>
            </w:r>
            <w:r>
              <w:rPr>
                <w:rFonts w:hint="eastAsia" w:ascii="宋体" w:hAnsi="宋体" w:cs="宋体"/>
                <w:color w:val="auto"/>
                <w:highlight w:val="none"/>
                <w:lang w:eastAsia="zh-CN"/>
              </w:rPr>
              <w:t>月</w:t>
            </w:r>
            <w:r>
              <w:rPr>
                <w:rFonts w:hint="eastAsia" w:ascii="宋体" w:hAnsi="宋体" w:cs="宋体"/>
                <w:color w:val="auto"/>
                <w:highlight w:val="none"/>
                <w:lang w:val="en-US" w:eastAsia="zh-CN"/>
              </w:rPr>
              <w:t>13</w:t>
            </w:r>
            <w:r>
              <w:rPr>
                <w:rFonts w:hint="eastAsia" w:ascii="宋体" w:hAnsi="宋体" w:cs="宋体"/>
                <w:color w:val="auto"/>
                <w:highlight w:val="none"/>
                <w:lang w:eastAsia="zh-CN"/>
              </w:rPr>
              <w:t>日09</w:t>
            </w:r>
            <w:r>
              <w:rPr>
                <w:rFonts w:hint="eastAsia" w:ascii="宋体" w:hAnsi="宋体" w:cs="宋体"/>
                <w:color w:val="auto"/>
                <w:highlight w:val="none"/>
              </w:rPr>
              <w:t>:30</w:t>
            </w:r>
          </w:p>
          <w:p>
            <w:pPr>
              <w:spacing w:line="40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开标地点：“义乌市阳光招标采购平台”（</w:t>
            </w:r>
            <w:r>
              <w:rPr>
                <w:rFonts w:hint="eastAsia" w:ascii="宋体" w:hAnsi="宋体" w:eastAsia="宋体" w:cs="宋体"/>
                <w:color w:val="auto"/>
                <w:highlight w:val="none"/>
              </w:rPr>
              <w:t>www.ywygzc.com</w:t>
            </w:r>
            <w:r>
              <w:rPr>
                <w:rFonts w:hint="eastAsia" w:ascii="宋体" w:hAnsi="宋体" w:eastAsia="宋体" w:cs="宋体"/>
                <w:color w:val="auto"/>
                <w:szCs w:val="21"/>
                <w:highlight w:val="none"/>
              </w:rPr>
              <w:t>）</w:t>
            </w:r>
          </w:p>
          <w:p>
            <w:pPr>
              <w:spacing w:line="400" w:lineRule="exact"/>
              <w:rPr>
                <w:rFonts w:hint="eastAsia" w:ascii="宋体" w:hAnsi="宋体" w:eastAsia="宋体" w:cs="宋体"/>
                <w:color w:val="auto"/>
                <w:highlight w:val="none"/>
              </w:rPr>
            </w:pPr>
            <w:r>
              <w:rPr>
                <w:rFonts w:hint="eastAsia" w:ascii="宋体" w:hAnsi="宋体" w:eastAsia="宋体" w:cs="宋体"/>
                <w:color w:val="auto"/>
                <w:highlight w:val="none"/>
              </w:rPr>
              <w:t>本项目采用不见面开标方式，供应商无需到开标现场，但应准时参加线上开标。开标时间后代理机构公布名单并开启解密。开启解密后的30分钟内，供应商应当登录“义乌市阳光招标采购平台”，用“开标签到解密”功能或者登录“不见面开标大厅”解密投标文件。</w:t>
            </w:r>
          </w:p>
          <w:p>
            <w:pPr>
              <w:spacing w:line="380" w:lineRule="exact"/>
              <w:rPr>
                <w:rFonts w:ascii="宋体" w:hAnsi="宋体" w:cs="宋体"/>
                <w:szCs w:val="21"/>
              </w:rPr>
            </w:pPr>
            <w:r>
              <w:rPr>
                <w:rFonts w:hint="eastAsia" w:ascii="宋体" w:hAnsi="宋体" w:eastAsia="宋体" w:cs="宋体"/>
                <w:b/>
                <w:bCs/>
                <w:color w:val="auto"/>
                <w:highlight w:val="none"/>
              </w:rPr>
              <w:t>电子交易平台网络不畅</w:t>
            </w:r>
            <w:r>
              <w:rPr>
                <w:rFonts w:hint="eastAsia" w:ascii="宋体" w:hAnsi="宋体" w:eastAsia="宋体" w:cs="宋体"/>
                <w:color w:val="auto"/>
                <w:highlight w:val="none"/>
              </w:rPr>
              <w:t>导致投标人不能在规定时间内完成解密，可相应延长解密时间，超出相应延长解密时间仍然未解密的，视做撤销投标文件。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jc w:val="center"/>
        </w:trPr>
        <w:tc>
          <w:tcPr>
            <w:tcW w:w="720"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szCs w:val="21"/>
              </w:rPr>
            </w:pPr>
            <w:r>
              <w:rPr>
                <w:rFonts w:hint="eastAsia" w:ascii="宋体" w:hAnsi="宋体" w:cs="宋体"/>
                <w:szCs w:val="21"/>
              </w:rPr>
              <w:t>1</w:t>
            </w:r>
            <w:r>
              <w:rPr>
                <w:rFonts w:hint="eastAsia" w:ascii="宋体" w:hAnsi="宋体" w:cs="宋体"/>
                <w:szCs w:val="21"/>
                <w:lang w:val="en-US" w:eastAsia="zh-CN"/>
              </w:rPr>
              <w:t>1</w:t>
            </w:r>
          </w:p>
        </w:tc>
        <w:tc>
          <w:tcPr>
            <w:tcW w:w="1670"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szCs w:val="21"/>
              </w:rPr>
            </w:pPr>
            <w:r>
              <w:rPr>
                <w:rFonts w:hint="eastAsia" w:ascii="宋体" w:hAnsi="宋体" w:cs="宋体"/>
                <w:szCs w:val="21"/>
              </w:rPr>
              <w:t>投标保证金</w:t>
            </w:r>
          </w:p>
        </w:tc>
        <w:tc>
          <w:tcPr>
            <w:tcW w:w="7560" w:type="dxa"/>
            <w:tcBorders>
              <w:top w:val="single" w:color="auto" w:sz="4" w:space="0"/>
              <w:left w:val="single" w:color="auto" w:sz="4" w:space="0"/>
              <w:bottom w:val="single" w:color="auto" w:sz="4" w:space="0"/>
              <w:right w:val="single" w:color="auto" w:sz="4" w:space="0"/>
            </w:tcBorders>
            <w:noWrap w:val="0"/>
            <w:vAlign w:val="center"/>
          </w:tcPr>
          <w:p>
            <w:pPr>
              <w:tabs>
                <w:tab w:val="left" w:pos="0"/>
              </w:tabs>
              <w:adjustRightInd w:val="0"/>
              <w:snapToGrid w:val="0"/>
              <w:spacing w:line="320" w:lineRule="exact"/>
              <w:rPr>
                <w:rFonts w:hAnsi="宋体" w:cs="宋体"/>
                <w:b/>
                <w:bCs/>
              </w:rPr>
            </w:pPr>
            <w:r>
              <w:rPr>
                <w:rFonts w:hint="eastAsia" w:ascii="宋体" w:hAnsi="宋体" w:cs="宋体"/>
                <w:bCs/>
                <w:szCs w:val="21"/>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jc w:val="center"/>
        </w:trPr>
        <w:tc>
          <w:tcPr>
            <w:tcW w:w="720"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szCs w:val="21"/>
              </w:rPr>
            </w:pPr>
            <w:r>
              <w:rPr>
                <w:rFonts w:hint="eastAsia" w:ascii="宋体" w:hAnsi="宋体" w:cs="宋体"/>
                <w:szCs w:val="21"/>
                <w:lang w:val="en-US" w:eastAsia="zh-CN"/>
              </w:rPr>
              <w:t>12</w:t>
            </w:r>
          </w:p>
        </w:tc>
        <w:tc>
          <w:tcPr>
            <w:tcW w:w="1670"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szCs w:val="21"/>
              </w:rPr>
            </w:pPr>
            <w:r>
              <w:rPr>
                <w:rFonts w:hint="eastAsia" w:ascii="宋体" w:hAnsi="宋体" w:cs="宋体"/>
                <w:szCs w:val="21"/>
              </w:rPr>
              <w:t>履约保证金</w:t>
            </w:r>
          </w:p>
        </w:tc>
        <w:tc>
          <w:tcPr>
            <w:tcW w:w="7560" w:type="dxa"/>
            <w:tcBorders>
              <w:top w:val="single" w:color="auto" w:sz="4" w:space="0"/>
              <w:left w:val="single" w:color="auto" w:sz="4" w:space="0"/>
              <w:bottom w:val="single" w:color="auto" w:sz="4" w:space="0"/>
              <w:right w:val="single" w:color="auto" w:sz="4" w:space="0"/>
            </w:tcBorders>
            <w:noWrap w:val="0"/>
            <w:vAlign w:val="center"/>
          </w:tcPr>
          <w:p>
            <w:pPr>
              <w:rPr>
                <w:rFonts w:ascii="宋体" w:hAnsi="宋体" w:cs="宋体"/>
                <w:szCs w:val="21"/>
              </w:rPr>
            </w:pPr>
            <w:r>
              <w:rPr>
                <w:rFonts w:hint="eastAsia" w:ascii="宋体" w:hAnsi="宋体" w:cs="宋体"/>
                <w:szCs w:val="21"/>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jc w:val="center"/>
        </w:trPr>
        <w:tc>
          <w:tcPr>
            <w:tcW w:w="720"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szCs w:val="21"/>
                <w:lang w:eastAsia="zh-CN"/>
              </w:rPr>
            </w:pPr>
            <w:r>
              <w:rPr>
                <w:rFonts w:hint="eastAsia" w:ascii="宋体" w:hAnsi="宋体" w:cs="宋体"/>
                <w:szCs w:val="21"/>
              </w:rPr>
              <w:t>1</w:t>
            </w:r>
            <w:r>
              <w:rPr>
                <w:rFonts w:hint="eastAsia" w:ascii="宋体" w:hAnsi="宋体" w:cs="宋体"/>
                <w:szCs w:val="21"/>
                <w:lang w:val="en-US" w:eastAsia="zh-CN"/>
              </w:rPr>
              <w:t>3</w:t>
            </w:r>
          </w:p>
        </w:tc>
        <w:tc>
          <w:tcPr>
            <w:tcW w:w="1670"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szCs w:val="21"/>
              </w:rPr>
            </w:pPr>
            <w:r>
              <w:rPr>
                <w:rFonts w:hint="eastAsia" w:ascii="宋体" w:hAnsi="宋体" w:cs="宋体"/>
                <w:szCs w:val="21"/>
              </w:rPr>
              <w:t>评标办法</w:t>
            </w:r>
          </w:p>
        </w:tc>
        <w:tc>
          <w:tcPr>
            <w:tcW w:w="7560" w:type="dxa"/>
            <w:tcBorders>
              <w:top w:val="single" w:color="auto" w:sz="4" w:space="0"/>
              <w:left w:val="single" w:color="auto" w:sz="4" w:space="0"/>
              <w:bottom w:val="single" w:color="auto" w:sz="4" w:space="0"/>
              <w:right w:val="single" w:color="auto" w:sz="4" w:space="0"/>
            </w:tcBorders>
            <w:noWrap w:val="0"/>
            <w:vAlign w:val="center"/>
          </w:tcPr>
          <w:p>
            <w:pPr>
              <w:rPr>
                <w:rFonts w:ascii="宋体" w:hAnsi="宋体" w:cs="宋体"/>
                <w:szCs w:val="21"/>
              </w:rPr>
            </w:pPr>
            <w:r>
              <w:rPr>
                <w:rFonts w:hint="eastAsia" w:ascii="宋体" w:hAnsi="宋体" w:cs="宋体"/>
                <w:szCs w:val="21"/>
              </w:rPr>
              <w:t>综合评分法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8" w:hRule="atLeast"/>
          <w:jc w:val="center"/>
        </w:trPr>
        <w:tc>
          <w:tcPr>
            <w:tcW w:w="720"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szCs w:val="21"/>
                <w:highlight w:val="none"/>
                <w:lang w:eastAsia="zh-CN"/>
              </w:rPr>
            </w:pPr>
            <w:r>
              <w:rPr>
                <w:rFonts w:hint="eastAsia" w:ascii="宋体" w:hAnsi="宋体" w:cs="宋体"/>
                <w:szCs w:val="21"/>
                <w:highlight w:val="none"/>
              </w:rPr>
              <w:t>1</w:t>
            </w:r>
            <w:r>
              <w:rPr>
                <w:rFonts w:hint="eastAsia" w:ascii="宋体" w:hAnsi="宋体" w:cs="宋体"/>
                <w:szCs w:val="21"/>
                <w:highlight w:val="none"/>
                <w:lang w:val="en-US" w:eastAsia="zh-CN"/>
              </w:rPr>
              <w:t>4</w:t>
            </w:r>
          </w:p>
        </w:tc>
        <w:tc>
          <w:tcPr>
            <w:tcW w:w="1670"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szCs w:val="21"/>
                <w:highlight w:val="none"/>
              </w:rPr>
            </w:pPr>
            <w:r>
              <w:rPr>
                <w:rFonts w:hint="eastAsia" w:ascii="宋体" w:hAnsi="宋体" w:cs="宋体"/>
                <w:szCs w:val="21"/>
                <w:highlight w:val="none"/>
              </w:rPr>
              <w:t>付款方式</w:t>
            </w:r>
          </w:p>
        </w:tc>
        <w:tc>
          <w:tcPr>
            <w:tcW w:w="7560" w:type="dxa"/>
            <w:tcBorders>
              <w:top w:val="single" w:color="auto" w:sz="4" w:space="0"/>
              <w:left w:val="single" w:color="auto" w:sz="4" w:space="0"/>
              <w:bottom w:val="single" w:color="auto" w:sz="4" w:space="0"/>
              <w:right w:val="single" w:color="auto" w:sz="4" w:space="0"/>
            </w:tcBorders>
            <w:noWrap w:val="0"/>
            <w:vAlign w:val="center"/>
          </w:tcPr>
          <w:p>
            <w:pPr>
              <w:pStyle w:val="53"/>
              <w:ind w:left="0" w:leftChars="0" w:firstLine="0" w:firstLineChars="0"/>
              <w:rPr>
                <w:rFonts w:hint="eastAsia"/>
                <w:highlight w:val="none"/>
                <w:lang w:eastAsia="zh-CN"/>
              </w:rPr>
            </w:pPr>
            <w:r>
              <w:rPr>
                <w:rFonts w:hint="eastAsia" w:ascii="宋体" w:hAnsi="宋体" w:cs="宋体"/>
                <w:color w:val="auto"/>
                <w:sz w:val="21"/>
                <w:szCs w:val="21"/>
                <w:highlight w:val="none"/>
              </w:rPr>
              <w:t>详见招标文件第三章</w:t>
            </w:r>
            <w:r>
              <w:rPr>
                <w:rFonts w:hint="eastAsia" w:ascii="宋体" w:hAnsi="宋体" w:cs="宋体"/>
                <w:sz w:val="21"/>
                <w:szCs w:val="21"/>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5" w:hRule="atLeast"/>
          <w:jc w:val="center"/>
        </w:trPr>
        <w:tc>
          <w:tcPr>
            <w:tcW w:w="720" w:type="dxa"/>
            <w:tcBorders>
              <w:top w:val="single" w:color="auto" w:sz="4" w:space="0"/>
              <w:left w:val="single" w:color="auto" w:sz="4" w:space="0"/>
              <w:bottom w:val="single" w:color="auto" w:sz="4" w:space="0"/>
              <w:right w:val="single" w:color="auto" w:sz="4" w:space="0"/>
            </w:tcBorders>
            <w:noWrap w:val="0"/>
            <w:vAlign w:val="center"/>
          </w:tcPr>
          <w:p>
            <w:pPr>
              <w:spacing w:line="380" w:lineRule="exact"/>
              <w:jc w:val="center"/>
              <w:rPr>
                <w:rFonts w:hint="eastAsia" w:ascii="宋体" w:hAnsi="宋体" w:eastAsia="宋体" w:cs="宋体"/>
                <w:szCs w:val="21"/>
                <w:highlight w:val="none"/>
                <w:lang w:eastAsia="zh-CN"/>
              </w:rPr>
            </w:pPr>
            <w:r>
              <w:rPr>
                <w:rFonts w:hint="eastAsia" w:ascii="宋体" w:hAnsi="宋体" w:cs="宋体"/>
                <w:szCs w:val="21"/>
                <w:highlight w:val="none"/>
              </w:rPr>
              <w:t>1</w:t>
            </w:r>
            <w:r>
              <w:rPr>
                <w:rFonts w:hint="eastAsia" w:ascii="宋体" w:hAnsi="宋体" w:cs="宋体"/>
                <w:szCs w:val="21"/>
                <w:highlight w:val="none"/>
                <w:lang w:val="en-US" w:eastAsia="zh-CN"/>
              </w:rPr>
              <w:t>5</w:t>
            </w:r>
          </w:p>
        </w:tc>
        <w:tc>
          <w:tcPr>
            <w:tcW w:w="1670" w:type="dxa"/>
            <w:tcBorders>
              <w:top w:val="single" w:color="auto" w:sz="4" w:space="0"/>
              <w:left w:val="single" w:color="auto" w:sz="4" w:space="0"/>
              <w:bottom w:val="single" w:color="auto" w:sz="4" w:space="0"/>
              <w:right w:val="single" w:color="auto" w:sz="4" w:space="0"/>
            </w:tcBorders>
            <w:noWrap w:val="0"/>
            <w:vAlign w:val="center"/>
          </w:tcPr>
          <w:p>
            <w:pPr>
              <w:spacing w:line="240" w:lineRule="exact"/>
              <w:ind w:left="-99" w:leftChars="-47"/>
              <w:jc w:val="center"/>
              <w:rPr>
                <w:rFonts w:ascii="宋体" w:hAnsi="宋体" w:cs="宋体"/>
                <w:szCs w:val="21"/>
                <w:highlight w:val="none"/>
              </w:rPr>
            </w:pPr>
            <w:r>
              <w:rPr>
                <w:rFonts w:hint="eastAsia" w:ascii="宋体" w:hAnsi="宋体" w:cs="宋体"/>
                <w:szCs w:val="21"/>
                <w:highlight w:val="none"/>
              </w:rPr>
              <w:t>失信行为处理</w:t>
            </w:r>
          </w:p>
        </w:tc>
        <w:tc>
          <w:tcPr>
            <w:tcW w:w="7560"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left"/>
              <w:rPr>
                <w:rFonts w:ascii="宋体" w:hAnsi="宋体" w:cs="宋体"/>
                <w:szCs w:val="21"/>
                <w:highlight w:val="none"/>
              </w:rPr>
            </w:pPr>
            <w:r>
              <w:rPr>
                <w:rFonts w:hint="eastAsia" w:ascii="宋体" w:hAnsi="宋体" w:cs="宋体"/>
                <w:szCs w:val="21"/>
                <w:highlight w:val="none"/>
              </w:rPr>
              <w:t>投标人发生下列情况之一时，除严格依法依规进行处理外，还将通报市信用管理部门，列入严重失信名单：</w:t>
            </w:r>
          </w:p>
          <w:p>
            <w:pPr>
              <w:spacing w:line="360" w:lineRule="exact"/>
              <w:jc w:val="left"/>
              <w:rPr>
                <w:rFonts w:ascii="宋体" w:hAnsi="宋体" w:cs="宋体"/>
                <w:szCs w:val="21"/>
                <w:highlight w:val="none"/>
              </w:rPr>
            </w:pPr>
            <w:r>
              <w:rPr>
                <w:rFonts w:hint="eastAsia" w:ascii="宋体" w:hAnsi="宋体" w:cs="宋体"/>
                <w:szCs w:val="21"/>
                <w:highlight w:val="none"/>
              </w:rPr>
              <w:t xml:space="preserve">  （1）投标人在规定的投标有效期内撤回投标或放弃中标的；</w:t>
            </w:r>
          </w:p>
          <w:p>
            <w:pPr>
              <w:spacing w:line="360" w:lineRule="exact"/>
              <w:jc w:val="left"/>
              <w:rPr>
                <w:rFonts w:ascii="宋体" w:hAnsi="宋体" w:cs="宋体"/>
                <w:szCs w:val="21"/>
                <w:highlight w:val="none"/>
              </w:rPr>
            </w:pPr>
            <w:r>
              <w:rPr>
                <w:rFonts w:hint="eastAsia" w:ascii="宋体" w:hAnsi="宋体" w:cs="宋体"/>
                <w:szCs w:val="21"/>
                <w:highlight w:val="none"/>
              </w:rPr>
              <w:t xml:space="preserve">  （2）有意串标或提供虚假材料的；</w:t>
            </w:r>
          </w:p>
          <w:p>
            <w:pPr>
              <w:spacing w:line="360" w:lineRule="exact"/>
              <w:jc w:val="left"/>
              <w:rPr>
                <w:rFonts w:hint="eastAsia" w:ascii="宋体" w:hAnsi="宋体" w:eastAsia="宋体" w:cs="宋体"/>
                <w:szCs w:val="21"/>
                <w:highlight w:val="none"/>
                <w:lang w:eastAsia="zh-CN"/>
              </w:rPr>
            </w:pPr>
            <w:r>
              <w:rPr>
                <w:rFonts w:hint="eastAsia" w:ascii="宋体" w:hAnsi="宋体" w:cs="宋体"/>
                <w:szCs w:val="21"/>
                <w:highlight w:val="none"/>
              </w:rPr>
              <w:t xml:space="preserve">  （3）中标人在收到中标通知书后，因自身原因不能在投标有效期内和采购人签订合同</w:t>
            </w:r>
            <w:r>
              <w:rPr>
                <w:rFonts w:hint="eastAsia" w:ascii="宋体" w:hAnsi="宋体" w:cs="宋体"/>
                <w:szCs w:val="21"/>
                <w:highlight w:val="none"/>
                <w:lang w:eastAsia="zh-CN"/>
              </w:rPr>
              <w:t>；</w:t>
            </w:r>
          </w:p>
          <w:p>
            <w:pPr>
              <w:spacing w:line="360" w:lineRule="exact"/>
              <w:ind w:firstLine="210" w:firstLineChars="100"/>
              <w:jc w:val="left"/>
              <w:rPr>
                <w:rFonts w:ascii="宋体" w:hAnsi="宋体" w:cs="宋体"/>
                <w:szCs w:val="21"/>
                <w:highlight w:val="none"/>
              </w:rPr>
            </w:pPr>
            <w:r>
              <w:rPr>
                <w:rFonts w:hint="eastAsia" w:ascii="宋体" w:hAnsi="宋体" w:cs="宋体"/>
                <w:szCs w:val="21"/>
                <w:highlight w:val="none"/>
              </w:rPr>
              <w:t>（4）中标人未在规定时间缴纳招标代理费的；</w:t>
            </w:r>
          </w:p>
          <w:p>
            <w:pPr>
              <w:spacing w:line="360" w:lineRule="exact"/>
              <w:jc w:val="left"/>
              <w:rPr>
                <w:rFonts w:hint="eastAsia" w:ascii="宋体" w:hAnsi="宋体" w:eastAsia="宋体" w:cs="宋体"/>
                <w:szCs w:val="21"/>
                <w:highlight w:val="none"/>
                <w:lang w:eastAsia="zh-CN"/>
              </w:rPr>
            </w:pPr>
            <w:r>
              <w:rPr>
                <w:rFonts w:hint="eastAsia" w:ascii="宋体" w:hAnsi="宋体" w:cs="宋体"/>
                <w:szCs w:val="21"/>
                <w:highlight w:val="none"/>
              </w:rPr>
              <w:t xml:space="preserve">  （5）中标供应商在标后履约过程中未按合同约定的期限和要求履约的</w:t>
            </w:r>
            <w:r>
              <w:rPr>
                <w:rFonts w:hint="eastAsia" w:ascii="宋体" w:hAnsi="宋体" w:cs="宋体"/>
                <w:szCs w:val="21"/>
                <w:highlight w:val="none"/>
                <w:lang w:eastAsia="zh-CN"/>
              </w:rPr>
              <w:t>；</w:t>
            </w:r>
          </w:p>
          <w:p>
            <w:pPr>
              <w:spacing w:line="360" w:lineRule="exact"/>
              <w:jc w:val="left"/>
              <w:rPr>
                <w:rFonts w:hint="eastAsia" w:ascii="宋体" w:hAnsi="宋体" w:eastAsia="宋体" w:cs="宋体"/>
                <w:szCs w:val="21"/>
                <w:highlight w:val="none"/>
                <w:lang w:eastAsia="zh-CN"/>
              </w:rPr>
            </w:pPr>
            <w:r>
              <w:rPr>
                <w:rFonts w:hint="eastAsia" w:ascii="宋体" w:hAnsi="宋体" w:cs="宋体"/>
                <w:szCs w:val="21"/>
                <w:highlight w:val="none"/>
              </w:rPr>
              <w:t xml:space="preserve">  （6）因中标供应商原因在标后履约过程中擅自终止合同的</w:t>
            </w:r>
            <w:r>
              <w:rPr>
                <w:rFonts w:hint="eastAsia" w:ascii="宋体" w:hAnsi="宋体" w:cs="宋体"/>
                <w:szCs w:val="21"/>
                <w:highlight w:val="none"/>
                <w:lang w:eastAsia="zh-CN"/>
              </w:rPr>
              <w:t>；</w:t>
            </w:r>
          </w:p>
          <w:p>
            <w:pPr>
              <w:spacing w:line="360" w:lineRule="exact"/>
              <w:jc w:val="left"/>
              <w:rPr>
                <w:rFonts w:ascii="宋体" w:hAnsi="宋体"/>
                <w:szCs w:val="21"/>
                <w:highlight w:val="none"/>
                <w:lang w:eastAsia="zh-TW"/>
              </w:rPr>
            </w:pPr>
            <w:r>
              <w:rPr>
                <w:rFonts w:hint="eastAsia" w:ascii="宋体" w:hAnsi="宋体" w:cs="宋体"/>
                <w:szCs w:val="21"/>
                <w:highlight w:val="none"/>
              </w:rPr>
              <w:t xml:space="preserve">  （7）不符合招标文件要求的其他失信行为。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0" w:hRule="atLeast"/>
          <w:jc w:val="center"/>
        </w:trPr>
        <w:tc>
          <w:tcPr>
            <w:tcW w:w="720"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szCs w:val="21"/>
                <w:highlight w:val="none"/>
                <w:lang w:eastAsia="zh-CN"/>
              </w:rPr>
            </w:pPr>
            <w:r>
              <w:rPr>
                <w:rFonts w:hint="eastAsia" w:ascii="宋体" w:hAnsi="宋体" w:cs="宋体"/>
                <w:szCs w:val="21"/>
                <w:highlight w:val="none"/>
              </w:rPr>
              <w:t>1</w:t>
            </w:r>
            <w:r>
              <w:rPr>
                <w:rFonts w:hint="eastAsia" w:ascii="宋体" w:hAnsi="宋体" w:cs="宋体"/>
                <w:szCs w:val="21"/>
                <w:highlight w:val="none"/>
                <w:lang w:val="en-US" w:eastAsia="zh-CN"/>
              </w:rPr>
              <w:t>6</w:t>
            </w:r>
          </w:p>
        </w:tc>
        <w:tc>
          <w:tcPr>
            <w:tcW w:w="1670"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szCs w:val="21"/>
                <w:highlight w:val="none"/>
              </w:rPr>
            </w:pPr>
            <w:r>
              <w:rPr>
                <w:rFonts w:hint="eastAsia" w:ascii="宋体" w:hAnsi="宋体" w:cs="宋体"/>
                <w:szCs w:val="21"/>
                <w:highlight w:val="none"/>
              </w:rPr>
              <w:t>其他</w:t>
            </w:r>
          </w:p>
        </w:tc>
        <w:tc>
          <w:tcPr>
            <w:tcW w:w="7560" w:type="dxa"/>
            <w:tcBorders>
              <w:top w:val="single" w:color="auto" w:sz="4" w:space="0"/>
              <w:left w:val="single" w:color="auto" w:sz="4" w:space="0"/>
              <w:bottom w:val="single" w:color="auto" w:sz="4" w:space="0"/>
              <w:right w:val="single" w:color="auto" w:sz="4" w:space="0"/>
            </w:tcBorders>
            <w:noWrap w:val="0"/>
            <w:vAlign w:val="center"/>
          </w:tcPr>
          <w:p>
            <w:pPr>
              <w:spacing w:line="400" w:lineRule="exact"/>
              <w:rPr>
                <w:rFonts w:ascii="宋体" w:hAnsi="宋体" w:cs="宋体"/>
                <w:szCs w:val="21"/>
                <w:highlight w:val="none"/>
              </w:rPr>
            </w:pPr>
            <w:r>
              <w:rPr>
                <w:rFonts w:ascii="宋体" w:hAnsi="宋体" w:cs="宋体"/>
                <w:b/>
                <w:bCs/>
                <w:szCs w:val="21"/>
                <w:highlight w:val="none"/>
              </w:rPr>
              <w:t>1</w:t>
            </w:r>
            <w:r>
              <w:rPr>
                <w:rFonts w:hint="eastAsia" w:ascii="宋体" w:hAnsi="宋体" w:cs="宋体"/>
                <w:b/>
                <w:bCs/>
                <w:szCs w:val="21"/>
                <w:highlight w:val="none"/>
              </w:rPr>
              <w:t>）</w:t>
            </w:r>
            <w:r>
              <w:rPr>
                <w:rFonts w:hint="eastAsia" w:ascii="宋体" w:hAnsi="宋体" w:cs="宋体"/>
                <w:b/>
                <w:szCs w:val="21"/>
                <w:highlight w:val="none"/>
              </w:rPr>
              <w:t>本项目设有预算价</w:t>
            </w:r>
            <w:r>
              <w:rPr>
                <w:rFonts w:hint="eastAsia" w:ascii="宋体" w:hAnsi="宋体" w:cs="宋体"/>
                <w:szCs w:val="21"/>
                <w:highlight w:val="none"/>
              </w:rPr>
              <w:t>。</w:t>
            </w:r>
          </w:p>
          <w:p>
            <w:pPr>
              <w:spacing w:line="400" w:lineRule="exact"/>
              <w:rPr>
                <w:rFonts w:ascii="宋体" w:hAnsi="宋体" w:cs="宋体"/>
                <w:szCs w:val="21"/>
                <w:highlight w:val="none"/>
              </w:rPr>
            </w:pPr>
            <w:r>
              <w:rPr>
                <w:rFonts w:ascii="宋体" w:hAnsi="宋体" w:cs="宋体"/>
                <w:szCs w:val="21"/>
                <w:highlight w:val="none"/>
              </w:rPr>
              <w:t>2</w:t>
            </w:r>
            <w:r>
              <w:rPr>
                <w:rFonts w:hint="eastAsia" w:ascii="宋体" w:hAnsi="宋体" w:cs="宋体"/>
                <w:szCs w:val="21"/>
                <w:highlight w:val="none"/>
              </w:rPr>
              <w:t>）招标文件中要求投标人在制作投标文件时，提供的复印件必须根据评审细则对评审的内容复印完整、清晰可辨，否则在评审时以最不利于投标人原则评审。</w:t>
            </w:r>
          </w:p>
        </w:tc>
      </w:tr>
    </w:tbl>
    <w:p>
      <w:pPr>
        <w:spacing w:line="360" w:lineRule="auto"/>
        <w:ind w:left="-420" w:leftChars="-200" w:right="-313" w:rightChars="-149" w:firstLine="422" w:firstLineChars="200"/>
        <w:rPr>
          <w:rFonts w:ascii="宋体"/>
          <w:b/>
          <w:szCs w:val="21"/>
          <w:highlight w:val="none"/>
        </w:rPr>
      </w:pPr>
      <w:r>
        <w:rPr>
          <w:rFonts w:hint="eastAsia" w:ascii="宋体" w:hAnsi="宋体" w:cs="宋体"/>
          <w:b/>
          <w:szCs w:val="21"/>
          <w:highlight w:val="none"/>
        </w:rPr>
        <w:t>注：投标人须知前附表内容与本招标文件后述内容不一致的，以投标须知前附表为准。</w:t>
      </w:r>
    </w:p>
    <w:p>
      <w:pPr>
        <w:pStyle w:val="3"/>
        <w:numPr>
          <w:ilvl w:val="0"/>
          <w:numId w:val="0"/>
        </w:numPr>
        <w:spacing w:line="360" w:lineRule="auto"/>
        <w:jc w:val="center"/>
        <w:rPr>
          <w:sz w:val="32"/>
          <w:szCs w:val="32"/>
          <w:highlight w:val="none"/>
        </w:rPr>
      </w:pPr>
      <w:r>
        <w:rPr>
          <w:sz w:val="36"/>
          <w:szCs w:val="36"/>
          <w:highlight w:val="none"/>
        </w:rPr>
        <w:br w:type="page"/>
      </w:r>
      <w:bookmarkStart w:id="9" w:name="_Toc22850"/>
      <w:bookmarkStart w:id="10" w:name="_Toc8496"/>
      <w:r>
        <w:rPr>
          <w:rFonts w:hint="eastAsia"/>
          <w:sz w:val="32"/>
          <w:szCs w:val="32"/>
          <w:highlight w:val="none"/>
        </w:rPr>
        <w:t>投标须知</w:t>
      </w:r>
      <w:bookmarkEnd w:id="9"/>
      <w:bookmarkEnd w:id="10"/>
    </w:p>
    <w:p>
      <w:pPr>
        <w:pStyle w:val="4"/>
        <w:spacing w:before="120" w:after="120" w:line="460" w:lineRule="exact"/>
        <w:rPr>
          <w:rFonts w:ascii="宋体" w:hAnsi="宋体" w:eastAsia="宋体" w:cs="宋体"/>
          <w:sz w:val="21"/>
          <w:szCs w:val="21"/>
          <w:highlight w:val="none"/>
        </w:rPr>
      </w:pPr>
      <w:bookmarkStart w:id="11" w:name="_Toc20416"/>
      <w:bookmarkStart w:id="12" w:name="_Toc28009"/>
      <w:bookmarkStart w:id="13" w:name="_Toc274303229"/>
      <w:bookmarkStart w:id="14" w:name="_Toc362250687"/>
      <w:r>
        <w:rPr>
          <w:rFonts w:hint="eastAsia" w:ascii="宋体" w:hAnsi="宋体" w:eastAsia="宋体" w:cs="宋体"/>
          <w:sz w:val="21"/>
          <w:szCs w:val="21"/>
          <w:highlight w:val="none"/>
        </w:rPr>
        <w:t>一、说明</w:t>
      </w:r>
      <w:bookmarkEnd w:id="11"/>
      <w:bookmarkEnd w:id="12"/>
      <w:bookmarkEnd w:id="13"/>
      <w:bookmarkEnd w:id="14"/>
    </w:p>
    <w:p>
      <w:pPr>
        <w:pStyle w:val="15"/>
        <w:adjustRightInd w:val="0"/>
        <w:snapToGrid w:val="0"/>
        <w:spacing w:line="460" w:lineRule="exact"/>
        <w:ind w:firstLine="422" w:firstLineChars="200"/>
        <w:jc w:val="both"/>
        <w:rPr>
          <w:rFonts w:cs="宋体"/>
          <w:color w:val="auto"/>
          <w:sz w:val="21"/>
          <w:szCs w:val="21"/>
          <w:highlight w:val="none"/>
        </w:rPr>
      </w:pPr>
      <w:r>
        <w:rPr>
          <w:rFonts w:cs="宋体"/>
          <w:color w:val="auto"/>
          <w:sz w:val="21"/>
          <w:szCs w:val="21"/>
          <w:highlight w:val="none"/>
        </w:rPr>
        <w:t>1</w:t>
      </w:r>
      <w:r>
        <w:rPr>
          <w:rFonts w:hint="eastAsia" w:cs="宋体"/>
          <w:color w:val="auto"/>
          <w:sz w:val="21"/>
          <w:szCs w:val="21"/>
          <w:highlight w:val="none"/>
        </w:rPr>
        <w:t>、适用范围</w:t>
      </w:r>
    </w:p>
    <w:p>
      <w:pPr>
        <w:pStyle w:val="15"/>
        <w:adjustRightInd w:val="0"/>
        <w:snapToGrid w:val="0"/>
        <w:spacing w:line="460" w:lineRule="exact"/>
        <w:ind w:firstLine="420" w:firstLineChars="200"/>
        <w:jc w:val="both"/>
        <w:rPr>
          <w:rFonts w:cs="宋体"/>
          <w:b w:val="0"/>
          <w:bCs w:val="0"/>
          <w:color w:val="auto"/>
          <w:sz w:val="21"/>
          <w:szCs w:val="21"/>
          <w:highlight w:val="none"/>
        </w:rPr>
      </w:pPr>
      <w:r>
        <w:rPr>
          <w:rFonts w:cs="宋体"/>
          <w:b w:val="0"/>
          <w:bCs w:val="0"/>
          <w:color w:val="auto"/>
          <w:sz w:val="21"/>
          <w:szCs w:val="21"/>
          <w:highlight w:val="none"/>
        </w:rPr>
        <w:t xml:space="preserve">1.1 </w:t>
      </w:r>
      <w:r>
        <w:rPr>
          <w:rFonts w:hint="eastAsia" w:cs="宋体"/>
          <w:b w:val="0"/>
          <w:bCs w:val="0"/>
          <w:color w:val="auto"/>
          <w:sz w:val="21"/>
          <w:szCs w:val="21"/>
          <w:highlight w:val="none"/>
        </w:rPr>
        <w:t>本招标文件仅适用于本次招标采购所叙述的货物和服务项目。</w:t>
      </w:r>
    </w:p>
    <w:p>
      <w:pPr>
        <w:pStyle w:val="15"/>
        <w:adjustRightInd w:val="0"/>
        <w:snapToGrid w:val="0"/>
        <w:spacing w:line="460" w:lineRule="exact"/>
        <w:ind w:firstLine="422" w:firstLineChars="200"/>
        <w:jc w:val="both"/>
        <w:rPr>
          <w:rFonts w:cs="宋体"/>
          <w:color w:val="auto"/>
          <w:sz w:val="21"/>
          <w:szCs w:val="21"/>
          <w:highlight w:val="none"/>
        </w:rPr>
      </w:pPr>
      <w:r>
        <w:rPr>
          <w:rFonts w:cs="宋体"/>
          <w:color w:val="auto"/>
          <w:sz w:val="21"/>
          <w:szCs w:val="21"/>
          <w:highlight w:val="none"/>
        </w:rPr>
        <w:t>2</w:t>
      </w:r>
      <w:r>
        <w:rPr>
          <w:rFonts w:hint="eastAsia" w:cs="宋体"/>
          <w:color w:val="auto"/>
          <w:sz w:val="21"/>
          <w:szCs w:val="21"/>
          <w:highlight w:val="none"/>
        </w:rPr>
        <w:t>、定义</w:t>
      </w:r>
    </w:p>
    <w:p>
      <w:pPr>
        <w:pStyle w:val="17"/>
        <w:adjustRightInd w:val="0"/>
        <w:snapToGrid w:val="0"/>
        <w:spacing w:line="460" w:lineRule="exact"/>
        <w:ind w:firstLine="420" w:firstLineChars="200"/>
        <w:rPr>
          <w:rFonts w:hAnsi="宋体" w:cs="宋体"/>
          <w:highlight w:val="none"/>
        </w:rPr>
      </w:pPr>
      <w:r>
        <w:rPr>
          <w:rFonts w:hAnsi="宋体" w:cs="宋体"/>
          <w:highlight w:val="none"/>
        </w:rPr>
        <w:t>2.1</w:t>
      </w:r>
      <w:r>
        <w:rPr>
          <w:rFonts w:hint="eastAsia" w:hAnsi="宋体" w:cs="宋体"/>
          <w:highlight w:val="none"/>
        </w:rPr>
        <w:t>采购人：系指</w:t>
      </w:r>
      <w:r>
        <w:rPr>
          <w:rFonts w:hint="eastAsia" w:ascii="宋体" w:hAnsi="宋体" w:eastAsia="宋体" w:cs="宋体"/>
          <w:bCs/>
          <w:color w:val="auto"/>
          <w:sz w:val="21"/>
          <w:szCs w:val="21"/>
          <w:highlight w:val="none"/>
        </w:rPr>
        <w:t>义乌市</w:t>
      </w:r>
      <w:r>
        <w:rPr>
          <w:rFonts w:hint="eastAsia" w:ascii="宋体" w:hAnsi="宋体" w:eastAsia="宋体" w:cs="宋体"/>
          <w:bCs/>
          <w:color w:val="auto"/>
          <w:sz w:val="21"/>
          <w:szCs w:val="21"/>
          <w:highlight w:val="none"/>
          <w:lang w:eastAsia="zh-CN"/>
        </w:rPr>
        <w:t>聚合双圆数字科技</w:t>
      </w:r>
      <w:r>
        <w:rPr>
          <w:rFonts w:hint="eastAsia" w:ascii="宋体" w:hAnsi="宋体" w:eastAsia="宋体" w:cs="宋体"/>
          <w:bCs/>
          <w:color w:val="auto"/>
          <w:sz w:val="21"/>
          <w:szCs w:val="21"/>
          <w:highlight w:val="none"/>
        </w:rPr>
        <w:t>有限公司</w:t>
      </w:r>
      <w:r>
        <w:rPr>
          <w:rFonts w:hint="eastAsia" w:hAnsi="宋体" w:cs="宋体"/>
          <w:highlight w:val="none"/>
        </w:rPr>
        <w:t>。</w:t>
      </w:r>
    </w:p>
    <w:p>
      <w:pPr>
        <w:pStyle w:val="17"/>
        <w:adjustRightInd w:val="0"/>
        <w:snapToGrid w:val="0"/>
        <w:spacing w:line="460" w:lineRule="exact"/>
        <w:ind w:firstLine="420" w:firstLineChars="200"/>
        <w:rPr>
          <w:rFonts w:hAnsi="宋体" w:cs="宋体"/>
          <w:highlight w:val="none"/>
        </w:rPr>
      </w:pPr>
      <w:r>
        <w:rPr>
          <w:rFonts w:hAnsi="宋体" w:cs="宋体"/>
          <w:highlight w:val="none"/>
        </w:rPr>
        <w:t>2.2</w:t>
      </w:r>
      <w:r>
        <w:rPr>
          <w:rFonts w:hint="eastAsia" w:hAnsi="宋体" w:cs="宋体"/>
          <w:highlight w:val="none"/>
        </w:rPr>
        <w:t>招标代理机构：系指义乌产权交易所有限公司。</w:t>
      </w:r>
    </w:p>
    <w:p>
      <w:pPr>
        <w:pStyle w:val="17"/>
        <w:adjustRightInd w:val="0"/>
        <w:snapToGrid w:val="0"/>
        <w:spacing w:line="460" w:lineRule="exact"/>
        <w:ind w:firstLine="420" w:firstLineChars="200"/>
        <w:rPr>
          <w:rFonts w:hAnsi="宋体" w:cs="宋体"/>
          <w:highlight w:val="none"/>
        </w:rPr>
      </w:pPr>
      <w:r>
        <w:rPr>
          <w:rFonts w:hAnsi="宋体" w:cs="宋体"/>
          <w:highlight w:val="none"/>
        </w:rPr>
        <w:t>2.3</w:t>
      </w:r>
      <w:r>
        <w:rPr>
          <w:rFonts w:hint="eastAsia" w:hAnsi="宋体" w:cs="宋体"/>
          <w:highlight w:val="none"/>
        </w:rPr>
        <w:t>投标人：系指符合招标公告要求的投标供应商。</w:t>
      </w:r>
    </w:p>
    <w:p>
      <w:pPr>
        <w:pStyle w:val="15"/>
        <w:adjustRightInd w:val="0"/>
        <w:snapToGrid w:val="0"/>
        <w:spacing w:line="460" w:lineRule="exact"/>
        <w:ind w:firstLine="420" w:firstLineChars="200"/>
        <w:jc w:val="both"/>
        <w:rPr>
          <w:rFonts w:cs="宋体"/>
          <w:b w:val="0"/>
          <w:bCs w:val="0"/>
          <w:color w:val="auto"/>
          <w:sz w:val="21"/>
          <w:szCs w:val="21"/>
        </w:rPr>
      </w:pPr>
      <w:r>
        <w:rPr>
          <w:rFonts w:cs="宋体"/>
          <w:b w:val="0"/>
          <w:bCs w:val="0"/>
          <w:color w:val="auto"/>
          <w:sz w:val="21"/>
          <w:szCs w:val="21"/>
          <w:highlight w:val="none"/>
        </w:rPr>
        <w:t>2.4</w:t>
      </w:r>
      <w:r>
        <w:rPr>
          <w:rFonts w:hint="eastAsia" w:cs="宋体"/>
          <w:b w:val="0"/>
          <w:bCs w:val="0"/>
          <w:color w:val="auto"/>
          <w:sz w:val="21"/>
          <w:szCs w:val="21"/>
          <w:highlight w:val="none"/>
        </w:rPr>
        <w:t>服务：</w:t>
      </w:r>
      <w:r>
        <w:rPr>
          <w:rFonts w:hint="eastAsia" w:cs="宋体"/>
          <w:b w:val="0"/>
          <w:bCs w:val="0"/>
          <w:color w:val="auto"/>
          <w:kern w:val="0"/>
          <w:sz w:val="21"/>
          <w:szCs w:val="21"/>
          <w:highlight w:val="none"/>
        </w:rPr>
        <w:t>系指</w:t>
      </w:r>
      <w:r>
        <w:rPr>
          <w:rFonts w:hint="eastAsia" w:cs="宋体"/>
          <w:b w:val="0"/>
          <w:color w:val="auto"/>
          <w:sz w:val="21"/>
          <w:szCs w:val="21"/>
          <w:highlight w:val="none"/>
        </w:rPr>
        <w:t>招标文件规定投标人</w:t>
      </w:r>
      <w:r>
        <w:rPr>
          <w:rFonts w:hint="eastAsia" w:cs="宋体"/>
          <w:b w:val="0"/>
          <w:color w:val="auto"/>
          <w:sz w:val="21"/>
          <w:szCs w:val="21"/>
        </w:rPr>
        <w:t>须承担的劳务及其它类似的服务</w:t>
      </w:r>
      <w:r>
        <w:rPr>
          <w:rFonts w:hint="eastAsia" w:cs="宋体"/>
          <w:b w:val="0"/>
          <w:bCs w:val="0"/>
          <w:color w:val="auto"/>
          <w:sz w:val="21"/>
          <w:szCs w:val="21"/>
        </w:rPr>
        <w:t>。</w:t>
      </w:r>
    </w:p>
    <w:p>
      <w:pPr>
        <w:pStyle w:val="19"/>
        <w:adjustRightInd w:val="0"/>
        <w:snapToGrid w:val="0"/>
        <w:spacing w:line="460" w:lineRule="exact"/>
        <w:ind w:firstLine="420" w:firstLineChars="200"/>
        <w:rPr>
          <w:rFonts w:hint="default" w:hAnsi="宋体" w:eastAsia="宋体" w:cs="宋体"/>
          <w:sz w:val="21"/>
          <w:szCs w:val="21"/>
        </w:rPr>
      </w:pPr>
      <w:r>
        <w:rPr>
          <w:rFonts w:hAnsi="宋体" w:eastAsia="宋体" w:cs="宋体"/>
          <w:sz w:val="21"/>
          <w:szCs w:val="21"/>
        </w:rPr>
        <w:t>2.5货物：系指按招标文件规定投标人须向采购人提供的一切材料、设备、机械、仪器仪表、工具及其它有关技术资料和文字材料。</w:t>
      </w:r>
    </w:p>
    <w:p>
      <w:pPr>
        <w:pStyle w:val="15"/>
        <w:spacing w:line="460" w:lineRule="exact"/>
        <w:ind w:firstLine="420" w:firstLineChars="200"/>
        <w:jc w:val="both"/>
        <w:rPr>
          <w:rFonts w:cs="宋体"/>
          <w:b w:val="0"/>
          <w:color w:val="auto"/>
          <w:sz w:val="21"/>
          <w:szCs w:val="21"/>
        </w:rPr>
      </w:pPr>
      <w:r>
        <w:rPr>
          <w:rFonts w:cs="宋体"/>
          <w:b w:val="0"/>
          <w:color w:val="auto"/>
          <w:sz w:val="21"/>
          <w:szCs w:val="21"/>
        </w:rPr>
        <w:t>2.6</w:t>
      </w:r>
      <w:r>
        <w:rPr>
          <w:rFonts w:hint="eastAsia" w:cs="宋体"/>
          <w:b w:val="0"/>
          <w:color w:val="auto"/>
          <w:sz w:val="21"/>
          <w:szCs w:val="21"/>
        </w:rPr>
        <w:t>需方：即采购人，在招投标阶段称为采购人，在签订和执行合同阶段称为需方。</w:t>
      </w:r>
    </w:p>
    <w:p>
      <w:pPr>
        <w:pStyle w:val="15"/>
        <w:spacing w:line="460" w:lineRule="exact"/>
        <w:ind w:firstLine="420" w:firstLineChars="200"/>
        <w:jc w:val="both"/>
        <w:rPr>
          <w:rFonts w:cs="宋体"/>
          <w:color w:val="auto"/>
          <w:sz w:val="21"/>
          <w:szCs w:val="21"/>
        </w:rPr>
      </w:pPr>
      <w:r>
        <w:rPr>
          <w:rFonts w:cs="宋体"/>
          <w:b w:val="0"/>
          <w:color w:val="auto"/>
          <w:sz w:val="21"/>
          <w:szCs w:val="21"/>
        </w:rPr>
        <w:t>2.7</w:t>
      </w:r>
      <w:r>
        <w:rPr>
          <w:rFonts w:hint="eastAsia" w:cs="宋体"/>
          <w:b w:val="0"/>
          <w:color w:val="auto"/>
          <w:sz w:val="21"/>
          <w:szCs w:val="21"/>
        </w:rPr>
        <w:t>供方：在招投标阶段称为投标人，中标后在签订和执行合同阶段称为供方。</w:t>
      </w:r>
    </w:p>
    <w:p>
      <w:pPr>
        <w:pStyle w:val="19"/>
        <w:adjustRightInd w:val="0"/>
        <w:snapToGrid w:val="0"/>
        <w:spacing w:line="460" w:lineRule="exact"/>
        <w:ind w:firstLine="420" w:firstLineChars="200"/>
        <w:rPr>
          <w:rFonts w:hint="default" w:hAnsi="宋体" w:eastAsia="宋体" w:cs="宋体"/>
          <w:sz w:val="21"/>
          <w:szCs w:val="21"/>
        </w:rPr>
      </w:pPr>
      <w:r>
        <w:rPr>
          <w:rFonts w:hAnsi="宋体" w:eastAsia="宋体" w:cs="宋体"/>
          <w:sz w:val="21"/>
          <w:szCs w:val="21"/>
        </w:rPr>
        <w:t>2.8“原产地”是指货物开采、生长或生产、或提供有关服务的来源地。</w:t>
      </w:r>
    </w:p>
    <w:p>
      <w:pPr>
        <w:pStyle w:val="19"/>
        <w:adjustRightInd w:val="0"/>
        <w:snapToGrid w:val="0"/>
        <w:spacing w:line="460" w:lineRule="exact"/>
        <w:ind w:firstLine="420" w:firstLineChars="200"/>
        <w:rPr>
          <w:rFonts w:hint="default" w:hAnsi="宋体" w:eastAsia="宋体" w:cs="宋体"/>
          <w:kern w:val="0"/>
          <w:sz w:val="21"/>
          <w:szCs w:val="21"/>
        </w:rPr>
      </w:pPr>
      <w:r>
        <w:rPr>
          <w:rFonts w:hAnsi="宋体" w:eastAsia="宋体" w:cs="宋体"/>
          <w:sz w:val="21"/>
          <w:szCs w:val="21"/>
        </w:rPr>
        <w:t>2.9“★”标记系指必须满足不能负偏离或必须应答的条款。</w:t>
      </w:r>
    </w:p>
    <w:p>
      <w:pPr>
        <w:pStyle w:val="15"/>
        <w:adjustRightInd w:val="0"/>
        <w:snapToGrid w:val="0"/>
        <w:spacing w:line="460" w:lineRule="exact"/>
        <w:ind w:firstLine="422" w:firstLineChars="200"/>
        <w:jc w:val="both"/>
        <w:rPr>
          <w:rFonts w:cs="宋体"/>
          <w:color w:val="auto"/>
          <w:sz w:val="21"/>
          <w:szCs w:val="21"/>
        </w:rPr>
      </w:pPr>
      <w:r>
        <w:rPr>
          <w:rFonts w:cs="宋体"/>
          <w:color w:val="auto"/>
          <w:sz w:val="21"/>
          <w:szCs w:val="21"/>
        </w:rPr>
        <w:t>3</w:t>
      </w:r>
      <w:r>
        <w:rPr>
          <w:rFonts w:hint="eastAsia" w:cs="宋体"/>
          <w:color w:val="auto"/>
          <w:sz w:val="21"/>
          <w:szCs w:val="21"/>
        </w:rPr>
        <w:t>、合格的投标人</w:t>
      </w:r>
    </w:p>
    <w:p>
      <w:pPr>
        <w:pStyle w:val="15"/>
        <w:adjustRightInd w:val="0"/>
        <w:snapToGrid w:val="0"/>
        <w:spacing w:line="460" w:lineRule="exact"/>
        <w:ind w:firstLine="422" w:firstLineChars="200"/>
        <w:jc w:val="both"/>
        <w:rPr>
          <w:rFonts w:cs="宋体"/>
          <w:color w:val="auto"/>
          <w:sz w:val="21"/>
          <w:szCs w:val="21"/>
        </w:rPr>
      </w:pPr>
      <w:r>
        <w:rPr>
          <w:rFonts w:cs="宋体"/>
          <w:color w:val="auto"/>
          <w:sz w:val="21"/>
          <w:szCs w:val="21"/>
        </w:rPr>
        <w:t>3.1</w:t>
      </w:r>
      <w:r>
        <w:rPr>
          <w:rFonts w:hint="eastAsia" w:cs="宋体"/>
          <w:color w:val="auto"/>
          <w:sz w:val="21"/>
          <w:szCs w:val="21"/>
        </w:rPr>
        <w:t>国内具有独立法人资格，且</w:t>
      </w:r>
      <w:r>
        <w:rPr>
          <w:rFonts w:hint="eastAsia" w:cs="宋体"/>
          <w:color w:val="auto"/>
          <w:sz w:val="21"/>
          <w:szCs w:val="21"/>
          <w:lang w:val="zh-CN"/>
        </w:rPr>
        <w:t>参加采购活动前三年内无重大违法经营活动</w:t>
      </w:r>
      <w:r>
        <w:rPr>
          <w:rFonts w:hint="eastAsia" w:cs="宋体"/>
          <w:color w:val="auto"/>
          <w:sz w:val="21"/>
          <w:szCs w:val="21"/>
        </w:rPr>
        <w:t>，</w:t>
      </w:r>
      <w:r>
        <w:rPr>
          <w:rFonts w:hint="eastAsia" w:cs="宋体"/>
          <w:color w:val="auto"/>
          <w:sz w:val="21"/>
          <w:szCs w:val="21"/>
          <w:lang w:val="zh-CN"/>
        </w:rPr>
        <w:t>符合《义乌市国有企业采购管理办法</w:t>
      </w:r>
      <w:r>
        <w:rPr>
          <w:rFonts w:hint="eastAsia" w:cs="宋体"/>
          <w:color w:val="auto"/>
          <w:sz w:val="21"/>
          <w:szCs w:val="21"/>
        </w:rPr>
        <w:t>（</w:t>
      </w:r>
      <w:r>
        <w:rPr>
          <w:rFonts w:hint="eastAsia" w:cs="宋体"/>
          <w:color w:val="auto"/>
          <w:sz w:val="21"/>
          <w:szCs w:val="21"/>
          <w:lang w:val="zh-CN"/>
        </w:rPr>
        <w:t>试行</w:t>
      </w:r>
      <w:r>
        <w:rPr>
          <w:rFonts w:hint="eastAsia" w:cs="宋体"/>
          <w:color w:val="auto"/>
          <w:sz w:val="21"/>
          <w:szCs w:val="21"/>
        </w:rPr>
        <w:t>）</w:t>
      </w:r>
      <w:r>
        <w:rPr>
          <w:rFonts w:hint="eastAsia" w:cs="宋体"/>
          <w:color w:val="auto"/>
          <w:sz w:val="21"/>
          <w:szCs w:val="21"/>
          <w:lang w:val="zh-CN"/>
        </w:rPr>
        <w:t>》第十条供应商应当具备的条件</w:t>
      </w:r>
      <w:r>
        <w:rPr>
          <w:rFonts w:hint="eastAsia" w:cs="宋体"/>
          <w:color w:val="auto"/>
          <w:sz w:val="21"/>
          <w:szCs w:val="21"/>
        </w:rPr>
        <w:t>，</w:t>
      </w:r>
      <w:r>
        <w:rPr>
          <w:rFonts w:hint="eastAsia" w:cs="宋体"/>
          <w:color w:val="auto"/>
          <w:sz w:val="21"/>
          <w:szCs w:val="21"/>
          <w:lang w:val="zh-CN"/>
        </w:rPr>
        <w:t>同时投标人无以下不良行为</w:t>
      </w:r>
      <w:r>
        <w:rPr>
          <w:rFonts w:hint="eastAsia" w:cs="宋体"/>
          <w:color w:val="auto"/>
          <w:sz w:val="21"/>
          <w:szCs w:val="21"/>
        </w:rPr>
        <w:t>：</w:t>
      </w:r>
      <w:r>
        <w:rPr>
          <w:rFonts w:hint="eastAsia" w:cs="宋体"/>
          <w:color w:val="auto"/>
          <w:sz w:val="21"/>
          <w:szCs w:val="21"/>
          <w:lang w:val="zh-CN"/>
        </w:rPr>
        <w:t>在公开网站上能查到的被财政部或浙江省财政厅处理</w:t>
      </w:r>
      <w:r>
        <w:rPr>
          <w:rFonts w:hint="eastAsia" w:cs="宋体"/>
          <w:color w:val="auto"/>
          <w:sz w:val="21"/>
          <w:szCs w:val="21"/>
        </w:rPr>
        <w:t>（</w:t>
      </w:r>
      <w:r>
        <w:rPr>
          <w:rFonts w:hint="eastAsia" w:cs="宋体"/>
          <w:color w:val="auto"/>
          <w:sz w:val="21"/>
          <w:szCs w:val="21"/>
          <w:lang w:val="zh-CN"/>
        </w:rPr>
        <w:t>或处罚</w:t>
      </w:r>
      <w:r>
        <w:rPr>
          <w:rFonts w:hint="eastAsia" w:cs="宋体"/>
          <w:color w:val="auto"/>
          <w:sz w:val="21"/>
          <w:szCs w:val="21"/>
        </w:rPr>
        <w:t>）</w:t>
      </w:r>
      <w:r>
        <w:rPr>
          <w:rFonts w:hint="eastAsia" w:cs="宋体"/>
          <w:color w:val="auto"/>
          <w:sz w:val="21"/>
          <w:szCs w:val="21"/>
          <w:lang w:val="zh-CN"/>
        </w:rPr>
        <w:t>而处于暂停政府采购资格期的或处于暂停承接业务资格期的</w:t>
      </w:r>
      <w:r>
        <w:rPr>
          <w:rFonts w:hint="eastAsia" w:cs="宋体"/>
          <w:color w:val="auto"/>
          <w:sz w:val="21"/>
          <w:szCs w:val="21"/>
        </w:rPr>
        <w:t>；</w:t>
      </w:r>
      <w:r>
        <w:rPr>
          <w:rFonts w:hint="eastAsia" w:cs="宋体"/>
          <w:color w:val="auto"/>
          <w:sz w:val="21"/>
          <w:szCs w:val="21"/>
          <w:lang w:val="zh-CN"/>
        </w:rPr>
        <w:t>或被国家级、浙江省级、义乌市级行业主管部门处罚处于暂停承接业务资格期的</w:t>
      </w:r>
      <w:r>
        <w:rPr>
          <w:rFonts w:hint="eastAsia" w:cs="宋体"/>
          <w:color w:val="auto"/>
          <w:sz w:val="21"/>
          <w:szCs w:val="21"/>
        </w:rPr>
        <w:t>；</w:t>
      </w:r>
      <w:r>
        <w:rPr>
          <w:rFonts w:hint="eastAsia" w:cs="宋体"/>
          <w:color w:val="auto"/>
          <w:sz w:val="21"/>
          <w:szCs w:val="21"/>
          <w:lang w:val="zh-CN"/>
        </w:rPr>
        <w:t>或被义乌市政府采购监管部门列入不良行为还在公示期内的或者处于暂停政府采购资格期的</w:t>
      </w:r>
      <w:r>
        <w:rPr>
          <w:rFonts w:hint="eastAsia" w:cs="宋体"/>
          <w:color w:val="auto"/>
          <w:sz w:val="21"/>
          <w:szCs w:val="21"/>
        </w:rPr>
        <w:t>；</w:t>
      </w:r>
      <w:r>
        <w:rPr>
          <w:rFonts w:hint="eastAsia" w:cs="宋体"/>
          <w:color w:val="auto"/>
          <w:sz w:val="21"/>
          <w:szCs w:val="21"/>
          <w:lang w:val="zh-CN"/>
        </w:rPr>
        <w:t>或被</w:t>
      </w:r>
      <w:r>
        <w:rPr>
          <w:rFonts w:hint="eastAsia" w:cs="宋体"/>
          <w:color w:val="auto"/>
          <w:sz w:val="21"/>
          <w:szCs w:val="21"/>
        </w:rPr>
        <w:t>“</w:t>
      </w:r>
      <w:r>
        <w:rPr>
          <w:rFonts w:hint="eastAsia" w:cs="宋体"/>
          <w:color w:val="auto"/>
          <w:sz w:val="21"/>
          <w:szCs w:val="21"/>
          <w:lang w:val="zh-CN"/>
        </w:rPr>
        <w:t>信用中国</w:t>
      </w:r>
      <w:r>
        <w:rPr>
          <w:rFonts w:hint="eastAsia" w:cs="宋体"/>
          <w:color w:val="auto"/>
          <w:sz w:val="21"/>
          <w:szCs w:val="21"/>
        </w:rPr>
        <w:t>”（www.creditchina.gov.cn）</w:t>
      </w:r>
      <w:r>
        <w:rPr>
          <w:rFonts w:hint="eastAsia" w:cs="宋体"/>
          <w:color w:val="auto"/>
          <w:sz w:val="21"/>
          <w:szCs w:val="21"/>
          <w:lang w:val="zh-CN"/>
        </w:rPr>
        <w:t>中国政府采购网</w:t>
      </w:r>
      <w:r>
        <w:rPr>
          <w:rFonts w:hint="eastAsia" w:cs="宋体"/>
          <w:color w:val="auto"/>
          <w:sz w:val="21"/>
          <w:szCs w:val="21"/>
        </w:rPr>
        <w:t>（www.ccgp.gov.cn）</w:t>
      </w:r>
      <w:r>
        <w:rPr>
          <w:rFonts w:hint="eastAsia" w:cs="宋体"/>
          <w:color w:val="auto"/>
          <w:sz w:val="21"/>
          <w:szCs w:val="21"/>
          <w:lang w:val="zh-CN"/>
        </w:rPr>
        <w:t>列入失信被执行人、重大税收违法案件当事人名单、政府采购严重违法失信行为记录名单的</w:t>
      </w:r>
      <w:r>
        <w:rPr>
          <w:rFonts w:hint="eastAsia" w:cs="宋体"/>
          <w:color w:val="auto"/>
          <w:sz w:val="21"/>
          <w:szCs w:val="21"/>
        </w:rPr>
        <w:t>；</w:t>
      </w:r>
    </w:p>
    <w:p>
      <w:pPr>
        <w:pStyle w:val="15"/>
        <w:adjustRightInd w:val="0"/>
        <w:snapToGrid w:val="0"/>
        <w:spacing w:line="460" w:lineRule="exact"/>
        <w:ind w:firstLine="420" w:firstLineChars="200"/>
        <w:jc w:val="both"/>
        <w:rPr>
          <w:rFonts w:cs="宋体"/>
          <w:b w:val="0"/>
          <w:color w:val="auto"/>
          <w:sz w:val="21"/>
          <w:szCs w:val="21"/>
        </w:rPr>
      </w:pPr>
      <w:r>
        <w:rPr>
          <w:rFonts w:cs="宋体"/>
          <w:b w:val="0"/>
          <w:color w:val="auto"/>
          <w:sz w:val="21"/>
          <w:szCs w:val="21"/>
        </w:rPr>
        <w:t>3.2</w:t>
      </w:r>
      <w:r>
        <w:rPr>
          <w:rFonts w:hint="eastAsia" w:cs="宋体"/>
          <w:b w:val="0"/>
          <w:color w:val="auto"/>
          <w:sz w:val="21"/>
          <w:szCs w:val="21"/>
        </w:rPr>
        <w:t>符合招标公告中要求的条件；</w:t>
      </w:r>
    </w:p>
    <w:p>
      <w:pPr>
        <w:pStyle w:val="17"/>
        <w:spacing w:line="460" w:lineRule="exact"/>
        <w:ind w:firstLine="422" w:firstLineChars="200"/>
        <w:rPr>
          <w:rFonts w:hAnsi="宋体" w:cs="宋体"/>
        </w:rPr>
      </w:pPr>
      <w:r>
        <w:rPr>
          <w:rFonts w:hAnsi="宋体" w:cs="宋体"/>
          <w:b/>
        </w:rPr>
        <w:t>4</w:t>
      </w:r>
      <w:r>
        <w:rPr>
          <w:rFonts w:hint="eastAsia" w:hAnsi="宋体" w:cs="宋体"/>
          <w:b/>
        </w:rPr>
        <w:t>、保证</w:t>
      </w:r>
    </w:p>
    <w:p>
      <w:pPr>
        <w:pStyle w:val="17"/>
        <w:spacing w:line="460" w:lineRule="exact"/>
        <w:ind w:firstLine="420" w:firstLineChars="200"/>
        <w:rPr>
          <w:rFonts w:hAnsi="宋体" w:cs="宋体"/>
        </w:rPr>
      </w:pPr>
      <w:r>
        <w:rPr>
          <w:rFonts w:hAnsi="宋体" w:cs="宋体"/>
        </w:rPr>
        <w:t>4.1</w:t>
      </w:r>
      <w:r>
        <w:rPr>
          <w:rFonts w:hint="eastAsia" w:hAnsi="宋体" w:cs="宋体"/>
        </w:rPr>
        <w:t>投标单位应保证所提交给招标机构和采购人的资料和数据是真实的。</w:t>
      </w:r>
    </w:p>
    <w:p>
      <w:pPr>
        <w:pStyle w:val="17"/>
        <w:spacing w:line="460" w:lineRule="exact"/>
        <w:ind w:firstLine="422" w:firstLineChars="200"/>
        <w:rPr>
          <w:rFonts w:hAnsi="宋体" w:cs="宋体"/>
          <w:b/>
        </w:rPr>
      </w:pPr>
      <w:r>
        <w:rPr>
          <w:rFonts w:hAnsi="宋体" w:cs="宋体"/>
          <w:b/>
        </w:rPr>
        <w:t>5</w:t>
      </w:r>
      <w:r>
        <w:rPr>
          <w:rFonts w:hint="eastAsia" w:hAnsi="宋体" w:cs="宋体"/>
          <w:b/>
        </w:rPr>
        <w:t>、招标投标费用</w:t>
      </w:r>
    </w:p>
    <w:p>
      <w:pPr>
        <w:pStyle w:val="17"/>
        <w:spacing w:line="460" w:lineRule="exact"/>
        <w:ind w:firstLine="420" w:firstLineChars="200"/>
        <w:rPr>
          <w:rFonts w:hAnsi="宋体" w:cs="宋体"/>
          <w:b/>
        </w:rPr>
      </w:pPr>
      <w:r>
        <w:rPr>
          <w:rFonts w:hAnsi="宋体" w:cs="宋体"/>
        </w:rPr>
        <w:t>5.1</w:t>
      </w:r>
      <w:r>
        <w:rPr>
          <w:rFonts w:hint="eastAsia" w:hAnsi="宋体" w:cs="宋体"/>
        </w:rPr>
        <w:t>不论投标过程中的作法和结果如何，投标人应承担所有与投标有关的全部费用。采购人和采购代理机构在任何情况下均无义务和责任承担上述这些费用。</w:t>
      </w:r>
    </w:p>
    <w:p>
      <w:pPr>
        <w:pStyle w:val="17"/>
        <w:spacing w:line="460" w:lineRule="exact"/>
        <w:ind w:firstLine="480"/>
        <w:rPr>
          <w:rFonts w:hAnsi="宋体" w:cs="宋体"/>
          <w:b/>
        </w:rPr>
      </w:pPr>
      <w:r>
        <w:rPr>
          <w:rFonts w:hAnsi="宋体" w:cs="宋体"/>
          <w:b/>
        </w:rPr>
        <w:t>6</w:t>
      </w:r>
      <w:r>
        <w:rPr>
          <w:rFonts w:hint="eastAsia" w:hAnsi="宋体" w:cs="宋体"/>
          <w:b/>
        </w:rPr>
        <w:t>、现场勘察</w:t>
      </w:r>
      <w:r>
        <w:rPr>
          <w:rFonts w:hAnsi="宋体" w:cs="宋体"/>
          <w:b/>
        </w:rPr>
        <w:t xml:space="preserve"> </w:t>
      </w:r>
    </w:p>
    <w:p>
      <w:pPr>
        <w:pStyle w:val="17"/>
        <w:spacing w:line="460" w:lineRule="exact"/>
        <w:ind w:firstLine="480"/>
        <w:rPr>
          <w:rFonts w:hAnsi="宋体" w:cs="宋体"/>
        </w:rPr>
      </w:pPr>
      <w:r>
        <w:rPr>
          <w:rFonts w:hAnsi="宋体" w:cs="宋体"/>
        </w:rPr>
        <w:t>6.1</w:t>
      </w:r>
      <w:r>
        <w:rPr>
          <w:rFonts w:hint="eastAsia" w:hAnsi="宋体" w:cs="宋体"/>
        </w:rPr>
        <w:t>投标前，投标人须自行到项目所在地予以踏勘，对项目实施现场及周边环境等进行勘察，以获取编制投标文件和签署合同所需的所有资料，否则，由此所造成的一切后果由投标人自行承担。</w:t>
      </w:r>
    </w:p>
    <w:p>
      <w:pPr>
        <w:pStyle w:val="17"/>
        <w:spacing w:line="460" w:lineRule="exact"/>
        <w:ind w:firstLine="480"/>
        <w:rPr>
          <w:rFonts w:hAnsi="宋体" w:cs="宋体"/>
        </w:rPr>
      </w:pPr>
      <w:r>
        <w:rPr>
          <w:rFonts w:hAnsi="宋体" w:cs="宋体"/>
        </w:rPr>
        <w:t>6.2</w:t>
      </w:r>
      <w:r>
        <w:rPr>
          <w:rFonts w:hint="eastAsia" w:hAnsi="宋体" w:cs="宋体"/>
        </w:rPr>
        <w:t>投标单位在考察过程中发生的各类事件及所发生的各项费用，均由投标单位自行承担。采购人和代理机构概不负责。</w:t>
      </w:r>
    </w:p>
    <w:p>
      <w:pPr>
        <w:pStyle w:val="17"/>
        <w:adjustRightInd w:val="0"/>
        <w:snapToGrid w:val="0"/>
        <w:spacing w:line="460" w:lineRule="exact"/>
        <w:ind w:firstLine="420" w:firstLineChars="200"/>
        <w:rPr>
          <w:rFonts w:hAnsi="宋体" w:cs="宋体"/>
        </w:rPr>
      </w:pPr>
      <w:r>
        <w:rPr>
          <w:rFonts w:hAnsi="宋体" w:cs="宋体"/>
        </w:rPr>
        <w:t>6.3</w:t>
      </w:r>
      <w:r>
        <w:rPr>
          <w:rFonts w:hint="eastAsia" w:hAnsi="宋体" w:cs="宋体"/>
        </w:rPr>
        <w:t>采购人向投标单位提供的有关现场的数据和资料，是采购人现有的能被投标人利用的资料，采购人对投标人据此做出的任何推论、理解和结论不负责任。</w:t>
      </w:r>
    </w:p>
    <w:p>
      <w:pPr>
        <w:adjustRightInd w:val="0"/>
        <w:snapToGrid w:val="0"/>
        <w:spacing w:line="460" w:lineRule="exact"/>
        <w:ind w:left="420" w:leftChars="200" w:firstLine="0" w:firstLineChars="0"/>
        <w:rPr>
          <w:rFonts w:hint="eastAsia" w:ascii="宋体" w:hAnsi="宋体" w:cs="宋体"/>
          <w:szCs w:val="21"/>
        </w:rPr>
      </w:pPr>
      <w:r>
        <w:rPr>
          <w:rFonts w:ascii="宋体" w:hAnsi="宋体" w:cs="宋体"/>
          <w:szCs w:val="21"/>
        </w:rPr>
        <w:t>6.4</w:t>
      </w:r>
      <w:r>
        <w:rPr>
          <w:rFonts w:hint="eastAsia" w:ascii="宋体" w:hAnsi="宋体" w:cs="宋体"/>
          <w:szCs w:val="21"/>
        </w:rPr>
        <w:t>现场踏勘完毕，将认为投标人</w:t>
      </w:r>
      <w:r>
        <w:rPr>
          <w:rFonts w:hint="eastAsia" w:ascii="宋体" w:hAnsi="宋体" w:cs="宋体"/>
          <w:szCs w:val="21"/>
          <w:lang w:val="en-US" w:eastAsia="zh-CN"/>
        </w:rPr>
        <w:t>已</w:t>
      </w:r>
      <w:r>
        <w:rPr>
          <w:rFonts w:hint="eastAsia" w:ascii="宋体" w:hAnsi="宋体" w:cs="宋体"/>
          <w:szCs w:val="21"/>
        </w:rPr>
        <w:t>了解现场情况，并充分理解了为之所承担的风险、</w:t>
      </w:r>
    </w:p>
    <w:p>
      <w:pPr>
        <w:adjustRightInd w:val="0"/>
        <w:snapToGrid w:val="0"/>
        <w:spacing w:line="460" w:lineRule="exact"/>
        <w:rPr>
          <w:rFonts w:hint="eastAsia" w:ascii="宋体" w:hAnsi="宋体" w:cs="宋体"/>
          <w:szCs w:val="21"/>
        </w:rPr>
      </w:pPr>
      <w:r>
        <w:rPr>
          <w:rFonts w:hint="eastAsia" w:ascii="宋体" w:hAnsi="宋体" w:cs="宋体"/>
          <w:szCs w:val="21"/>
        </w:rPr>
        <w:t>义务和责任。</w:t>
      </w:r>
    </w:p>
    <w:p>
      <w:pPr>
        <w:adjustRightInd w:val="0"/>
        <w:snapToGrid w:val="0"/>
        <w:spacing w:line="460" w:lineRule="exact"/>
        <w:ind w:left="420" w:leftChars="200" w:firstLine="0" w:firstLineChars="0"/>
        <w:rPr>
          <w:rFonts w:ascii="宋体" w:cs="宋体"/>
          <w:b/>
          <w:szCs w:val="21"/>
        </w:rPr>
      </w:pPr>
      <w:r>
        <w:rPr>
          <w:rFonts w:ascii="宋体" w:hAnsi="宋体" w:cs="宋体"/>
          <w:b/>
          <w:szCs w:val="21"/>
        </w:rPr>
        <w:t>7</w:t>
      </w:r>
      <w:r>
        <w:rPr>
          <w:rFonts w:hint="eastAsia" w:ascii="宋体" w:hAnsi="宋体" w:cs="宋体"/>
          <w:b/>
          <w:szCs w:val="21"/>
        </w:rPr>
        <w:t>、联合体投标</w:t>
      </w:r>
    </w:p>
    <w:p>
      <w:pPr>
        <w:adjustRightInd w:val="0"/>
        <w:snapToGrid w:val="0"/>
        <w:spacing w:line="460" w:lineRule="exact"/>
        <w:ind w:firstLine="422" w:firstLineChars="200"/>
        <w:rPr>
          <w:rFonts w:hint="eastAsia" w:ascii="宋体" w:hAnsi="宋体" w:cs="宋体"/>
          <w:b/>
          <w:bCs/>
          <w:szCs w:val="21"/>
        </w:rPr>
      </w:pPr>
      <w:r>
        <w:rPr>
          <w:rFonts w:hint="eastAsia" w:ascii="宋体" w:hAnsi="宋体" w:cs="宋体"/>
          <w:b/>
          <w:bCs/>
          <w:szCs w:val="21"/>
        </w:rPr>
        <w:t>本项目不允许转包。</w:t>
      </w:r>
    </w:p>
    <w:p>
      <w:pPr>
        <w:adjustRightInd w:val="0"/>
        <w:snapToGrid w:val="0"/>
        <w:spacing w:line="460" w:lineRule="exact"/>
        <w:ind w:firstLine="422" w:firstLineChars="200"/>
        <w:rPr>
          <w:rFonts w:hint="eastAsia" w:ascii="宋体" w:hAnsi="宋体" w:cs="宋体"/>
          <w:b/>
          <w:bCs/>
          <w:szCs w:val="21"/>
        </w:rPr>
      </w:pPr>
      <w:r>
        <w:rPr>
          <w:rFonts w:hint="eastAsia" w:ascii="宋体" w:hAnsi="宋体" w:cs="宋体"/>
          <w:b/>
          <w:bCs/>
          <w:szCs w:val="21"/>
        </w:rPr>
        <w:t>本项目不允许分包。</w:t>
      </w:r>
    </w:p>
    <w:p>
      <w:pPr>
        <w:adjustRightInd w:val="0"/>
        <w:snapToGrid w:val="0"/>
        <w:spacing w:line="460" w:lineRule="exact"/>
        <w:ind w:firstLine="422" w:firstLineChars="200"/>
        <w:rPr>
          <w:rFonts w:ascii="宋体" w:cs="宋体"/>
          <w:szCs w:val="21"/>
        </w:rPr>
      </w:pPr>
      <w:r>
        <w:rPr>
          <w:rFonts w:hint="eastAsia" w:ascii="宋体" w:hAnsi="宋体" w:cs="宋体"/>
          <w:b/>
          <w:bCs/>
          <w:szCs w:val="21"/>
        </w:rPr>
        <w:t>本项目不接受联合体投标。</w:t>
      </w:r>
    </w:p>
    <w:p>
      <w:pPr>
        <w:pStyle w:val="4"/>
        <w:spacing w:before="120" w:after="120" w:line="460" w:lineRule="exact"/>
        <w:ind w:firstLine="422" w:firstLineChars="200"/>
        <w:rPr>
          <w:rFonts w:ascii="宋体" w:hAnsi="宋体" w:eastAsia="宋体" w:cs="宋体"/>
          <w:sz w:val="21"/>
          <w:szCs w:val="21"/>
        </w:rPr>
      </w:pPr>
      <w:bookmarkStart w:id="15" w:name="_Toc29212"/>
      <w:bookmarkStart w:id="16" w:name="_Toc274303230"/>
      <w:bookmarkStart w:id="17" w:name="_Toc362250688"/>
      <w:bookmarkStart w:id="18" w:name="_Toc20318"/>
      <w:r>
        <w:rPr>
          <w:rFonts w:hint="eastAsia" w:ascii="宋体" w:hAnsi="宋体" w:eastAsia="宋体" w:cs="宋体"/>
          <w:sz w:val="21"/>
          <w:szCs w:val="21"/>
        </w:rPr>
        <w:t>二、招标文件</w:t>
      </w:r>
      <w:bookmarkEnd w:id="15"/>
      <w:bookmarkEnd w:id="16"/>
      <w:bookmarkEnd w:id="17"/>
      <w:bookmarkEnd w:id="18"/>
    </w:p>
    <w:p>
      <w:pPr>
        <w:adjustRightInd w:val="0"/>
        <w:snapToGrid w:val="0"/>
        <w:spacing w:before="50" w:after="50" w:line="460" w:lineRule="exact"/>
        <w:ind w:firstLine="422" w:firstLineChars="200"/>
        <w:rPr>
          <w:rFonts w:ascii="宋体" w:cs="宋体"/>
          <w:b/>
          <w:bCs/>
          <w:szCs w:val="21"/>
        </w:rPr>
      </w:pPr>
      <w:r>
        <w:rPr>
          <w:rFonts w:ascii="宋体" w:hAnsi="宋体" w:cs="宋体"/>
          <w:b/>
          <w:bCs/>
          <w:szCs w:val="21"/>
        </w:rPr>
        <w:t>8</w:t>
      </w:r>
      <w:r>
        <w:rPr>
          <w:rFonts w:hint="eastAsia" w:ascii="宋体" w:hAnsi="宋体" w:cs="宋体"/>
          <w:b/>
          <w:bCs/>
          <w:szCs w:val="21"/>
        </w:rPr>
        <w:t>、招标文件的组成</w:t>
      </w:r>
    </w:p>
    <w:p>
      <w:pPr>
        <w:adjustRightInd w:val="0"/>
        <w:snapToGrid w:val="0"/>
        <w:spacing w:before="50" w:after="50" w:line="460" w:lineRule="exact"/>
        <w:ind w:firstLine="420" w:firstLineChars="200"/>
        <w:rPr>
          <w:rFonts w:ascii="宋体" w:cs="宋体"/>
          <w:szCs w:val="21"/>
        </w:rPr>
      </w:pPr>
      <w:r>
        <w:rPr>
          <w:rFonts w:ascii="宋体" w:hAnsi="宋体" w:cs="宋体"/>
          <w:szCs w:val="21"/>
        </w:rPr>
        <w:t>8.1</w:t>
      </w:r>
      <w:r>
        <w:rPr>
          <w:rFonts w:hint="eastAsia" w:ascii="宋体" w:hAnsi="宋体" w:cs="宋体"/>
          <w:szCs w:val="21"/>
        </w:rPr>
        <w:t>招标文件包括下列内容：</w:t>
      </w:r>
    </w:p>
    <w:p>
      <w:pPr>
        <w:adjustRightInd w:val="0"/>
        <w:snapToGrid w:val="0"/>
        <w:spacing w:before="50" w:after="50" w:line="460" w:lineRule="exact"/>
        <w:ind w:firstLine="420" w:firstLineChars="200"/>
        <w:rPr>
          <w:rFonts w:ascii="宋体" w:cs="宋体"/>
          <w:szCs w:val="21"/>
        </w:rPr>
      </w:pPr>
      <w:r>
        <w:rPr>
          <w:rFonts w:hint="eastAsia" w:ascii="宋体" w:hAnsi="宋体" w:cs="宋体"/>
          <w:szCs w:val="21"/>
        </w:rPr>
        <w:t>第一章</w:t>
      </w:r>
      <w:r>
        <w:rPr>
          <w:rFonts w:ascii="宋体" w:hAnsi="宋体" w:cs="宋体"/>
          <w:szCs w:val="21"/>
        </w:rPr>
        <w:t xml:space="preserve">  </w:t>
      </w:r>
      <w:r>
        <w:rPr>
          <w:rFonts w:hint="eastAsia" w:ascii="宋体" w:hAnsi="宋体" w:cs="宋体"/>
          <w:szCs w:val="21"/>
        </w:rPr>
        <w:t>招标公告</w:t>
      </w:r>
    </w:p>
    <w:p>
      <w:pPr>
        <w:adjustRightInd w:val="0"/>
        <w:snapToGrid w:val="0"/>
        <w:spacing w:before="50" w:after="50" w:line="460" w:lineRule="exact"/>
        <w:ind w:firstLine="420" w:firstLineChars="200"/>
        <w:rPr>
          <w:rFonts w:ascii="宋体" w:cs="宋体"/>
          <w:szCs w:val="21"/>
        </w:rPr>
      </w:pPr>
      <w:r>
        <w:rPr>
          <w:rFonts w:hint="eastAsia" w:ascii="宋体" w:hAnsi="宋体" w:cs="宋体"/>
          <w:szCs w:val="21"/>
        </w:rPr>
        <w:t>第二章</w:t>
      </w:r>
      <w:r>
        <w:rPr>
          <w:rFonts w:ascii="宋体" w:hAnsi="宋体" w:cs="宋体"/>
          <w:szCs w:val="21"/>
        </w:rPr>
        <w:t xml:space="preserve">  </w:t>
      </w:r>
      <w:r>
        <w:rPr>
          <w:rFonts w:hint="eastAsia" w:ascii="宋体" w:hAnsi="宋体" w:cs="宋体"/>
          <w:szCs w:val="21"/>
        </w:rPr>
        <w:t>投标须知和投标须知前附表</w:t>
      </w:r>
    </w:p>
    <w:p>
      <w:pPr>
        <w:adjustRightInd w:val="0"/>
        <w:snapToGrid w:val="0"/>
        <w:spacing w:before="50" w:after="50" w:line="460" w:lineRule="exact"/>
        <w:ind w:firstLine="420" w:firstLineChars="200"/>
        <w:rPr>
          <w:rFonts w:ascii="宋体" w:cs="宋体"/>
          <w:szCs w:val="21"/>
        </w:rPr>
      </w:pPr>
      <w:r>
        <w:rPr>
          <w:rFonts w:hint="eastAsia" w:ascii="宋体" w:hAnsi="宋体" w:cs="宋体"/>
          <w:szCs w:val="21"/>
        </w:rPr>
        <w:t>第三章</w:t>
      </w:r>
      <w:r>
        <w:rPr>
          <w:rFonts w:ascii="宋体" w:hAnsi="宋体" w:cs="宋体"/>
          <w:szCs w:val="21"/>
        </w:rPr>
        <w:t xml:space="preserve">  </w:t>
      </w:r>
      <w:r>
        <w:rPr>
          <w:rFonts w:hint="eastAsia" w:ascii="宋体" w:hAnsi="宋体" w:cs="宋体"/>
          <w:szCs w:val="21"/>
        </w:rPr>
        <w:t>招标项目要求</w:t>
      </w:r>
    </w:p>
    <w:p>
      <w:pPr>
        <w:adjustRightInd w:val="0"/>
        <w:snapToGrid w:val="0"/>
        <w:spacing w:before="50" w:after="50" w:line="460" w:lineRule="exact"/>
        <w:ind w:firstLine="420" w:firstLineChars="200"/>
        <w:rPr>
          <w:rFonts w:ascii="宋体" w:cs="宋体"/>
          <w:szCs w:val="21"/>
        </w:rPr>
      </w:pPr>
      <w:r>
        <w:rPr>
          <w:rFonts w:hint="eastAsia" w:ascii="宋体" w:hAnsi="宋体" w:cs="宋体"/>
          <w:szCs w:val="21"/>
        </w:rPr>
        <w:t>第四章</w:t>
      </w:r>
      <w:r>
        <w:rPr>
          <w:rFonts w:ascii="宋体" w:hAnsi="宋体" w:cs="宋体"/>
          <w:szCs w:val="21"/>
        </w:rPr>
        <w:t xml:space="preserve">  </w:t>
      </w:r>
      <w:r>
        <w:rPr>
          <w:rFonts w:hint="eastAsia" w:ascii="宋体" w:hAnsi="宋体" w:cs="宋体"/>
          <w:szCs w:val="21"/>
        </w:rPr>
        <w:t>开标、评标和定标须知</w:t>
      </w:r>
    </w:p>
    <w:p>
      <w:pPr>
        <w:adjustRightInd w:val="0"/>
        <w:snapToGrid w:val="0"/>
        <w:spacing w:before="50" w:after="50" w:line="460" w:lineRule="exact"/>
        <w:ind w:firstLine="420" w:firstLineChars="200"/>
        <w:rPr>
          <w:rFonts w:ascii="宋体" w:cs="宋体"/>
          <w:szCs w:val="21"/>
        </w:rPr>
      </w:pPr>
      <w:r>
        <w:rPr>
          <w:rFonts w:hint="eastAsia" w:ascii="宋体" w:hAnsi="宋体" w:cs="宋体"/>
          <w:szCs w:val="21"/>
        </w:rPr>
        <w:t>第五章</w:t>
      </w:r>
      <w:r>
        <w:rPr>
          <w:rFonts w:ascii="宋体" w:hAnsi="宋体" w:cs="宋体"/>
          <w:szCs w:val="21"/>
        </w:rPr>
        <w:t xml:space="preserve">  </w:t>
      </w:r>
      <w:r>
        <w:rPr>
          <w:rFonts w:hint="eastAsia" w:ascii="宋体" w:hAnsi="宋体" w:cs="宋体"/>
          <w:szCs w:val="21"/>
        </w:rPr>
        <w:t>投标文件的有效性</w:t>
      </w:r>
    </w:p>
    <w:p>
      <w:pPr>
        <w:adjustRightInd w:val="0"/>
        <w:snapToGrid w:val="0"/>
        <w:spacing w:before="50" w:after="50" w:line="460" w:lineRule="exact"/>
        <w:ind w:firstLine="420" w:firstLineChars="200"/>
        <w:rPr>
          <w:rFonts w:ascii="宋体" w:cs="宋体"/>
          <w:szCs w:val="21"/>
        </w:rPr>
      </w:pPr>
      <w:r>
        <w:rPr>
          <w:rFonts w:hint="eastAsia" w:ascii="宋体" w:hAnsi="宋体" w:cs="宋体"/>
          <w:szCs w:val="21"/>
        </w:rPr>
        <w:t>第六章</w:t>
      </w:r>
      <w:r>
        <w:rPr>
          <w:rFonts w:ascii="宋体" w:hAnsi="宋体" w:cs="宋体"/>
          <w:szCs w:val="21"/>
        </w:rPr>
        <w:t xml:space="preserve">  </w:t>
      </w:r>
      <w:r>
        <w:rPr>
          <w:rFonts w:hint="eastAsia" w:ascii="宋体" w:hAnsi="宋体" w:cs="宋体"/>
          <w:szCs w:val="21"/>
        </w:rPr>
        <w:t>评标办法</w:t>
      </w:r>
    </w:p>
    <w:p>
      <w:pPr>
        <w:adjustRightInd w:val="0"/>
        <w:snapToGrid w:val="0"/>
        <w:spacing w:before="50" w:after="50" w:line="460" w:lineRule="exact"/>
        <w:ind w:firstLine="420" w:firstLineChars="200"/>
        <w:rPr>
          <w:rFonts w:ascii="宋体" w:cs="宋体"/>
          <w:szCs w:val="21"/>
        </w:rPr>
      </w:pPr>
      <w:r>
        <w:rPr>
          <w:rFonts w:hint="eastAsia" w:ascii="宋体" w:hAnsi="宋体" w:cs="宋体"/>
          <w:szCs w:val="21"/>
        </w:rPr>
        <w:t>第七章</w:t>
      </w:r>
      <w:r>
        <w:rPr>
          <w:rFonts w:ascii="宋体" w:hAnsi="宋体" w:cs="宋体"/>
          <w:szCs w:val="21"/>
        </w:rPr>
        <w:t xml:space="preserve">  </w:t>
      </w:r>
      <w:r>
        <w:rPr>
          <w:rFonts w:hint="eastAsia" w:ascii="宋体" w:hAnsi="宋体" w:cs="宋体"/>
          <w:szCs w:val="21"/>
        </w:rPr>
        <w:t>合同主要条款</w:t>
      </w:r>
    </w:p>
    <w:p>
      <w:pPr>
        <w:adjustRightInd w:val="0"/>
        <w:snapToGrid w:val="0"/>
        <w:spacing w:before="50" w:after="50" w:line="460" w:lineRule="exact"/>
        <w:ind w:firstLine="420" w:firstLineChars="200"/>
        <w:rPr>
          <w:rFonts w:ascii="宋体" w:cs="宋体"/>
          <w:szCs w:val="21"/>
        </w:rPr>
      </w:pPr>
      <w:r>
        <w:rPr>
          <w:rFonts w:hint="eastAsia" w:ascii="宋体" w:hAnsi="宋体" w:cs="宋体"/>
          <w:szCs w:val="21"/>
        </w:rPr>
        <w:t>第八章</w:t>
      </w:r>
      <w:r>
        <w:rPr>
          <w:rFonts w:ascii="宋体" w:hAnsi="宋体" w:cs="宋体"/>
          <w:szCs w:val="21"/>
        </w:rPr>
        <w:t xml:space="preserve"> </w:t>
      </w:r>
      <w:r>
        <w:rPr>
          <w:rFonts w:hint="eastAsia" w:ascii="宋体" w:hAnsi="宋体" w:cs="宋体"/>
          <w:szCs w:val="21"/>
        </w:rPr>
        <w:t xml:space="preserve"> 投标文件部分格式</w:t>
      </w:r>
    </w:p>
    <w:p>
      <w:pPr>
        <w:adjustRightInd w:val="0"/>
        <w:snapToGrid w:val="0"/>
        <w:spacing w:before="50" w:after="50" w:line="440" w:lineRule="exact"/>
        <w:ind w:firstLine="420" w:firstLineChars="200"/>
        <w:rPr>
          <w:rFonts w:ascii="宋体" w:cs="宋体"/>
          <w:szCs w:val="21"/>
        </w:rPr>
      </w:pPr>
      <w:r>
        <w:rPr>
          <w:rFonts w:ascii="宋体" w:hAnsi="宋体" w:cs="宋体"/>
          <w:szCs w:val="21"/>
        </w:rPr>
        <w:t>8.2</w:t>
      </w:r>
      <w:r>
        <w:rPr>
          <w:rFonts w:hint="eastAsia" w:ascii="宋体" w:hAnsi="宋体" w:cs="宋体"/>
          <w:szCs w:val="21"/>
        </w:rPr>
        <w:t>除</w:t>
      </w:r>
      <w:r>
        <w:rPr>
          <w:rFonts w:ascii="宋体" w:hAnsi="宋体" w:cs="宋体"/>
          <w:szCs w:val="21"/>
        </w:rPr>
        <w:t>8.1</w:t>
      </w:r>
      <w:r>
        <w:rPr>
          <w:rFonts w:hint="eastAsia" w:ascii="宋体" w:hAnsi="宋体" w:cs="宋体"/>
          <w:szCs w:val="21"/>
        </w:rPr>
        <w:t>内容外，采购人以书面形式发出的对招标文件的澄清或修改内容，均为招标文件的组成部分，对采购人和投标人起约束作用。</w:t>
      </w:r>
    </w:p>
    <w:p>
      <w:pPr>
        <w:adjustRightInd w:val="0"/>
        <w:snapToGrid w:val="0"/>
        <w:spacing w:before="50" w:after="50" w:line="440" w:lineRule="exact"/>
        <w:rPr>
          <w:rFonts w:ascii="宋体" w:cs="宋体"/>
          <w:szCs w:val="21"/>
        </w:rPr>
      </w:pPr>
      <w:r>
        <w:rPr>
          <w:rFonts w:ascii="宋体" w:hAnsi="宋体" w:cs="宋体"/>
          <w:szCs w:val="21"/>
        </w:rPr>
        <w:t xml:space="preserve">    8.3</w:t>
      </w:r>
      <w:r>
        <w:rPr>
          <w:rFonts w:hint="eastAsia" w:ascii="宋体" w:hAnsi="宋体" w:cs="宋体"/>
          <w:szCs w:val="21"/>
        </w:rPr>
        <w:t>上述所列</w:t>
      </w:r>
      <w:r>
        <w:rPr>
          <w:rFonts w:ascii="宋体" w:hAnsi="宋体" w:cs="宋体"/>
          <w:szCs w:val="21"/>
        </w:rPr>
        <w:t>8.1</w:t>
      </w:r>
      <w:r>
        <w:rPr>
          <w:rFonts w:hint="eastAsia" w:ascii="宋体" w:hAnsi="宋体" w:cs="宋体"/>
          <w:szCs w:val="21"/>
        </w:rPr>
        <w:t>及</w:t>
      </w:r>
      <w:r>
        <w:rPr>
          <w:rFonts w:ascii="宋体" w:hAnsi="宋体" w:cs="宋体"/>
          <w:szCs w:val="21"/>
        </w:rPr>
        <w:t>8.2</w:t>
      </w:r>
      <w:r>
        <w:rPr>
          <w:rFonts w:hint="eastAsia" w:ascii="宋体" w:hAnsi="宋体" w:cs="宋体"/>
          <w:szCs w:val="21"/>
        </w:rPr>
        <w:t>条内容均以书面文件为准，采购人（招标代理机构）的任何工作人员对投标人所作的任何口头解释、介绍、答复，对采购人和投标人无任何约束力。</w:t>
      </w:r>
    </w:p>
    <w:p>
      <w:pPr>
        <w:adjustRightInd w:val="0"/>
        <w:snapToGrid w:val="0"/>
        <w:spacing w:before="50" w:after="50" w:line="440" w:lineRule="exact"/>
        <w:ind w:firstLine="420" w:firstLineChars="200"/>
        <w:rPr>
          <w:rFonts w:ascii="宋体" w:cs="宋体"/>
          <w:szCs w:val="21"/>
        </w:rPr>
      </w:pPr>
      <w:r>
        <w:rPr>
          <w:rFonts w:ascii="宋体" w:hAnsi="宋体" w:cs="宋体"/>
          <w:szCs w:val="21"/>
        </w:rPr>
        <w:t>8.4</w:t>
      </w:r>
      <w:r>
        <w:rPr>
          <w:rFonts w:hint="eastAsia" w:ascii="宋体" w:hAnsi="宋体" w:cs="宋体"/>
          <w:b/>
          <w:bCs/>
          <w:szCs w:val="21"/>
        </w:rPr>
        <w:t>投标单位应认真阅读投标须知、合同条件、规定格式、项目要求、报价要求等招标文件所有的内容。如果投标单位的投标文件不能符合招标文件的要求，责任由投标单位自负。实质上不响应招标文件要求的投标文件将被拒绝。</w:t>
      </w:r>
    </w:p>
    <w:p>
      <w:pPr>
        <w:adjustRightInd w:val="0"/>
        <w:snapToGrid w:val="0"/>
        <w:spacing w:before="50" w:after="50" w:line="440" w:lineRule="exact"/>
        <w:ind w:firstLine="422" w:firstLineChars="200"/>
        <w:rPr>
          <w:rFonts w:ascii="宋体" w:cs="宋体"/>
          <w:b/>
          <w:bCs/>
          <w:szCs w:val="21"/>
        </w:rPr>
      </w:pPr>
      <w:r>
        <w:rPr>
          <w:rFonts w:ascii="宋体" w:hAnsi="宋体" w:cs="宋体"/>
          <w:b/>
          <w:bCs/>
          <w:szCs w:val="21"/>
        </w:rPr>
        <w:t>9</w:t>
      </w:r>
      <w:r>
        <w:rPr>
          <w:rFonts w:hint="eastAsia" w:ascii="宋体" w:hAnsi="宋体" w:cs="宋体"/>
          <w:b/>
          <w:bCs/>
          <w:szCs w:val="21"/>
        </w:rPr>
        <w:t>、招标文件的澄清</w:t>
      </w:r>
    </w:p>
    <w:p>
      <w:pPr>
        <w:pStyle w:val="17"/>
        <w:spacing w:line="440" w:lineRule="exact"/>
        <w:ind w:firstLine="420" w:firstLineChars="200"/>
        <w:rPr>
          <w:rFonts w:hAnsi="宋体" w:cs="宋体"/>
        </w:rPr>
      </w:pPr>
      <w:r>
        <w:rPr>
          <w:rFonts w:hAnsi="宋体" w:cs="宋体"/>
        </w:rPr>
        <w:t>9.1</w:t>
      </w:r>
      <w:r>
        <w:rPr>
          <w:rFonts w:hint="eastAsia" w:hAnsi="宋体" w:cs="宋体"/>
        </w:rPr>
        <w:t>投标人若对招标文件有任何疑问，应于前附表规定的时间以书面形式送（传真）向采购人和代理机构提出。</w:t>
      </w:r>
    </w:p>
    <w:p>
      <w:pPr>
        <w:pStyle w:val="17"/>
        <w:spacing w:line="440" w:lineRule="exact"/>
        <w:ind w:firstLine="420" w:firstLineChars="200"/>
        <w:rPr>
          <w:rFonts w:hAnsi="宋体" w:cs="宋体"/>
        </w:rPr>
      </w:pPr>
      <w:r>
        <w:rPr>
          <w:rFonts w:hAnsi="宋体" w:cs="宋体"/>
        </w:rPr>
        <w:t>9.2</w:t>
      </w:r>
      <w:r>
        <w:rPr>
          <w:rFonts w:hint="eastAsia" w:hAnsi="宋体" w:cs="宋体"/>
        </w:rPr>
        <w:t>无论是采购人根据需要主动对招标文件进行必要澄清，或是根据投标人的要求对招标文件做出澄清，采购人都将答疑；答疑内容是招标文件的组成部份。</w:t>
      </w:r>
    </w:p>
    <w:p>
      <w:pPr>
        <w:pStyle w:val="17"/>
        <w:spacing w:line="440" w:lineRule="exact"/>
        <w:ind w:firstLine="420" w:firstLineChars="200"/>
        <w:rPr>
          <w:rFonts w:hAnsi="宋体" w:cs="宋体"/>
        </w:rPr>
      </w:pPr>
      <w:r>
        <w:rPr>
          <w:rFonts w:hint="eastAsia" w:hAnsi="宋体" w:cs="宋体"/>
        </w:rPr>
        <w:t>同时将书面澄清文件向所有投标人发送。投标人在收到该澄清文件后应于</w:t>
      </w:r>
      <w:r>
        <w:rPr>
          <w:rFonts w:hAnsi="宋体" w:cs="宋体"/>
        </w:rPr>
        <w:t xml:space="preserve"> </w:t>
      </w:r>
      <w:r>
        <w:rPr>
          <w:rFonts w:hint="eastAsia" w:hAnsi="宋体" w:cs="宋体"/>
        </w:rPr>
        <w:t>一</w:t>
      </w:r>
      <w:r>
        <w:rPr>
          <w:rFonts w:hAnsi="宋体" w:cs="宋体"/>
        </w:rPr>
        <w:t xml:space="preserve"> </w:t>
      </w:r>
      <w:r>
        <w:rPr>
          <w:rFonts w:hint="eastAsia" w:hAnsi="宋体" w:cs="宋体"/>
        </w:rPr>
        <w:t>日内，以书面或传真形式（签署意见并加盖公章）向招标代理机构回函给予确认。过期未回复的，视为默认接收。</w:t>
      </w:r>
    </w:p>
    <w:p>
      <w:pPr>
        <w:pStyle w:val="17"/>
        <w:spacing w:line="440" w:lineRule="exact"/>
        <w:ind w:firstLine="420" w:firstLineChars="200"/>
        <w:rPr>
          <w:rFonts w:hAnsi="宋体" w:cs="宋体"/>
        </w:rPr>
      </w:pPr>
      <w:r>
        <w:rPr>
          <w:rFonts w:hAnsi="宋体" w:cs="宋体"/>
        </w:rPr>
        <w:t>9.3</w:t>
      </w:r>
      <w:r>
        <w:rPr>
          <w:rFonts w:hint="eastAsia" w:hAnsi="宋体" w:cs="宋体"/>
        </w:rPr>
        <w:t>投标单位在前附表规定时间未提交疑问的，视作默认对本次招标过程中招标文件无异议，采购人对其提出的问题可以不作解释。</w:t>
      </w:r>
    </w:p>
    <w:p>
      <w:pPr>
        <w:spacing w:line="440" w:lineRule="exact"/>
        <w:ind w:firstLine="420" w:firstLineChars="200"/>
        <w:textAlignment w:val="baseline"/>
        <w:rPr>
          <w:rFonts w:ascii="宋体" w:cs="宋体"/>
          <w:spacing w:val="-4"/>
          <w:szCs w:val="21"/>
        </w:rPr>
      </w:pPr>
      <w:r>
        <w:rPr>
          <w:rFonts w:ascii="宋体" w:hAnsi="宋体" w:cs="宋体"/>
          <w:szCs w:val="21"/>
        </w:rPr>
        <w:t>9.4</w:t>
      </w:r>
      <w:r>
        <w:rPr>
          <w:rFonts w:hint="eastAsia" w:ascii="宋体" w:hAnsi="宋体" w:cs="宋体"/>
          <w:spacing w:val="-4"/>
          <w:szCs w:val="21"/>
        </w:rPr>
        <w:t>招标文件澄清、修改、补充等内容均以书面形式明确的内容为准。当招标文件、招标文件的澄清、修改、补充等在同一内容的表述上不一致时，以最后发出的书面文件为准。</w:t>
      </w:r>
    </w:p>
    <w:p>
      <w:pPr>
        <w:spacing w:before="50" w:after="50" w:line="440" w:lineRule="exact"/>
        <w:ind w:firstLine="404" w:firstLineChars="200"/>
        <w:rPr>
          <w:rFonts w:ascii="宋体" w:cs="宋体"/>
          <w:spacing w:val="-6"/>
          <w:szCs w:val="21"/>
        </w:rPr>
      </w:pPr>
      <w:r>
        <w:rPr>
          <w:rFonts w:ascii="宋体" w:hAnsi="宋体" w:cs="宋体"/>
          <w:bCs/>
          <w:spacing w:val="-4"/>
          <w:szCs w:val="21"/>
        </w:rPr>
        <w:t>9.5</w:t>
      </w:r>
      <w:r>
        <w:rPr>
          <w:rFonts w:hint="eastAsia" w:ascii="宋体" w:hAnsi="宋体" w:cs="宋体"/>
          <w:spacing w:val="-6"/>
          <w:szCs w:val="21"/>
        </w:rPr>
        <w:t>采购人及招标代理机构工作人员向投标人所作的任何口头答复或电话通知一律无效。</w:t>
      </w:r>
    </w:p>
    <w:p>
      <w:pPr>
        <w:spacing w:line="440" w:lineRule="exact"/>
        <w:ind w:firstLine="404" w:firstLineChars="200"/>
        <w:textAlignment w:val="baseline"/>
        <w:rPr>
          <w:rFonts w:ascii="宋体" w:cs="宋体"/>
          <w:spacing w:val="-4"/>
          <w:szCs w:val="21"/>
        </w:rPr>
      </w:pPr>
      <w:r>
        <w:rPr>
          <w:rFonts w:ascii="宋体" w:hAnsi="宋体" w:cs="宋体"/>
          <w:spacing w:val="-4"/>
          <w:szCs w:val="21"/>
        </w:rPr>
        <w:t>9.6</w:t>
      </w:r>
      <w:r>
        <w:rPr>
          <w:rFonts w:hint="eastAsia" w:ascii="宋体" w:hAnsi="宋体" w:cs="宋体"/>
          <w:spacing w:val="-4"/>
          <w:szCs w:val="21"/>
        </w:rPr>
        <w:t>投标人应仔细阅读和检查招标文件的全部内容。如发现缺页或附件不全，应及时向采购人提出，以便补齐。如有疑问，应在投标人须知前附表规定的方式及时间前不署名书面或传真形式要求澄清问题的文件，要求采购人对招标文件予以澄清。否则，由此引起的损失由投标人自己承担。</w:t>
      </w:r>
    </w:p>
    <w:p>
      <w:pPr>
        <w:pStyle w:val="4"/>
        <w:spacing w:before="120" w:after="120" w:line="460" w:lineRule="exact"/>
        <w:rPr>
          <w:rFonts w:ascii="宋体" w:hAnsi="宋体" w:eastAsia="宋体" w:cs="宋体"/>
          <w:sz w:val="21"/>
          <w:szCs w:val="21"/>
        </w:rPr>
      </w:pPr>
      <w:bookmarkStart w:id="19" w:name="_Toc362250689"/>
      <w:bookmarkStart w:id="20" w:name="_Toc10224"/>
      <w:bookmarkStart w:id="21" w:name="_Toc274303231"/>
      <w:bookmarkStart w:id="22" w:name="_Toc31250"/>
      <w:r>
        <w:rPr>
          <w:rFonts w:hint="eastAsia" w:ascii="宋体" w:hAnsi="宋体" w:eastAsia="宋体" w:cs="宋体"/>
          <w:sz w:val="21"/>
          <w:szCs w:val="21"/>
        </w:rPr>
        <w:t>三、投标文件</w:t>
      </w:r>
      <w:bookmarkEnd w:id="19"/>
      <w:bookmarkEnd w:id="20"/>
      <w:bookmarkEnd w:id="21"/>
      <w:bookmarkEnd w:id="22"/>
    </w:p>
    <w:p>
      <w:pPr>
        <w:adjustRightInd w:val="0"/>
        <w:snapToGrid w:val="0"/>
        <w:spacing w:line="460" w:lineRule="exact"/>
        <w:ind w:firstLine="422" w:firstLineChars="200"/>
        <w:rPr>
          <w:rFonts w:ascii="宋体" w:cs="宋体"/>
          <w:szCs w:val="21"/>
        </w:rPr>
      </w:pPr>
      <w:r>
        <w:rPr>
          <w:rFonts w:ascii="宋体" w:hAnsi="宋体" w:cs="宋体"/>
          <w:b/>
          <w:szCs w:val="21"/>
        </w:rPr>
        <w:t>10</w:t>
      </w:r>
      <w:r>
        <w:rPr>
          <w:rFonts w:hint="eastAsia" w:ascii="宋体" w:hAnsi="宋体" w:cs="宋体"/>
          <w:b/>
          <w:szCs w:val="21"/>
        </w:rPr>
        <w:t>、</w:t>
      </w:r>
      <w:r>
        <w:rPr>
          <w:rFonts w:hint="eastAsia" w:ascii="宋体" w:hAnsi="宋体" w:cs="宋体"/>
          <w:b/>
          <w:bCs/>
          <w:szCs w:val="21"/>
        </w:rPr>
        <w:t>投标文件的语言及度量衡单位</w:t>
      </w:r>
    </w:p>
    <w:p>
      <w:pPr>
        <w:adjustRightInd w:val="0"/>
        <w:snapToGrid w:val="0"/>
        <w:spacing w:line="460" w:lineRule="exact"/>
        <w:ind w:firstLine="420" w:firstLineChars="200"/>
        <w:rPr>
          <w:rFonts w:ascii="宋体" w:cs="宋体"/>
          <w:szCs w:val="21"/>
        </w:rPr>
      </w:pPr>
      <w:r>
        <w:rPr>
          <w:rFonts w:ascii="宋体" w:hAnsi="宋体" w:cs="宋体"/>
          <w:szCs w:val="21"/>
        </w:rPr>
        <w:t>10.1</w:t>
      </w:r>
      <w:r>
        <w:rPr>
          <w:rFonts w:hint="eastAsia" w:ascii="宋体" w:hAnsi="宋体" w:cs="宋体"/>
          <w:szCs w:val="21"/>
        </w:rPr>
        <w:t>投标文件和与投标有关的所有文件均应使用汉语。</w:t>
      </w:r>
    </w:p>
    <w:p>
      <w:pPr>
        <w:pStyle w:val="17"/>
        <w:spacing w:line="460" w:lineRule="exact"/>
        <w:ind w:firstLine="420" w:firstLineChars="200"/>
        <w:rPr>
          <w:rFonts w:hAnsi="宋体" w:cs="宋体"/>
        </w:rPr>
      </w:pPr>
      <w:r>
        <w:rPr>
          <w:rFonts w:hAnsi="宋体" w:cs="宋体"/>
        </w:rPr>
        <w:t>10.2</w:t>
      </w:r>
      <w:r>
        <w:rPr>
          <w:rFonts w:hint="eastAsia" w:hAnsi="宋体" w:cs="宋体"/>
        </w:rPr>
        <w:t>除工程规范另有规定外，投标文件使用的度量衡单位，均采用中华人民共和国法定计量单位。</w:t>
      </w:r>
    </w:p>
    <w:p>
      <w:pPr>
        <w:spacing w:line="460" w:lineRule="exact"/>
        <w:ind w:firstLine="422" w:firstLineChars="200"/>
        <w:rPr>
          <w:rFonts w:ascii="宋体" w:cs="宋体"/>
          <w:kern w:val="0"/>
          <w:szCs w:val="21"/>
        </w:rPr>
      </w:pPr>
      <w:r>
        <w:rPr>
          <w:rFonts w:ascii="宋体" w:hAnsi="宋体" w:cs="宋体"/>
          <w:b/>
          <w:bCs/>
          <w:szCs w:val="21"/>
        </w:rPr>
        <w:t>11</w:t>
      </w:r>
      <w:r>
        <w:rPr>
          <w:rFonts w:hint="eastAsia" w:ascii="宋体" w:hAnsi="宋体" w:cs="宋体"/>
          <w:b/>
          <w:bCs/>
          <w:szCs w:val="21"/>
        </w:rPr>
        <w:t>、对投标文件的要求</w:t>
      </w:r>
    </w:p>
    <w:p>
      <w:pPr>
        <w:pStyle w:val="27"/>
        <w:spacing w:line="460" w:lineRule="exact"/>
        <w:jc w:val="left"/>
        <w:textAlignment w:val="baseline"/>
        <w:rPr>
          <w:rFonts w:ascii="宋体" w:cs="宋体"/>
          <w:kern w:val="0"/>
          <w:szCs w:val="21"/>
        </w:rPr>
      </w:pPr>
      <w:r>
        <w:rPr>
          <w:rFonts w:hint="eastAsia" w:ascii="宋体" w:hAnsi="宋体" w:cs="宋体"/>
          <w:kern w:val="0"/>
          <w:szCs w:val="21"/>
        </w:rPr>
        <w:t xml:space="preserve">    </w:t>
      </w:r>
      <w:r>
        <w:rPr>
          <w:rFonts w:ascii="宋体" w:hAnsi="宋体" w:cs="宋体"/>
          <w:kern w:val="0"/>
          <w:szCs w:val="21"/>
        </w:rPr>
        <w:t>11.1</w:t>
      </w:r>
      <w:r>
        <w:rPr>
          <w:rFonts w:hint="eastAsia" w:ascii="宋体" w:hAnsi="宋体" w:cs="宋体"/>
          <w:kern w:val="0"/>
          <w:szCs w:val="21"/>
        </w:rPr>
        <w:t>投标人应仔细阅读招标文件，了解招标文件的要求，在完全了解招标项目的技术要求和商务要求后，编制投标文件。</w:t>
      </w:r>
    </w:p>
    <w:p>
      <w:pPr>
        <w:pStyle w:val="15"/>
        <w:spacing w:line="460" w:lineRule="exact"/>
        <w:ind w:left="1" w:firstLine="417" w:firstLineChars="198"/>
        <w:jc w:val="both"/>
        <w:rPr>
          <w:rFonts w:cs="宋体"/>
          <w:color w:val="auto"/>
          <w:kern w:val="0"/>
          <w:sz w:val="21"/>
          <w:szCs w:val="21"/>
        </w:rPr>
      </w:pPr>
      <w:r>
        <w:rPr>
          <w:rFonts w:cs="宋体"/>
          <w:color w:val="auto"/>
          <w:kern w:val="0"/>
          <w:sz w:val="21"/>
          <w:szCs w:val="21"/>
        </w:rPr>
        <w:t>11.2</w:t>
      </w:r>
      <w:r>
        <w:rPr>
          <w:rFonts w:hint="eastAsia" w:cs="宋体"/>
          <w:color w:val="auto"/>
          <w:kern w:val="0"/>
          <w:sz w:val="21"/>
          <w:szCs w:val="21"/>
        </w:rPr>
        <w:t>编制投标文件时，投标人对招标文件中技术及商务要求须逐条逐项作出实质性回答。</w:t>
      </w:r>
    </w:p>
    <w:p>
      <w:pPr>
        <w:spacing w:line="460" w:lineRule="exact"/>
        <w:ind w:firstLine="480"/>
        <w:rPr>
          <w:rFonts w:ascii="宋体" w:cs="宋体"/>
          <w:szCs w:val="21"/>
        </w:rPr>
      </w:pPr>
      <w:r>
        <w:rPr>
          <w:rFonts w:ascii="宋体" w:hAnsi="宋体" w:cs="宋体"/>
          <w:szCs w:val="21"/>
        </w:rPr>
        <w:t xml:space="preserve">11.3 </w:t>
      </w:r>
      <w:r>
        <w:rPr>
          <w:rFonts w:hint="eastAsia" w:ascii="宋体" w:hAnsi="宋体" w:cs="宋体"/>
          <w:szCs w:val="21"/>
        </w:rPr>
        <w:t>在招标文件对技术要求中，投标人必须充分应答和满足用户的强制性的需求，如“★”等，否则将导致废标。</w:t>
      </w:r>
    </w:p>
    <w:p>
      <w:pPr>
        <w:spacing w:line="460" w:lineRule="exact"/>
        <w:ind w:firstLine="480"/>
        <w:rPr>
          <w:rFonts w:ascii="宋体" w:cs="宋体"/>
          <w:bCs/>
          <w:szCs w:val="21"/>
        </w:rPr>
      </w:pPr>
      <w:r>
        <w:rPr>
          <w:rFonts w:ascii="宋体" w:hAnsi="宋体" w:cs="宋体"/>
          <w:szCs w:val="21"/>
        </w:rPr>
        <w:t>11.4</w:t>
      </w:r>
      <w:r>
        <w:rPr>
          <w:rFonts w:hint="eastAsia" w:ascii="宋体" w:hAnsi="宋体" w:cs="宋体"/>
          <w:bCs/>
          <w:szCs w:val="21"/>
        </w:rPr>
        <w:t>投标人应提供证明其拟提供的货物及其辅助服务的合格性及符合招标文件规定的文件，作为其投标文件的一部分。</w:t>
      </w:r>
    </w:p>
    <w:p>
      <w:pPr>
        <w:spacing w:line="460" w:lineRule="exact"/>
        <w:ind w:firstLine="480"/>
        <w:rPr>
          <w:rFonts w:ascii="宋体" w:cs="宋体"/>
          <w:szCs w:val="21"/>
        </w:rPr>
      </w:pPr>
      <w:r>
        <w:rPr>
          <w:rFonts w:ascii="宋体" w:hAnsi="宋体" w:cs="宋体"/>
          <w:bCs/>
          <w:szCs w:val="21"/>
        </w:rPr>
        <w:t>11.5</w:t>
      </w:r>
      <w:r>
        <w:rPr>
          <w:rFonts w:hint="eastAsia" w:ascii="宋体" w:hAnsi="宋体" w:cs="宋体"/>
          <w:szCs w:val="21"/>
        </w:rPr>
        <w:t>货物简要说明中对货物和服务原产地的说明，并应有原产地证书证明，进口货物必须有进口产品的商检证明、报关单等资料。</w:t>
      </w:r>
    </w:p>
    <w:p>
      <w:pPr>
        <w:spacing w:line="460" w:lineRule="exact"/>
        <w:ind w:firstLine="480"/>
        <w:rPr>
          <w:rFonts w:ascii="宋体" w:cs="宋体"/>
          <w:szCs w:val="21"/>
        </w:rPr>
      </w:pPr>
      <w:r>
        <w:rPr>
          <w:rFonts w:ascii="宋体" w:hAnsi="宋体" w:cs="宋体"/>
          <w:szCs w:val="21"/>
        </w:rPr>
        <w:t>11.6</w:t>
      </w:r>
      <w:r>
        <w:rPr>
          <w:rFonts w:hint="eastAsia" w:ascii="宋体" w:hAnsi="宋体" w:cs="宋体"/>
          <w:szCs w:val="21"/>
        </w:rPr>
        <w:t>投标人在阐述货物和服务与招标文件的要求相一致的资料时应注意采购人和招标代理机构在技术与商务要求中指出的工艺、材料和设备的标准以及参照的牌号或分类号仅起说明作用，并没有任何限制投标人在响应中可以选用替代标准、牌号或分类号，但这些替代要实质上相当于招标文件的要求，并使采购人满意。</w:t>
      </w:r>
    </w:p>
    <w:p>
      <w:pPr>
        <w:spacing w:line="460" w:lineRule="exact"/>
        <w:ind w:firstLine="420" w:firstLineChars="200"/>
        <w:rPr>
          <w:rFonts w:ascii="宋体" w:cs="宋体"/>
          <w:szCs w:val="21"/>
        </w:rPr>
      </w:pPr>
      <w:r>
        <w:rPr>
          <w:rFonts w:ascii="宋体" w:hAnsi="宋体" w:cs="宋体"/>
          <w:szCs w:val="21"/>
        </w:rPr>
        <w:t>11.7</w:t>
      </w:r>
      <w:r>
        <w:rPr>
          <w:rFonts w:hint="eastAsia" w:ascii="宋体" w:hAnsi="宋体" w:cs="宋体"/>
          <w:szCs w:val="21"/>
        </w:rPr>
        <w:t>编制的投标文件对招标文件中有关条款未提出异议的，均被视为接受和同意。</w:t>
      </w:r>
    </w:p>
    <w:p>
      <w:pPr>
        <w:spacing w:line="460" w:lineRule="exact"/>
        <w:ind w:firstLine="422" w:firstLineChars="200"/>
        <w:rPr>
          <w:rFonts w:ascii="宋体" w:cs="宋体"/>
          <w:b/>
          <w:bCs/>
          <w:szCs w:val="21"/>
        </w:rPr>
      </w:pPr>
      <w:r>
        <w:rPr>
          <w:rFonts w:ascii="宋体" w:hAnsi="宋体" w:cs="宋体"/>
          <w:b/>
          <w:bCs/>
          <w:szCs w:val="21"/>
        </w:rPr>
        <w:t>12</w:t>
      </w:r>
      <w:r>
        <w:rPr>
          <w:rFonts w:hint="eastAsia" w:ascii="宋体" w:hAnsi="宋体" w:cs="宋体"/>
          <w:b/>
          <w:bCs/>
          <w:szCs w:val="21"/>
        </w:rPr>
        <w:t>、投标文件的组成</w:t>
      </w:r>
    </w:p>
    <w:p>
      <w:pPr>
        <w:spacing w:line="360" w:lineRule="auto"/>
        <w:ind w:firstLine="420" w:firstLineChars="200"/>
        <w:rPr>
          <w:rFonts w:ascii="宋体" w:cs="宋体"/>
          <w:szCs w:val="21"/>
        </w:rPr>
      </w:pPr>
      <w:r>
        <w:rPr>
          <w:rFonts w:ascii="宋体" w:hAnsi="宋体" w:cs="宋体"/>
          <w:szCs w:val="21"/>
        </w:rPr>
        <w:t xml:space="preserve">12.1 </w:t>
      </w:r>
      <w:r>
        <w:rPr>
          <w:rFonts w:hint="eastAsia" w:ascii="宋体" w:hAnsi="宋体" w:cs="宋体"/>
          <w:szCs w:val="21"/>
        </w:rPr>
        <w:t>招标文件“投标文件部分格式”所列的内容、格式及其投标人认为有必要提供的其他文件。</w:t>
      </w:r>
    </w:p>
    <w:p>
      <w:pPr>
        <w:spacing w:line="360" w:lineRule="auto"/>
        <w:ind w:firstLine="422" w:firstLineChars="200"/>
        <w:rPr>
          <w:rFonts w:ascii="宋体" w:cs="宋体"/>
          <w:b/>
          <w:szCs w:val="21"/>
          <w:highlight w:val="none"/>
        </w:rPr>
      </w:pPr>
      <w:r>
        <w:rPr>
          <w:rFonts w:ascii="宋体" w:hAnsi="宋体" w:cs="宋体"/>
          <w:b/>
          <w:szCs w:val="21"/>
          <w:highlight w:val="none"/>
        </w:rPr>
        <w:t xml:space="preserve">12.2 </w:t>
      </w:r>
      <w:r>
        <w:rPr>
          <w:rFonts w:hint="eastAsia" w:ascii="宋体" w:hAnsi="宋体" w:cs="宋体"/>
          <w:b/>
          <w:bCs/>
          <w:szCs w:val="21"/>
          <w:highlight w:val="none"/>
        </w:rPr>
        <w:t>投标文件由资格响应文件、商务技术响应文件和报价响应文件组成，以下的“格式”，指的是第八章投标文件格式中的表格；</w:t>
      </w:r>
    </w:p>
    <w:p>
      <w:pPr>
        <w:pStyle w:val="17"/>
        <w:spacing w:line="360" w:lineRule="auto"/>
        <w:ind w:firstLine="422" w:firstLineChars="200"/>
        <w:rPr>
          <w:rFonts w:hint="eastAsia" w:hAnsi="宋体" w:cs="宋体"/>
          <w:b/>
          <w:bCs/>
          <w:highlight w:val="none"/>
          <w:u w:val="single"/>
          <w:lang w:val="en-US" w:eastAsia="zh-CN"/>
        </w:rPr>
      </w:pPr>
      <w:r>
        <w:rPr>
          <w:rFonts w:hint="eastAsia" w:ascii="宋体" w:hAnsi="宋体" w:cs="宋体"/>
          <w:b/>
          <w:bCs/>
          <w:szCs w:val="21"/>
          <w:highlight w:val="none"/>
        </w:rPr>
        <w:t>12.</w:t>
      </w:r>
      <w:r>
        <w:rPr>
          <w:rFonts w:hint="eastAsia" w:hAnsi="宋体" w:cs="宋体"/>
          <w:b/>
          <w:bCs/>
          <w:szCs w:val="21"/>
          <w:highlight w:val="none"/>
          <w:lang w:val="en-US" w:eastAsia="zh-CN"/>
        </w:rPr>
        <w:t>2</w:t>
      </w:r>
      <w:r>
        <w:rPr>
          <w:rFonts w:hint="eastAsia" w:ascii="宋体" w:hAnsi="宋体" w:cs="宋体"/>
          <w:b/>
          <w:bCs/>
          <w:szCs w:val="21"/>
          <w:highlight w:val="none"/>
        </w:rPr>
        <w:t xml:space="preserve">.1 </w:t>
      </w:r>
      <w:r>
        <w:rPr>
          <w:rFonts w:hint="eastAsia" w:hAnsi="宋体" w:cs="宋体"/>
          <w:b/>
          <w:bCs/>
          <w:highlight w:val="none"/>
        </w:rPr>
        <w:t>资格响应文件</w:t>
      </w:r>
      <w:r>
        <w:rPr>
          <w:rFonts w:hint="eastAsia" w:hAnsi="宋体" w:cs="宋体"/>
          <w:b/>
          <w:bCs/>
          <w:highlight w:val="none"/>
          <w:lang w:eastAsia="zh-CN"/>
        </w:rPr>
        <w:t>：</w:t>
      </w:r>
      <w:r>
        <w:rPr>
          <w:rFonts w:hint="eastAsia" w:ascii="宋体" w:hAnsi="宋体" w:cs="宋体"/>
          <w:szCs w:val="21"/>
          <w:highlight w:val="none"/>
        </w:rPr>
        <w:t>投标方资格、资信合格性的有关证明及资料（提供的证明文件需在有效期内，过期的文件无效）：投标人应提交证明其有资格参加投标和中标后有能力履行合同的文件，并作为其投标文件的一部分；投标人提交的合格性的证明文件应使招标方满意，投标人在投标时应是符合条件的投标人。</w:t>
      </w:r>
      <w:r>
        <w:rPr>
          <w:rFonts w:hint="eastAsia" w:hAnsi="宋体" w:cs="宋体"/>
          <w:b/>
          <w:bCs/>
          <w:highlight w:val="none"/>
        </w:rPr>
        <w:t>应包括下列内容（并不仅限于以下）：</w:t>
      </w:r>
      <w:r>
        <w:rPr>
          <w:rFonts w:hint="eastAsia" w:hAnsi="宋体" w:cs="宋体"/>
          <w:b/>
          <w:bCs/>
          <w:highlight w:val="none"/>
          <w:u w:val="single"/>
        </w:rPr>
        <w:t>(提供的所有证书应在有效期内，过期的文件无效)</w:t>
      </w:r>
      <w:r>
        <w:rPr>
          <w:rFonts w:hint="eastAsia" w:hAnsi="宋体" w:cs="宋体"/>
          <w:b/>
          <w:bCs/>
          <w:highlight w:val="none"/>
          <w:u w:val="single"/>
          <w:lang w:val="en-US" w:eastAsia="zh-CN"/>
        </w:rPr>
        <w:t xml:space="preserve"> </w:t>
      </w:r>
    </w:p>
    <w:p>
      <w:pPr>
        <w:pStyle w:val="17"/>
        <w:spacing w:line="360" w:lineRule="auto"/>
        <w:ind w:firstLine="420" w:firstLineChars="200"/>
        <w:rPr>
          <w:rFonts w:hint="eastAsia" w:hAnsi="宋体" w:cs="宋体"/>
          <w:color w:val="auto"/>
          <w:u w:val="none"/>
          <w:lang w:val="zh-CN"/>
        </w:rPr>
      </w:pPr>
      <w:r>
        <w:rPr>
          <w:rFonts w:hint="eastAsia" w:ascii="宋体" w:hAnsi="宋体" w:cs="宋体"/>
          <w:b w:val="0"/>
          <w:bCs w:val="0"/>
          <w:highlight w:val="none"/>
          <w:u w:val="none"/>
        </w:rPr>
        <w:t>★</w:t>
      </w:r>
      <w:r>
        <w:rPr>
          <w:rFonts w:hint="eastAsia" w:ascii="宋体" w:hAnsi="宋体" w:cs="宋体"/>
          <w:lang w:val="zh-CN"/>
        </w:rPr>
        <w:t>（</w:t>
      </w:r>
      <w:r>
        <w:rPr>
          <w:rFonts w:hint="eastAsia" w:ascii="宋体" w:hAnsi="宋体" w:cs="宋体"/>
          <w:lang w:val="en-US" w:eastAsia="zh-CN"/>
        </w:rPr>
        <w:t>1</w:t>
      </w:r>
      <w:r>
        <w:rPr>
          <w:rFonts w:hint="eastAsia" w:ascii="宋体" w:hAnsi="宋体" w:cs="宋体"/>
          <w:lang w:val="zh-CN"/>
        </w:rPr>
        <w:t>）在“全国企业信用信息公示系统”（网址：</w:t>
      </w:r>
      <w:r>
        <w:rPr>
          <w:rFonts w:hint="eastAsia" w:ascii="宋体" w:hAnsi="宋体" w:cs="宋体"/>
          <w:color w:val="auto"/>
          <w:u w:val="none"/>
          <w:lang w:val="zh-CN"/>
        </w:rPr>
        <w:t>http://gsxt.saic.gov.cn/）上的单位详细信息打印件（须加盖投标单位</w:t>
      </w:r>
      <w:r>
        <w:rPr>
          <w:rFonts w:hint="eastAsia" w:ascii="宋体" w:hAnsi="宋体" w:cs="宋体"/>
          <w:color w:val="auto"/>
          <w:u w:val="none"/>
          <w:lang w:val="en-US" w:eastAsia="zh-CN"/>
        </w:rPr>
        <w:t>电子签</w:t>
      </w:r>
      <w:r>
        <w:rPr>
          <w:rFonts w:hint="eastAsia" w:ascii="宋体" w:hAnsi="宋体" w:cs="宋体"/>
          <w:color w:val="auto"/>
          <w:u w:val="none"/>
          <w:lang w:val="zh-CN"/>
        </w:rPr>
        <w:t>章），或单位营业执照副本复印件等证明文件</w:t>
      </w:r>
      <w:r>
        <w:rPr>
          <w:rFonts w:hint="eastAsia" w:hAnsi="宋体" w:cs="宋体"/>
          <w:color w:val="auto"/>
          <w:u w:val="none"/>
          <w:lang w:val="zh-CN"/>
        </w:rPr>
        <w:t>；</w:t>
      </w:r>
    </w:p>
    <w:p>
      <w:pPr>
        <w:pStyle w:val="17"/>
        <w:spacing w:line="360" w:lineRule="auto"/>
        <w:ind w:firstLine="420" w:firstLineChars="200"/>
        <w:rPr>
          <w:rFonts w:hint="eastAsia" w:ascii="宋体" w:hAnsi="宋体" w:cs="宋体"/>
          <w:b w:val="0"/>
          <w:bCs w:val="0"/>
          <w:szCs w:val="21"/>
          <w:highlight w:val="none"/>
          <w:u w:val="none"/>
          <w:lang w:eastAsia="zh-CN"/>
        </w:rPr>
      </w:pPr>
      <w:r>
        <w:rPr>
          <w:rFonts w:hint="eastAsia" w:ascii="宋体" w:hAnsi="宋体" w:cs="宋体"/>
          <w:b w:val="0"/>
          <w:bCs w:val="0"/>
          <w:highlight w:val="none"/>
          <w:u w:val="none"/>
        </w:rPr>
        <w:t>★</w:t>
      </w:r>
      <w:r>
        <w:rPr>
          <w:rFonts w:hint="eastAsia" w:ascii="宋体" w:hAnsi="宋体" w:cs="宋体"/>
          <w:b w:val="0"/>
          <w:bCs w:val="0"/>
          <w:szCs w:val="21"/>
          <w:highlight w:val="none"/>
          <w:u w:val="none"/>
          <w:lang w:eastAsia="zh-CN"/>
        </w:rPr>
        <w:t>（</w:t>
      </w:r>
      <w:r>
        <w:rPr>
          <w:rFonts w:hint="eastAsia" w:ascii="宋体" w:hAnsi="宋体" w:cs="宋体"/>
          <w:b w:val="0"/>
          <w:bCs w:val="0"/>
          <w:szCs w:val="21"/>
          <w:highlight w:val="none"/>
          <w:u w:val="none"/>
          <w:lang w:val="en-US" w:eastAsia="zh-CN"/>
        </w:rPr>
        <w:t>2</w:t>
      </w:r>
      <w:r>
        <w:rPr>
          <w:rFonts w:hint="eastAsia" w:ascii="宋体" w:hAnsi="宋体" w:cs="宋体"/>
          <w:b w:val="0"/>
          <w:bCs w:val="0"/>
          <w:szCs w:val="21"/>
          <w:highlight w:val="none"/>
          <w:u w:val="none"/>
          <w:lang w:eastAsia="zh-CN"/>
        </w:rPr>
        <w:t>）</w:t>
      </w:r>
      <w:r>
        <w:rPr>
          <w:rFonts w:hint="eastAsia" w:ascii="宋体" w:hAnsi="宋体" w:cs="宋体"/>
          <w:b w:val="0"/>
          <w:bCs w:val="0"/>
          <w:szCs w:val="21"/>
          <w:highlight w:val="none"/>
          <w:u w:val="none"/>
        </w:rPr>
        <w:t>义乌市国企采购项目投标承诺书</w:t>
      </w:r>
      <w:r>
        <w:rPr>
          <w:rFonts w:hint="eastAsia" w:ascii="宋体" w:hAnsi="宋体" w:cs="宋体"/>
          <w:b w:val="0"/>
          <w:bCs w:val="0"/>
          <w:szCs w:val="21"/>
          <w:highlight w:val="none"/>
          <w:u w:val="none"/>
          <w:lang w:eastAsia="zh-CN"/>
        </w:rPr>
        <w:t>；</w:t>
      </w:r>
    </w:p>
    <w:p>
      <w:pPr>
        <w:pStyle w:val="17"/>
        <w:spacing w:line="360" w:lineRule="auto"/>
        <w:ind w:firstLine="420" w:firstLineChars="200"/>
        <w:rPr>
          <w:rFonts w:hint="eastAsia" w:ascii="Times New Roman" w:hAnsi="Times New Roman" w:cs="Times New Roman"/>
          <w:lang w:eastAsia="zh-CN"/>
        </w:rPr>
      </w:pPr>
      <w:r>
        <w:rPr>
          <w:rFonts w:hint="eastAsia" w:ascii="宋体" w:hAnsi="宋体" w:cs="宋体"/>
          <w:b w:val="0"/>
          <w:bCs w:val="0"/>
          <w:highlight w:val="none"/>
          <w:u w:val="none"/>
        </w:rPr>
        <w:t>★</w:t>
      </w:r>
      <w:r>
        <w:rPr>
          <w:rFonts w:hint="eastAsia" w:ascii="宋体" w:hAnsi="宋体" w:eastAsia="宋体" w:cs="宋体"/>
          <w:sz w:val="21"/>
          <w:szCs w:val="21"/>
          <w:highlight w:val="none"/>
          <w:lang w:val="zh-CN"/>
        </w:rPr>
        <w:t>（</w:t>
      </w:r>
      <w:r>
        <w:rPr>
          <w:rFonts w:hint="eastAsia" w:ascii="宋体" w:hAnsi="宋体" w:eastAsia="宋体" w:cs="宋体"/>
          <w:sz w:val="21"/>
          <w:szCs w:val="21"/>
          <w:highlight w:val="none"/>
          <w:lang w:val="en-US" w:eastAsia="zh-CN"/>
        </w:rPr>
        <w:t>3</w:t>
      </w:r>
      <w:r>
        <w:rPr>
          <w:rFonts w:hint="eastAsia" w:ascii="宋体" w:hAnsi="宋体" w:eastAsia="宋体" w:cs="宋体"/>
          <w:sz w:val="21"/>
          <w:szCs w:val="21"/>
          <w:highlight w:val="none"/>
          <w:lang w:val="zh-CN"/>
        </w:rPr>
        <w:t>）</w:t>
      </w:r>
      <w:r>
        <w:rPr>
          <w:rFonts w:ascii="Times New Roman" w:hAnsi="Times New Roman" w:cs="Times New Roman"/>
        </w:rPr>
        <w:t>法定代表人授权书和被授权人身份证复印件［适用于非法定代表人参加投标的</w:t>
      </w:r>
      <w:r>
        <w:rPr>
          <w:rFonts w:hint="eastAsia" w:ascii="Times New Roman" w:hAnsi="Times New Roman" w:cs="Times New Roman"/>
        </w:rPr>
        <w:t>，</w:t>
      </w:r>
      <w:r>
        <w:rPr>
          <w:rFonts w:ascii="Times New Roman" w:hAnsi="Times New Roman" w:cs="Times New Roman"/>
        </w:rPr>
        <w:t>说明：法定代表人以营业执照载明的人员为准］</w:t>
      </w:r>
      <w:r>
        <w:rPr>
          <w:rFonts w:hint="eastAsia" w:ascii="Times New Roman" w:hAnsi="Times New Roman" w:cs="Times New Roman"/>
          <w:lang w:eastAsia="zh-CN"/>
        </w:rPr>
        <w:t>；</w:t>
      </w:r>
    </w:p>
    <w:p>
      <w:pPr>
        <w:numPr>
          <w:ilvl w:val="0"/>
          <w:numId w:val="0"/>
        </w:numPr>
        <w:spacing w:line="360" w:lineRule="auto"/>
        <w:ind w:leftChars="200"/>
        <w:rPr>
          <w:rFonts w:hint="eastAsia" w:hAnsi="宋体" w:cs="宋体"/>
          <w:b/>
          <w:bCs/>
          <w:highlight w:val="none"/>
          <w:u w:val="single"/>
        </w:rPr>
      </w:pPr>
      <w:r>
        <w:rPr>
          <w:rFonts w:hint="eastAsia" w:hAnsi="宋体" w:cs="宋体"/>
          <w:b/>
          <w:bCs/>
          <w:highlight w:val="none"/>
          <w:u w:val="single"/>
        </w:rPr>
        <w:t>以上文件均需加盖</w:t>
      </w:r>
      <w:r>
        <w:rPr>
          <w:rFonts w:hint="eastAsia" w:hAnsi="宋体" w:cs="宋体"/>
          <w:b/>
          <w:bCs/>
          <w:highlight w:val="none"/>
          <w:u w:val="single"/>
          <w:lang w:val="en-US" w:eastAsia="zh-CN"/>
        </w:rPr>
        <w:t>电子签</w:t>
      </w:r>
      <w:r>
        <w:rPr>
          <w:rFonts w:hint="eastAsia" w:hAnsi="宋体" w:cs="宋体"/>
          <w:b/>
          <w:bCs/>
          <w:highlight w:val="none"/>
          <w:u w:val="single"/>
        </w:rPr>
        <w:t>章</w:t>
      </w:r>
    </w:p>
    <w:p>
      <w:pPr>
        <w:spacing w:line="360" w:lineRule="auto"/>
        <w:ind w:firstLine="422" w:firstLineChars="200"/>
        <w:rPr>
          <w:rFonts w:hint="eastAsia" w:ascii="宋体" w:hAnsi="宋体" w:cs="宋体"/>
          <w:szCs w:val="21"/>
          <w:highlight w:val="none"/>
        </w:rPr>
      </w:pPr>
      <w:r>
        <w:rPr>
          <w:rFonts w:hint="eastAsia" w:ascii="宋体" w:hAnsi="宋体" w:cs="宋体"/>
          <w:b/>
          <w:bCs/>
          <w:szCs w:val="21"/>
          <w:highlight w:val="none"/>
        </w:rPr>
        <w:t>12.</w:t>
      </w:r>
      <w:r>
        <w:rPr>
          <w:rFonts w:hint="eastAsia" w:ascii="宋体" w:hAnsi="宋体" w:cs="宋体"/>
          <w:b/>
          <w:bCs/>
          <w:szCs w:val="21"/>
          <w:highlight w:val="none"/>
          <w:lang w:val="en-US" w:eastAsia="zh-CN"/>
        </w:rPr>
        <w:t>2</w:t>
      </w:r>
      <w:r>
        <w:rPr>
          <w:rFonts w:hint="eastAsia" w:ascii="宋体" w:hAnsi="宋体" w:cs="宋体"/>
          <w:b/>
          <w:bCs/>
          <w:szCs w:val="21"/>
          <w:highlight w:val="none"/>
        </w:rPr>
        <w:t>.2 商务技术响应文件</w:t>
      </w:r>
      <w:r>
        <w:rPr>
          <w:rFonts w:hint="eastAsia" w:ascii="宋体" w:hAnsi="宋体" w:cs="宋体"/>
          <w:szCs w:val="21"/>
          <w:highlight w:val="none"/>
        </w:rPr>
        <w:t>：投标人须提交参投货物的详细技术文件，其形式可以是文字资料、图纸和数据等，证明其拟供货物和服务符合询价文件规定的技术响应文件，作为投标文件的一部分。</w:t>
      </w:r>
      <w:r>
        <w:rPr>
          <w:rFonts w:hint="eastAsia" w:hAnsi="宋体" w:cs="宋体"/>
          <w:b/>
          <w:bCs/>
          <w:highlight w:val="none"/>
        </w:rPr>
        <w:t>应包括下列内容（并不仅限于以下）</w:t>
      </w:r>
    </w:p>
    <w:p>
      <w:pPr>
        <w:pStyle w:val="17"/>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hAnsi="宋体" w:cs="宋体"/>
          <w:color w:val="auto"/>
          <w:highlight w:val="none"/>
          <w:lang w:val="en-US"/>
        </w:rPr>
      </w:pPr>
      <w:r>
        <w:rPr>
          <w:rFonts w:hint="eastAsia" w:ascii="宋体" w:hAnsi="宋体" w:eastAsia="宋体" w:cs="宋体"/>
          <w:color w:val="auto"/>
          <w:highlight w:val="none"/>
        </w:rPr>
        <w:t>（</w:t>
      </w:r>
      <w:r>
        <w:rPr>
          <w:rFonts w:hint="eastAsia" w:ascii="宋体" w:hAnsi="宋体" w:eastAsia="宋体" w:cs="宋体"/>
          <w:color w:val="auto"/>
          <w:highlight w:val="none"/>
          <w:lang w:val="en-US" w:eastAsia="zh-CN"/>
        </w:rPr>
        <w:t>1</w:t>
      </w:r>
      <w:r>
        <w:rPr>
          <w:rFonts w:hint="eastAsia" w:ascii="宋体" w:hAnsi="宋体" w:eastAsia="宋体" w:cs="宋体"/>
          <w:color w:val="auto"/>
          <w:highlight w:val="none"/>
        </w:rPr>
        <w:t>）</w:t>
      </w:r>
      <w:r>
        <w:rPr>
          <w:rFonts w:hint="eastAsia" w:hAnsi="宋体" w:eastAsia="宋体" w:cs="宋体"/>
          <w:color w:val="auto"/>
          <w:highlight w:val="none"/>
          <w:lang w:val="en-US" w:eastAsia="zh-CN"/>
        </w:rPr>
        <w:t>物业服务方案</w:t>
      </w:r>
    </w:p>
    <w:p>
      <w:pPr>
        <w:pStyle w:val="17"/>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kern w:val="2"/>
          <w:sz w:val="21"/>
          <w:szCs w:val="24"/>
          <w:highlight w:val="none"/>
          <w:lang w:val="en-US" w:eastAsia="zh-CN" w:bidi="ar-SA"/>
        </w:rPr>
      </w:pPr>
      <w:r>
        <w:rPr>
          <w:rFonts w:hint="eastAsia" w:ascii="宋体" w:hAnsi="宋体" w:eastAsia="宋体" w:cs="宋体"/>
          <w:color w:val="auto"/>
          <w:kern w:val="2"/>
          <w:sz w:val="21"/>
          <w:szCs w:val="24"/>
          <w:highlight w:val="none"/>
          <w:lang w:val="en-US" w:eastAsia="zh-CN" w:bidi="ar-SA"/>
        </w:rPr>
        <w:t>（2）规范偏离表；</w:t>
      </w:r>
    </w:p>
    <w:p>
      <w:pPr>
        <w:pStyle w:val="17"/>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kern w:val="2"/>
          <w:sz w:val="21"/>
          <w:szCs w:val="24"/>
          <w:highlight w:val="none"/>
          <w:lang w:val="en-US" w:eastAsia="zh-CN" w:bidi="ar-SA"/>
        </w:rPr>
      </w:pPr>
      <w:r>
        <w:rPr>
          <w:rFonts w:hint="eastAsia" w:ascii="宋体" w:hAnsi="宋体" w:eastAsia="宋体" w:cs="宋体"/>
          <w:color w:val="auto"/>
          <w:kern w:val="2"/>
          <w:sz w:val="21"/>
          <w:szCs w:val="24"/>
          <w:highlight w:val="none"/>
          <w:lang w:val="en-US" w:eastAsia="zh-CN" w:bidi="ar-SA"/>
        </w:rPr>
        <w:t>（3）服务质量承诺书</w:t>
      </w:r>
    </w:p>
    <w:p>
      <w:pPr>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color w:val="auto"/>
          <w:highlight w:val="none"/>
          <w:lang w:val="en-US" w:eastAsia="zh-CN"/>
        </w:rPr>
      </w:pPr>
      <w:r>
        <w:rPr>
          <w:rFonts w:hint="eastAsia" w:ascii="宋体" w:hAnsi="宋体" w:eastAsia="宋体" w:cs="宋体"/>
          <w:color w:val="auto"/>
          <w:kern w:val="2"/>
          <w:sz w:val="21"/>
          <w:szCs w:val="24"/>
          <w:highlight w:val="none"/>
          <w:lang w:val="en-US" w:eastAsia="zh-CN" w:bidi="ar-SA"/>
        </w:rPr>
        <w:t>（4）设备及工具材料简要说明一览表</w:t>
      </w:r>
    </w:p>
    <w:p>
      <w:pPr>
        <w:spacing w:line="360" w:lineRule="auto"/>
        <w:ind w:firstLine="420" w:firstLineChars="200"/>
        <w:rPr>
          <w:rFonts w:hint="eastAsia"/>
        </w:rPr>
      </w:pPr>
      <w:r>
        <w:rPr>
          <w:rFonts w:hint="eastAsia" w:ascii="宋体" w:hAnsi="宋体" w:eastAsia="宋体" w:cs="宋体"/>
          <w:color w:val="auto"/>
          <w:kern w:val="2"/>
          <w:sz w:val="21"/>
          <w:szCs w:val="24"/>
          <w:highlight w:val="none"/>
          <w:lang w:val="en-US" w:eastAsia="zh-CN" w:bidi="ar-SA"/>
        </w:rPr>
        <w:t>（</w:t>
      </w:r>
      <w:r>
        <w:rPr>
          <w:rFonts w:hint="eastAsia" w:ascii="宋体" w:hAnsi="宋体" w:eastAsia="宋体" w:cs="宋体"/>
          <w:b w:val="0"/>
          <w:bCs w:val="0"/>
          <w:color w:val="auto"/>
          <w:kern w:val="2"/>
          <w:sz w:val="21"/>
          <w:szCs w:val="24"/>
          <w:highlight w:val="none"/>
          <w:lang w:val="en-US" w:eastAsia="zh-CN" w:bidi="ar-SA"/>
        </w:rPr>
        <w:t>5）</w:t>
      </w:r>
      <w:r>
        <w:rPr>
          <w:rFonts w:hint="eastAsia" w:ascii="宋体" w:hAnsi="宋体" w:eastAsia="宋体" w:cs="宋体"/>
          <w:color w:val="auto"/>
          <w:kern w:val="2"/>
          <w:sz w:val="21"/>
          <w:szCs w:val="24"/>
          <w:highlight w:val="none"/>
          <w:lang w:val="en-US" w:eastAsia="zh-CN" w:bidi="ar-SA"/>
        </w:rPr>
        <w:t>根据评审</w:t>
      </w:r>
      <w:r>
        <w:rPr>
          <w:rFonts w:hint="eastAsia" w:ascii="宋体" w:hAnsi="宋体" w:cs="宋体"/>
          <w:color w:val="auto"/>
          <w:highlight w:val="none"/>
        </w:rPr>
        <w:t>需要、招标文件要求等，投标人自行考虑需提供的资料。</w:t>
      </w:r>
    </w:p>
    <w:p>
      <w:pPr>
        <w:pStyle w:val="17"/>
        <w:spacing w:line="360" w:lineRule="auto"/>
        <w:ind w:firstLine="420" w:firstLineChars="200"/>
        <w:rPr>
          <w:rFonts w:hAnsi="宋体" w:cs="宋体"/>
        </w:rPr>
      </w:pPr>
    </w:p>
    <w:p>
      <w:pPr>
        <w:pStyle w:val="17"/>
        <w:spacing w:line="360" w:lineRule="auto"/>
        <w:ind w:firstLine="422" w:firstLineChars="200"/>
        <w:rPr>
          <w:rFonts w:hAnsi="宋体" w:cs="宋体"/>
          <w:b/>
          <w:bCs/>
          <w:highlight w:val="none"/>
        </w:rPr>
      </w:pPr>
      <w:r>
        <w:rPr>
          <w:rFonts w:hAnsi="宋体" w:cs="宋体"/>
          <w:b/>
          <w:bCs/>
          <w:highlight w:val="none"/>
        </w:rPr>
        <w:t>12.</w:t>
      </w:r>
      <w:r>
        <w:rPr>
          <w:rFonts w:hint="eastAsia" w:hAnsi="宋体" w:cs="宋体"/>
          <w:b/>
          <w:bCs/>
          <w:highlight w:val="none"/>
          <w:lang w:val="en-US" w:eastAsia="zh-CN"/>
        </w:rPr>
        <w:t>2.3报价响应</w:t>
      </w:r>
      <w:r>
        <w:rPr>
          <w:rFonts w:hint="eastAsia" w:hAnsi="宋体" w:cs="宋体"/>
          <w:b/>
          <w:bCs/>
          <w:highlight w:val="none"/>
        </w:rPr>
        <w:t>文件</w:t>
      </w:r>
      <w:r>
        <w:rPr>
          <w:rFonts w:hint="eastAsia" w:hAnsi="宋体" w:cs="宋体"/>
          <w:b/>
          <w:bCs/>
          <w:highlight w:val="none"/>
          <w:lang w:eastAsia="zh-CN"/>
        </w:rPr>
        <w:t>：</w:t>
      </w:r>
      <w:r>
        <w:rPr>
          <w:rFonts w:hint="eastAsia" w:hAnsi="宋体" w:cs="宋体"/>
          <w:b/>
          <w:bCs/>
          <w:highlight w:val="none"/>
        </w:rPr>
        <w:t>应包括下列内容（并不仅限于以下）</w:t>
      </w:r>
    </w:p>
    <w:p>
      <w:pPr>
        <w:pStyle w:val="17"/>
        <w:spacing w:line="360" w:lineRule="auto"/>
        <w:ind w:firstLine="420" w:firstLineChars="200"/>
        <w:rPr>
          <w:rFonts w:hint="eastAsia" w:hAnsi="宋体" w:cs="宋体"/>
        </w:rPr>
      </w:pPr>
      <w:r>
        <w:rPr>
          <w:rFonts w:hint="eastAsia" w:hAnsi="宋体" w:cs="宋体"/>
        </w:rPr>
        <w:t>（</w:t>
      </w:r>
      <w:r>
        <w:rPr>
          <w:rFonts w:hint="eastAsia" w:hAnsi="宋体" w:cs="宋体"/>
          <w:lang w:val="en-US" w:eastAsia="zh-CN"/>
        </w:rPr>
        <w:t>1</w:t>
      </w:r>
      <w:r>
        <w:rPr>
          <w:rFonts w:hint="eastAsia" w:hAnsi="宋体" w:cs="宋体"/>
        </w:rPr>
        <w:t>）</w:t>
      </w:r>
      <w:r>
        <w:rPr>
          <w:rFonts w:hint="eastAsia" w:hAnsi="宋体" w:cs="宋体"/>
          <w:lang w:val="en-US" w:eastAsia="zh-CN"/>
        </w:rPr>
        <w:t>开标</w:t>
      </w:r>
      <w:r>
        <w:rPr>
          <w:rFonts w:hint="eastAsia" w:hAnsi="宋体" w:cs="宋体"/>
        </w:rPr>
        <w:t>一览表；</w:t>
      </w:r>
    </w:p>
    <w:p>
      <w:pPr>
        <w:pStyle w:val="17"/>
        <w:spacing w:line="360" w:lineRule="auto"/>
        <w:ind w:firstLine="422" w:firstLineChars="200"/>
        <w:rPr>
          <w:rFonts w:hAnsi="宋体" w:cs="宋体"/>
        </w:rPr>
      </w:pPr>
      <w:r>
        <w:rPr>
          <w:rFonts w:hint="eastAsia" w:hAnsi="宋体" w:cs="宋体"/>
          <w:b/>
          <w:bCs/>
          <w:highlight w:val="none"/>
          <w:u w:val="single"/>
        </w:rPr>
        <w:t>以上文件均需加盖</w:t>
      </w:r>
      <w:r>
        <w:rPr>
          <w:rFonts w:hint="eastAsia" w:hAnsi="宋体" w:cs="宋体"/>
          <w:b/>
          <w:bCs/>
          <w:highlight w:val="none"/>
          <w:u w:val="single"/>
          <w:lang w:val="en-US" w:eastAsia="zh-CN"/>
        </w:rPr>
        <w:t>电子签</w:t>
      </w:r>
      <w:r>
        <w:rPr>
          <w:rFonts w:hint="eastAsia" w:hAnsi="宋体" w:cs="宋体"/>
          <w:b/>
          <w:bCs/>
          <w:highlight w:val="none"/>
          <w:u w:val="single"/>
        </w:rPr>
        <w:t>章</w:t>
      </w:r>
    </w:p>
    <w:p>
      <w:pPr>
        <w:pStyle w:val="15"/>
        <w:spacing w:line="360" w:lineRule="auto"/>
        <w:ind w:firstLine="422" w:firstLineChars="200"/>
        <w:jc w:val="both"/>
        <w:rPr>
          <w:rFonts w:cs="宋体"/>
          <w:b w:val="0"/>
          <w:bCs w:val="0"/>
          <w:color w:val="auto"/>
          <w:sz w:val="21"/>
          <w:szCs w:val="21"/>
        </w:rPr>
      </w:pPr>
      <w:r>
        <w:rPr>
          <w:rFonts w:cs="宋体"/>
          <w:color w:val="auto"/>
          <w:sz w:val="21"/>
          <w:szCs w:val="21"/>
        </w:rPr>
        <w:t>13</w:t>
      </w:r>
      <w:r>
        <w:rPr>
          <w:rFonts w:hint="eastAsia" w:cs="宋体"/>
          <w:color w:val="auto"/>
          <w:sz w:val="21"/>
          <w:szCs w:val="21"/>
        </w:rPr>
        <w:t>、投标人资格的有关证明资料</w:t>
      </w:r>
    </w:p>
    <w:p>
      <w:pPr>
        <w:spacing w:line="360" w:lineRule="auto"/>
        <w:ind w:firstLine="420" w:firstLineChars="200"/>
        <w:rPr>
          <w:rFonts w:ascii="宋体" w:cs="宋体"/>
          <w:szCs w:val="21"/>
        </w:rPr>
      </w:pPr>
      <w:r>
        <w:rPr>
          <w:rFonts w:ascii="宋体" w:hAnsi="宋体" w:cs="宋体"/>
          <w:szCs w:val="21"/>
        </w:rPr>
        <w:t>13.1</w:t>
      </w:r>
      <w:r>
        <w:rPr>
          <w:rFonts w:hint="eastAsia" w:ascii="宋体" w:hAnsi="宋体" w:cs="宋体"/>
          <w:szCs w:val="21"/>
        </w:rPr>
        <w:t>投标人应提交证明其有资格参加投标和中标后有能力履行合同的文件，并作为其投标文件的一部分。</w:t>
      </w:r>
    </w:p>
    <w:p>
      <w:pPr>
        <w:spacing w:line="360" w:lineRule="auto"/>
        <w:ind w:firstLine="420" w:firstLineChars="200"/>
        <w:rPr>
          <w:rFonts w:ascii="宋体" w:cs="宋体"/>
          <w:szCs w:val="21"/>
        </w:rPr>
      </w:pPr>
      <w:r>
        <w:rPr>
          <w:rFonts w:ascii="宋体" w:hAnsi="宋体" w:cs="宋体"/>
          <w:szCs w:val="21"/>
        </w:rPr>
        <w:t xml:space="preserve">13.2 </w:t>
      </w:r>
      <w:r>
        <w:rPr>
          <w:rFonts w:hint="eastAsia" w:ascii="宋体" w:hAnsi="宋体" w:cs="宋体"/>
          <w:szCs w:val="21"/>
        </w:rPr>
        <w:t>投标人提交的合格性的证明文件应使采购人满意，投标人在投标时应是符合条件的投标人。</w:t>
      </w:r>
    </w:p>
    <w:p>
      <w:pPr>
        <w:pStyle w:val="17"/>
        <w:spacing w:line="360" w:lineRule="auto"/>
        <w:ind w:firstLine="422" w:firstLineChars="200"/>
        <w:rPr>
          <w:rFonts w:hint="eastAsia" w:hAnsi="宋体" w:cs="宋体"/>
          <w:b/>
          <w:bCs/>
        </w:rPr>
      </w:pPr>
      <w:r>
        <w:rPr>
          <w:rFonts w:hAnsi="宋体" w:cs="宋体"/>
          <w:b/>
          <w:bCs/>
        </w:rPr>
        <w:t>14</w:t>
      </w:r>
      <w:r>
        <w:rPr>
          <w:rFonts w:hint="eastAsia" w:hAnsi="宋体" w:cs="宋体"/>
          <w:b/>
          <w:bCs/>
        </w:rPr>
        <w:t>、投标报价</w:t>
      </w:r>
    </w:p>
    <w:p>
      <w:pPr>
        <w:pStyle w:val="17"/>
        <w:spacing w:line="360" w:lineRule="auto"/>
        <w:ind w:firstLine="420" w:firstLineChars="200"/>
        <w:rPr>
          <w:rFonts w:hAnsi="宋体" w:cs="宋体"/>
          <w:b/>
          <w:bCs/>
        </w:rPr>
      </w:pPr>
      <w:r>
        <w:rPr>
          <w:rFonts w:hAnsi="宋体" w:cs="宋体"/>
        </w:rPr>
        <w:t>14.1</w:t>
      </w:r>
      <w:r>
        <w:rPr>
          <w:rFonts w:hint="eastAsia" w:hAnsi="宋体" w:cs="宋体"/>
        </w:rPr>
        <w:t>投标人应根据国家的有关规定和招标文件要求并结合企业的实际情况进行投标报价。具体详见招标文件第三章中的商务要求。</w:t>
      </w:r>
    </w:p>
    <w:p>
      <w:pPr>
        <w:pStyle w:val="17"/>
        <w:numPr>
          <w:ilvl w:val="0"/>
          <w:numId w:val="5"/>
        </w:numPr>
        <w:spacing w:line="460" w:lineRule="exact"/>
        <w:ind w:firstLine="422" w:firstLineChars="200"/>
        <w:rPr>
          <w:rFonts w:hint="eastAsia" w:ascii="宋体" w:hAnsi="宋体" w:cs="宋体"/>
          <w:b/>
          <w:bCs/>
          <w:szCs w:val="21"/>
        </w:rPr>
      </w:pPr>
      <w:bookmarkStart w:id="23" w:name="_Toc7770"/>
      <w:r>
        <w:rPr>
          <w:rFonts w:hint="eastAsia" w:ascii="宋体" w:hAnsi="宋体" w:cs="宋体"/>
          <w:b/>
          <w:bCs/>
          <w:szCs w:val="21"/>
        </w:rPr>
        <w:t>投标文件格式</w:t>
      </w:r>
    </w:p>
    <w:p>
      <w:pPr>
        <w:pStyle w:val="17"/>
        <w:numPr>
          <w:ilvl w:val="0"/>
          <w:numId w:val="0"/>
        </w:numPr>
        <w:spacing w:line="460" w:lineRule="exact"/>
        <w:ind w:firstLine="422" w:firstLineChars="200"/>
        <w:rPr>
          <w:rFonts w:hint="eastAsia" w:ascii="宋体" w:hAnsi="宋体" w:cs="宋体"/>
          <w:b/>
          <w:szCs w:val="21"/>
        </w:rPr>
      </w:pPr>
      <w:r>
        <w:rPr>
          <w:rFonts w:ascii="宋体" w:hAnsi="宋体" w:cs="宋体"/>
          <w:b/>
          <w:szCs w:val="21"/>
        </w:rPr>
        <w:t>15.1</w:t>
      </w:r>
      <w:r>
        <w:rPr>
          <w:rFonts w:hint="eastAsia" w:ascii="宋体" w:hAnsi="宋体" w:cs="宋体"/>
          <w:b/>
          <w:szCs w:val="21"/>
        </w:rPr>
        <w:t>投标文件须包括本须知第</w:t>
      </w:r>
      <w:r>
        <w:rPr>
          <w:rFonts w:ascii="宋体" w:hAnsi="宋体" w:cs="宋体"/>
          <w:b/>
          <w:szCs w:val="21"/>
        </w:rPr>
        <w:t>12</w:t>
      </w:r>
      <w:r>
        <w:rPr>
          <w:rFonts w:hint="eastAsia" w:ascii="宋体" w:hAnsi="宋体" w:cs="宋体"/>
          <w:b/>
          <w:szCs w:val="21"/>
        </w:rPr>
        <w:t>条中规定的全部内容，投标人不按招标文件的要求提供的投标文件和资料将视为没有对招标文件作实质性响应，其投标将被拒绝，其风险由投标人自行承担。</w:t>
      </w:r>
    </w:p>
    <w:p>
      <w:pPr>
        <w:pStyle w:val="17"/>
        <w:numPr>
          <w:ilvl w:val="0"/>
          <w:numId w:val="0"/>
        </w:numPr>
        <w:spacing w:line="460" w:lineRule="exact"/>
        <w:ind w:firstLine="420" w:firstLineChars="200"/>
        <w:rPr>
          <w:rFonts w:ascii="宋体" w:cs="宋体"/>
          <w:szCs w:val="21"/>
        </w:rPr>
      </w:pPr>
      <w:r>
        <w:rPr>
          <w:rFonts w:ascii="宋体" w:hAnsi="宋体" w:cs="宋体"/>
          <w:szCs w:val="21"/>
        </w:rPr>
        <w:t>15.2</w:t>
      </w:r>
      <w:r>
        <w:rPr>
          <w:rFonts w:hint="eastAsia" w:ascii="宋体" w:hAnsi="宋体" w:cs="宋体"/>
          <w:szCs w:val="21"/>
        </w:rPr>
        <w:t>投标人提交的投标文件应当使用招标文件所提供的投标文件格式，表格格式在不改变格式内容的情况下可自行制作。在所提供表格格式之外，投标人可以增加自行设计的表格及内容，以便更细致全面的说明其能力。</w:t>
      </w:r>
    </w:p>
    <w:p>
      <w:pPr>
        <w:pStyle w:val="17"/>
        <w:spacing w:line="360" w:lineRule="auto"/>
        <w:ind w:firstLine="422" w:firstLineChars="200"/>
        <w:rPr>
          <w:rFonts w:hAnsi="宋体" w:cs="宋体"/>
          <w:b/>
          <w:bCs/>
          <w:highlight w:val="none"/>
        </w:rPr>
      </w:pPr>
      <w:r>
        <w:rPr>
          <w:rFonts w:hAnsi="宋体" w:cs="宋体"/>
          <w:b/>
          <w:bCs/>
          <w:highlight w:val="none"/>
        </w:rPr>
        <w:t>16</w:t>
      </w:r>
      <w:r>
        <w:rPr>
          <w:rFonts w:hint="eastAsia" w:hAnsi="宋体" w:cs="宋体"/>
          <w:b/>
          <w:bCs/>
          <w:highlight w:val="none"/>
        </w:rPr>
        <w:t>、投标文件编制要求</w:t>
      </w:r>
    </w:p>
    <w:p>
      <w:pPr>
        <w:spacing w:line="360" w:lineRule="auto"/>
        <w:ind w:firstLine="420" w:firstLineChars="200"/>
        <w:rPr>
          <w:rFonts w:hint="eastAsia" w:ascii="宋体" w:hAnsi="宋体" w:eastAsia="宋体" w:cs="宋体"/>
          <w:highlight w:val="none"/>
        </w:rPr>
      </w:pPr>
      <w:r>
        <w:rPr>
          <w:rFonts w:hint="eastAsia" w:ascii="宋体" w:hAnsi="宋体" w:eastAsia="宋体" w:cs="宋体"/>
          <w:highlight w:val="none"/>
        </w:rPr>
        <w:t>16.1投标人应仔细阅读招标文件，了解招标文件的要求，在完全了解招标项目的要求后，编制投标文件。</w:t>
      </w:r>
    </w:p>
    <w:p>
      <w:pPr>
        <w:spacing w:line="360" w:lineRule="auto"/>
        <w:ind w:firstLine="420" w:firstLineChars="200"/>
        <w:rPr>
          <w:rFonts w:hint="eastAsia" w:ascii="宋体" w:hAnsi="宋体" w:eastAsia="宋体" w:cs="宋体"/>
          <w:highlight w:val="none"/>
        </w:rPr>
      </w:pPr>
      <w:r>
        <w:rPr>
          <w:rFonts w:hint="eastAsia" w:ascii="宋体" w:hAnsi="宋体" w:eastAsia="宋体" w:cs="宋体"/>
          <w:highlight w:val="none"/>
          <w:lang w:val="en-US" w:eastAsia="zh-CN"/>
        </w:rPr>
        <w:t>16.2</w:t>
      </w:r>
      <w:r>
        <w:rPr>
          <w:rFonts w:hint="eastAsia" w:ascii="宋体" w:hAnsi="宋体" w:eastAsia="宋体" w:cs="宋体"/>
          <w:highlight w:val="none"/>
        </w:rPr>
        <w:t>在招标文件对技术要求中，投标人必须充分应答和满足用户的强制性的需求，如“★”等，否则将导致无效标。</w:t>
      </w:r>
    </w:p>
    <w:p>
      <w:pPr>
        <w:spacing w:line="360" w:lineRule="auto"/>
        <w:ind w:firstLine="420" w:firstLineChars="200"/>
        <w:rPr>
          <w:rFonts w:hint="eastAsia" w:ascii="宋体" w:hAnsi="宋体" w:eastAsia="宋体" w:cs="宋体"/>
          <w:highlight w:val="none"/>
        </w:rPr>
      </w:pPr>
      <w:r>
        <w:rPr>
          <w:rFonts w:hint="eastAsia" w:ascii="宋体" w:hAnsi="宋体" w:eastAsia="宋体" w:cs="宋体"/>
          <w:highlight w:val="none"/>
          <w:lang w:val="en-US" w:eastAsia="zh-CN"/>
        </w:rPr>
        <w:t>16.3</w:t>
      </w:r>
      <w:r>
        <w:rPr>
          <w:rFonts w:hint="eastAsia" w:ascii="宋体" w:hAnsi="宋体" w:eastAsia="宋体" w:cs="宋体"/>
          <w:highlight w:val="none"/>
        </w:rPr>
        <w:t>编制的投标文件对招标文件中有关条款未提出异议的，均被视为接受和同意。</w:t>
      </w:r>
    </w:p>
    <w:p>
      <w:pPr>
        <w:spacing w:line="360" w:lineRule="auto"/>
        <w:ind w:firstLine="420" w:firstLineChars="200"/>
        <w:rPr>
          <w:rFonts w:hint="eastAsia" w:ascii="宋体" w:hAnsi="宋体" w:eastAsia="宋体" w:cs="宋体"/>
          <w:highlight w:val="none"/>
        </w:rPr>
      </w:pPr>
      <w:r>
        <w:rPr>
          <w:rFonts w:hint="eastAsia" w:ascii="宋体" w:hAnsi="宋体" w:eastAsia="宋体" w:cs="宋体"/>
          <w:highlight w:val="none"/>
          <w:lang w:val="en-US" w:eastAsia="zh-CN"/>
        </w:rPr>
        <w:t>16.4</w:t>
      </w:r>
      <w:r>
        <w:rPr>
          <w:rFonts w:hint="eastAsia" w:ascii="宋体" w:hAnsi="宋体" w:eastAsia="宋体" w:cs="宋体"/>
          <w:highlight w:val="none"/>
        </w:rPr>
        <w:t>投标人应根据电子投标操作指南按本招标文件规定的格式和顺序编制电子投标文件并进行关联定位。</w:t>
      </w:r>
    </w:p>
    <w:p>
      <w:pPr>
        <w:spacing w:line="360" w:lineRule="auto"/>
        <w:ind w:firstLine="420" w:firstLineChars="200"/>
        <w:rPr>
          <w:rFonts w:hint="eastAsia" w:ascii="宋体" w:hAnsi="宋体" w:eastAsia="宋体" w:cs="宋体"/>
          <w:highlight w:val="none"/>
        </w:rPr>
      </w:pPr>
      <w:r>
        <w:rPr>
          <w:rFonts w:hint="eastAsia" w:ascii="宋体" w:hAnsi="宋体" w:eastAsia="宋体" w:cs="宋体"/>
          <w:highlight w:val="none"/>
          <w:lang w:val="en-US" w:eastAsia="zh-CN"/>
        </w:rPr>
        <w:t>16.5</w:t>
      </w:r>
      <w:r>
        <w:rPr>
          <w:rFonts w:hint="eastAsia" w:ascii="宋体" w:hAnsi="宋体" w:eastAsia="宋体" w:cs="宋体"/>
          <w:highlight w:val="none"/>
        </w:rPr>
        <w:t>由于未按招标文件的规定要求编制投标文件，导致评审小组作出的对投标人的误判，责任由投标人自己承担。</w:t>
      </w:r>
    </w:p>
    <w:p>
      <w:pPr>
        <w:spacing w:line="360" w:lineRule="auto"/>
        <w:ind w:firstLine="422" w:firstLineChars="200"/>
        <w:rPr>
          <w:rFonts w:ascii="宋体" w:cs="宋体"/>
          <w:b/>
          <w:bCs/>
          <w:szCs w:val="21"/>
        </w:rPr>
      </w:pPr>
      <w:r>
        <w:rPr>
          <w:rFonts w:ascii="宋体" w:hAnsi="宋体" w:cs="宋体"/>
          <w:b/>
          <w:bCs/>
          <w:szCs w:val="21"/>
        </w:rPr>
        <w:t>1</w:t>
      </w:r>
      <w:r>
        <w:rPr>
          <w:rFonts w:hint="eastAsia" w:ascii="宋体" w:hAnsi="宋体" w:cs="宋体"/>
          <w:b/>
          <w:bCs/>
          <w:szCs w:val="21"/>
        </w:rPr>
        <w:t>7、投标有效期</w:t>
      </w:r>
    </w:p>
    <w:p>
      <w:pPr>
        <w:spacing w:line="360" w:lineRule="auto"/>
        <w:ind w:firstLine="420" w:firstLineChars="200"/>
        <w:rPr>
          <w:rFonts w:ascii="宋体" w:cs="宋体"/>
          <w:b/>
          <w:bCs/>
          <w:szCs w:val="21"/>
        </w:rPr>
      </w:pPr>
      <w:r>
        <w:rPr>
          <w:rFonts w:ascii="宋体" w:hAnsi="宋体" w:cs="宋体"/>
          <w:szCs w:val="21"/>
        </w:rPr>
        <w:t>1</w:t>
      </w:r>
      <w:r>
        <w:rPr>
          <w:rFonts w:hint="eastAsia" w:ascii="宋体" w:hAnsi="宋体" w:cs="宋体"/>
          <w:szCs w:val="21"/>
        </w:rPr>
        <w:t>7</w:t>
      </w:r>
      <w:r>
        <w:rPr>
          <w:rFonts w:ascii="宋体" w:hAnsi="宋体" w:cs="宋体"/>
          <w:szCs w:val="21"/>
        </w:rPr>
        <w:t xml:space="preserve">.1 </w:t>
      </w:r>
      <w:r>
        <w:rPr>
          <w:rFonts w:hint="eastAsia" w:ascii="宋体" w:hAnsi="宋体" w:cs="宋体"/>
          <w:szCs w:val="21"/>
        </w:rPr>
        <w:t>投标文件从开标之日起，投标有效期为</w:t>
      </w:r>
      <w:r>
        <w:rPr>
          <w:rFonts w:ascii="宋体" w:hAnsi="宋体" w:cs="宋体"/>
          <w:szCs w:val="21"/>
        </w:rPr>
        <w:t>60</w:t>
      </w:r>
      <w:r>
        <w:rPr>
          <w:rFonts w:hint="eastAsia" w:ascii="宋体" w:hAnsi="宋体" w:cs="宋体"/>
          <w:szCs w:val="21"/>
        </w:rPr>
        <w:t>天。</w:t>
      </w:r>
    </w:p>
    <w:p>
      <w:pPr>
        <w:pStyle w:val="17"/>
        <w:spacing w:line="360" w:lineRule="auto"/>
        <w:ind w:firstLine="420" w:firstLineChars="200"/>
        <w:rPr>
          <w:rFonts w:hint="eastAsia" w:hAnsi="宋体"/>
        </w:rPr>
      </w:pPr>
      <w:r>
        <w:rPr>
          <w:rFonts w:hAnsi="宋体" w:cs="宋体"/>
        </w:rPr>
        <w:t>1</w:t>
      </w:r>
      <w:r>
        <w:rPr>
          <w:rFonts w:hint="eastAsia" w:hAnsi="宋体" w:cs="宋体"/>
        </w:rPr>
        <w:t>7</w:t>
      </w:r>
      <w:r>
        <w:rPr>
          <w:rFonts w:hAnsi="宋体" w:cs="宋体"/>
        </w:rPr>
        <w:t xml:space="preserve">.2 </w:t>
      </w:r>
      <w:r>
        <w:rPr>
          <w:rFonts w:hint="eastAsia" w:hAnsi="宋体"/>
        </w:rPr>
        <w:t>特殊情况下，在原投标有效期截止之前，采购人可要求投标人同意延长有效期，这种要求与答复均应以书面形式提交。</w:t>
      </w:r>
      <w:bookmarkStart w:id="24" w:name="_Toc27009"/>
      <w:bookmarkStart w:id="25" w:name="_Toc362250690"/>
      <w:bookmarkStart w:id="26" w:name="_Toc274303232"/>
    </w:p>
    <w:p>
      <w:pPr>
        <w:pStyle w:val="17"/>
        <w:spacing w:line="360" w:lineRule="auto"/>
        <w:outlineLvl w:val="1"/>
        <w:rPr>
          <w:rFonts w:hint="eastAsia" w:hAnsi="宋体" w:cs="宋体"/>
          <w:b/>
          <w:bCs/>
        </w:rPr>
      </w:pPr>
      <w:bookmarkStart w:id="27" w:name="_Toc21977"/>
      <w:r>
        <w:rPr>
          <w:rFonts w:hint="eastAsia" w:hAnsi="宋体" w:cs="宋体"/>
          <w:b/>
          <w:bCs/>
        </w:rPr>
        <w:t>四、投标文件的递交</w:t>
      </w:r>
      <w:bookmarkEnd w:id="24"/>
      <w:bookmarkEnd w:id="25"/>
      <w:bookmarkEnd w:id="26"/>
      <w:bookmarkEnd w:id="27"/>
    </w:p>
    <w:p>
      <w:pPr>
        <w:spacing w:line="360" w:lineRule="auto"/>
        <w:ind w:firstLine="422" w:firstLineChars="200"/>
        <w:rPr>
          <w:rFonts w:hint="eastAsia" w:ascii="宋体" w:hAnsi="宋体" w:eastAsia="宋体" w:cs="宋体"/>
          <w:b/>
          <w:bCs/>
          <w:sz w:val="21"/>
          <w:szCs w:val="21"/>
          <w:highlight w:val="none"/>
        </w:rPr>
      </w:pPr>
      <w:r>
        <w:rPr>
          <w:rFonts w:hint="eastAsia" w:ascii="宋体" w:hAnsi="宋体" w:eastAsia="宋体" w:cs="宋体"/>
          <w:b/>
          <w:bCs/>
          <w:sz w:val="21"/>
          <w:szCs w:val="21"/>
          <w:highlight w:val="none"/>
          <w:lang w:val="en-US" w:eastAsia="zh-CN"/>
        </w:rPr>
        <w:t>18</w:t>
      </w:r>
      <w:r>
        <w:rPr>
          <w:rFonts w:hint="eastAsia" w:ascii="宋体" w:hAnsi="宋体" w:eastAsia="宋体" w:cs="宋体"/>
          <w:b/>
          <w:bCs/>
          <w:sz w:val="21"/>
          <w:szCs w:val="21"/>
          <w:highlight w:val="none"/>
        </w:rPr>
        <w:t>.电子投标文件上传的地点和截止时间</w:t>
      </w:r>
    </w:p>
    <w:p>
      <w:pPr>
        <w:spacing w:line="360" w:lineRule="auto"/>
        <w:ind w:firstLine="420" w:firstLineChars="200"/>
        <w:rPr>
          <w:rFonts w:hint="eastAsia" w:ascii="宋体" w:hAnsi="宋体" w:eastAsia="宋体" w:cs="宋体"/>
          <w:b/>
          <w:bCs/>
          <w:szCs w:val="21"/>
          <w:highlight w:val="none"/>
          <w:lang w:eastAsia="zh-CN"/>
        </w:rPr>
      </w:pPr>
      <w:r>
        <w:rPr>
          <w:rFonts w:hint="eastAsia" w:ascii="宋体" w:hAnsi="宋体" w:cs="宋体"/>
          <w:szCs w:val="21"/>
          <w:highlight w:val="none"/>
        </w:rPr>
        <w:t>投标人应在投标截止时间（</w:t>
      </w:r>
      <w:r>
        <w:rPr>
          <w:rFonts w:hint="eastAsia" w:ascii="宋体" w:hAnsi="宋体" w:cs="宋体"/>
          <w:color w:val="auto"/>
          <w:highlight w:val="none"/>
          <w:lang w:eastAsia="zh-CN"/>
        </w:rPr>
        <w:t>2025年</w:t>
      </w:r>
      <w:r>
        <w:rPr>
          <w:rFonts w:hint="eastAsia" w:ascii="宋体" w:hAnsi="宋体" w:cs="宋体"/>
          <w:color w:val="auto"/>
          <w:highlight w:val="none"/>
          <w:lang w:val="en-US" w:eastAsia="zh-CN"/>
        </w:rPr>
        <w:t>11</w:t>
      </w:r>
      <w:r>
        <w:rPr>
          <w:rFonts w:hint="eastAsia" w:ascii="宋体" w:hAnsi="宋体" w:cs="宋体"/>
          <w:color w:val="auto"/>
          <w:highlight w:val="none"/>
          <w:lang w:eastAsia="zh-CN"/>
        </w:rPr>
        <w:t>月</w:t>
      </w:r>
      <w:r>
        <w:rPr>
          <w:rFonts w:hint="eastAsia" w:ascii="宋体" w:hAnsi="宋体" w:cs="宋体"/>
          <w:color w:val="auto"/>
          <w:highlight w:val="none"/>
          <w:lang w:val="en-US" w:eastAsia="zh-CN"/>
        </w:rPr>
        <w:t>13</w:t>
      </w:r>
      <w:r>
        <w:rPr>
          <w:rFonts w:hint="eastAsia" w:ascii="宋体" w:hAnsi="宋体" w:cs="宋体"/>
          <w:color w:val="auto"/>
          <w:highlight w:val="none"/>
          <w:lang w:eastAsia="zh-CN"/>
        </w:rPr>
        <w:t>日09</w:t>
      </w:r>
      <w:r>
        <w:rPr>
          <w:rFonts w:hint="eastAsia" w:ascii="宋体" w:hAnsi="宋体" w:cs="宋体"/>
          <w:color w:val="auto"/>
          <w:highlight w:val="none"/>
        </w:rPr>
        <w:t>:30</w:t>
      </w:r>
      <w:r>
        <w:rPr>
          <w:rFonts w:hint="eastAsia" w:ascii="宋体" w:hAnsi="宋体" w:cs="宋体"/>
          <w:szCs w:val="21"/>
          <w:highlight w:val="none"/>
        </w:rPr>
        <w:t>）之前上传投标文件</w:t>
      </w:r>
      <w:r>
        <w:rPr>
          <w:rFonts w:hint="eastAsia" w:ascii="宋体" w:hAnsi="宋体" w:cs="宋体"/>
          <w:szCs w:val="21"/>
          <w:highlight w:val="none"/>
          <w:lang w:eastAsia="zh-CN"/>
        </w:rPr>
        <w:t>。</w:t>
      </w:r>
    </w:p>
    <w:p>
      <w:pPr>
        <w:spacing w:line="360" w:lineRule="auto"/>
        <w:ind w:firstLine="422" w:firstLineChars="200"/>
        <w:rPr>
          <w:rFonts w:hint="eastAsia" w:ascii="宋体" w:hAnsi="宋体" w:eastAsia="宋体" w:cs="宋体"/>
          <w:b/>
          <w:bCs/>
          <w:sz w:val="21"/>
          <w:szCs w:val="21"/>
          <w:highlight w:val="none"/>
        </w:rPr>
      </w:pPr>
      <w:r>
        <w:rPr>
          <w:rFonts w:hint="eastAsia" w:ascii="宋体" w:hAnsi="宋体" w:eastAsia="宋体" w:cs="宋体"/>
          <w:b/>
          <w:sz w:val="21"/>
          <w:szCs w:val="21"/>
          <w:highlight w:val="none"/>
          <w:lang w:val="en-US" w:eastAsia="zh-CN"/>
        </w:rPr>
        <w:t>19</w:t>
      </w:r>
      <w:r>
        <w:rPr>
          <w:rFonts w:hint="eastAsia" w:ascii="宋体" w:hAnsi="宋体" w:eastAsia="宋体" w:cs="宋体"/>
          <w:b/>
          <w:sz w:val="21"/>
          <w:szCs w:val="21"/>
          <w:highlight w:val="none"/>
        </w:rPr>
        <w:t>.</w:t>
      </w:r>
      <w:r>
        <w:rPr>
          <w:rFonts w:hint="eastAsia" w:ascii="宋体" w:hAnsi="宋体" w:eastAsia="宋体" w:cs="宋体"/>
          <w:b/>
          <w:bCs/>
          <w:sz w:val="21"/>
          <w:szCs w:val="21"/>
          <w:highlight w:val="none"/>
        </w:rPr>
        <w:t>投标文件的补充、修改与撤回</w:t>
      </w:r>
    </w:p>
    <w:p>
      <w:pPr>
        <w:pStyle w:val="17"/>
        <w:keepNext w:val="0"/>
        <w:keepLines w:val="0"/>
        <w:pageBreakBefore w:val="0"/>
        <w:widowControl w:val="0"/>
        <w:kinsoku/>
        <w:wordWrap/>
        <w:overflowPunct/>
        <w:topLinePunct w:val="0"/>
        <w:autoSpaceDE/>
        <w:autoSpaceDN/>
        <w:bidi w:val="0"/>
        <w:spacing w:line="360" w:lineRule="auto"/>
        <w:ind w:firstLine="420"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19.1投标人在“义乌市阳光招标采购平台”上提交投标文件以后，在规定的投标截止时间之前，可以重新补充修改或撤回已上传的投标文件，补充、修改的内容为投标文件的组成部分。</w:t>
      </w:r>
    </w:p>
    <w:p>
      <w:pPr>
        <w:pStyle w:val="17"/>
        <w:keepNext w:val="0"/>
        <w:keepLines w:val="0"/>
        <w:pageBreakBefore w:val="0"/>
        <w:widowControl w:val="0"/>
        <w:kinsoku/>
        <w:wordWrap/>
        <w:overflowPunct/>
        <w:topLinePunct w:val="0"/>
        <w:autoSpaceDE/>
        <w:autoSpaceDN/>
        <w:bidi w:val="0"/>
        <w:spacing w:line="360" w:lineRule="auto"/>
        <w:ind w:firstLine="420"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19.2在投标截止时间之后，投标人不得对其投标做任何修改。</w:t>
      </w:r>
    </w:p>
    <w:p>
      <w:pPr>
        <w:pStyle w:val="17"/>
        <w:keepNext w:val="0"/>
        <w:keepLines w:val="0"/>
        <w:pageBreakBefore w:val="0"/>
        <w:widowControl w:val="0"/>
        <w:kinsoku/>
        <w:wordWrap/>
        <w:overflowPunct/>
        <w:topLinePunct w:val="0"/>
        <w:autoSpaceDE/>
        <w:autoSpaceDN/>
        <w:bidi w:val="0"/>
        <w:spacing w:line="360" w:lineRule="auto"/>
        <w:ind w:firstLine="420" w:firstLineChars="200"/>
        <w:textAlignment w:val="auto"/>
        <w:rPr>
          <w:rFonts w:hint="eastAsia" w:ascii="宋体" w:hAnsi="宋体" w:eastAsia="宋体" w:cs="宋体"/>
          <w:spacing w:val="-6"/>
          <w:sz w:val="21"/>
          <w:szCs w:val="21"/>
          <w:highlight w:val="none"/>
        </w:rPr>
      </w:pPr>
      <w:r>
        <w:rPr>
          <w:rFonts w:hint="eastAsia" w:ascii="宋体" w:hAnsi="宋体" w:eastAsia="宋体" w:cs="宋体"/>
          <w:sz w:val="21"/>
          <w:szCs w:val="21"/>
          <w:highlight w:val="none"/>
        </w:rPr>
        <w:t>19.3从投标截止时间至投标人在投标书格式中确定的投标有效期期满这段时间内，投标人不得撤回其投标，否则将通报市信用管理部门，列入严重失信名单。</w:t>
      </w:r>
    </w:p>
    <w:p>
      <w:pPr>
        <w:pStyle w:val="17"/>
        <w:spacing w:line="360" w:lineRule="auto"/>
        <w:ind w:firstLine="422" w:firstLineChars="200"/>
        <w:rPr>
          <w:rFonts w:hint="eastAsia" w:ascii="宋体" w:hAnsi="宋体" w:eastAsia="宋体" w:cs="宋体"/>
          <w:b/>
          <w:sz w:val="21"/>
          <w:szCs w:val="21"/>
          <w:highlight w:val="none"/>
        </w:rPr>
      </w:pPr>
      <w:r>
        <w:rPr>
          <w:rFonts w:hint="eastAsia" w:ascii="宋体" w:hAnsi="宋体" w:eastAsia="宋体" w:cs="宋体"/>
          <w:b/>
          <w:sz w:val="21"/>
          <w:szCs w:val="21"/>
          <w:highlight w:val="none"/>
          <w:lang w:val="en-US" w:eastAsia="zh-CN"/>
        </w:rPr>
        <w:t>20</w:t>
      </w:r>
      <w:r>
        <w:rPr>
          <w:rFonts w:hint="eastAsia" w:ascii="宋体" w:hAnsi="宋体" w:eastAsia="宋体" w:cs="宋体"/>
          <w:b/>
          <w:sz w:val="21"/>
          <w:szCs w:val="21"/>
          <w:highlight w:val="none"/>
        </w:rPr>
        <w:t>.投标文件解密</w:t>
      </w:r>
    </w:p>
    <w:p>
      <w:pPr>
        <w:pStyle w:val="17"/>
        <w:spacing w:line="360" w:lineRule="auto"/>
        <w:ind w:firstLine="480"/>
        <w:rPr>
          <w:rFonts w:hint="eastAsia" w:hAnsi="宋体" w:cs="宋体"/>
          <w:color w:val="auto"/>
          <w:highlight w:val="none"/>
        </w:rPr>
      </w:pPr>
      <w:r>
        <w:rPr>
          <w:rFonts w:hint="eastAsia" w:hAnsi="宋体" w:cs="宋体"/>
          <w:color w:val="auto"/>
          <w:highlight w:val="none"/>
        </w:rPr>
        <w:t>本项目采用不见面开标方式，供应商无需到开标现场，但应准时参加线上开标。开标时间后代理机构公布名单并开启解密。开启解密后的30分钟内，供应商应当登录“义乌市阳光招标采购平台”，用“开标签到解密”功能或者登录“不见面开标大厅”解密投标文件。</w:t>
      </w:r>
    </w:p>
    <w:p>
      <w:pPr>
        <w:snapToGrid w:val="0"/>
        <w:spacing w:line="360" w:lineRule="auto"/>
        <w:ind w:firstLine="413" w:firstLineChars="196"/>
        <w:rPr>
          <w:rFonts w:hint="eastAsia" w:ascii="宋体" w:hAnsi="宋体" w:cs="宋体"/>
          <w:color w:val="auto"/>
          <w:highlight w:val="none"/>
        </w:rPr>
      </w:pPr>
      <w:r>
        <w:rPr>
          <w:rFonts w:hint="eastAsia" w:ascii="宋体" w:hAnsi="宋体" w:cs="宋体"/>
          <w:b/>
          <w:bCs/>
          <w:color w:val="auto"/>
          <w:highlight w:val="none"/>
        </w:rPr>
        <w:t>电子交易平台网络不畅</w:t>
      </w:r>
      <w:r>
        <w:rPr>
          <w:rFonts w:hint="eastAsia" w:ascii="宋体" w:hAnsi="宋体" w:cs="宋体"/>
          <w:color w:val="auto"/>
          <w:highlight w:val="none"/>
        </w:rPr>
        <w:t>导致投标人不能在规定时间内完成解密，可相应延长解密时间，超出相应延长解密时间仍然未解密的，视做撤销投标文件。</w:t>
      </w:r>
    </w:p>
    <w:p>
      <w:pPr>
        <w:pStyle w:val="4"/>
        <w:spacing w:before="120" w:after="120" w:line="360" w:lineRule="auto"/>
        <w:rPr>
          <w:rFonts w:hint="default" w:ascii="宋体" w:hAnsi="宋体" w:eastAsia="宋体" w:cs="宋体"/>
          <w:sz w:val="21"/>
          <w:szCs w:val="21"/>
          <w:lang w:val="en-US" w:eastAsia="zh-CN"/>
        </w:rPr>
      </w:pPr>
      <w:bookmarkStart w:id="28" w:name="_Toc19567"/>
      <w:r>
        <w:rPr>
          <w:rFonts w:hint="eastAsia" w:ascii="宋体" w:hAnsi="宋体" w:eastAsia="宋体" w:cs="宋体"/>
          <w:sz w:val="21"/>
          <w:szCs w:val="21"/>
        </w:rPr>
        <w:t>五、</w:t>
      </w:r>
      <w:bookmarkEnd w:id="23"/>
      <w:r>
        <w:rPr>
          <w:rFonts w:hint="eastAsia" w:ascii="宋体" w:hAnsi="宋体" w:eastAsia="宋体" w:cs="宋体"/>
          <w:sz w:val="21"/>
          <w:szCs w:val="21"/>
          <w:lang w:val="en-US" w:eastAsia="zh-CN"/>
        </w:rPr>
        <w:t>费用缴纳</w:t>
      </w:r>
      <w:bookmarkEnd w:id="28"/>
    </w:p>
    <w:p>
      <w:pPr>
        <w:spacing w:line="360" w:lineRule="auto"/>
        <w:ind w:firstLine="435"/>
        <w:rPr>
          <w:rFonts w:ascii="宋体"/>
          <w:spacing w:val="-6"/>
        </w:rPr>
      </w:pPr>
      <w:r>
        <w:rPr>
          <w:rFonts w:hint="eastAsia" w:ascii="宋体" w:hAnsi="宋体" w:cs="宋体"/>
          <w:spacing w:val="-6"/>
          <w:lang w:val="en-US" w:eastAsia="zh-CN"/>
        </w:rPr>
        <w:t>1.</w:t>
      </w:r>
      <w:r>
        <w:rPr>
          <w:rFonts w:hint="eastAsia" w:ascii="宋体" w:hAnsi="宋体" w:cs="宋体"/>
          <w:spacing w:val="-6"/>
        </w:rPr>
        <w:t>招标服务费于中标通知书发送前按照</w:t>
      </w:r>
      <w:r>
        <w:rPr>
          <w:rFonts w:hint="eastAsia" w:ascii="宋体" w:hAnsi="宋体" w:cs="宋体"/>
          <w:spacing w:val="-6"/>
          <w:lang w:val="en-US" w:eastAsia="zh-CN"/>
        </w:rPr>
        <w:t>二年中标总金额</w:t>
      </w:r>
      <w:r>
        <w:rPr>
          <w:rFonts w:hint="eastAsia" w:ascii="宋体" w:hAnsi="宋体" w:cs="宋体"/>
          <w:spacing w:val="-6"/>
        </w:rPr>
        <w:t>向中标方收取。单宗招标服务费不足</w:t>
      </w:r>
      <w:r>
        <w:rPr>
          <w:rFonts w:ascii="宋体" w:hAnsi="宋体" w:cs="宋体"/>
          <w:spacing w:val="-6"/>
        </w:rPr>
        <w:t>3000</w:t>
      </w:r>
      <w:r>
        <w:rPr>
          <w:rFonts w:hint="eastAsia" w:ascii="宋体" w:hAnsi="宋体" w:cs="宋体"/>
          <w:spacing w:val="-6"/>
        </w:rPr>
        <w:t>元按</w:t>
      </w:r>
      <w:r>
        <w:rPr>
          <w:rFonts w:ascii="宋体" w:hAnsi="宋体" w:cs="宋体"/>
          <w:spacing w:val="-6"/>
        </w:rPr>
        <w:t>3000</w:t>
      </w:r>
      <w:r>
        <w:rPr>
          <w:rFonts w:hint="eastAsia" w:ascii="宋体" w:hAnsi="宋体" w:cs="宋体"/>
          <w:spacing w:val="-6"/>
        </w:rPr>
        <w:t>元收取。</w:t>
      </w:r>
      <w:r>
        <w:rPr>
          <w:rFonts w:ascii="宋体" w:hAnsi="宋体" w:cs="宋体"/>
          <w:spacing w:val="-6"/>
        </w:rPr>
        <w:t xml:space="preserve"> </w:t>
      </w:r>
    </w:p>
    <w:tbl>
      <w:tblPr>
        <w:tblStyle w:val="3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12"/>
        <w:gridCol w:w="1335"/>
        <w:gridCol w:w="396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2212" w:type="dxa"/>
            <w:tcBorders>
              <w:top w:val="single" w:color="auto" w:sz="4" w:space="0"/>
              <w:left w:val="single" w:color="auto" w:sz="4" w:space="0"/>
              <w:bottom w:val="single" w:color="auto" w:sz="4" w:space="0"/>
              <w:right w:val="single" w:color="auto" w:sz="4" w:space="0"/>
            </w:tcBorders>
            <w:noWrap w:val="0"/>
            <w:vAlign w:val="top"/>
          </w:tcPr>
          <w:p>
            <w:pPr>
              <w:pStyle w:val="17"/>
              <w:pageBreakBefore w:val="0"/>
              <w:kinsoku/>
              <w:wordWrap/>
              <w:topLinePunct w:val="0"/>
              <w:bidi w:val="0"/>
              <w:spacing w:line="480" w:lineRule="exact"/>
              <w:ind w:firstLine="480"/>
              <w:rPr>
                <w:rFonts w:hint="eastAsia" w:ascii="宋体" w:hAnsi="宋体" w:eastAsia="宋体" w:cs="宋体"/>
                <w:strike w:val="0"/>
                <w:dstrike w:val="0"/>
                <w:color w:val="auto"/>
                <w:sz w:val="21"/>
                <w:szCs w:val="21"/>
                <w:highlight w:val="none"/>
              </w:rPr>
            </w:pPr>
            <w:r>
              <w:rPr>
                <w:rFonts w:hint="eastAsia" w:ascii="宋体" w:hAnsi="宋体" w:eastAsia="宋体" w:cs="宋体"/>
                <w:strike w:val="0"/>
                <w:dstrike w:val="0"/>
                <w:color w:val="auto"/>
                <w:sz w:val="21"/>
                <w:szCs w:val="21"/>
                <w:highlight w:val="none"/>
              </w:rPr>
              <w:t>中标金额（万元）</w:t>
            </w:r>
          </w:p>
        </w:tc>
        <w:tc>
          <w:tcPr>
            <w:tcW w:w="1335" w:type="dxa"/>
            <w:tcBorders>
              <w:top w:val="single" w:color="auto" w:sz="4" w:space="0"/>
              <w:left w:val="single" w:color="auto" w:sz="4" w:space="0"/>
              <w:bottom w:val="single" w:color="auto" w:sz="4" w:space="0"/>
              <w:right w:val="single" w:color="auto" w:sz="4" w:space="0"/>
            </w:tcBorders>
            <w:noWrap w:val="0"/>
            <w:vAlign w:val="top"/>
          </w:tcPr>
          <w:p>
            <w:pPr>
              <w:pStyle w:val="17"/>
              <w:pageBreakBefore w:val="0"/>
              <w:kinsoku/>
              <w:wordWrap/>
              <w:topLinePunct w:val="0"/>
              <w:bidi w:val="0"/>
              <w:spacing w:line="480" w:lineRule="exact"/>
              <w:rPr>
                <w:rFonts w:hint="eastAsia" w:ascii="宋体" w:hAnsi="宋体" w:eastAsia="宋体" w:cs="宋体"/>
                <w:strike w:val="0"/>
                <w:dstrike w:val="0"/>
                <w:color w:val="auto"/>
                <w:sz w:val="21"/>
                <w:szCs w:val="21"/>
                <w:highlight w:val="none"/>
              </w:rPr>
            </w:pPr>
            <w:r>
              <w:rPr>
                <w:rFonts w:hint="eastAsia" w:ascii="宋体" w:hAnsi="宋体" w:eastAsia="宋体" w:cs="宋体"/>
                <w:strike w:val="0"/>
                <w:dstrike w:val="0"/>
                <w:color w:val="auto"/>
                <w:sz w:val="21"/>
                <w:szCs w:val="21"/>
                <w:highlight w:val="none"/>
              </w:rPr>
              <w:t>收费标准</w:t>
            </w:r>
          </w:p>
        </w:tc>
        <w:tc>
          <w:tcPr>
            <w:tcW w:w="3967" w:type="dxa"/>
            <w:tcBorders>
              <w:top w:val="single" w:color="auto" w:sz="4" w:space="0"/>
              <w:left w:val="single" w:color="auto" w:sz="4" w:space="0"/>
              <w:bottom w:val="single" w:color="auto" w:sz="4" w:space="0"/>
              <w:right w:val="single" w:color="auto" w:sz="4" w:space="0"/>
            </w:tcBorders>
            <w:noWrap w:val="0"/>
            <w:vAlign w:val="top"/>
          </w:tcPr>
          <w:p>
            <w:pPr>
              <w:pStyle w:val="17"/>
              <w:pageBreakBefore w:val="0"/>
              <w:kinsoku/>
              <w:wordWrap/>
              <w:topLinePunct w:val="0"/>
              <w:bidi w:val="0"/>
              <w:spacing w:line="480" w:lineRule="exact"/>
              <w:ind w:firstLine="480"/>
              <w:rPr>
                <w:rFonts w:hint="eastAsia" w:ascii="宋体" w:hAnsi="宋体" w:eastAsia="宋体" w:cs="宋体"/>
                <w:strike w:val="0"/>
                <w:dstrike w:val="0"/>
                <w:color w:val="auto"/>
                <w:sz w:val="21"/>
                <w:szCs w:val="21"/>
                <w:highlight w:val="none"/>
              </w:rPr>
            </w:pPr>
            <w:r>
              <w:rPr>
                <w:rFonts w:hint="eastAsia" w:ascii="宋体" w:hAnsi="宋体" w:eastAsia="宋体" w:cs="宋体"/>
                <w:strike w:val="0"/>
                <w:dstrike w:val="0"/>
                <w:color w:val="auto"/>
                <w:sz w:val="21"/>
                <w:szCs w:val="21"/>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 w:hRule="atLeast"/>
          <w:jc w:val="center"/>
        </w:trPr>
        <w:tc>
          <w:tcPr>
            <w:tcW w:w="2212" w:type="dxa"/>
            <w:tcBorders>
              <w:top w:val="single" w:color="auto" w:sz="4" w:space="0"/>
              <w:left w:val="single" w:color="auto" w:sz="4" w:space="0"/>
              <w:bottom w:val="single" w:color="auto" w:sz="4" w:space="0"/>
              <w:right w:val="single" w:color="auto" w:sz="4" w:space="0"/>
            </w:tcBorders>
            <w:noWrap w:val="0"/>
            <w:vAlign w:val="top"/>
          </w:tcPr>
          <w:p>
            <w:pPr>
              <w:pStyle w:val="17"/>
              <w:pageBreakBefore w:val="0"/>
              <w:kinsoku/>
              <w:wordWrap/>
              <w:topLinePunct w:val="0"/>
              <w:bidi w:val="0"/>
              <w:spacing w:line="480" w:lineRule="exact"/>
              <w:ind w:firstLine="480"/>
              <w:rPr>
                <w:rFonts w:hint="eastAsia" w:ascii="宋体" w:hAnsi="宋体" w:eastAsia="宋体" w:cs="宋体"/>
                <w:strike w:val="0"/>
                <w:dstrike w:val="0"/>
                <w:color w:val="auto"/>
                <w:sz w:val="21"/>
                <w:szCs w:val="21"/>
                <w:highlight w:val="none"/>
              </w:rPr>
            </w:pPr>
            <w:r>
              <w:rPr>
                <w:rFonts w:hint="eastAsia" w:ascii="宋体" w:hAnsi="宋体" w:eastAsia="宋体" w:cs="宋体"/>
                <w:strike w:val="0"/>
                <w:dstrike w:val="0"/>
                <w:color w:val="auto"/>
                <w:sz w:val="21"/>
                <w:szCs w:val="21"/>
                <w:highlight w:val="none"/>
              </w:rPr>
              <w:t>100</w:t>
            </w:r>
            <w:r>
              <w:rPr>
                <w:rFonts w:hint="eastAsia" w:ascii="宋体" w:hAnsi="宋体" w:eastAsia="宋体" w:cs="宋体"/>
                <w:strike w:val="0"/>
                <w:dstrike w:val="0"/>
                <w:color w:val="auto"/>
                <w:sz w:val="21"/>
                <w:szCs w:val="21"/>
                <w:highlight w:val="none"/>
                <w:lang w:eastAsia="zh-CN"/>
              </w:rPr>
              <w:t>（</w:t>
            </w:r>
            <w:r>
              <w:rPr>
                <w:rFonts w:hint="eastAsia" w:ascii="宋体" w:hAnsi="宋体" w:eastAsia="宋体" w:cs="宋体"/>
                <w:strike w:val="0"/>
                <w:dstrike w:val="0"/>
                <w:color w:val="auto"/>
                <w:sz w:val="21"/>
                <w:szCs w:val="21"/>
                <w:highlight w:val="none"/>
                <w:lang w:val="en-US" w:eastAsia="zh-CN"/>
              </w:rPr>
              <w:t>含</w:t>
            </w:r>
            <w:r>
              <w:rPr>
                <w:rFonts w:hint="eastAsia" w:ascii="宋体" w:hAnsi="宋体" w:eastAsia="宋体" w:cs="宋体"/>
                <w:strike w:val="0"/>
                <w:dstrike w:val="0"/>
                <w:color w:val="auto"/>
                <w:sz w:val="21"/>
                <w:szCs w:val="21"/>
                <w:highlight w:val="none"/>
                <w:lang w:eastAsia="zh-CN"/>
              </w:rPr>
              <w:t>）</w:t>
            </w:r>
            <w:r>
              <w:rPr>
                <w:rFonts w:hint="eastAsia" w:ascii="宋体" w:hAnsi="宋体" w:eastAsia="宋体" w:cs="宋体"/>
                <w:strike w:val="0"/>
                <w:dstrike w:val="0"/>
                <w:color w:val="auto"/>
                <w:sz w:val="21"/>
                <w:szCs w:val="21"/>
                <w:highlight w:val="none"/>
              </w:rPr>
              <w:t>以下</w:t>
            </w:r>
          </w:p>
        </w:tc>
        <w:tc>
          <w:tcPr>
            <w:tcW w:w="1335" w:type="dxa"/>
            <w:tcBorders>
              <w:top w:val="single" w:color="auto" w:sz="4" w:space="0"/>
              <w:left w:val="single" w:color="auto" w:sz="4" w:space="0"/>
              <w:bottom w:val="single" w:color="auto" w:sz="4" w:space="0"/>
              <w:right w:val="single" w:color="auto" w:sz="4" w:space="0"/>
            </w:tcBorders>
            <w:noWrap w:val="0"/>
            <w:vAlign w:val="top"/>
          </w:tcPr>
          <w:p>
            <w:pPr>
              <w:pStyle w:val="17"/>
              <w:pageBreakBefore w:val="0"/>
              <w:kinsoku/>
              <w:wordWrap/>
              <w:topLinePunct w:val="0"/>
              <w:bidi w:val="0"/>
              <w:spacing w:line="480" w:lineRule="exact"/>
              <w:ind w:firstLine="480"/>
              <w:rPr>
                <w:rFonts w:hint="eastAsia" w:ascii="宋体" w:hAnsi="宋体" w:eastAsia="宋体" w:cs="宋体"/>
                <w:strike w:val="0"/>
                <w:dstrike w:val="0"/>
                <w:color w:val="auto"/>
                <w:sz w:val="21"/>
                <w:szCs w:val="21"/>
                <w:highlight w:val="none"/>
              </w:rPr>
            </w:pPr>
            <w:r>
              <w:rPr>
                <w:rFonts w:hint="eastAsia" w:ascii="宋体" w:hAnsi="宋体" w:eastAsia="宋体" w:cs="宋体"/>
                <w:strike w:val="0"/>
                <w:dstrike w:val="0"/>
                <w:color w:val="auto"/>
                <w:sz w:val="21"/>
                <w:szCs w:val="21"/>
                <w:highlight w:val="none"/>
              </w:rPr>
              <w:t>1.5%</w:t>
            </w:r>
          </w:p>
        </w:tc>
        <w:tc>
          <w:tcPr>
            <w:tcW w:w="3967" w:type="dxa"/>
            <w:vMerge w:val="restart"/>
            <w:tcBorders>
              <w:top w:val="single" w:color="auto" w:sz="4" w:space="0"/>
              <w:left w:val="single" w:color="auto" w:sz="4" w:space="0"/>
              <w:right w:val="single" w:color="auto" w:sz="4" w:space="0"/>
            </w:tcBorders>
            <w:noWrap w:val="0"/>
            <w:vAlign w:val="top"/>
          </w:tcPr>
          <w:p>
            <w:pPr>
              <w:pStyle w:val="17"/>
              <w:pageBreakBefore w:val="0"/>
              <w:kinsoku/>
              <w:wordWrap/>
              <w:topLinePunct w:val="0"/>
              <w:bidi w:val="0"/>
              <w:spacing w:line="480" w:lineRule="exact"/>
              <w:ind w:firstLine="480"/>
              <w:rPr>
                <w:rFonts w:hint="eastAsia" w:ascii="宋体" w:hAnsi="宋体" w:eastAsia="宋体" w:cs="宋体"/>
                <w:strike w:val="0"/>
                <w:dstrike w:val="0"/>
                <w:color w:val="auto"/>
                <w:sz w:val="21"/>
                <w:szCs w:val="21"/>
                <w:highlight w:val="none"/>
              </w:rPr>
            </w:pPr>
            <w:r>
              <w:rPr>
                <w:rFonts w:hint="eastAsia" w:ascii="宋体" w:hAnsi="宋体" w:eastAsia="宋体" w:cs="宋体"/>
                <w:strike w:val="0"/>
                <w:dstrike w:val="0"/>
                <w:color w:val="auto"/>
                <w:sz w:val="21"/>
                <w:szCs w:val="21"/>
                <w:highlight w:val="none"/>
              </w:rPr>
              <w:t>招标服务采用差额定率累进法计算，向中标方单向收取。</w:t>
            </w:r>
          </w:p>
          <w:p>
            <w:pPr>
              <w:pStyle w:val="17"/>
              <w:pageBreakBefore w:val="0"/>
              <w:kinsoku/>
              <w:wordWrap/>
              <w:topLinePunct w:val="0"/>
              <w:bidi w:val="0"/>
              <w:spacing w:line="480" w:lineRule="exact"/>
              <w:ind w:firstLine="480"/>
              <w:rPr>
                <w:rFonts w:hint="eastAsia" w:ascii="宋体" w:hAnsi="宋体" w:eastAsia="宋体" w:cs="宋体"/>
                <w:strike w:val="0"/>
                <w:dstrike w:val="0"/>
                <w:color w:val="auto"/>
                <w:sz w:val="21"/>
                <w:szCs w:val="21"/>
                <w:highlight w:val="none"/>
              </w:rPr>
            </w:pPr>
            <w:r>
              <w:rPr>
                <w:rFonts w:hint="eastAsia" w:ascii="宋体" w:hAnsi="宋体" w:eastAsia="宋体" w:cs="宋体"/>
                <w:strike w:val="0"/>
                <w:dstrike w:val="0"/>
                <w:color w:val="auto"/>
                <w:sz w:val="21"/>
                <w:szCs w:val="21"/>
                <w:highlight w:val="none"/>
              </w:rPr>
              <w:t>例：中标金额为1000万。服务费=100万×1.5%+400万×0.8%+500万×0.45%=6.95万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jc w:val="center"/>
        </w:trPr>
        <w:tc>
          <w:tcPr>
            <w:tcW w:w="2212" w:type="dxa"/>
            <w:tcBorders>
              <w:top w:val="single" w:color="auto" w:sz="4" w:space="0"/>
              <w:left w:val="single" w:color="auto" w:sz="4" w:space="0"/>
              <w:bottom w:val="single" w:color="auto" w:sz="4" w:space="0"/>
              <w:right w:val="single" w:color="auto" w:sz="4" w:space="0"/>
            </w:tcBorders>
            <w:noWrap w:val="0"/>
            <w:vAlign w:val="top"/>
          </w:tcPr>
          <w:p>
            <w:pPr>
              <w:pStyle w:val="17"/>
              <w:pageBreakBefore w:val="0"/>
              <w:kinsoku/>
              <w:wordWrap/>
              <w:topLinePunct w:val="0"/>
              <w:bidi w:val="0"/>
              <w:spacing w:line="480" w:lineRule="exact"/>
              <w:ind w:firstLine="480"/>
              <w:rPr>
                <w:rFonts w:hint="eastAsia" w:ascii="宋体" w:hAnsi="宋体" w:eastAsia="宋体" w:cs="宋体"/>
                <w:strike w:val="0"/>
                <w:dstrike w:val="0"/>
                <w:color w:val="auto"/>
                <w:sz w:val="21"/>
                <w:szCs w:val="21"/>
                <w:highlight w:val="none"/>
              </w:rPr>
            </w:pPr>
            <w:r>
              <w:rPr>
                <w:rFonts w:hint="eastAsia" w:ascii="宋体" w:hAnsi="宋体" w:eastAsia="宋体" w:cs="宋体"/>
                <w:strike w:val="0"/>
                <w:dstrike w:val="0"/>
                <w:color w:val="auto"/>
                <w:sz w:val="21"/>
                <w:szCs w:val="21"/>
                <w:highlight w:val="none"/>
              </w:rPr>
              <w:t>100-500</w:t>
            </w:r>
            <w:r>
              <w:rPr>
                <w:rFonts w:hint="eastAsia" w:ascii="宋体" w:hAnsi="宋体" w:eastAsia="宋体" w:cs="宋体"/>
                <w:strike w:val="0"/>
                <w:dstrike w:val="0"/>
                <w:color w:val="auto"/>
                <w:sz w:val="21"/>
                <w:szCs w:val="21"/>
                <w:highlight w:val="none"/>
                <w:lang w:eastAsia="zh-CN"/>
              </w:rPr>
              <w:t>（</w:t>
            </w:r>
            <w:r>
              <w:rPr>
                <w:rFonts w:hint="eastAsia" w:ascii="宋体" w:hAnsi="宋体" w:eastAsia="宋体" w:cs="宋体"/>
                <w:strike w:val="0"/>
                <w:dstrike w:val="0"/>
                <w:color w:val="auto"/>
                <w:sz w:val="21"/>
                <w:szCs w:val="21"/>
                <w:highlight w:val="none"/>
                <w:lang w:val="en-US" w:eastAsia="zh-CN"/>
              </w:rPr>
              <w:t>含</w:t>
            </w:r>
            <w:r>
              <w:rPr>
                <w:rFonts w:hint="eastAsia" w:ascii="宋体" w:hAnsi="宋体" w:eastAsia="宋体" w:cs="宋体"/>
                <w:strike w:val="0"/>
                <w:dstrike w:val="0"/>
                <w:color w:val="auto"/>
                <w:sz w:val="21"/>
                <w:szCs w:val="21"/>
                <w:highlight w:val="none"/>
                <w:lang w:eastAsia="zh-CN"/>
              </w:rPr>
              <w:t>）</w:t>
            </w:r>
          </w:p>
        </w:tc>
        <w:tc>
          <w:tcPr>
            <w:tcW w:w="1335" w:type="dxa"/>
            <w:tcBorders>
              <w:top w:val="single" w:color="auto" w:sz="4" w:space="0"/>
              <w:left w:val="single" w:color="auto" w:sz="4" w:space="0"/>
              <w:bottom w:val="single" w:color="auto" w:sz="4" w:space="0"/>
              <w:right w:val="single" w:color="auto" w:sz="4" w:space="0"/>
            </w:tcBorders>
            <w:noWrap w:val="0"/>
            <w:vAlign w:val="top"/>
          </w:tcPr>
          <w:p>
            <w:pPr>
              <w:pStyle w:val="17"/>
              <w:pageBreakBefore w:val="0"/>
              <w:kinsoku/>
              <w:wordWrap/>
              <w:topLinePunct w:val="0"/>
              <w:bidi w:val="0"/>
              <w:spacing w:line="480" w:lineRule="exact"/>
              <w:ind w:firstLine="480"/>
              <w:rPr>
                <w:rFonts w:hint="eastAsia" w:ascii="宋体" w:hAnsi="宋体" w:eastAsia="宋体" w:cs="宋体"/>
                <w:strike w:val="0"/>
                <w:dstrike w:val="0"/>
                <w:color w:val="auto"/>
                <w:sz w:val="21"/>
                <w:szCs w:val="21"/>
                <w:highlight w:val="none"/>
              </w:rPr>
            </w:pPr>
            <w:r>
              <w:rPr>
                <w:rFonts w:hint="eastAsia" w:ascii="宋体" w:hAnsi="宋体" w:eastAsia="宋体" w:cs="宋体"/>
                <w:strike w:val="0"/>
                <w:dstrike w:val="0"/>
                <w:color w:val="auto"/>
                <w:sz w:val="21"/>
                <w:szCs w:val="21"/>
                <w:highlight w:val="none"/>
              </w:rPr>
              <w:t>0.8%</w:t>
            </w:r>
          </w:p>
        </w:tc>
        <w:tc>
          <w:tcPr>
            <w:tcW w:w="3967" w:type="dxa"/>
            <w:vMerge w:val="continue"/>
            <w:tcBorders>
              <w:left w:val="single" w:color="auto" w:sz="4" w:space="0"/>
              <w:right w:val="single" w:color="auto" w:sz="4" w:space="0"/>
            </w:tcBorders>
            <w:noWrap w:val="0"/>
            <w:vAlign w:val="center"/>
          </w:tcPr>
          <w:p>
            <w:pPr>
              <w:pStyle w:val="17"/>
              <w:pageBreakBefore w:val="0"/>
              <w:kinsoku/>
              <w:wordWrap/>
              <w:topLinePunct w:val="0"/>
              <w:bidi w:val="0"/>
              <w:spacing w:line="480" w:lineRule="exact"/>
              <w:ind w:firstLine="480"/>
              <w:rPr>
                <w:rFonts w:hint="eastAsia" w:ascii="宋体" w:hAnsi="宋体" w:eastAsia="宋体" w:cs="宋体"/>
                <w:strike w:val="0"/>
                <w:dstrike w:val="0"/>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jc w:val="center"/>
        </w:trPr>
        <w:tc>
          <w:tcPr>
            <w:tcW w:w="2212" w:type="dxa"/>
            <w:tcBorders>
              <w:top w:val="single" w:color="auto" w:sz="4" w:space="0"/>
              <w:left w:val="single" w:color="auto" w:sz="4" w:space="0"/>
              <w:bottom w:val="single" w:color="auto" w:sz="4" w:space="0"/>
              <w:right w:val="single" w:color="auto" w:sz="4" w:space="0"/>
            </w:tcBorders>
            <w:noWrap w:val="0"/>
            <w:vAlign w:val="top"/>
          </w:tcPr>
          <w:p>
            <w:pPr>
              <w:pStyle w:val="17"/>
              <w:pageBreakBefore w:val="0"/>
              <w:kinsoku/>
              <w:wordWrap/>
              <w:topLinePunct w:val="0"/>
              <w:bidi w:val="0"/>
              <w:spacing w:line="480" w:lineRule="exact"/>
              <w:ind w:firstLine="480"/>
              <w:rPr>
                <w:rFonts w:hint="eastAsia" w:ascii="宋体" w:hAnsi="宋体" w:eastAsia="宋体" w:cs="宋体"/>
                <w:strike w:val="0"/>
                <w:dstrike w:val="0"/>
                <w:color w:val="auto"/>
                <w:sz w:val="21"/>
                <w:szCs w:val="21"/>
                <w:highlight w:val="none"/>
              </w:rPr>
            </w:pPr>
            <w:r>
              <w:rPr>
                <w:rFonts w:hint="eastAsia" w:ascii="宋体" w:hAnsi="宋体" w:eastAsia="宋体" w:cs="宋体"/>
                <w:strike w:val="0"/>
                <w:dstrike w:val="0"/>
                <w:color w:val="auto"/>
                <w:sz w:val="21"/>
                <w:szCs w:val="21"/>
                <w:highlight w:val="none"/>
              </w:rPr>
              <w:t>500-1000</w:t>
            </w:r>
            <w:r>
              <w:rPr>
                <w:rFonts w:hint="eastAsia" w:ascii="宋体" w:hAnsi="宋体" w:eastAsia="宋体" w:cs="宋体"/>
                <w:strike w:val="0"/>
                <w:dstrike w:val="0"/>
                <w:color w:val="auto"/>
                <w:sz w:val="21"/>
                <w:szCs w:val="21"/>
                <w:highlight w:val="none"/>
                <w:lang w:eastAsia="zh-CN"/>
              </w:rPr>
              <w:t>（</w:t>
            </w:r>
            <w:r>
              <w:rPr>
                <w:rFonts w:hint="eastAsia" w:ascii="宋体" w:hAnsi="宋体" w:eastAsia="宋体" w:cs="宋体"/>
                <w:strike w:val="0"/>
                <w:dstrike w:val="0"/>
                <w:color w:val="auto"/>
                <w:sz w:val="21"/>
                <w:szCs w:val="21"/>
                <w:highlight w:val="none"/>
                <w:lang w:val="en-US" w:eastAsia="zh-CN"/>
              </w:rPr>
              <w:t>含</w:t>
            </w:r>
            <w:r>
              <w:rPr>
                <w:rFonts w:hint="eastAsia" w:ascii="宋体" w:hAnsi="宋体" w:eastAsia="宋体" w:cs="宋体"/>
                <w:strike w:val="0"/>
                <w:dstrike w:val="0"/>
                <w:color w:val="auto"/>
                <w:sz w:val="21"/>
                <w:szCs w:val="21"/>
                <w:highlight w:val="none"/>
                <w:lang w:eastAsia="zh-CN"/>
              </w:rPr>
              <w:t>）</w:t>
            </w:r>
          </w:p>
        </w:tc>
        <w:tc>
          <w:tcPr>
            <w:tcW w:w="1335" w:type="dxa"/>
            <w:tcBorders>
              <w:top w:val="single" w:color="auto" w:sz="4" w:space="0"/>
              <w:left w:val="single" w:color="auto" w:sz="4" w:space="0"/>
              <w:bottom w:val="single" w:color="auto" w:sz="4" w:space="0"/>
              <w:right w:val="single" w:color="auto" w:sz="4" w:space="0"/>
            </w:tcBorders>
            <w:noWrap w:val="0"/>
            <w:vAlign w:val="top"/>
          </w:tcPr>
          <w:p>
            <w:pPr>
              <w:pStyle w:val="17"/>
              <w:pageBreakBefore w:val="0"/>
              <w:kinsoku/>
              <w:wordWrap/>
              <w:topLinePunct w:val="0"/>
              <w:bidi w:val="0"/>
              <w:spacing w:line="480" w:lineRule="exact"/>
              <w:ind w:firstLine="480"/>
              <w:rPr>
                <w:rFonts w:hint="eastAsia" w:ascii="宋体" w:hAnsi="宋体" w:eastAsia="宋体" w:cs="宋体"/>
                <w:strike w:val="0"/>
                <w:dstrike w:val="0"/>
                <w:color w:val="auto"/>
                <w:sz w:val="21"/>
                <w:szCs w:val="21"/>
                <w:highlight w:val="none"/>
              </w:rPr>
            </w:pPr>
            <w:r>
              <w:rPr>
                <w:rFonts w:hint="eastAsia" w:ascii="宋体" w:hAnsi="宋体" w:eastAsia="宋体" w:cs="宋体"/>
                <w:strike w:val="0"/>
                <w:dstrike w:val="0"/>
                <w:color w:val="auto"/>
                <w:sz w:val="21"/>
                <w:szCs w:val="21"/>
                <w:highlight w:val="none"/>
              </w:rPr>
              <w:t>0.45%</w:t>
            </w:r>
          </w:p>
        </w:tc>
        <w:tc>
          <w:tcPr>
            <w:tcW w:w="3967" w:type="dxa"/>
            <w:vMerge w:val="continue"/>
            <w:tcBorders>
              <w:left w:val="single" w:color="auto" w:sz="4" w:space="0"/>
              <w:right w:val="single" w:color="auto" w:sz="4" w:space="0"/>
            </w:tcBorders>
            <w:noWrap w:val="0"/>
            <w:vAlign w:val="center"/>
          </w:tcPr>
          <w:p>
            <w:pPr>
              <w:pStyle w:val="17"/>
              <w:pageBreakBefore w:val="0"/>
              <w:kinsoku/>
              <w:wordWrap/>
              <w:topLinePunct w:val="0"/>
              <w:bidi w:val="0"/>
              <w:spacing w:line="480" w:lineRule="exact"/>
              <w:ind w:firstLine="480"/>
              <w:rPr>
                <w:rFonts w:hint="eastAsia" w:ascii="宋体" w:hAnsi="宋体" w:eastAsia="宋体" w:cs="宋体"/>
                <w:strike w:val="0"/>
                <w:dstrike w:val="0"/>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1" w:hRule="atLeast"/>
          <w:jc w:val="center"/>
        </w:trPr>
        <w:tc>
          <w:tcPr>
            <w:tcW w:w="2212" w:type="dxa"/>
            <w:tcBorders>
              <w:top w:val="single" w:color="auto" w:sz="4" w:space="0"/>
              <w:left w:val="single" w:color="auto" w:sz="4" w:space="0"/>
              <w:bottom w:val="single" w:color="auto" w:sz="4" w:space="0"/>
              <w:right w:val="single" w:color="auto" w:sz="4" w:space="0"/>
            </w:tcBorders>
            <w:noWrap w:val="0"/>
            <w:vAlign w:val="top"/>
          </w:tcPr>
          <w:p>
            <w:pPr>
              <w:pStyle w:val="17"/>
              <w:pageBreakBefore w:val="0"/>
              <w:kinsoku/>
              <w:wordWrap/>
              <w:topLinePunct w:val="0"/>
              <w:bidi w:val="0"/>
              <w:spacing w:line="480" w:lineRule="exact"/>
              <w:ind w:firstLine="480"/>
              <w:rPr>
                <w:rFonts w:hint="eastAsia" w:ascii="宋体" w:hAnsi="宋体" w:eastAsia="宋体" w:cs="宋体"/>
                <w:strike w:val="0"/>
                <w:dstrike w:val="0"/>
                <w:color w:val="auto"/>
                <w:sz w:val="21"/>
                <w:szCs w:val="21"/>
                <w:highlight w:val="none"/>
              </w:rPr>
            </w:pPr>
            <w:r>
              <w:rPr>
                <w:rFonts w:hint="eastAsia" w:ascii="宋体" w:hAnsi="宋体" w:eastAsia="宋体" w:cs="宋体"/>
                <w:strike w:val="0"/>
                <w:dstrike w:val="0"/>
                <w:color w:val="auto"/>
                <w:sz w:val="21"/>
                <w:szCs w:val="21"/>
                <w:highlight w:val="none"/>
              </w:rPr>
              <w:t>1000-5000</w:t>
            </w:r>
            <w:r>
              <w:rPr>
                <w:rFonts w:hint="eastAsia" w:ascii="宋体" w:hAnsi="宋体" w:eastAsia="宋体" w:cs="宋体"/>
                <w:strike w:val="0"/>
                <w:dstrike w:val="0"/>
                <w:color w:val="auto"/>
                <w:sz w:val="21"/>
                <w:szCs w:val="21"/>
                <w:highlight w:val="none"/>
                <w:lang w:eastAsia="zh-CN"/>
              </w:rPr>
              <w:t>（</w:t>
            </w:r>
            <w:r>
              <w:rPr>
                <w:rFonts w:hint="eastAsia" w:ascii="宋体" w:hAnsi="宋体" w:eastAsia="宋体" w:cs="宋体"/>
                <w:strike w:val="0"/>
                <w:dstrike w:val="0"/>
                <w:color w:val="auto"/>
                <w:sz w:val="21"/>
                <w:szCs w:val="21"/>
                <w:highlight w:val="none"/>
                <w:lang w:val="en-US" w:eastAsia="zh-CN"/>
              </w:rPr>
              <w:t>含</w:t>
            </w:r>
            <w:r>
              <w:rPr>
                <w:rFonts w:hint="eastAsia" w:ascii="宋体" w:hAnsi="宋体" w:eastAsia="宋体" w:cs="宋体"/>
                <w:strike w:val="0"/>
                <w:dstrike w:val="0"/>
                <w:color w:val="auto"/>
                <w:sz w:val="21"/>
                <w:szCs w:val="21"/>
                <w:highlight w:val="none"/>
                <w:lang w:eastAsia="zh-CN"/>
              </w:rPr>
              <w:t>）</w:t>
            </w:r>
          </w:p>
        </w:tc>
        <w:tc>
          <w:tcPr>
            <w:tcW w:w="1335" w:type="dxa"/>
            <w:tcBorders>
              <w:top w:val="single" w:color="auto" w:sz="4" w:space="0"/>
              <w:left w:val="single" w:color="auto" w:sz="4" w:space="0"/>
              <w:bottom w:val="single" w:color="auto" w:sz="4" w:space="0"/>
              <w:right w:val="single" w:color="auto" w:sz="4" w:space="0"/>
            </w:tcBorders>
            <w:noWrap w:val="0"/>
            <w:vAlign w:val="top"/>
          </w:tcPr>
          <w:p>
            <w:pPr>
              <w:pStyle w:val="17"/>
              <w:pageBreakBefore w:val="0"/>
              <w:kinsoku/>
              <w:wordWrap/>
              <w:topLinePunct w:val="0"/>
              <w:bidi w:val="0"/>
              <w:spacing w:line="480" w:lineRule="exact"/>
              <w:ind w:firstLine="480"/>
              <w:rPr>
                <w:rFonts w:hint="eastAsia" w:ascii="宋体" w:hAnsi="宋体" w:eastAsia="宋体" w:cs="宋体"/>
                <w:strike w:val="0"/>
                <w:dstrike w:val="0"/>
                <w:color w:val="auto"/>
                <w:sz w:val="21"/>
                <w:szCs w:val="21"/>
                <w:highlight w:val="none"/>
              </w:rPr>
            </w:pPr>
            <w:r>
              <w:rPr>
                <w:rFonts w:hint="eastAsia" w:ascii="宋体" w:hAnsi="宋体" w:eastAsia="宋体" w:cs="宋体"/>
                <w:strike w:val="0"/>
                <w:dstrike w:val="0"/>
                <w:color w:val="auto"/>
                <w:sz w:val="21"/>
                <w:szCs w:val="21"/>
                <w:highlight w:val="none"/>
              </w:rPr>
              <w:t>0.25%</w:t>
            </w:r>
          </w:p>
        </w:tc>
        <w:tc>
          <w:tcPr>
            <w:tcW w:w="3967" w:type="dxa"/>
            <w:vMerge w:val="continue"/>
            <w:tcBorders>
              <w:left w:val="single" w:color="auto" w:sz="4" w:space="0"/>
              <w:right w:val="single" w:color="auto" w:sz="4" w:space="0"/>
            </w:tcBorders>
            <w:noWrap w:val="0"/>
            <w:vAlign w:val="center"/>
          </w:tcPr>
          <w:p>
            <w:pPr>
              <w:pStyle w:val="17"/>
              <w:pageBreakBefore w:val="0"/>
              <w:kinsoku/>
              <w:wordWrap/>
              <w:topLinePunct w:val="0"/>
              <w:bidi w:val="0"/>
              <w:spacing w:line="480" w:lineRule="exact"/>
              <w:ind w:firstLine="480"/>
              <w:rPr>
                <w:rFonts w:hint="eastAsia" w:ascii="宋体" w:hAnsi="宋体" w:eastAsia="宋体" w:cs="宋体"/>
                <w:strike w:val="0"/>
                <w:dstrike w:val="0"/>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jc w:val="center"/>
        </w:trPr>
        <w:tc>
          <w:tcPr>
            <w:tcW w:w="2212" w:type="dxa"/>
            <w:tcBorders>
              <w:top w:val="single" w:color="auto" w:sz="4" w:space="0"/>
              <w:left w:val="single" w:color="auto" w:sz="4" w:space="0"/>
              <w:bottom w:val="single" w:color="auto" w:sz="4" w:space="0"/>
              <w:right w:val="single" w:color="auto" w:sz="4" w:space="0"/>
            </w:tcBorders>
            <w:noWrap w:val="0"/>
            <w:vAlign w:val="top"/>
          </w:tcPr>
          <w:p>
            <w:pPr>
              <w:pStyle w:val="17"/>
              <w:pageBreakBefore w:val="0"/>
              <w:kinsoku/>
              <w:wordWrap/>
              <w:topLinePunct w:val="0"/>
              <w:bidi w:val="0"/>
              <w:spacing w:line="480" w:lineRule="exact"/>
              <w:ind w:firstLine="480"/>
              <w:rPr>
                <w:rFonts w:hint="eastAsia" w:ascii="宋体" w:hAnsi="宋体" w:eastAsia="宋体" w:cs="宋体"/>
                <w:strike w:val="0"/>
                <w:dstrike w:val="0"/>
                <w:color w:val="auto"/>
                <w:sz w:val="21"/>
                <w:szCs w:val="21"/>
                <w:highlight w:val="none"/>
              </w:rPr>
            </w:pPr>
            <w:r>
              <w:rPr>
                <w:rFonts w:hint="eastAsia" w:ascii="宋体" w:hAnsi="宋体" w:eastAsia="宋体" w:cs="宋体"/>
                <w:strike w:val="0"/>
                <w:dstrike w:val="0"/>
                <w:color w:val="auto"/>
                <w:sz w:val="21"/>
                <w:szCs w:val="21"/>
                <w:highlight w:val="none"/>
              </w:rPr>
              <w:t>5000-10000</w:t>
            </w:r>
            <w:r>
              <w:rPr>
                <w:rFonts w:hint="eastAsia" w:ascii="宋体" w:hAnsi="宋体" w:eastAsia="宋体" w:cs="宋体"/>
                <w:strike w:val="0"/>
                <w:dstrike w:val="0"/>
                <w:color w:val="auto"/>
                <w:sz w:val="21"/>
                <w:szCs w:val="21"/>
                <w:highlight w:val="none"/>
                <w:lang w:eastAsia="zh-CN"/>
              </w:rPr>
              <w:t>（</w:t>
            </w:r>
            <w:r>
              <w:rPr>
                <w:rFonts w:hint="eastAsia" w:ascii="宋体" w:hAnsi="宋体" w:eastAsia="宋体" w:cs="宋体"/>
                <w:strike w:val="0"/>
                <w:dstrike w:val="0"/>
                <w:color w:val="auto"/>
                <w:sz w:val="21"/>
                <w:szCs w:val="21"/>
                <w:highlight w:val="none"/>
                <w:lang w:val="en-US" w:eastAsia="zh-CN"/>
              </w:rPr>
              <w:t>含</w:t>
            </w:r>
            <w:r>
              <w:rPr>
                <w:rFonts w:hint="eastAsia" w:ascii="宋体" w:hAnsi="宋体" w:eastAsia="宋体" w:cs="宋体"/>
                <w:strike w:val="0"/>
                <w:dstrike w:val="0"/>
                <w:color w:val="auto"/>
                <w:sz w:val="21"/>
                <w:szCs w:val="21"/>
                <w:highlight w:val="none"/>
                <w:lang w:eastAsia="zh-CN"/>
              </w:rPr>
              <w:t>）</w:t>
            </w:r>
          </w:p>
        </w:tc>
        <w:tc>
          <w:tcPr>
            <w:tcW w:w="1335" w:type="dxa"/>
            <w:tcBorders>
              <w:top w:val="single" w:color="auto" w:sz="4" w:space="0"/>
              <w:left w:val="single" w:color="auto" w:sz="4" w:space="0"/>
              <w:bottom w:val="single" w:color="auto" w:sz="4" w:space="0"/>
              <w:right w:val="single" w:color="auto" w:sz="4" w:space="0"/>
            </w:tcBorders>
            <w:noWrap w:val="0"/>
            <w:vAlign w:val="top"/>
          </w:tcPr>
          <w:p>
            <w:pPr>
              <w:pStyle w:val="17"/>
              <w:pageBreakBefore w:val="0"/>
              <w:kinsoku/>
              <w:wordWrap/>
              <w:topLinePunct w:val="0"/>
              <w:bidi w:val="0"/>
              <w:spacing w:line="480" w:lineRule="exact"/>
              <w:ind w:firstLine="480"/>
              <w:rPr>
                <w:rFonts w:hint="eastAsia" w:ascii="宋体" w:hAnsi="宋体" w:eastAsia="宋体" w:cs="宋体"/>
                <w:strike w:val="0"/>
                <w:dstrike w:val="0"/>
                <w:color w:val="auto"/>
                <w:sz w:val="21"/>
                <w:szCs w:val="21"/>
                <w:highlight w:val="none"/>
              </w:rPr>
            </w:pPr>
            <w:r>
              <w:rPr>
                <w:rFonts w:hint="eastAsia" w:ascii="宋体" w:hAnsi="宋体" w:eastAsia="宋体" w:cs="宋体"/>
                <w:strike w:val="0"/>
                <w:dstrike w:val="0"/>
                <w:color w:val="auto"/>
                <w:sz w:val="21"/>
                <w:szCs w:val="21"/>
                <w:highlight w:val="none"/>
              </w:rPr>
              <w:t>0.1%</w:t>
            </w:r>
          </w:p>
        </w:tc>
        <w:tc>
          <w:tcPr>
            <w:tcW w:w="3967" w:type="dxa"/>
            <w:vMerge w:val="continue"/>
            <w:tcBorders>
              <w:left w:val="single" w:color="auto" w:sz="4" w:space="0"/>
              <w:right w:val="single" w:color="auto" w:sz="4" w:space="0"/>
            </w:tcBorders>
            <w:noWrap w:val="0"/>
            <w:vAlign w:val="center"/>
          </w:tcPr>
          <w:p>
            <w:pPr>
              <w:pStyle w:val="17"/>
              <w:pageBreakBefore w:val="0"/>
              <w:kinsoku/>
              <w:wordWrap/>
              <w:topLinePunct w:val="0"/>
              <w:bidi w:val="0"/>
              <w:spacing w:line="480" w:lineRule="exact"/>
              <w:ind w:firstLine="480"/>
              <w:rPr>
                <w:rFonts w:hint="eastAsia" w:ascii="宋体" w:hAnsi="宋体" w:eastAsia="宋体" w:cs="宋体"/>
                <w:strike w:val="0"/>
                <w:dstrike w:val="0"/>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jc w:val="center"/>
        </w:trPr>
        <w:tc>
          <w:tcPr>
            <w:tcW w:w="2212" w:type="dxa"/>
            <w:tcBorders>
              <w:top w:val="single" w:color="auto" w:sz="4" w:space="0"/>
              <w:left w:val="single" w:color="auto" w:sz="4" w:space="0"/>
              <w:bottom w:val="single" w:color="auto" w:sz="4" w:space="0"/>
              <w:right w:val="single" w:color="auto" w:sz="4" w:space="0"/>
            </w:tcBorders>
            <w:noWrap w:val="0"/>
            <w:vAlign w:val="top"/>
          </w:tcPr>
          <w:p>
            <w:pPr>
              <w:pStyle w:val="17"/>
              <w:pageBreakBefore w:val="0"/>
              <w:kinsoku/>
              <w:wordWrap/>
              <w:topLinePunct w:val="0"/>
              <w:bidi w:val="0"/>
              <w:spacing w:line="480" w:lineRule="exact"/>
              <w:rPr>
                <w:rFonts w:hint="eastAsia" w:ascii="宋体" w:hAnsi="宋体" w:eastAsia="宋体" w:cs="宋体"/>
                <w:strike w:val="0"/>
                <w:dstrike w:val="0"/>
                <w:color w:val="auto"/>
                <w:sz w:val="21"/>
                <w:szCs w:val="21"/>
                <w:highlight w:val="none"/>
              </w:rPr>
            </w:pPr>
            <w:r>
              <w:rPr>
                <w:rFonts w:hint="eastAsia" w:ascii="宋体" w:hAnsi="宋体" w:eastAsia="宋体" w:cs="宋体"/>
                <w:strike w:val="0"/>
                <w:dstrike w:val="0"/>
                <w:color w:val="auto"/>
                <w:sz w:val="21"/>
                <w:szCs w:val="21"/>
                <w:highlight w:val="none"/>
                <w:lang w:val="en-US" w:eastAsia="zh-CN"/>
              </w:rPr>
              <w:t>10</w:t>
            </w:r>
            <w:r>
              <w:rPr>
                <w:rFonts w:hint="eastAsia" w:ascii="宋体" w:hAnsi="宋体" w:eastAsia="宋体" w:cs="宋体"/>
                <w:strike w:val="0"/>
                <w:dstrike w:val="0"/>
                <w:color w:val="auto"/>
                <w:sz w:val="21"/>
                <w:szCs w:val="21"/>
                <w:highlight w:val="none"/>
              </w:rPr>
              <w:t>000-</w:t>
            </w:r>
            <w:r>
              <w:rPr>
                <w:rFonts w:hint="eastAsia" w:ascii="宋体" w:hAnsi="宋体" w:eastAsia="宋体" w:cs="宋体"/>
                <w:strike w:val="0"/>
                <w:dstrike w:val="0"/>
                <w:color w:val="auto"/>
                <w:sz w:val="21"/>
                <w:szCs w:val="21"/>
                <w:highlight w:val="none"/>
                <w:lang w:val="en-US" w:eastAsia="zh-CN"/>
              </w:rPr>
              <w:t>5</w:t>
            </w:r>
            <w:r>
              <w:rPr>
                <w:rFonts w:hint="eastAsia" w:ascii="宋体" w:hAnsi="宋体" w:eastAsia="宋体" w:cs="宋体"/>
                <w:strike w:val="0"/>
                <w:dstrike w:val="0"/>
                <w:color w:val="auto"/>
                <w:sz w:val="21"/>
                <w:szCs w:val="21"/>
                <w:highlight w:val="none"/>
              </w:rPr>
              <w:t>0000</w:t>
            </w:r>
            <w:r>
              <w:rPr>
                <w:rFonts w:hint="eastAsia" w:ascii="宋体" w:hAnsi="宋体" w:eastAsia="宋体" w:cs="宋体"/>
                <w:strike w:val="0"/>
                <w:dstrike w:val="0"/>
                <w:color w:val="auto"/>
                <w:sz w:val="21"/>
                <w:szCs w:val="21"/>
                <w:highlight w:val="none"/>
                <w:lang w:eastAsia="zh-CN"/>
              </w:rPr>
              <w:t>（</w:t>
            </w:r>
            <w:r>
              <w:rPr>
                <w:rFonts w:hint="eastAsia" w:ascii="宋体" w:hAnsi="宋体" w:eastAsia="宋体" w:cs="宋体"/>
                <w:strike w:val="0"/>
                <w:dstrike w:val="0"/>
                <w:color w:val="auto"/>
                <w:sz w:val="21"/>
                <w:szCs w:val="21"/>
                <w:highlight w:val="none"/>
                <w:lang w:val="en-US" w:eastAsia="zh-CN"/>
              </w:rPr>
              <w:t>含</w:t>
            </w:r>
            <w:r>
              <w:rPr>
                <w:rFonts w:hint="eastAsia" w:ascii="宋体" w:hAnsi="宋体" w:eastAsia="宋体" w:cs="宋体"/>
                <w:strike w:val="0"/>
                <w:dstrike w:val="0"/>
                <w:color w:val="auto"/>
                <w:sz w:val="21"/>
                <w:szCs w:val="21"/>
                <w:highlight w:val="none"/>
                <w:lang w:eastAsia="zh-CN"/>
              </w:rPr>
              <w:t>）</w:t>
            </w:r>
          </w:p>
        </w:tc>
        <w:tc>
          <w:tcPr>
            <w:tcW w:w="1335" w:type="dxa"/>
            <w:tcBorders>
              <w:top w:val="single" w:color="auto" w:sz="4" w:space="0"/>
              <w:left w:val="single" w:color="auto" w:sz="4" w:space="0"/>
              <w:bottom w:val="single" w:color="auto" w:sz="4" w:space="0"/>
              <w:right w:val="single" w:color="auto" w:sz="4" w:space="0"/>
            </w:tcBorders>
            <w:noWrap w:val="0"/>
            <w:vAlign w:val="top"/>
          </w:tcPr>
          <w:p>
            <w:pPr>
              <w:pStyle w:val="17"/>
              <w:pageBreakBefore w:val="0"/>
              <w:kinsoku/>
              <w:wordWrap/>
              <w:topLinePunct w:val="0"/>
              <w:bidi w:val="0"/>
              <w:spacing w:line="480" w:lineRule="exact"/>
              <w:ind w:firstLine="480"/>
              <w:rPr>
                <w:rFonts w:hint="default" w:ascii="宋体" w:hAnsi="宋体" w:eastAsia="宋体" w:cs="宋体"/>
                <w:strike w:val="0"/>
                <w:dstrike w:val="0"/>
                <w:color w:val="auto"/>
                <w:sz w:val="21"/>
                <w:szCs w:val="21"/>
                <w:highlight w:val="none"/>
                <w:lang w:val="en-US" w:eastAsia="zh-CN"/>
              </w:rPr>
            </w:pPr>
            <w:r>
              <w:rPr>
                <w:rFonts w:hint="eastAsia" w:ascii="宋体" w:hAnsi="宋体" w:eastAsia="宋体" w:cs="宋体"/>
                <w:strike w:val="0"/>
                <w:dstrike w:val="0"/>
                <w:color w:val="auto"/>
                <w:sz w:val="21"/>
                <w:szCs w:val="21"/>
                <w:highlight w:val="none"/>
                <w:lang w:val="en-US" w:eastAsia="zh-CN"/>
              </w:rPr>
              <w:t>0.05%</w:t>
            </w:r>
          </w:p>
        </w:tc>
        <w:tc>
          <w:tcPr>
            <w:tcW w:w="3967" w:type="dxa"/>
            <w:vMerge w:val="continue"/>
            <w:tcBorders>
              <w:left w:val="single" w:color="auto" w:sz="4" w:space="0"/>
              <w:right w:val="single" w:color="auto" w:sz="4" w:space="0"/>
            </w:tcBorders>
            <w:noWrap w:val="0"/>
            <w:vAlign w:val="center"/>
          </w:tcPr>
          <w:p>
            <w:pPr>
              <w:pStyle w:val="17"/>
              <w:pageBreakBefore w:val="0"/>
              <w:kinsoku/>
              <w:wordWrap/>
              <w:topLinePunct w:val="0"/>
              <w:bidi w:val="0"/>
              <w:spacing w:line="480" w:lineRule="exact"/>
              <w:ind w:firstLine="480"/>
              <w:rPr>
                <w:rFonts w:hint="eastAsia" w:ascii="宋体" w:hAnsi="宋体" w:eastAsia="宋体" w:cs="宋体"/>
                <w:strike w:val="0"/>
                <w:dstrike w:val="0"/>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jc w:val="center"/>
        </w:trPr>
        <w:tc>
          <w:tcPr>
            <w:tcW w:w="2212" w:type="dxa"/>
            <w:tcBorders>
              <w:top w:val="single" w:color="auto" w:sz="4" w:space="0"/>
              <w:left w:val="single" w:color="auto" w:sz="4" w:space="0"/>
              <w:bottom w:val="single" w:color="auto" w:sz="4" w:space="0"/>
              <w:right w:val="single" w:color="auto" w:sz="4" w:space="0"/>
            </w:tcBorders>
            <w:noWrap w:val="0"/>
            <w:vAlign w:val="top"/>
          </w:tcPr>
          <w:p>
            <w:pPr>
              <w:pStyle w:val="17"/>
              <w:pageBreakBefore w:val="0"/>
              <w:kinsoku/>
              <w:wordWrap/>
              <w:topLinePunct w:val="0"/>
              <w:bidi w:val="0"/>
              <w:spacing w:line="480" w:lineRule="exact"/>
              <w:rPr>
                <w:rFonts w:hint="eastAsia" w:ascii="宋体" w:hAnsi="宋体" w:eastAsia="宋体" w:cs="宋体"/>
                <w:strike w:val="0"/>
                <w:dstrike w:val="0"/>
                <w:color w:val="auto"/>
                <w:sz w:val="21"/>
                <w:szCs w:val="21"/>
                <w:highlight w:val="none"/>
              </w:rPr>
            </w:pPr>
            <w:r>
              <w:rPr>
                <w:rFonts w:hint="eastAsia" w:ascii="宋体" w:hAnsi="宋体" w:eastAsia="宋体" w:cs="宋体"/>
                <w:strike w:val="0"/>
                <w:dstrike w:val="0"/>
                <w:color w:val="auto"/>
                <w:sz w:val="21"/>
                <w:szCs w:val="21"/>
                <w:highlight w:val="none"/>
              </w:rPr>
              <w:t>5</w:t>
            </w:r>
            <w:r>
              <w:rPr>
                <w:rFonts w:hint="eastAsia" w:ascii="宋体" w:hAnsi="宋体" w:eastAsia="宋体" w:cs="宋体"/>
                <w:strike w:val="0"/>
                <w:dstrike w:val="0"/>
                <w:color w:val="auto"/>
                <w:sz w:val="21"/>
                <w:szCs w:val="21"/>
                <w:highlight w:val="none"/>
                <w:lang w:val="en-US" w:eastAsia="zh-CN"/>
              </w:rPr>
              <w:t>0</w:t>
            </w:r>
            <w:r>
              <w:rPr>
                <w:rFonts w:hint="eastAsia" w:ascii="宋体" w:hAnsi="宋体" w:eastAsia="宋体" w:cs="宋体"/>
                <w:strike w:val="0"/>
                <w:dstrike w:val="0"/>
                <w:color w:val="auto"/>
                <w:sz w:val="21"/>
                <w:szCs w:val="21"/>
                <w:highlight w:val="none"/>
              </w:rPr>
              <w:t>000-1</w:t>
            </w:r>
            <w:r>
              <w:rPr>
                <w:rFonts w:hint="eastAsia" w:ascii="宋体" w:hAnsi="宋体" w:eastAsia="宋体" w:cs="宋体"/>
                <w:strike w:val="0"/>
                <w:dstrike w:val="0"/>
                <w:color w:val="auto"/>
                <w:sz w:val="21"/>
                <w:szCs w:val="21"/>
                <w:highlight w:val="none"/>
                <w:lang w:val="en-US" w:eastAsia="zh-CN"/>
              </w:rPr>
              <w:t>0</w:t>
            </w:r>
            <w:r>
              <w:rPr>
                <w:rFonts w:hint="eastAsia" w:ascii="宋体" w:hAnsi="宋体" w:eastAsia="宋体" w:cs="宋体"/>
                <w:strike w:val="0"/>
                <w:dstrike w:val="0"/>
                <w:color w:val="auto"/>
                <w:sz w:val="21"/>
                <w:szCs w:val="21"/>
                <w:highlight w:val="none"/>
              </w:rPr>
              <w:t>0000</w:t>
            </w:r>
            <w:r>
              <w:rPr>
                <w:rFonts w:hint="eastAsia" w:ascii="宋体" w:hAnsi="宋体" w:eastAsia="宋体" w:cs="宋体"/>
                <w:strike w:val="0"/>
                <w:dstrike w:val="0"/>
                <w:color w:val="auto"/>
                <w:sz w:val="21"/>
                <w:szCs w:val="21"/>
                <w:highlight w:val="none"/>
                <w:lang w:eastAsia="zh-CN"/>
              </w:rPr>
              <w:t>（</w:t>
            </w:r>
            <w:r>
              <w:rPr>
                <w:rFonts w:hint="eastAsia" w:ascii="宋体" w:hAnsi="宋体" w:eastAsia="宋体" w:cs="宋体"/>
                <w:strike w:val="0"/>
                <w:dstrike w:val="0"/>
                <w:color w:val="auto"/>
                <w:sz w:val="21"/>
                <w:szCs w:val="21"/>
                <w:highlight w:val="none"/>
                <w:lang w:val="en-US" w:eastAsia="zh-CN"/>
              </w:rPr>
              <w:t>含</w:t>
            </w:r>
            <w:r>
              <w:rPr>
                <w:rFonts w:hint="eastAsia" w:ascii="宋体" w:hAnsi="宋体" w:eastAsia="宋体" w:cs="宋体"/>
                <w:strike w:val="0"/>
                <w:dstrike w:val="0"/>
                <w:color w:val="auto"/>
                <w:sz w:val="21"/>
                <w:szCs w:val="21"/>
                <w:highlight w:val="none"/>
                <w:lang w:eastAsia="zh-CN"/>
              </w:rPr>
              <w:t>）</w:t>
            </w:r>
          </w:p>
        </w:tc>
        <w:tc>
          <w:tcPr>
            <w:tcW w:w="1335" w:type="dxa"/>
            <w:tcBorders>
              <w:top w:val="single" w:color="auto" w:sz="4" w:space="0"/>
              <w:left w:val="single" w:color="auto" w:sz="4" w:space="0"/>
              <w:bottom w:val="single" w:color="auto" w:sz="4" w:space="0"/>
              <w:right w:val="single" w:color="auto" w:sz="4" w:space="0"/>
            </w:tcBorders>
            <w:noWrap w:val="0"/>
            <w:vAlign w:val="top"/>
          </w:tcPr>
          <w:p>
            <w:pPr>
              <w:pStyle w:val="17"/>
              <w:pageBreakBefore w:val="0"/>
              <w:kinsoku/>
              <w:wordWrap/>
              <w:topLinePunct w:val="0"/>
              <w:bidi w:val="0"/>
              <w:spacing w:line="480" w:lineRule="exact"/>
              <w:ind w:firstLine="480"/>
              <w:rPr>
                <w:rFonts w:hint="default" w:ascii="宋体" w:hAnsi="宋体" w:eastAsia="宋体" w:cs="宋体"/>
                <w:strike w:val="0"/>
                <w:dstrike w:val="0"/>
                <w:color w:val="auto"/>
                <w:sz w:val="21"/>
                <w:szCs w:val="21"/>
                <w:highlight w:val="none"/>
                <w:lang w:val="en-US" w:eastAsia="zh-CN"/>
              </w:rPr>
            </w:pPr>
            <w:r>
              <w:rPr>
                <w:rFonts w:hint="eastAsia" w:ascii="宋体" w:hAnsi="宋体" w:eastAsia="宋体" w:cs="宋体"/>
                <w:strike w:val="0"/>
                <w:dstrike w:val="0"/>
                <w:color w:val="auto"/>
                <w:sz w:val="21"/>
                <w:szCs w:val="21"/>
                <w:highlight w:val="none"/>
                <w:lang w:val="en-US" w:eastAsia="zh-CN"/>
              </w:rPr>
              <w:t>0.035%</w:t>
            </w:r>
          </w:p>
        </w:tc>
        <w:tc>
          <w:tcPr>
            <w:tcW w:w="3967" w:type="dxa"/>
            <w:vMerge w:val="continue"/>
            <w:tcBorders>
              <w:left w:val="single" w:color="auto" w:sz="4" w:space="0"/>
              <w:right w:val="single" w:color="auto" w:sz="4" w:space="0"/>
            </w:tcBorders>
            <w:noWrap w:val="0"/>
            <w:vAlign w:val="center"/>
          </w:tcPr>
          <w:p>
            <w:pPr>
              <w:pStyle w:val="17"/>
              <w:pageBreakBefore w:val="0"/>
              <w:kinsoku/>
              <w:wordWrap/>
              <w:topLinePunct w:val="0"/>
              <w:bidi w:val="0"/>
              <w:spacing w:line="480" w:lineRule="exact"/>
              <w:ind w:firstLine="480"/>
              <w:rPr>
                <w:rFonts w:hint="eastAsia" w:ascii="宋体" w:hAnsi="宋体" w:eastAsia="宋体" w:cs="宋体"/>
                <w:strike w:val="0"/>
                <w:dstrike w:val="0"/>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jc w:val="center"/>
        </w:trPr>
        <w:tc>
          <w:tcPr>
            <w:tcW w:w="2212" w:type="dxa"/>
            <w:tcBorders>
              <w:top w:val="single" w:color="auto" w:sz="4" w:space="0"/>
              <w:left w:val="single" w:color="auto" w:sz="4" w:space="0"/>
              <w:bottom w:val="single" w:color="auto" w:sz="4" w:space="0"/>
              <w:right w:val="single" w:color="auto" w:sz="4" w:space="0"/>
            </w:tcBorders>
            <w:noWrap w:val="0"/>
            <w:vAlign w:val="top"/>
          </w:tcPr>
          <w:p>
            <w:pPr>
              <w:pStyle w:val="17"/>
              <w:pageBreakBefore w:val="0"/>
              <w:kinsoku/>
              <w:wordWrap/>
              <w:topLinePunct w:val="0"/>
              <w:bidi w:val="0"/>
              <w:spacing w:line="480" w:lineRule="exact"/>
              <w:rPr>
                <w:rFonts w:hint="eastAsia" w:ascii="宋体" w:hAnsi="宋体" w:eastAsia="宋体" w:cs="宋体"/>
                <w:strike w:val="0"/>
                <w:dstrike w:val="0"/>
                <w:color w:val="auto"/>
                <w:sz w:val="21"/>
                <w:szCs w:val="21"/>
                <w:highlight w:val="none"/>
              </w:rPr>
            </w:pPr>
            <w:r>
              <w:rPr>
                <w:rFonts w:hint="eastAsia" w:ascii="宋体" w:hAnsi="宋体" w:eastAsia="宋体" w:cs="宋体"/>
                <w:strike w:val="0"/>
                <w:dstrike w:val="0"/>
                <w:color w:val="auto"/>
                <w:sz w:val="21"/>
                <w:szCs w:val="21"/>
                <w:highlight w:val="none"/>
                <w:lang w:val="en-US" w:eastAsia="zh-CN"/>
              </w:rPr>
              <w:t>100</w:t>
            </w:r>
            <w:r>
              <w:rPr>
                <w:rFonts w:hint="eastAsia" w:ascii="宋体" w:hAnsi="宋体" w:eastAsia="宋体" w:cs="宋体"/>
                <w:strike w:val="0"/>
                <w:dstrike w:val="0"/>
                <w:color w:val="auto"/>
                <w:sz w:val="21"/>
                <w:szCs w:val="21"/>
                <w:highlight w:val="none"/>
              </w:rPr>
              <w:t>000-</w:t>
            </w:r>
            <w:r>
              <w:rPr>
                <w:rFonts w:hint="eastAsia" w:ascii="宋体" w:hAnsi="宋体" w:eastAsia="宋体" w:cs="宋体"/>
                <w:strike w:val="0"/>
                <w:dstrike w:val="0"/>
                <w:color w:val="auto"/>
                <w:sz w:val="21"/>
                <w:szCs w:val="21"/>
                <w:highlight w:val="none"/>
                <w:lang w:val="en-US" w:eastAsia="zh-CN"/>
              </w:rPr>
              <w:t>50</w:t>
            </w:r>
            <w:r>
              <w:rPr>
                <w:rFonts w:hint="eastAsia" w:ascii="宋体" w:hAnsi="宋体" w:eastAsia="宋体" w:cs="宋体"/>
                <w:strike w:val="0"/>
                <w:dstrike w:val="0"/>
                <w:color w:val="auto"/>
                <w:sz w:val="21"/>
                <w:szCs w:val="21"/>
                <w:highlight w:val="none"/>
              </w:rPr>
              <w:t>0000</w:t>
            </w:r>
            <w:r>
              <w:rPr>
                <w:rFonts w:hint="eastAsia" w:ascii="宋体" w:hAnsi="宋体" w:eastAsia="宋体" w:cs="宋体"/>
                <w:strike w:val="0"/>
                <w:dstrike w:val="0"/>
                <w:color w:val="auto"/>
                <w:sz w:val="21"/>
                <w:szCs w:val="21"/>
                <w:highlight w:val="none"/>
                <w:lang w:eastAsia="zh-CN"/>
              </w:rPr>
              <w:t>（</w:t>
            </w:r>
            <w:r>
              <w:rPr>
                <w:rFonts w:hint="eastAsia" w:ascii="宋体" w:hAnsi="宋体" w:eastAsia="宋体" w:cs="宋体"/>
                <w:strike w:val="0"/>
                <w:dstrike w:val="0"/>
                <w:color w:val="auto"/>
                <w:sz w:val="21"/>
                <w:szCs w:val="21"/>
                <w:highlight w:val="none"/>
                <w:lang w:val="en-US" w:eastAsia="zh-CN"/>
              </w:rPr>
              <w:t>含</w:t>
            </w:r>
            <w:r>
              <w:rPr>
                <w:rFonts w:hint="eastAsia" w:ascii="宋体" w:hAnsi="宋体" w:eastAsia="宋体" w:cs="宋体"/>
                <w:strike w:val="0"/>
                <w:dstrike w:val="0"/>
                <w:color w:val="auto"/>
                <w:sz w:val="21"/>
                <w:szCs w:val="21"/>
                <w:highlight w:val="none"/>
                <w:lang w:eastAsia="zh-CN"/>
              </w:rPr>
              <w:t>）</w:t>
            </w:r>
          </w:p>
        </w:tc>
        <w:tc>
          <w:tcPr>
            <w:tcW w:w="1335" w:type="dxa"/>
            <w:tcBorders>
              <w:top w:val="single" w:color="auto" w:sz="4" w:space="0"/>
              <w:left w:val="single" w:color="auto" w:sz="4" w:space="0"/>
              <w:bottom w:val="single" w:color="auto" w:sz="4" w:space="0"/>
              <w:right w:val="single" w:color="auto" w:sz="4" w:space="0"/>
            </w:tcBorders>
            <w:noWrap w:val="0"/>
            <w:vAlign w:val="top"/>
          </w:tcPr>
          <w:p>
            <w:pPr>
              <w:pStyle w:val="17"/>
              <w:pageBreakBefore w:val="0"/>
              <w:kinsoku/>
              <w:wordWrap/>
              <w:topLinePunct w:val="0"/>
              <w:bidi w:val="0"/>
              <w:spacing w:line="480" w:lineRule="exact"/>
              <w:ind w:firstLine="480"/>
              <w:rPr>
                <w:rFonts w:hint="default" w:ascii="宋体" w:hAnsi="宋体" w:eastAsia="宋体" w:cs="宋体"/>
                <w:strike w:val="0"/>
                <w:dstrike w:val="0"/>
                <w:color w:val="auto"/>
                <w:sz w:val="21"/>
                <w:szCs w:val="21"/>
                <w:highlight w:val="none"/>
                <w:lang w:val="en-US" w:eastAsia="zh-CN"/>
              </w:rPr>
            </w:pPr>
            <w:r>
              <w:rPr>
                <w:rFonts w:hint="eastAsia" w:ascii="宋体" w:hAnsi="宋体" w:eastAsia="宋体" w:cs="宋体"/>
                <w:strike w:val="0"/>
                <w:dstrike w:val="0"/>
                <w:color w:val="auto"/>
                <w:sz w:val="21"/>
                <w:szCs w:val="21"/>
                <w:highlight w:val="none"/>
                <w:lang w:val="en-US" w:eastAsia="zh-CN"/>
              </w:rPr>
              <w:t>0.008%</w:t>
            </w:r>
          </w:p>
        </w:tc>
        <w:tc>
          <w:tcPr>
            <w:tcW w:w="3967" w:type="dxa"/>
            <w:vMerge w:val="continue"/>
            <w:tcBorders>
              <w:left w:val="single" w:color="auto" w:sz="4" w:space="0"/>
              <w:right w:val="single" w:color="auto" w:sz="4" w:space="0"/>
            </w:tcBorders>
            <w:noWrap w:val="0"/>
            <w:vAlign w:val="center"/>
          </w:tcPr>
          <w:p>
            <w:pPr>
              <w:pStyle w:val="17"/>
              <w:pageBreakBefore w:val="0"/>
              <w:kinsoku/>
              <w:wordWrap/>
              <w:topLinePunct w:val="0"/>
              <w:bidi w:val="0"/>
              <w:spacing w:line="480" w:lineRule="exact"/>
              <w:ind w:firstLine="480"/>
              <w:rPr>
                <w:rFonts w:hint="eastAsia" w:ascii="宋体" w:hAnsi="宋体" w:eastAsia="宋体" w:cs="宋体"/>
                <w:strike w:val="0"/>
                <w:dstrike w:val="0"/>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jc w:val="center"/>
        </w:trPr>
        <w:tc>
          <w:tcPr>
            <w:tcW w:w="2212" w:type="dxa"/>
            <w:tcBorders>
              <w:top w:val="single" w:color="auto" w:sz="4" w:space="0"/>
              <w:left w:val="single" w:color="auto" w:sz="4" w:space="0"/>
              <w:bottom w:val="single" w:color="auto" w:sz="4" w:space="0"/>
              <w:right w:val="single" w:color="auto" w:sz="4" w:space="0"/>
            </w:tcBorders>
            <w:noWrap w:val="0"/>
            <w:vAlign w:val="top"/>
          </w:tcPr>
          <w:p>
            <w:pPr>
              <w:pStyle w:val="17"/>
              <w:pageBreakBefore w:val="0"/>
              <w:kinsoku/>
              <w:wordWrap/>
              <w:topLinePunct w:val="0"/>
              <w:bidi w:val="0"/>
              <w:spacing w:line="480" w:lineRule="exact"/>
              <w:rPr>
                <w:rFonts w:hint="eastAsia" w:ascii="宋体" w:hAnsi="宋体" w:eastAsia="宋体" w:cs="宋体"/>
                <w:strike w:val="0"/>
                <w:dstrike w:val="0"/>
                <w:color w:val="auto"/>
                <w:sz w:val="21"/>
                <w:szCs w:val="21"/>
                <w:highlight w:val="none"/>
                <w:lang w:val="en-US" w:eastAsia="zh-CN"/>
              </w:rPr>
            </w:pPr>
            <w:r>
              <w:rPr>
                <w:rFonts w:hint="eastAsia" w:ascii="宋体" w:hAnsi="宋体" w:eastAsia="宋体" w:cs="宋体"/>
                <w:strike w:val="0"/>
                <w:dstrike w:val="0"/>
                <w:color w:val="auto"/>
                <w:sz w:val="21"/>
                <w:szCs w:val="21"/>
                <w:highlight w:val="none"/>
                <w:lang w:val="en-US" w:eastAsia="zh-CN"/>
              </w:rPr>
              <w:t>500</w:t>
            </w:r>
            <w:r>
              <w:rPr>
                <w:rFonts w:hint="eastAsia" w:ascii="宋体" w:hAnsi="宋体" w:eastAsia="宋体" w:cs="宋体"/>
                <w:strike w:val="0"/>
                <w:dstrike w:val="0"/>
                <w:color w:val="auto"/>
                <w:sz w:val="21"/>
                <w:szCs w:val="21"/>
                <w:highlight w:val="none"/>
              </w:rPr>
              <w:t>000-</w:t>
            </w:r>
            <w:r>
              <w:rPr>
                <w:rFonts w:hint="eastAsia" w:ascii="宋体" w:hAnsi="宋体" w:eastAsia="宋体" w:cs="宋体"/>
                <w:strike w:val="0"/>
                <w:dstrike w:val="0"/>
                <w:color w:val="auto"/>
                <w:sz w:val="21"/>
                <w:szCs w:val="21"/>
                <w:highlight w:val="none"/>
                <w:lang w:val="en-US" w:eastAsia="zh-CN"/>
              </w:rPr>
              <w:t>100</w:t>
            </w:r>
            <w:r>
              <w:rPr>
                <w:rFonts w:hint="eastAsia" w:ascii="宋体" w:hAnsi="宋体" w:eastAsia="宋体" w:cs="宋体"/>
                <w:strike w:val="0"/>
                <w:dstrike w:val="0"/>
                <w:color w:val="auto"/>
                <w:sz w:val="21"/>
                <w:szCs w:val="21"/>
                <w:highlight w:val="none"/>
              </w:rPr>
              <w:t>0000</w:t>
            </w:r>
            <w:r>
              <w:rPr>
                <w:rFonts w:hint="eastAsia" w:ascii="宋体" w:hAnsi="宋体" w:eastAsia="宋体" w:cs="宋体"/>
                <w:strike w:val="0"/>
                <w:dstrike w:val="0"/>
                <w:color w:val="auto"/>
                <w:sz w:val="21"/>
                <w:szCs w:val="21"/>
                <w:highlight w:val="none"/>
                <w:lang w:eastAsia="zh-CN"/>
              </w:rPr>
              <w:t>（</w:t>
            </w:r>
            <w:r>
              <w:rPr>
                <w:rFonts w:hint="eastAsia" w:ascii="宋体" w:hAnsi="宋体" w:eastAsia="宋体" w:cs="宋体"/>
                <w:strike w:val="0"/>
                <w:dstrike w:val="0"/>
                <w:color w:val="auto"/>
                <w:sz w:val="21"/>
                <w:szCs w:val="21"/>
                <w:highlight w:val="none"/>
                <w:lang w:val="en-US" w:eastAsia="zh-CN"/>
              </w:rPr>
              <w:t>含</w:t>
            </w:r>
            <w:r>
              <w:rPr>
                <w:rFonts w:hint="eastAsia" w:ascii="宋体" w:hAnsi="宋体" w:eastAsia="宋体" w:cs="宋体"/>
                <w:strike w:val="0"/>
                <w:dstrike w:val="0"/>
                <w:color w:val="auto"/>
                <w:sz w:val="21"/>
                <w:szCs w:val="21"/>
                <w:highlight w:val="none"/>
                <w:lang w:eastAsia="zh-CN"/>
              </w:rPr>
              <w:t>）</w:t>
            </w:r>
          </w:p>
        </w:tc>
        <w:tc>
          <w:tcPr>
            <w:tcW w:w="1335" w:type="dxa"/>
            <w:tcBorders>
              <w:top w:val="single" w:color="auto" w:sz="4" w:space="0"/>
              <w:left w:val="single" w:color="auto" w:sz="4" w:space="0"/>
              <w:bottom w:val="single" w:color="auto" w:sz="4" w:space="0"/>
              <w:right w:val="single" w:color="auto" w:sz="4" w:space="0"/>
            </w:tcBorders>
            <w:noWrap w:val="0"/>
            <w:vAlign w:val="top"/>
          </w:tcPr>
          <w:p>
            <w:pPr>
              <w:pStyle w:val="17"/>
              <w:pageBreakBefore w:val="0"/>
              <w:kinsoku/>
              <w:wordWrap/>
              <w:topLinePunct w:val="0"/>
              <w:bidi w:val="0"/>
              <w:spacing w:line="480" w:lineRule="exact"/>
              <w:ind w:firstLine="480"/>
              <w:rPr>
                <w:rFonts w:hint="default" w:ascii="宋体" w:hAnsi="宋体" w:eastAsia="宋体" w:cs="宋体"/>
                <w:strike w:val="0"/>
                <w:dstrike w:val="0"/>
                <w:color w:val="auto"/>
                <w:sz w:val="21"/>
                <w:szCs w:val="21"/>
                <w:highlight w:val="none"/>
                <w:lang w:val="en-US" w:eastAsia="zh-CN"/>
              </w:rPr>
            </w:pPr>
            <w:r>
              <w:rPr>
                <w:rFonts w:hint="eastAsia" w:ascii="宋体" w:hAnsi="宋体" w:eastAsia="宋体" w:cs="宋体"/>
                <w:strike w:val="0"/>
                <w:dstrike w:val="0"/>
                <w:color w:val="auto"/>
                <w:sz w:val="21"/>
                <w:szCs w:val="21"/>
                <w:highlight w:val="none"/>
                <w:lang w:val="en-US" w:eastAsia="zh-CN"/>
              </w:rPr>
              <w:t>0.006%</w:t>
            </w:r>
          </w:p>
        </w:tc>
        <w:tc>
          <w:tcPr>
            <w:tcW w:w="3967" w:type="dxa"/>
            <w:vMerge w:val="continue"/>
            <w:tcBorders>
              <w:left w:val="single" w:color="auto" w:sz="4" w:space="0"/>
              <w:right w:val="single" w:color="auto" w:sz="4" w:space="0"/>
            </w:tcBorders>
            <w:noWrap w:val="0"/>
            <w:vAlign w:val="center"/>
          </w:tcPr>
          <w:p>
            <w:pPr>
              <w:pStyle w:val="17"/>
              <w:pageBreakBefore w:val="0"/>
              <w:kinsoku/>
              <w:wordWrap/>
              <w:topLinePunct w:val="0"/>
              <w:bidi w:val="0"/>
              <w:spacing w:line="480" w:lineRule="exact"/>
              <w:ind w:firstLine="480"/>
              <w:rPr>
                <w:rFonts w:hint="eastAsia" w:ascii="宋体" w:hAnsi="宋体" w:eastAsia="宋体" w:cs="宋体"/>
                <w:strike w:val="0"/>
                <w:dstrike w:val="0"/>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jc w:val="center"/>
        </w:trPr>
        <w:tc>
          <w:tcPr>
            <w:tcW w:w="2212" w:type="dxa"/>
            <w:tcBorders>
              <w:top w:val="single" w:color="auto" w:sz="4" w:space="0"/>
              <w:left w:val="single" w:color="auto" w:sz="4" w:space="0"/>
              <w:bottom w:val="single" w:color="auto" w:sz="4" w:space="0"/>
              <w:right w:val="single" w:color="auto" w:sz="4" w:space="0"/>
            </w:tcBorders>
            <w:noWrap w:val="0"/>
            <w:vAlign w:val="top"/>
          </w:tcPr>
          <w:p>
            <w:pPr>
              <w:pStyle w:val="17"/>
              <w:pageBreakBefore w:val="0"/>
              <w:kinsoku/>
              <w:wordWrap/>
              <w:topLinePunct w:val="0"/>
              <w:bidi w:val="0"/>
              <w:spacing w:line="480" w:lineRule="exact"/>
              <w:ind w:firstLine="480"/>
              <w:rPr>
                <w:rFonts w:hint="eastAsia" w:ascii="宋体" w:hAnsi="宋体" w:eastAsia="宋体" w:cs="宋体"/>
                <w:strike w:val="0"/>
                <w:dstrike w:val="0"/>
                <w:color w:val="auto"/>
                <w:sz w:val="21"/>
                <w:szCs w:val="21"/>
                <w:highlight w:val="none"/>
                <w:lang w:val="en-US" w:eastAsia="zh-CN"/>
              </w:rPr>
            </w:pPr>
            <w:r>
              <w:rPr>
                <w:rFonts w:hint="eastAsia" w:ascii="宋体" w:hAnsi="宋体" w:eastAsia="宋体" w:cs="宋体"/>
                <w:strike w:val="0"/>
                <w:dstrike w:val="0"/>
                <w:color w:val="auto"/>
                <w:sz w:val="21"/>
                <w:szCs w:val="21"/>
                <w:highlight w:val="none"/>
                <w:lang w:val="en-US" w:eastAsia="zh-CN"/>
              </w:rPr>
              <w:t>100</w:t>
            </w:r>
            <w:r>
              <w:rPr>
                <w:rFonts w:hint="eastAsia" w:ascii="宋体" w:hAnsi="宋体" w:eastAsia="宋体" w:cs="宋体"/>
                <w:strike w:val="0"/>
                <w:dstrike w:val="0"/>
                <w:color w:val="auto"/>
                <w:sz w:val="21"/>
                <w:szCs w:val="21"/>
                <w:highlight w:val="none"/>
              </w:rPr>
              <w:t>0</w:t>
            </w:r>
            <w:r>
              <w:rPr>
                <w:rFonts w:hint="eastAsia" w:ascii="宋体" w:hAnsi="宋体" w:eastAsia="宋体" w:cs="宋体"/>
                <w:strike w:val="0"/>
                <w:dstrike w:val="0"/>
                <w:color w:val="auto"/>
                <w:sz w:val="21"/>
                <w:szCs w:val="21"/>
                <w:highlight w:val="none"/>
                <w:lang w:val="en-US" w:eastAsia="zh-CN"/>
              </w:rPr>
              <w:t>0</w:t>
            </w:r>
            <w:r>
              <w:rPr>
                <w:rFonts w:hint="eastAsia" w:ascii="宋体" w:hAnsi="宋体" w:eastAsia="宋体" w:cs="宋体"/>
                <w:strike w:val="0"/>
                <w:dstrike w:val="0"/>
                <w:color w:val="auto"/>
                <w:sz w:val="21"/>
                <w:szCs w:val="21"/>
                <w:highlight w:val="none"/>
              </w:rPr>
              <w:t>00</w:t>
            </w:r>
            <w:r>
              <w:rPr>
                <w:rFonts w:hint="eastAsia" w:ascii="宋体" w:hAnsi="宋体" w:eastAsia="宋体" w:cs="宋体"/>
                <w:strike w:val="0"/>
                <w:dstrike w:val="0"/>
                <w:color w:val="auto"/>
                <w:sz w:val="21"/>
                <w:szCs w:val="21"/>
                <w:highlight w:val="none"/>
                <w:lang w:val="en-US" w:eastAsia="zh-CN"/>
              </w:rPr>
              <w:t>以上</w:t>
            </w:r>
          </w:p>
        </w:tc>
        <w:tc>
          <w:tcPr>
            <w:tcW w:w="1335" w:type="dxa"/>
            <w:tcBorders>
              <w:top w:val="single" w:color="auto" w:sz="4" w:space="0"/>
              <w:left w:val="single" w:color="auto" w:sz="4" w:space="0"/>
              <w:bottom w:val="single" w:color="auto" w:sz="4" w:space="0"/>
              <w:right w:val="single" w:color="auto" w:sz="4" w:space="0"/>
            </w:tcBorders>
            <w:noWrap w:val="0"/>
            <w:vAlign w:val="top"/>
          </w:tcPr>
          <w:p>
            <w:pPr>
              <w:pStyle w:val="17"/>
              <w:pageBreakBefore w:val="0"/>
              <w:kinsoku/>
              <w:wordWrap/>
              <w:topLinePunct w:val="0"/>
              <w:bidi w:val="0"/>
              <w:spacing w:line="480" w:lineRule="exact"/>
              <w:ind w:firstLine="480"/>
              <w:rPr>
                <w:rFonts w:hint="default" w:ascii="宋体" w:hAnsi="宋体" w:eastAsia="宋体" w:cs="宋体"/>
                <w:strike w:val="0"/>
                <w:dstrike w:val="0"/>
                <w:color w:val="auto"/>
                <w:sz w:val="21"/>
                <w:szCs w:val="21"/>
                <w:highlight w:val="none"/>
                <w:lang w:val="en-US" w:eastAsia="zh-CN"/>
              </w:rPr>
            </w:pPr>
            <w:r>
              <w:rPr>
                <w:rFonts w:hint="eastAsia" w:ascii="宋体" w:hAnsi="宋体" w:eastAsia="宋体" w:cs="宋体"/>
                <w:strike w:val="0"/>
                <w:dstrike w:val="0"/>
                <w:color w:val="auto"/>
                <w:sz w:val="21"/>
                <w:szCs w:val="21"/>
                <w:highlight w:val="none"/>
                <w:lang w:val="en-US" w:eastAsia="zh-CN"/>
              </w:rPr>
              <w:t>0.004%</w:t>
            </w:r>
          </w:p>
        </w:tc>
        <w:tc>
          <w:tcPr>
            <w:tcW w:w="3967" w:type="dxa"/>
            <w:vMerge w:val="continue"/>
            <w:tcBorders>
              <w:left w:val="single" w:color="auto" w:sz="4" w:space="0"/>
              <w:bottom w:val="single" w:color="auto" w:sz="4" w:space="0"/>
              <w:right w:val="single" w:color="auto" w:sz="4" w:space="0"/>
            </w:tcBorders>
            <w:noWrap w:val="0"/>
            <w:vAlign w:val="center"/>
          </w:tcPr>
          <w:p>
            <w:pPr>
              <w:pStyle w:val="17"/>
              <w:pageBreakBefore w:val="0"/>
              <w:kinsoku/>
              <w:wordWrap/>
              <w:topLinePunct w:val="0"/>
              <w:bidi w:val="0"/>
              <w:spacing w:line="480" w:lineRule="exact"/>
              <w:ind w:firstLine="480"/>
              <w:rPr>
                <w:rFonts w:hint="eastAsia" w:ascii="宋体" w:hAnsi="宋体" w:eastAsia="宋体" w:cs="宋体"/>
                <w:strike w:val="0"/>
                <w:dstrike w:val="0"/>
                <w:color w:val="auto"/>
                <w:sz w:val="21"/>
                <w:szCs w:val="21"/>
                <w:highlight w:val="none"/>
              </w:rPr>
            </w:pPr>
          </w:p>
        </w:tc>
      </w:tr>
    </w:tbl>
    <w:p>
      <w:pPr>
        <w:spacing w:line="360" w:lineRule="auto"/>
        <w:ind w:firstLine="422" w:firstLineChars="200"/>
        <w:jc w:val="left"/>
        <w:rPr>
          <w:rFonts w:hint="eastAsia" w:ascii="宋体"/>
          <w:b/>
          <w:bCs/>
        </w:rPr>
      </w:pPr>
    </w:p>
    <w:p>
      <w:pPr>
        <w:spacing w:line="360" w:lineRule="auto"/>
        <w:ind w:firstLine="422" w:firstLineChars="200"/>
        <w:jc w:val="left"/>
        <w:rPr>
          <w:rFonts w:ascii="宋体"/>
          <w:b/>
          <w:bCs/>
        </w:rPr>
      </w:pPr>
      <w:r>
        <w:rPr>
          <w:rFonts w:hint="eastAsia" w:ascii="宋体"/>
          <w:b/>
          <w:bCs/>
        </w:rPr>
        <w:t>服务费汇至：</w:t>
      </w:r>
    </w:p>
    <w:p>
      <w:pPr>
        <w:spacing w:line="360" w:lineRule="auto"/>
        <w:ind w:firstLine="422" w:firstLineChars="200"/>
        <w:jc w:val="left"/>
        <w:rPr>
          <w:rFonts w:ascii="宋体"/>
          <w:b/>
          <w:bCs/>
        </w:rPr>
      </w:pPr>
      <w:r>
        <w:rPr>
          <w:rFonts w:hint="eastAsia" w:ascii="宋体"/>
          <w:b/>
          <w:bCs/>
        </w:rPr>
        <w:t>银行账号名称：义乌产权交易所有限公司</w:t>
      </w:r>
    </w:p>
    <w:p>
      <w:pPr>
        <w:spacing w:line="360" w:lineRule="auto"/>
        <w:ind w:firstLine="422" w:firstLineChars="200"/>
        <w:jc w:val="left"/>
        <w:rPr>
          <w:rFonts w:ascii="宋体"/>
          <w:b/>
          <w:bCs/>
        </w:rPr>
      </w:pPr>
      <w:r>
        <w:rPr>
          <w:rFonts w:hint="eastAsia" w:ascii="宋体"/>
          <w:b/>
          <w:bCs/>
        </w:rPr>
        <w:t xml:space="preserve">银行账号：1208020009045009586 </w:t>
      </w:r>
    </w:p>
    <w:p>
      <w:pPr>
        <w:spacing w:line="360" w:lineRule="auto"/>
        <w:ind w:firstLine="422" w:firstLineChars="200"/>
        <w:jc w:val="left"/>
        <w:rPr>
          <w:rFonts w:hint="eastAsia" w:ascii="宋体"/>
          <w:b/>
          <w:bCs/>
        </w:rPr>
      </w:pPr>
      <w:r>
        <w:rPr>
          <w:rFonts w:hint="eastAsia" w:ascii="宋体"/>
          <w:b/>
          <w:bCs/>
        </w:rPr>
        <w:t>开户银行：中国工商银行义乌分行</w:t>
      </w:r>
    </w:p>
    <w:p>
      <w:pPr>
        <w:spacing w:line="480" w:lineRule="exact"/>
        <w:ind w:firstLine="396" w:firstLineChars="200"/>
        <w:rPr>
          <w:rFonts w:hint="eastAsia" w:ascii="宋体" w:hAnsi="宋体" w:cs="宋体"/>
          <w:color w:val="auto"/>
          <w:spacing w:val="-6"/>
          <w:szCs w:val="21"/>
          <w:highlight w:val="none"/>
        </w:rPr>
      </w:pPr>
      <w:r>
        <w:rPr>
          <w:rFonts w:hint="eastAsia" w:ascii="宋体" w:hAnsi="宋体" w:cs="宋体"/>
          <w:color w:val="auto"/>
          <w:spacing w:val="-6"/>
          <w:szCs w:val="21"/>
          <w:highlight w:val="none"/>
        </w:rPr>
        <w:t>2.项目中标后，中标人需向义乌市阳光招标采购平台缴纳交易服务费，收费标准如下：</w:t>
      </w:r>
    </w:p>
    <w:tbl>
      <w:tblPr>
        <w:tblStyle w:val="33"/>
        <w:tblW w:w="361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971"/>
        <w:gridCol w:w="31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8" w:hRule="atLeast"/>
          <w:jc w:val="center"/>
        </w:trPr>
        <w:tc>
          <w:tcPr>
            <w:tcW w:w="2414" w:type="pct"/>
            <w:noWrap w:val="0"/>
            <w:vAlign w:val="center"/>
          </w:tcPr>
          <w:p>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中标金额（万元）</w:t>
            </w:r>
          </w:p>
        </w:tc>
        <w:tc>
          <w:tcPr>
            <w:tcW w:w="2585" w:type="pct"/>
            <w:noWrap w:val="0"/>
            <w:vAlign w:val="center"/>
          </w:tcPr>
          <w:p>
            <w:pPr>
              <w:spacing w:line="360"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rPr>
              <w:t>收费标准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8" w:hRule="atLeast"/>
          <w:jc w:val="center"/>
        </w:trPr>
        <w:tc>
          <w:tcPr>
            <w:tcW w:w="2414" w:type="pct"/>
            <w:noWrap w:val="0"/>
            <w:vAlign w:val="center"/>
          </w:tcPr>
          <w:p>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100万（含）以下</w:t>
            </w:r>
          </w:p>
        </w:tc>
        <w:tc>
          <w:tcPr>
            <w:tcW w:w="2585" w:type="pct"/>
            <w:noWrap w:val="0"/>
            <w:vAlign w:val="center"/>
          </w:tcPr>
          <w:p>
            <w:pPr>
              <w:spacing w:line="360" w:lineRule="auto"/>
              <w:jc w:val="center"/>
              <w:rPr>
                <w:rFonts w:ascii="宋体" w:hAnsi="宋体" w:eastAsia="宋体" w:cs="宋体"/>
                <w:color w:val="auto"/>
                <w:szCs w:val="21"/>
                <w:highlight w:val="none"/>
              </w:rPr>
            </w:pPr>
            <w:r>
              <w:rPr>
                <w:rFonts w:hint="eastAsia" w:ascii="宋体" w:hAnsi="宋体" w:cs="宋体"/>
                <w:color w:val="auto"/>
                <w:szCs w:val="21"/>
                <w:highlight w:val="none"/>
                <w:lang w:val="en-US" w:eastAsia="zh-CN"/>
              </w:rPr>
              <w:t>10</w:t>
            </w:r>
            <w:r>
              <w:rPr>
                <w:rFonts w:hint="eastAsia" w:ascii="宋体" w:hAnsi="宋体" w:eastAsia="宋体" w:cs="宋体"/>
                <w:color w:val="auto"/>
                <w:szCs w:val="21"/>
                <w:highlight w:val="none"/>
              </w:rPr>
              <w:t>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8" w:hRule="atLeast"/>
          <w:jc w:val="center"/>
        </w:trPr>
        <w:tc>
          <w:tcPr>
            <w:tcW w:w="2414" w:type="pct"/>
            <w:noWrap w:val="0"/>
            <w:vAlign w:val="center"/>
          </w:tcPr>
          <w:p>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100万-200万（含）</w:t>
            </w:r>
          </w:p>
        </w:tc>
        <w:tc>
          <w:tcPr>
            <w:tcW w:w="2585" w:type="pct"/>
            <w:noWrap w:val="0"/>
            <w:vAlign w:val="center"/>
          </w:tcPr>
          <w:p>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1500元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8" w:hRule="atLeast"/>
          <w:jc w:val="center"/>
        </w:trPr>
        <w:tc>
          <w:tcPr>
            <w:tcW w:w="2414" w:type="pct"/>
            <w:noWrap w:val="0"/>
            <w:vAlign w:val="center"/>
          </w:tcPr>
          <w:p>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200万-500万（含）</w:t>
            </w:r>
          </w:p>
        </w:tc>
        <w:tc>
          <w:tcPr>
            <w:tcW w:w="2585" w:type="pct"/>
            <w:noWrap w:val="0"/>
            <w:vAlign w:val="center"/>
          </w:tcPr>
          <w:p>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3000元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8" w:hRule="atLeast"/>
          <w:jc w:val="center"/>
        </w:trPr>
        <w:tc>
          <w:tcPr>
            <w:tcW w:w="2414" w:type="pct"/>
            <w:noWrap w:val="0"/>
            <w:vAlign w:val="center"/>
          </w:tcPr>
          <w:p>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500万-1000万（含）</w:t>
            </w:r>
          </w:p>
        </w:tc>
        <w:tc>
          <w:tcPr>
            <w:tcW w:w="2585" w:type="pct"/>
            <w:noWrap w:val="0"/>
            <w:vAlign w:val="center"/>
          </w:tcPr>
          <w:p>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8000元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8" w:hRule="atLeast"/>
          <w:jc w:val="center"/>
        </w:trPr>
        <w:tc>
          <w:tcPr>
            <w:tcW w:w="2414" w:type="pct"/>
            <w:noWrap w:val="0"/>
            <w:vAlign w:val="center"/>
          </w:tcPr>
          <w:p>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1000万-2000万（含）</w:t>
            </w:r>
          </w:p>
        </w:tc>
        <w:tc>
          <w:tcPr>
            <w:tcW w:w="2585" w:type="pct"/>
            <w:noWrap w:val="0"/>
            <w:vAlign w:val="center"/>
          </w:tcPr>
          <w:p>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16000元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8" w:hRule="atLeast"/>
          <w:jc w:val="center"/>
        </w:trPr>
        <w:tc>
          <w:tcPr>
            <w:tcW w:w="2414" w:type="pct"/>
            <w:noWrap w:val="0"/>
            <w:vAlign w:val="center"/>
          </w:tcPr>
          <w:p>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2000万-5000万（含）</w:t>
            </w:r>
          </w:p>
        </w:tc>
        <w:tc>
          <w:tcPr>
            <w:tcW w:w="2585" w:type="pct"/>
            <w:noWrap w:val="0"/>
            <w:vAlign w:val="center"/>
          </w:tcPr>
          <w:p>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25000元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8" w:hRule="atLeast"/>
          <w:jc w:val="center"/>
        </w:trPr>
        <w:tc>
          <w:tcPr>
            <w:tcW w:w="2414" w:type="pct"/>
            <w:noWrap w:val="0"/>
            <w:vAlign w:val="center"/>
          </w:tcPr>
          <w:p>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5000万-1亿（含）</w:t>
            </w:r>
          </w:p>
        </w:tc>
        <w:tc>
          <w:tcPr>
            <w:tcW w:w="2585" w:type="pct"/>
            <w:noWrap w:val="0"/>
            <w:vAlign w:val="center"/>
          </w:tcPr>
          <w:p>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35000元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8" w:hRule="atLeast"/>
          <w:jc w:val="center"/>
        </w:trPr>
        <w:tc>
          <w:tcPr>
            <w:tcW w:w="2414" w:type="pct"/>
            <w:noWrap w:val="0"/>
            <w:vAlign w:val="center"/>
          </w:tcPr>
          <w:p>
            <w:pPr>
              <w:spacing w:line="360"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rPr>
              <w:t>1亿以上</w:t>
            </w:r>
          </w:p>
        </w:tc>
        <w:tc>
          <w:tcPr>
            <w:tcW w:w="2585" w:type="pct"/>
            <w:noWrap w:val="0"/>
            <w:vAlign w:val="center"/>
          </w:tcPr>
          <w:p>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50000元</w:t>
            </w:r>
          </w:p>
        </w:tc>
      </w:tr>
    </w:tbl>
    <w:p>
      <w:pPr>
        <w:spacing w:line="480" w:lineRule="exact"/>
        <w:ind w:firstLine="396" w:firstLineChars="200"/>
        <w:rPr>
          <w:rFonts w:hint="eastAsia" w:ascii="宋体"/>
          <w:b/>
          <w:bCs/>
        </w:rPr>
      </w:pPr>
      <w:r>
        <w:rPr>
          <w:rFonts w:hint="eastAsia" w:ascii="宋体" w:hAnsi="宋体" w:cs="宋体"/>
          <w:color w:val="auto"/>
          <w:spacing w:val="-6"/>
          <w:szCs w:val="21"/>
          <w:highlight w:val="none"/>
        </w:rPr>
        <w:t>注：1）不涉及具体金额的采购项目，中标单位收取交易服务费1000元/次；2）以上收费不包含作为投标单位交纳的150元技术服务费；3）具体操作流程详见“义乌市阳光招标采购平台-下载中心-义乌市阳光招标采购平台投标人操作手册”</w:t>
      </w:r>
      <w:r>
        <w:rPr>
          <w:rFonts w:hint="eastAsia" w:ascii="宋体" w:hAnsi="宋体" w:cs="宋体"/>
          <w:color w:val="auto"/>
          <w:spacing w:val="-6"/>
          <w:szCs w:val="21"/>
          <w:highlight w:val="none"/>
          <w:lang w:eastAsia="zh-CN"/>
        </w:rPr>
        <w:t>。</w:t>
      </w:r>
    </w:p>
    <w:p>
      <w:pPr>
        <w:pStyle w:val="4"/>
        <w:numPr>
          <w:ilvl w:val="0"/>
          <w:numId w:val="0"/>
        </w:numPr>
        <w:spacing w:before="0" w:after="0" w:line="360" w:lineRule="auto"/>
        <w:outlineLvl w:val="1"/>
        <w:rPr>
          <w:rFonts w:ascii="宋体" w:hAnsi="宋体" w:cs="宋体"/>
          <w:sz w:val="21"/>
          <w:szCs w:val="21"/>
        </w:rPr>
      </w:pPr>
      <w:bookmarkStart w:id="29" w:name="_Toc12846"/>
      <w:r>
        <w:rPr>
          <w:rFonts w:hint="eastAsia" w:ascii="宋体" w:hAnsi="宋体" w:cs="宋体"/>
          <w:sz w:val="21"/>
          <w:szCs w:val="21"/>
        </w:rPr>
        <w:t>六、其它</w:t>
      </w:r>
      <w:bookmarkEnd w:id="29"/>
    </w:p>
    <w:p>
      <w:pPr>
        <w:spacing w:line="360" w:lineRule="auto"/>
        <w:ind w:firstLine="422" w:firstLineChars="200"/>
        <w:rPr>
          <w:rFonts w:hint="eastAsia" w:ascii="宋体" w:hAnsi="宋体" w:cs="宋体"/>
          <w:b/>
          <w:bCs/>
          <w:szCs w:val="21"/>
        </w:rPr>
      </w:pPr>
      <w:r>
        <w:rPr>
          <w:rFonts w:hint="eastAsia" w:ascii="宋体" w:hAnsi="宋体" w:cs="宋体"/>
          <w:b/>
          <w:bCs/>
          <w:szCs w:val="21"/>
        </w:rPr>
        <w:t>本招标文件解释权归采购人。</w:t>
      </w:r>
    </w:p>
    <w:p>
      <w:pPr>
        <w:spacing w:line="360" w:lineRule="auto"/>
        <w:ind w:firstLine="422" w:firstLineChars="200"/>
        <w:jc w:val="center"/>
        <w:outlineLvl w:val="0"/>
        <w:rPr>
          <w:b/>
          <w:bCs/>
          <w:szCs w:val="20"/>
        </w:rPr>
      </w:pPr>
      <w:r>
        <w:rPr>
          <w:rFonts w:hint="eastAsia" w:ascii="宋体" w:hAnsi="宋体" w:cs="宋体"/>
          <w:b/>
          <w:bCs/>
          <w:szCs w:val="21"/>
        </w:rPr>
        <w:br w:type="page"/>
      </w:r>
      <w:bookmarkStart w:id="30" w:name="_Toc1311"/>
      <w:r>
        <w:rPr>
          <w:rFonts w:hint="eastAsia" w:ascii="宋体" w:hAnsi="宋体" w:cs="宋体"/>
          <w:b/>
          <w:bCs/>
          <w:sz w:val="36"/>
          <w:szCs w:val="36"/>
        </w:rPr>
        <w:t xml:space="preserve">第三章 </w:t>
      </w:r>
      <w:r>
        <w:rPr>
          <w:rFonts w:hint="eastAsia" w:ascii="宋体" w:hAnsi="宋体" w:cs="宋体"/>
          <w:b/>
          <w:bCs/>
          <w:color w:val="000000"/>
          <w:sz w:val="36"/>
          <w:szCs w:val="36"/>
        </w:rPr>
        <w:t xml:space="preserve"> 招标项目要求</w:t>
      </w:r>
      <w:bookmarkEnd w:id="30"/>
    </w:p>
    <w:p>
      <w:pPr>
        <w:pStyle w:val="17"/>
        <w:spacing w:line="400" w:lineRule="exact"/>
        <w:rPr>
          <w:rFonts w:hint="eastAsia" w:ascii="宋体" w:hAnsi="宋体" w:eastAsia="宋体" w:cs="宋体"/>
          <w:color w:val="000000"/>
          <w:sz w:val="21"/>
          <w:szCs w:val="21"/>
          <w:highlight w:val="none"/>
        </w:rPr>
      </w:pPr>
      <w:r>
        <w:rPr>
          <w:rFonts w:hint="eastAsia" w:ascii="宋体" w:hAnsi="宋体" w:eastAsia="宋体" w:cs="宋体"/>
          <w:b/>
          <w:color w:val="000000"/>
          <w:sz w:val="21"/>
          <w:szCs w:val="21"/>
          <w:highlight w:val="none"/>
        </w:rPr>
        <w:t>一、项目概况</w:t>
      </w:r>
    </w:p>
    <w:p>
      <w:pPr>
        <w:spacing w:line="460" w:lineRule="exact"/>
        <w:ind w:firstLine="422" w:firstLineChars="200"/>
        <w:jc w:val="left"/>
        <w:rPr>
          <w:rFonts w:hint="eastAsia" w:ascii="宋体" w:hAnsi="宋体" w:eastAsia="宋体" w:cs="宋体"/>
          <w:sz w:val="21"/>
          <w:szCs w:val="21"/>
          <w:lang w:val="en-US" w:eastAsia="zh-CN"/>
        </w:rPr>
      </w:pPr>
      <w:r>
        <w:rPr>
          <w:rFonts w:hint="eastAsia" w:ascii="宋体" w:hAnsi="宋体" w:eastAsia="宋体" w:cs="宋体"/>
          <w:b/>
          <w:bCs/>
          <w:color w:val="auto"/>
          <w:kern w:val="2"/>
          <w:sz w:val="21"/>
          <w:szCs w:val="21"/>
          <w:highlight w:val="none"/>
          <w:lang w:val="en-US" w:eastAsia="zh-CN" w:bidi="ar-SA"/>
        </w:rPr>
        <w:t>1.1、采购内容：</w:t>
      </w:r>
      <w:r>
        <w:rPr>
          <w:rFonts w:hint="eastAsia" w:ascii="宋体" w:hAnsi="宋体" w:eastAsia="宋体" w:cs="宋体"/>
          <w:sz w:val="21"/>
          <w:szCs w:val="21"/>
          <w:lang w:eastAsia="zh-CN"/>
        </w:rPr>
        <w:t>义乌市数字经济产业社区项目物业服务采购</w:t>
      </w:r>
      <w:r>
        <w:rPr>
          <w:rFonts w:hint="eastAsia" w:ascii="宋体" w:hAnsi="宋体" w:eastAsia="宋体" w:cs="宋体"/>
          <w:color w:val="auto"/>
          <w:kern w:val="0"/>
          <w:sz w:val="21"/>
          <w:szCs w:val="21"/>
          <w:highlight w:val="none"/>
          <w:lang w:val="en-US" w:eastAsia="zh-CN" w:bidi="ar"/>
        </w:rPr>
        <w:t>，承包期2年。</w:t>
      </w:r>
      <w:r>
        <w:rPr>
          <w:rFonts w:hint="eastAsia" w:ascii="宋体" w:hAnsi="宋体" w:eastAsia="宋体" w:cs="宋体"/>
          <w:sz w:val="21"/>
          <w:szCs w:val="21"/>
          <w:lang w:val="en-US" w:eastAsia="zh-CN"/>
        </w:rPr>
        <w:t>义乌市</w:t>
      </w:r>
      <w:r>
        <w:rPr>
          <w:rFonts w:hint="default" w:ascii="宋体" w:hAnsi="宋体" w:eastAsia="宋体" w:cs="宋体"/>
          <w:sz w:val="21"/>
          <w:szCs w:val="21"/>
          <w:lang w:val="en-US" w:eastAsia="zh-CN"/>
        </w:rPr>
        <w:t>数字经济产业社区</w:t>
      </w:r>
      <w:r>
        <w:rPr>
          <w:rFonts w:hint="eastAsia" w:ascii="宋体" w:hAnsi="宋体" w:eastAsia="宋体" w:cs="宋体"/>
          <w:sz w:val="21"/>
          <w:szCs w:val="21"/>
          <w:lang w:val="en-US" w:eastAsia="zh-CN"/>
        </w:rPr>
        <w:t>项目位于北苑街道柳青路与宏农路交叉口东南侧，项目总用地面积约52.6亩，总建筑面积约14.9万平方米，其中地上宗建筑面积约12.2万平方米，地下总建筑面积约2.7万平方米，主要包括5栋10层厂房和1栋13层宿舍楼</w:t>
      </w:r>
      <w:r>
        <w:rPr>
          <w:rFonts w:hint="default" w:ascii="宋体" w:hAnsi="宋体" w:eastAsia="宋体" w:cs="宋体"/>
          <w:sz w:val="21"/>
          <w:szCs w:val="21"/>
          <w:lang w:val="en-US" w:eastAsia="zh-CN"/>
        </w:rPr>
        <w:t>。</w:t>
      </w:r>
      <w:r>
        <w:rPr>
          <w:rFonts w:hint="eastAsia" w:ascii="宋体" w:hAnsi="宋体" w:eastAsia="宋体" w:cs="宋体"/>
          <w:sz w:val="21"/>
          <w:szCs w:val="21"/>
          <w:lang w:val="en-US" w:eastAsia="zh-CN"/>
        </w:rPr>
        <w:t>本项目预计2025年10月交付。。</w:t>
      </w:r>
    </w:p>
    <w:p>
      <w:pPr>
        <w:spacing w:line="460" w:lineRule="exact"/>
        <w:ind w:firstLine="422" w:firstLineChars="200"/>
        <w:jc w:val="left"/>
        <w:rPr>
          <w:rFonts w:hint="eastAsia" w:ascii="宋体" w:hAnsi="宋体" w:eastAsia="宋体" w:cs="宋体"/>
          <w:b w:val="0"/>
          <w:color w:val="auto"/>
          <w:sz w:val="21"/>
          <w:szCs w:val="21"/>
          <w:highlight w:val="none"/>
          <w:lang w:val="en-US" w:bidi="ar"/>
        </w:rPr>
      </w:pPr>
      <w:r>
        <w:rPr>
          <w:rFonts w:hint="eastAsia" w:ascii="宋体" w:hAnsi="宋体" w:eastAsia="宋体" w:cs="宋体"/>
          <w:b/>
          <w:bCs/>
          <w:color w:val="auto"/>
          <w:kern w:val="0"/>
          <w:sz w:val="21"/>
          <w:szCs w:val="21"/>
          <w:highlight w:val="none"/>
          <w:lang w:val="en-US" w:eastAsia="zh-CN" w:bidi="ar"/>
        </w:rPr>
        <w:t>1.2、</w:t>
      </w:r>
      <w:r>
        <w:rPr>
          <w:rFonts w:hint="eastAsia" w:ascii="宋体" w:hAnsi="宋体" w:eastAsia="宋体" w:cs="宋体"/>
          <w:b w:val="0"/>
          <w:bCs w:val="0"/>
          <w:color w:val="auto"/>
          <w:sz w:val="21"/>
          <w:szCs w:val="21"/>
          <w:highlight w:val="none"/>
          <w:lang w:val="en-US" w:bidi="ar"/>
        </w:rPr>
        <w:t>采购范围</w:t>
      </w:r>
      <w:r>
        <w:rPr>
          <w:rFonts w:hint="eastAsia" w:ascii="宋体" w:hAnsi="宋体" w:eastAsia="宋体" w:cs="宋体"/>
          <w:b w:val="0"/>
          <w:color w:val="auto"/>
          <w:sz w:val="21"/>
          <w:szCs w:val="21"/>
          <w:highlight w:val="none"/>
          <w:lang w:val="en-US" w:bidi="ar"/>
        </w:rPr>
        <w:t>：</w:t>
      </w:r>
      <w:r>
        <w:rPr>
          <w:rFonts w:hint="eastAsia" w:ascii="宋体" w:hAnsi="宋体" w:eastAsia="宋体" w:cs="宋体"/>
          <w:sz w:val="21"/>
          <w:szCs w:val="21"/>
          <w:lang w:val="en-US" w:eastAsia="zh-CN"/>
        </w:rPr>
        <w:t>项目地块内房前屋后、楼道走道、地下室等公共场所的保洁，土建、给排水、强弱电、消防等相关配套设施设备和系统的管理维护，地块内地上与地下公共安全应急管理和秩序维护，业户诉求反馈与响应，档案管理，装修管理、项目查验及风险控制，</w:t>
      </w:r>
      <w:r>
        <w:rPr>
          <w:rFonts w:hint="default" w:ascii="宋体" w:hAnsi="宋体" w:eastAsia="宋体" w:cs="宋体"/>
          <w:sz w:val="21"/>
          <w:szCs w:val="21"/>
          <w:lang w:val="en-US" w:eastAsia="zh-CN"/>
        </w:rPr>
        <w:t>生活水箱清洗检测</w:t>
      </w:r>
      <w:r>
        <w:rPr>
          <w:rFonts w:hint="eastAsia" w:ascii="宋体" w:hAnsi="宋体" w:eastAsia="宋体" w:cs="宋体"/>
          <w:sz w:val="21"/>
          <w:szCs w:val="21"/>
          <w:lang w:val="en-US" w:eastAsia="zh-CN"/>
        </w:rPr>
        <w:t>，</w:t>
      </w:r>
      <w:r>
        <w:rPr>
          <w:rFonts w:hint="default" w:ascii="宋体" w:hAnsi="宋体" w:eastAsia="宋体" w:cs="宋体"/>
          <w:sz w:val="21"/>
          <w:szCs w:val="21"/>
          <w:lang w:val="en-US" w:eastAsia="zh-CN"/>
        </w:rPr>
        <w:t>绿化养护，管道和化粪池清掏</w:t>
      </w:r>
      <w:r>
        <w:rPr>
          <w:rFonts w:hint="eastAsia" w:ascii="宋体" w:hAnsi="宋体" w:eastAsia="宋体" w:cs="宋体"/>
          <w:sz w:val="21"/>
          <w:szCs w:val="21"/>
          <w:lang w:val="en-US" w:eastAsia="zh-CN"/>
        </w:rPr>
        <w:t>，</w:t>
      </w:r>
      <w:r>
        <w:rPr>
          <w:rFonts w:hint="default" w:ascii="宋体" w:hAnsi="宋体" w:eastAsia="宋体" w:cs="宋体"/>
          <w:sz w:val="21"/>
          <w:szCs w:val="21"/>
          <w:lang w:val="en-US" w:eastAsia="zh-CN"/>
        </w:rPr>
        <w:t>四害消杀</w:t>
      </w:r>
      <w:r>
        <w:rPr>
          <w:rFonts w:hint="eastAsia" w:ascii="宋体" w:hAnsi="宋体" w:eastAsia="宋体" w:cs="宋体"/>
          <w:sz w:val="21"/>
          <w:szCs w:val="21"/>
          <w:lang w:val="en-US" w:eastAsia="zh-CN"/>
        </w:rPr>
        <w:t>，</w:t>
      </w:r>
      <w:r>
        <w:rPr>
          <w:rFonts w:hint="default" w:ascii="宋体" w:hAnsi="宋体" w:eastAsia="宋体" w:cs="宋体"/>
          <w:sz w:val="21"/>
          <w:szCs w:val="21"/>
          <w:lang w:val="en-US" w:eastAsia="zh-CN"/>
        </w:rPr>
        <w:t>消防维保</w:t>
      </w:r>
      <w:r>
        <w:rPr>
          <w:rFonts w:hint="eastAsia" w:ascii="宋体" w:hAnsi="宋体" w:eastAsia="宋体" w:cs="宋体"/>
          <w:sz w:val="21"/>
          <w:szCs w:val="21"/>
          <w:lang w:val="en-US" w:eastAsia="zh-CN"/>
        </w:rPr>
        <w:t>，</w:t>
      </w:r>
      <w:r>
        <w:rPr>
          <w:rFonts w:hint="default" w:ascii="宋体" w:hAnsi="宋体" w:eastAsia="宋体" w:cs="宋体"/>
          <w:sz w:val="21"/>
          <w:szCs w:val="21"/>
          <w:lang w:val="en-US" w:eastAsia="zh-CN"/>
        </w:rPr>
        <w:t>外墙清洗等</w:t>
      </w:r>
      <w:r>
        <w:rPr>
          <w:rFonts w:hint="eastAsia" w:ascii="宋体" w:hAnsi="宋体" w:eastAsia="宋体" w:cs="宋体"/>
          <w:sz w:val="21"/>
          <w:szCs w:val="21"/>
          <w:lang w:val="en-US" w:eastAsia="zh-CN"/>
        </w:rPr>
        <w:t>。</w:t>
      </w:r>
    </w:p>
    <w:p>
      <w:pPr>
        <w:pageBreakBefore w:val="0"/>
        <w:widowControl w:val="0"/>
        <w:kinsoku/>
        <w:wordWrap/>
        <w:overflowPunct/>
        <w:topLinePunct w:val="0"/>
        <w:autoSpaceDE/>
        <w:autoSpaceDN/>
        <w:bidi w:val="0"/>
        <w:spacing w:line="480" w:lineRule="exact"/>
        <w:ind w:firstLine="422" w:firstLineChars="200"/>
        <w:textAlignment w:val="auto"/>
        <w:rPr>
          <w:rFonts w:hint="eastAsia" w:ascii="宋体" w:hAnsi="宋体" w:eastAsia="宋体" w:cs="宋体"/>
          <w:b w:val="0"/>
          <w:color w:val="auto"/>
          <w:kern w:val="0"/>
          <w:sz w:val="21"/>
          <w:szCs w:val="21"/>
          <w:highlight w:val="none"/>
          <w:lang w:val="en-US" w:eastAsia="zh-CN" w:bidi="ar"/>
        </w:rPr>
      </w:pPr>
      <w:r>
        <w:rPr>
          <w:rFonts w:hint="eastAsia" w:ascii="宋体" w:hAnsi="宋体" w:eastAsia="宋体" w:cs="宋体"/>
          <w:b/>
          <w:bCs/>
          <w:color w:val="auto"/>
          <w:sz w:val="21"/>
          <w:szCs w:val="21"/>
          <w:highlight w:val="none"/>
          <w:lang w:val="en-US" w:eastAsia="zh-CN"/>
        </w:rPr>
        <w:t>1.3、</w:t>
      </w:r>
      <w:r>
        <w:rPr>
          <w:rFonts w:hint="eastAsia" w:ascii="宋体" w:hAnsi="宋体" w:eastAsia="宋体" w:cs="宋体"/>
          <w:b w:val="0"/>
          <w:color w:val="auto"/>
          <w:kern w:val="0"/>
          <w:sz w:val="21"/>
          <w:szCs w:val="21"/>
          <w:highlight w:val="none"/>
          <w:lang w:val="en-US" w:eastAsia="zh-CN" w:bidi="ar"/>
        </w:rPr>
        <w:t>承包期：2年，合同一年一签，经考核合格可续签服务合同。</w:t>
      </w:r>
    </w:p>
    <w:p>
      <w:pPr>
        <w:pageBreakBefore w:val="0"/>
        <w:widowControl w:val="0"/>
        <w:kinsoku/>
        <w:wordWrap/>
        <w:overflowPunct/>
        <w:topLinePunct w:val="0"/>
        <w:autoSpaceDE/>
        <w:autoSpaceDN/>
        <w:bidi w:val="0"/>
        <w:spacing w:line="480" w:lineRule="exact"/>
        <w:ind w:firstLine="422" w:firstLineChars="200"/>
        <w:textAlignment w:val="auto"/>
        <w:rPr>
          <w:rFonts w:hint="eastAsia" w:ascii="宋体" w:hAnsi="宋体" w:eastAsia="宋体" w:cs="宋体"/>
          <w:b w:val="0"/>
          <w:color w:val="auto"/>
          <w:kern w:val="0"/>
          <w:sz w:val="21"/>
          <w:szCs w:val="21"/>
          <w:highlight w:val="none"/>
          <w:lang w:val="en-US" w:eastAsia="zh-CN" w:bidi="ar"/>
        </w:rPr>
      </w:pPr>
      <w:r>
        <w:rPr>
          <w:rFonts w:hint="eastAsia" w:ascii="宋体" w:hAnsi="宋体" w:eastAsia="宋体" w:cs="宋体"/>
          <w:b/>
          <w:bCs/>
          <w:color w:val="auto"/>
          <w:sz w:val="21"/>
          <w:szCs w:val="21"/>
          <w:highlight w:val="none"/>
          <w:lang w:val="en-US" w:eastAsia="zh-CN"/>
        </w:rPr>
        <w:t>1.4、</w:t>
      </w:r>
      <w:r>
        <w:rPr>
          <w:rFonts w:hint="eastAsia" w:ascii="宋体" w:hAnsi="宋体" w:eastAsia="宋体" w:cs="宋体"/>
          <w:b w:val="0"/>
          <w:color w:val="auto"/>
          <w:kern w:val="0"/>
          <w:sz w:val="21"/>
          <w:szCs w:val="21"/>
          <w:highlight w:val="none"/>
          <w:lang w:val="en-US" w:eastAsia="zh-CN" w:bidi="ar"/>
        </w:rPr>
        <w:t>园区出租率：在每个季度末由采购人进行汇总统计，并以此为支付依据，出租率最终解释权归属甲方。</w:t>
      </w:r>
    </w:p>
    <w:p>
      <w:pPr>
        <w:pageBreakBefore w:val="0"/>
        <w:widowControl w:val="0"/>
        <w:kinsoku/>
        <w:wordWrap/>
        <w:overflowPunct/>
        <w:topLinePunct w:val="0"/>
        <w:autoSpaceDE/>
        <w:autoSpaceDN/>
        <w:bidi w:val="0"/>
        <w:spacing w:line="480" w:lineRule="exact"/>
        <w:ind w:firstLine="422" w:firstLineChars="200"/>
        <w:textAlignment w:val="auto"/>
        <w:rPr>
          <w:rFonts w:hint="eastAsia" w:ascii="宋体" w:hAnsi="宋体" w:eastAsia="宋体" w:cs="宋体"/>
          <w:b w:val="0"/>
          <w:color w:val="auto"/>
          <w:kern w:val="0"/>
          <w:sz w:val="21"/>
          <w:szCs w:val="21"/>
          <w:highlight w:val="none"/>
          <w:lang w:val="en-US" w:eastAsia="zh-CN" w:bidi="ar"/>
        </w:rPr>
      </w:pPr>
      <w:r>
        <w:rPr>
          <w:rFonts w:hint="eastAsia" w:ascii="宋体" w:hAnsi="宋体" w:eastAsia="宋体" w:cs="宋体"/>
          <w:b/>
          <w:bCs/>
          <w:color w:val="auto"/>
          <w:sz w:val="21"/>
          <w:szCs w:val="21"/>
          <w:highlight w:val="none"/>
          <w:lang w:val="en-US" w:eastAsia="zh-CN"/>
        </w:rPr>
        <w:t>1.5、</w:t>
      </w:r>
      <w:r>
        <w:rPr>
          <w:rFonts w:hint="eastAsia" w:ascii="宋体" w:hAnsi="宋体" w:eastAsia="宋体" w:cs="宋体"/>
          <w:b w:val="0"/>
          <w:color w:val="auto"/>
          <w:kern w:val="0"/>
          <w:sz w:val="21"/>
          <w:szCs w:val="21"/>
          <w:highlight w:val="none"/>
          <w:lang w:val="en-US" w:eastAsia="zh-CN" w:bidi="ar"/>
        </w:rPr>
        <w:t>服务期间如遇园内大规模改造等情况，中标物业服务公司应无条件配合采购方提前终止服务，物业费按实结算。</w:t>
      </w:r>
    </w:p>
    <w:p>
      <w:pPr>
        <w:pStyle w:val="53"/>
        <w:ind w:left="0" w:leftChars="0" w:firstLine="0" w:firstLineChars="0"/>
        <w:jc w:val="left"/>
        <w:rPr>
          <w:rFonts w:hint="eastAsia" w:ascii="宋体" w:hAnsi="宋体" w:eastAsia="宋体" w:cs="宋体"/>
          <w:b w:val="0"/>
          <w:color w:val="auto"/>
          <w:kern w:val="0"/>
          <w:sz w:val="21"/>
          <w:szCs w:val="21"/>
          <w:highlight w:val="none"/>
          <w:lang w:val="en-US" w:eastAsia="zh-CN" w:bidi="ar"/>
        </w:rPr>
      </w:pPr>
      <w:r>
        <w:rPr>
          <w:rFonts w:hint="eastAsia" w:ascii="宋体" w:hAnsi="宋体" w:eastAsia="宋体" w:cs="宋体"/>
          <w:b/>
          <w:bCs/>
          <w:color w:val="auto"/>
          <w:sz w:val="21"/>
          <w:szCs w:val="21"/>
          <w:highlight w:val="none"/>
          <w:lang w:val="en-US" w:eastAsia="zh-CN"/>
        </w:rPr>
        <w:t>1.6、</w:t>
      </w:r>
      <w:r>
        <w:rPr>
          <w:rFonts w:hint="eastAsia" w:ascii="宋体" w:hAnsi="宋体" w:eastAsia="宋体" w:cs="宋体"/>
          <w:b w:val="0"/>
          <w:color w:val="auto"/>
          <w:kern w:val="0"/>
          <w:sz w:val="21"/>
          <w:szCs w:val="21"/>
          <w:highlight w:val="none"/>
          <w:lang w:val="en-US" w:eastAsia="zh-CN" w:bidi="ar"/>
        </w:rPr>
        <w:t>出租率对应的人员配置如下：</w:t>
      </w:r>
    </w:p>
    <w:p>
      <w:pPr>
        <w:keepNext w:val="0"/>
        <w:keepLines w:val="0"/>
        <w:pageBreakBefore w:val="0"/>
        <w:widowControl w:val="0"/>
        <w:tabs>
          <w:tab w:val="left" w:pos="4680"/>
        </w:tabs>
        <w:kinsoku/>
        <w:wordWrap/>
        <w:overflowPunct/>
        <w:topLinePunct w:val="0"/>
        <w:autoSpaceDE/>
        <w:autoSpaceDN/>
        <w:bidi w:val="0"/>
        <w:adjustRightInd/>
        <w:snapToGrid/>
        <w:spacing w:line="500" w:lineRule="exact"/>
        <w:jc w:val="left"/>
        <w:textAlignment w:val="auto"/>
        <w:rPr>
          <w:rFonts w:hint="eastAsia" w:ascii="宋体" w:hAnsi="宋体" w:eastAsia="宋体" w:cs="宋体"/>
          <w:b w:val="0"/>
          <w:bCs w:val="0"/>
          <w:kern w:val="2"/>
          <w:sz w:val="21"/>
          <w:szCs w:val="21"/>
          <w:lang w:val="en-US" w:eastAsia="zh-CN" w:bidi="ar-SA"/>
        </w:rPr>
      </w:pPr>
      <w:r>
        <w:rPr>
          <w:rFonts w:hint="eastAsia" w:ascii="宋体" w:hAnsi="宋体" w:eastAsia="宋体" w:cs="宋体"/>
          <w:b/>
          <w:bCs/>
          <w:kern w:val="2"/>
          <w:sz w:val="21"/>
          <w:szCs w:val="21"/>
          <w:lang w:val="en-US" w:eastAsia="zh-CN" w:bidi="ar-SA"/>
        </w:rPr>
        <w:t>出租率小于等于30%</w:t>
      </w:r>
    </w:p>
    <w:tbl>
      <w:tblPr>
        <w:tblStyle w:val="33"/>
        <w:tblpPr w:leftFromText="180" w:rightFromText="180" w:vertAnchor="text" w:horzAnchor="page" w:tblpX="1132" w:tblpY="281"/>
        <w:tblOverlap w:val="never"/>
        <w:tblW w:w="9126" w:type="dxa"/>
        <w:tblInd w:w="0" w:type="dxa"/>
        <w:tblLayout w:type="fixed"/>
        <w:tblCellMar>
          <w:top w:w="0" w:type="dxa"/>
          <w:left w:w="108" w:type="dxa"/>
          <w:bottom w:w="0" w:type="dxa"/>
          <w:right w:w="108" w:type="dxa"/>
        </w:tblCellMar>
      </w:tblPr>
      <w:tblGrid>
        <w:gridCol w:w="870"/>
        <w:gridCol w:w="1215"/>
        <w:gridCol w:w="1110"/>
        <w:gridCol w:w="1515"/>
        <w:gridCol w:w="1339"/>
        <w:gridCol w:w="3077"/>
      </w:tblGrid>
      <w:tr>
        <w:tblPrEx>
          <w:tblCellMar>
            <w:top w:w="0" w:type="dxa"/>
            <w:left w:w="108" w:type="dxa"/>
            <w:bottom w:w="0" w:type="dxa"/>
            <w:right w:w="108" w:type="dxa"/>
          </w:tblCellMar>
        </w:tblPrEx>
        <w:trPr>
          <w:trHeight w:val="635" w:hRule="atLeast"/>
        </w:trPr>
        <w:tc>
          <w:tcPr>
            <w:tcW w:w="8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top"/>
              <w:rPr>
                <w:rFonts w:hint="eastAsia" w:ascii="宋体" w:hAnsi="宋体" w:eastAsia="宋体" w:cs="宋体"/>
                <w:b/>
                <w:bCs/>
                <w:color w:val="000000"/>
                <w:sz w:val="21"/>
                <w:szCs w:val="21"/>
                <w:u w:val="none"/>
                <w:lang w:bidi="ar-SA"/>
              </w:rPr>
            </w:pPr>
            <w:r>
              <w:rPr>
                <w:rFonts w:hint="eastAsia" w:ascii="宋体" w:hAnsi="宋体" w:eastAsia="宋体" w:cs="宋体"/>
                <w:b/>
                <w:bCs/>
                <w:color w:val="000000"/>
                <w:kern w:val="0"/>
                <w:sz w:val="21"/>
                <w:szCs w:val="21"/>
                <w:u w:val="none"/>
                <w:lang w:val="en-US" w:eastAsia="zh-CN" w:bidi="ar"/>
              </w:rPr>
              <w:t>序号</w:t>
            </w:r>
          </w:p>
        </w:tc>
        <w:tc>
          <w:tcPr>
            <w:tcW w:w="12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top"/>
              <w:rPr>
                <w:rFonts w:hint="eastAsia" w:ascii="宋体" w:hAnsi="宋体" w:eastAsia="宋体" w:cs="宋体"/>
                <w:b/>
                <w:bCs/>
                <w:color w:val="000000"/>
                <w:sz w:val="21"/>
                <w:szCs w:val="21"/>
                <w:u w:val="none"/>
                <w:lang w:bidi="ar-SA"/>
              </w:rPr>
            </w:pPr>
            <w:r>
              <w:rPr>
                <w:rFonts w:hint="eastAsia" w:ascii="宋体" w:hAnsi="宋体" w:eastAsia="宋体" w:cs="宋体"/>
                <w:b/>
                <w:bCs/>
                <w:color w:val="000000"/>
                <w:kern w:val="0"/>
                <w:sz w:val="21"/>
                <w:szCs w:val="21"/>
                <w:u w:val="none"/>
                <w:lang w:val="en-US" w:eastAsia="zh-CN" w:bidi="ar"/>
              </w:rPr>
              <w:t>岗位</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top"/>
              <w:rPr>
                <w:rFonts w:hint="eastAsia" w:ascii="宋体" w:hAnsi="宋体" w:eastAsia="宋体" w:cs="宋体"/>
                <w:b/>
                <w:bCs/>
                <w:color w:val="000000"/>
                <w:sz w:val="21"/>
                <w:szCs w:val="21"/>
                <w:u w:val="none"/>
                <w:lang w:bidi="ar-SA"/>
              </w:rPr>
            </w:pPr>
            <w:r>
              <w:rPr>
                <w:rFonts w:hint="eastAsia" w:ascii="宋体" w:hAnsi="宋体" w:eastAsia="宋体" w:cs="宋体"/>
                <w:b/>
                <w:bCs/>
                <w:color w:val="000000"/>
                <w:kern w:val="0"/>
                <w:sz w:val="21"/>
                <w:szCs w:val="21"/>
                <w:u w:val="none"/>
                <w:lang w:val="en-US" w:eastAsia="zh-CN" w:bidi="ar"/>
              </w:rPr>
              <w:t>人数编制</w:t>
            </w:r>
          </w:p>
        </w:tc>
        <w:tc>
          <w:tcPr>
            <w:tcW w:w="15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top"/>
              <w:rPr>
                <w:rFonts w:hint="eastAsia" w:ascii="宋体" w:hAnsi="宋体" w:eastAsia="宋体" w:cs="宋体"/>
                <w:b/>
                <w:bCs/>
                <w:color w:val="000000"/>
                <w:sz w:val="21"/>
                <w:szCs w:val="21"/>
                <w:u w:val="none"/>
                <w:lang w:bidi="ar-SA"/>
              </w:rPr>
            </w:pPr>
            <w:r>
              <w:rPr>
                <w:rFonts w:hint="eastAsia" w:ascii="宋体" w:hAnsi="宋体" w:eastAsia="宋体" w:cs="宋体"/>
                <w:b/>
                <w:bCs/>
                <w:color w:val="000000"/>
                <w:kern w:val="0"/>
                <w:sz w:val="21"/>
                <w:szCs w:val="21"/>
                <w:u w:val="none"/>
                <w:lang w:val="en-US" w:eastAsia="zh-CN" w:bidi="ar"/>
              </w:rPr>
              <w:t>单人年度费用（元）</w:t>
            </w:r>
          </w:p>
        </w:tc>
        <w:tc>
          <w:tcPr>
            <w:tcW w:w="133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top"/>
              <w:rPr>
                <w:rFonts w:hint="eastAsia" w:ascii="宋体" w:hAnsi="宋体" w:eastAsia="宋体" w:cs="宋体"/>
                <w:b/>
                <w:bCs/>
                <w:color w:val="000000"/>
                <w:sz w:val="21"/>
                <w:szCs w:val="21"/>
                <w:u w:val="none"/>
                <w:lang w:bidi="ar-SA"/>
              </w:rPr>
            </w:pPr>
            <w:r>
              <w:rPr>
                <w:rFonts w:hint="eastAsia" w:ascii="宋体" w:hAnsi="宋体" w:eastAsia="宋体" w:cs="宋体"/>
                <w:b/>
                <w:bCs/>
                <w:color w:val="000000"/>
                <w:kern w:val="0"/>
                <w:sz w:val="21"/>
                <w:szCs w:val="21"/>
                <w:u w:val="none"/>
                <w:lang w:val="en-US" w:eastAsia="zh-CN" w:bidi="ar"/>
              </w:rPr>
              <w:t>合计费用（元）</w:t>
            </w:r>
          </w:p>
        </w:tc>
        <w:tc>
          <w:tcPr>
            <w:tcW w:w="30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top"/>
              <w:rPr>
                <w:rFonts w:hint="eastAsia" w:ascii="宋体" w:hAnsi="宋体" w:eastAsia="宋体" w:cs="宋体"/>
                <w:b/>
                <w:bCs/>
                <w:color w:val="000000"/>
                <w:sz w:val="21"/>
                <w:szCs w:val="21"/>
                <w:u w:val="none"/>
                <w:lang w:bidi="ar-SA"/>
              </w:rPr>
            </w:pPr>
            <w:r>
              <w:rPr>
                <w:rFonts w:hint="eastAsia" w:ascii="宋体" w:hAnsi="宋体" w:eastAsia="宋体" w:cs="宋体"/>
                <w:b/>
                <w:bCs/>
                <w:color w:val="000000"/>
                <w:kern w:val="0"/>
                <w:sz w:val="21"/>
                <w:szCs w:val="21"/>
                <w:u w:val="none"/>
                <w:lang w:val="en-US" w:eastAsia="zh-CN" w:bidi="ar"/>
              </w:rPr>
              <w:t>备注</w:t>
            </w:r>
          </w:p>
        </w:tc>
      </w:tr>
      <w:tr>
        <w:tblPrEx>
          <w:tblCellMar>
            <w:top w:w="0" w:type="dxa"/>
            <w:left w:w="108" w:type="dxa"/>
            <w:bottom w:w="0" w:type="dxa"/>
            <w:right w:w="108" w:type="dxa"/>
          </w:tblCellMar>
        </w:tblPrEx>
        <w:trPr>
          <w:trHeight w:val="635" w:hRule="atLeast"/>
        </w:trPr>
        <w:tc>
          <w:tcPr>
            <w:tcW w:w="8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auto"/>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1</w:t>
            </w:r>
          </w:p>
        </w:tc>
        <w:tc>
          <w:tcPr>
            <w:tcW w:w="12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auto"/>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项目经理</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auto"/>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1</w:t>
            </w:r>
          </w:p>
        </w:tc>
        <w:tc>
          <w:tcPr>
            <w:tcW w:w="15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auto"/>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220000</w:t>
            </w:r>
          </w:p>
        </w:tc>
        <w:tc>
          <w:tcPr>
            <w:tcW w:w="133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auto"/>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220000</w:t>
            </w:r>
          </w:p>
        </w:tc>
        <w:tc>
          <w:tcPr>
            <w:tcW w:w="30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auto"/>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45周岁以下，大专及以上学历，持有物业经理上岗证。</w:t>
            </w:r>
          </w:p>
        </w:tc>
      </w:tr>
      <w:tr>
        <w:tblPrEx>
          <w:tblCellMar>
            <w:top w:w="0" w:type="dxa"/>
            <w:left w:w="108" w:type="dxa"/>
            <w:bottom w:w="0" w:type="dxa"/>
            <w:right w:w="108" w:type="dxa"/>
          </w:tblCellMar>
        </w:tblPrEx>
        <w:trPr>
          <w:trHeight w:val="635" w:hRule="atLeast"/>
        </w:trPr>
        <w:tc>
          <w:tcPr>
            <w:tcW w:w="8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auto"/>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2</w:t>
            </w:r>
          </w:p>
        </w:tc>
        <w:tc>
          <w:tcPr>
            <w:tcW w:w="12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auto"/>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安全员</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auto"/>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1</w:t>
            </w:r>
          </w:p>
        </w:tc>
        <w:tc>
          <w:tcPr>
            <w:tcW w:w="15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auto"/>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85000</w:t>
            </w:r>
          </w:p>
        </w:tc>
        <w:tc>
          <w:tcPr>
            <w:tcW w:w="133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auto"/>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85000</w:t>
            </w:r>
          </w:p>
        </w:tc>
        <w:tc>
          <w:tcPr>
            <w:tcW w:w="30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auto"/>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45周岁以下，有相关工作经验，需持有安全员证，负责园区安全生产、隐患排查、应急处理。</w:t>
            </w:r>
          </w:p>
        </w:tc>
      </w:tr>
      <w:tr>
        <w:tblPrEx>
          <w:tblCellMar>
            <w:top w:w="0" w:type="dxa"/>
            <w:left w:w="108" w:type="dxa"/>
            <w:bottom w:w="0" w:type="dxa"/>
            <w:right w:w="108" w:type="dxa"/>
          </w:tblCellMar>
        </w:tblPrEx>
        <w:trPr>
          <w:trHeight w:val="752" w:hRule="atLeast"/>
        </w:trPr>
        <w:tc>
          <w:tcPr>
            <w:tcW w:w="8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auto"/>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3</w:t>
            </w:r>
          </w:p>
        </w:tc>
        <w:tc>
          <w:tcPr>
            <w:tcW w:w="12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auto"/>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客服人员</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auto"/>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1</w:t>
            </w:r>
          </w:p>
        </w:tc>
        <w:tc>
          <w:tcPr>
            <w:tcW w:w="15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auto"/>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85000</w:t>
            </w:r>
          </w:p>
        </w:tc>
        <w:tc>
          <w:tcPr>
            <w:tcW w:w="133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auto"/>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85000</w:t>
            </w:r>
          </w:p>
        </w:tc>
        <w:tc>
          <w:tcPr>
            <w:tcW w:w="30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auto"/>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40周岁以下，全日制大专以上学历，负责资料档案管理和水、电、物业费催缴等工作。</w:t>
            </w:r>
          </w:p>
        </w:tc>
      </w:tr>
      <w:tr>
        <w:tblPrEx>
          <w:tblCellMar>
            <w:top w:w="0" w:type="dxa"/>
            <w:left w:w="108" w:type="dxa"/>
            <w:bottom w:w="0" w:type="dxa"/>
            <w:right w:w="108" w:type="dxa"/>
          </w:tblCellMar>
        </w:tblPrEx>
        <w:trPr>
          <w:trHeight w:val="661" w:hRule="atLeast"/>
        </w:trPr>
        <w:tc>
          <w:tcPr>
            <w:tcW w:w="8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auto"/>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4</w:t>
            </w:r>
          </w:p>
        </w:tc>
        <w:tc>
          <w:tcPr>
            <w:tcW w:w="12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auto"/>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工程人员</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auto"/>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1</w:t>
            </w:r>
          </w:p>
        </w:tc>
        <w:tc>
          <w:tcPr>
            <w:tcW w:w="15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auto"/>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80000</w:t>
            </w:r>
          </w:p>
        </w:tc>
        <w:tc>
          <w:tcPr>
            <w:tcW w:w="133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auto"/>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80000</w:t>
            </w:r>
          </w:p>
        </w:tc>
        <w:tc>
          <w:tcPr>
            <w:tcW w:w="30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auto"/>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45周岁以下，有相关工作经验，持有电工证，负责园区水、电及工程维修等日常工作。</w:t>
            </w:r>
          </w:p>
        </w:tc>
      </w:tr>
      <w:tr>
        <w:tblPrEx>
          <w:tblCellMar>
            <w:top w:w="0" w:type="dxa"/>
            <w:left w:w="108" w:type="dxa"/>
            <w:bottom w:w="0" w:type="dxa"/>
            <w:right w:w="108" w:type="dxa"/>
          </w:tblCellMar>
        </w:tblPrEx>
        <w:trPr>
          <w:trHeight w:val="451" w:hRule="atLeast"/>
        </w:trPr>
        <w:tc>
          <w:tcPr>
            <w:tcW w:w="8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auto"/>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5</w:t>
            </w:r>
          </w:p>
        </w:tc>
        <w:tc>
          <w:tcPr>
            <w:tcW w:w="12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auto"/>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保安队长</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auto"/>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1</w:t>
            </w:r>
          </w:p>
        </w:tc>
        <w:tc>
          <w:tcPr>
            <w:tcW w:w="15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auto"/>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100000</w:t>
            </w:r>
          </w:p>
        </w:tc>
        <w:tc>
          <w:tcPr>
            <w:tcW w:w="133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auto"/>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100000</w:t>
            </w:r>
          </w:p>
        </w:tc>
        <w:tc>
          <w:tcPr>
            <w:tcW w:w="30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auto"/>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45周岁以下，需持有保安员证。</w:t>
            </w:r>
          </w:p>
        </w:tc>
      </w:tr>
      <w:tr>
        <w:tblPrEx>
          <w:tblCellMar>
            <w:top w:w="0" w:type="dxa"/>
            <w:left w:w="108" w:type="dxa"/>
            <w:bottom w:w="0" w:type="dxa"/>
            <w:right w:w="108" w:type="dxa"/>
          </w:tblCellMar>
        </w:tblPrEx>
        <w:trPr>
          <w:trHeight w:val="496" w:hRule="atLeast"/>
        </w:trPr>
        <w:tc>
          <w:tcPr>
            <w:tcW w:w="8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auto"/>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6</w:t>
            </w:r>
          </w:p>
        </w:tc>
        <w:tc>
          <w:tcPr>
            <w:tcW w:w="12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auto"/>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保安班长</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auto"/>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1</w:t>
            </w:r>
          </w:p>
        </w:tc>
        <w:tc>
          <w:tcPr>
            <w:tcW w:w="15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auto"/>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85000</w:t>
            </w:r>
          </w:p>
        </w:tc>
        <w:tc>
          <w:tcPr>
            <w:tcW w:w="133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auto"/>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85000</w:t>
            </w:r>
          </w:p>
        </w:tc>
        <w:tc>
          <w:tcPr>
            <w:tcW w:w="30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auto"/>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45周岁以下，需持有保安员证。</w:t>
            </w:r>
          </w:p>
        </w:tc>
      </w:tr>
      <w:tr>
        <w:tblPrEx>
          <w:tblCellMar>
            <w:top w:w="0" w:type="dxa"/>
            <w:left w:w="108" w:type="dxa"/>
            <w:bottom w:w="0" w:type="dxa"/>
            <w:right w:w="108" w:type="dxa"/>
          </w:tblCellMar>
        </w:tblPrEx>
        <w:trPr>
          <w:trHeight w:val="535" w:hRule="atLeast"/>
        </w:trPr>
        <w:tc>
          <w:tcPr>
            <w:tcW w:w="8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auto"/>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7</w:t>
            </w:r>
          </w:p>
        </w:tc>
        <w:tc>
          <w:tcPr>
            <w:tcW w:w="12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auto"/>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保安员</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auto"/>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6</w:t>
            </w:r>
          </w:p>
        </w:tc>
        <w:tc>
          <w:tcPr>
            <w:tcW w:w="15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auto"/>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80000</w:t>
            </w:r>
          </w:p>
        </w:tc>
        <w:tc>
          <w:tcPr>
            <w:tcW w:w="133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auto"/>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480000</w:t>
            </w:r>
          </w:p>
        </w:tc>
        <w:tc>
          <w:tcPr>
            <w:tcW w:w="30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auto"/>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45周岁以下，所有保安人员需持有保安员证。</w:t>
            </w:r>
          </w:p>
        </w:tc>
      </w:tr>
      <w:tr>
        <w:tblPrEx>
          <w:tblCellMar>
            <w:top w:w="0" w:type="dxa"/>
            <w:left w:w="108" w:type="dxa"/>
            <w:bottom w:w="0" w:type="dxa"/>
            <w:right w:w="108" w:type="dxa"/>
          </w:tblCellMar>
        </w:tblPrEx>
        <w:trPr>
          <w:trHeight w:val="679" w:hRule="atLeast"/>
        </w:trPr>
        <w:tc>
          <w:tcPr>
            <w:tcW w:w="8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auto"/>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8</w:t>
            </w:r>
          </w:p>
        </w:tc>
        <w:tc>
          <w:tcPr>
            <w:tcW w:w="12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auto"/>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消监控员</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auto"/>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3</w:t>
            </w:r>
          </w:p>
        </w:tc>
        <w:tc>
          <w:tcPr>
            <w:tcW w:w="15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auto"/>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80000</w:t>
            </w:r>
          </w:p>
        </w:tc>
        <w:tc>
          <w:tcPr>
            <w:tcW w:w="133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auto"/>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240000</w:t>
            </w:r>
          </w:p>
        </w:tc>
        <w:tc>
          <w:tcPr>
            <w:tcW w:w="30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auto"/>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45周岁以下，须持有消防设施操作员证（具备国考证）。</w:t>
            </w:r>
          </w:p>
        </w:tc>
      </w:tr>
      <w:tr>
        <w:tblPrEx>
          <w:tblCellMar>
            <w:top w:w="0" w:type="dxa"/>
            <w:left w:w="108" w:type="dxa"/>
            <w:bottom w:w="0" w:type="dxa"/>
            <w:right w:w="108" w:type="dxa"/>
          </w:tblCellMar>
        </w:tblPrEx>
        <w:trPr>
          <w:trHeight w:val="444" w:hRule="atLeast"/>
        </w:trPr>
        <w:tc>
          <w:tcPr>
            <w:tcW w:w="8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auto"/>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9</w:t>
            </w:r>
          </w:p>
        </w:tc>
        <w:tc>
          <w:tcPr>
            <w:tcW w:w="12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auto"/>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保洁主管</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auto"/>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1</w:t>
            </w:r>
          </w:p>
        </w:tc>
        <w:tc>
          <w:tcPr>
            <w:tcW w:w="15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auto"/>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80000</w:t>
            </w:r>
          </w:p>
        </w:tc>
        <w:tc>
          <w:tcPr>
            <w:tcW w:w="133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auto"/>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80000</w:t>
            </w:r>
          </w:p>
        </w:tc>
        <w:tc>
          <w:tcPr>
            <w:tcW w:w="30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auto"/>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55周岁以下，负责园区公共区域保洁。</w:t>
            </w:r>
          </w:p>
        </w:tc>
      </w:tr>
      <w:tr>
        <w:tblPrEx>
          <w:tblCellMar>
            <w:top w:w="0" w:type="dxa"/>
            <w:left w:w="108" w:type="dxa"/>
            <w:bottom w:w="0" w:type="dxa"/>
            <w:right w:w="108" w:type="dxa"/>
          </w:tblCellMar>
        </w:tblPrEx>
        <w:trPr>
          <w:trHeight w:val="324" w:hRule="atLeast"/>
        </w:trPr>
        <w:tc>
          <w:tcPr>
            <w:tcW w:w="8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auto"/>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10</w:t>
            </w:r>
          </w:p>
        </w:tc>
        <w:tc>
          <w:tcPr>
            <w:tcW w:w="12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auto"/>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保洁员</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auto"/>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4</w:t>
            </w:r>
          </w:p>
        </w:tc>
        <w:tc>
          <w:tcPr>
            <w:tcW w:w="15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auto"/>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55000</w:t>
            </w:r>
          </w:p>
        </w:tc>
        <w:tc>
          <w:tcPr>
            <w:tcW w:w="133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auto"/>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220000</w:t>
            </w:r>
          </w:p>
        </w:tc>
        <w:tc>
          <w:tcPr>
            <w:tcW w:w="30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auto"/>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55周岁以下，负责园区公共区域保洁。</w:t>
            </w:r>
          </w:p>
        </w:tc>
      </w:tr>
      <w:tr>
        <w:tblPrEx>
          <w:tblCellMar>
            <w:top w:w="0" w:type="dxa"/>
            <w:left w:w="108" w:type="dxa"/>
            <w:bottom w:w="0" w:type="dxa"/>
            <w:right w:w="108" w:type="dxa"/>
          </w:tblCellMar>
        </w:tblPrEx>
        <w:trPr>
          <w:trHeight w:val="1700" w:hRule="atLeast"/>
        </w:trPr>
        <w:tc>
          <w:tcPr>
            <w:tcW w:w="8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auto"/>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11</w:t>
            </w:r>
          </w:p>
        </w:tc>
        <w:tc>
          <w:tcPr>
            <w:tcW w:w="12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auto"/>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物资耗材</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auto"/>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w:t>
            </w:r>
          </w:p>
        </w:tc>
        <w:tc>
          <w:tcPr>
            <w:tcW w:w="15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auto"/>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w:t>
            </w:r>
          </w:p>
        </w:tc>
        <w:tc>
          <w:tcPr>
            <w:tcW w:w="133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auto"/>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30000</w:t>
            </w:r>
          </w:p>
        </w:tc>
        <w:tc>
          <w:tcPr>
            <w:tcW w:w="30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auto"/>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单项维修总价500元（含）以下的日常维修和物品采购（办公物品、低值易耗品）。</w:t>
            </w:r>
          </w:p>
        </w:tc>
      </w:tr>
      <w:tr>
        <w:tblPrEx>
          <w:tblCellMar>
            <w:top w:w="0" w:type="dxa"/>
            <w:left w:w="108" w:type="dxa"/>
            <w:bottom w:w="0" w:type="dxa"/>
            <w:right w:w="108" w:type="dxa"/>
          </w:tblCellMar>
        </w:tblPrEx>
        <w:trPr>
          <w:trHeight w:val="1700" w:hRule="atLeast"/>
        </w:trPr>
        <w:tc>
          <w:tcPr>
            <w:tcW w:w="8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auto"/>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12</w:t>
            </w:r>
          </w:p>
        </w:tc>
        <w:tc>
          <w:tcPr>
            <w:tcW w:w="12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auto"/>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日常维护养护</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auto"/>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w:t>
            </w:r>
          </w:p>
        </w:tc>
        <w:tc>
          <w:tcPr>
            <w:tcW w:w="15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auto"/>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w:t>
            </w:r>
          </w:p>
        </w:tc>
        <w:tc>
          <w:tcPr>
            <w:tcW w:w="133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auto"/>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300000</w:t>
            </w:r>
          </w:p>
        </w:tc>
        <w:tc>
          <w:tcPr>
            <w:tcW w:w="30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auto"/>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生活水箱清洗检测，绿化养护，管道和化粪池清掏及四害消杀、消防维保、外墙清洗等。</w:t>
            </w:r>
          </w:p>
        </w:tc>
      </w:tr>
      <w:tr>
        <w:tblPrEx>
          <w:tblCellMar>
            <w:top w:w="0" w:type="dxa"/>
            <w:left w:w="108" w:type="dxa"/>
            <w:bottom w:w="0" w:type="dxa"/>
            <w:right w:w="108" w:type="dxa"/>
          </w:tblCellMar>
        </w:tblPrEx>
        <w:trPr>
          <w:trHeight w:val="503" w:hRule="atLeast"/>
        </w:trPr>
        <w:tc>
          <w:tcPr>
            <w:tcW w:w="8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auto"/>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13</w:t>
            </w:r>
          </w:p>
        </w:tc>
        <w:tc>
          <w:tcPr>
            <w:tcW w:w="12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auto"/>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垃圾清运</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auto"/>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w:t>
            </w:r>
          </w:p>
        </w:tc>
        <w:tc>
          <w:tcPr>
            <w:tcW w:w="15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auto"/>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w:t>
            </w:r>
          </w:p>
        </w:tc>
        <w:tc>
          <w:tcPr>
            <w:tcW w:w="133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auto"/>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18000</w:t>
            </w:r>
          </w:p>
        </w:tc>
        <w:tc>
          <w:tcPr>
            <w:tcW w:w="30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auto"/>
              <w:rPr>
                <w:rFonts w:hint="eastAsia" w:ascii="宋体" w:hAnsi="宋体" w:eastAsia="宋体" w:cs="宋体"/>
                <w:kern w:val="0"/>
                <w:sz w:val="21"/>
                <w:szCs w:val="21"/>
                <w:lang w:val="en-US" w:eastAsia="zh-CN" w:bidi="ar-SA"/>
              </w:rPr>
            </w:pPr>
          </w:p>
        </w:tc>
      </w:tr>
      <w:tr>
        <w:tblPrEx>
          <w:tblCellMar>
            <w:top w:w="0" w:type="dxa"/>
            <w:left w:w="108" w:type="dxa"/>
            <w:bottom w:w="0" w:type="dxa"/>
            <w:right w:w="108" w:type="dxa"/>
          </w:tblCellMar>
        </w:tblPrEx>
        <w:trPr>
          <w:trHeight w:val="775" w:hRule="atLeast"/>
        </w:trPr>
        <w:tc>
          <w:tcPr>
            <w:tcW w:w="8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auto"/>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14</w:t>
            </w:r>
          </w:p>
        </w:tc>
        <w:tc>
          <w:tcPr>
            <w:tcW w:w="12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auto"/>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总额</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auto"/>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20</w:t>
            </w:r>
          </w:p>
        </w:tc>
        <w:tc>
          <w:tcPr>
            <w:tcW w:w="15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auto"/>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w:t>
            </w:r>
          </w:p>
        </w:tc>
        <w:tc>
          <w:tcPr>
            <w:tcW w:w="133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auto"/>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2023000</w:t>
            </w:r>
          </w:p>
        </w:tc>
        <w:tc>
          <w:tcPr>
            <w:tcW w:w="30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auto"/>
              <w:rPr>
                <w:rFonts w:hint="eastAsia" w:ascii="宋体" w:hAnsi="宋体" w:eastAsia="宋体" w:cs="宋体"/>
                <w:kern w:val="0"/>
                <w:sz w:val="21"/>
                <w:szCs w:val="21"/>
                <w:lang w:val="en-US" w:eastAsia="zh-CN" w:bidi="ar-SA"/>
              </w:rPr>
            </w:pPr>
          </w:p>
        </w:tc>
      </w:tr>
    </w:tbl>
    <w:p>
      <w:pPr>
        <w:pStyle w:val="53"/>
        <w:ind w:left="0" w:leftChars="0" w:firstLine="0" w:firstLineChars="0"/>
        <w:jc w:val="center"/>
        <w:rPr>
          <w:rFonts w:hint="eastAsia" w:ascii="宋体" w:hAnsi="宋体" w:eastAsia="宋体" w:cs="宋体"/>
          <w:b w:val="0"/>
          <w:bCs w:val="0"/>
          <w:sz w:val="21"/>
          <w:szCs w:val="21"/>
          <w:lang w:val="en-US" w:eastAsia="zh-CN"/>
        </w:rPr>
      </w:pPr>
    </w:p>
    <w:p>
      <w:pPr>
        <w:pStyle w:val="53"/>
        <w:ind w:left="0" w:leftChars="0" w:firstLine="0" w:firstLineChars="0"/>
        <w:jc w:val="left"/>
        <w:rPr>
          <w:rFonts w:hint="eastAsia" w:ascii="宋体" w:hAnsi="宋体" w:eastAsia="宋体" w:cs="宋体"/>
          <w:b/>
          <w:bCs/>
          <w:sz w:val="21"/>
          <w:szCs w:val="21"/>
          <w:lang w:val="en-US" w:eastAsia="zh-CN"/>
        </w:rPr>
      </w:pPr>
      <w:r>
        <w:rPr>
          <w:rFonts w:hint="eastAsia" w:ascii="宋体" w:hAnsi="宋体" w:eastAsia="宋体" w:cs="宋体"/>
          <w:b/>
          <w:bCs/>
          <w:sz w:val="21"/>
          <w:szCs w:val="21"/>
          <w:lang w:val="en-US" w:eastAsia="zh-CN"/>
        </w:rPr>
        <w:t>出租率大于30%小于等于70%</w:t>
      </w:r>
    </w:p>
    <w:tbl>
      <w:tblPr>
        <w:tblStyle w:val="33"/>
        <w:tblpPr w:leftFromText="180" w:rightFromText="180" w:vertAnchor="text" w:horzAnchor="page" w:tblpX="1612" w:tblpY="281"/>
        <w:tblOverlap w:val="never"/>
        <w:tblW w:w="8646" w:type="dxa"/>
        <w:tblInd w:w="0" w:type="dxa"/>
        <w:tblLayout w:type="fixed"/>
        <w:tblCellMar>
          <w:top w:w="0" w:type="dxa"/>
          <w:left w:w="108" w:type="dxa"/>
          <w:bottom w:w="0" w:type="dxa"/>
          <w:right w:w="108" w:type="dxa"/>
        </w:tblCellMar>
      </w:tblPr>
      <w:tblGrid>
        <w:gridCol w:w="726"/>
        <w:gridCol w:w="1170"/>
        <w:gridCol w:w="1200"/>
        <w:gridCol w:w="1305"/>
        <w:gridCol w:w="1177"/>
        <w:gridCol w:w="3068"/>
      </w:tblGrid>
      <w:tr>
        <w:tblPrEx>
          <w:tblCellMar>
            <w:top w:w="0" w:type="dxa"/>
            <w:left w:w="108" w:type="dxa"/>
            <w:bottom w:w="0" w:type="dxa"/>
            <w:right w:w="108" w:type="dxa"/>
          </w:tblCellMar>
        </w:tblPrEx>
        <w:trPr>
          <w:trHeight w:val="663" w:hRule="atLeast"/>
        </w:trPr>
        <w:tc>
          <w:tcPr>
            <w:tcW w:w="72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top"/>
              <w:rPr>
                <w:rFonts w:hint="eastAsia" w:ascii="宋体" w:hAnsi="宋体" w:eastAsia="宋体" w:cs="宋体"/>
                <w:b/>
                <w:bCs/>
                <w:color w:val="000000"/>
                <w:sz w:val="21"/>
                <w:szCs w:val="21"/>
                <w:u w:val="none"/>
                <w:lang w:bidi="ar-SA"/>
              </w:rPr>
            </w:pPr>
            <w:r>
              <w:rPr>
                <w:rFonts w:hint="eastAsia" w:ascii="宋体" w:hAnsi="宋体" w:eastAsia="宋体" w:cs="宋体"/>
                <w:b/>
                <w:bCs/>
                <w:color w:val="000000"/>
                <w:kern w:val="0"/>
                <w:sz w:val="21"/>
                <w:szCs w:val="21"/>
                <w:u w:val="none"/>
                <w:lang w:val="en-US" w:eastAsia="zh-CN" w:bidi="ar"/>
              </w:rPr>
              <w:t>序号</w:t>
            </w:r>
          </w:p>
        </w:tc>
        <w:tc>
          <w:tcPr>
            <w:tcW w:w="11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top"/>
              <w:rPr>
                <w:rFonts w:hint="eastAsia" w:ascii="宋体" w:hAnsi="宋体" w:eastAsia="宋体" w:cs="宋体"/>
                <w:b/>
                <w:bCs/>
                <w:color w:val="000000"/>
                <w:sz w:val="21"/>
                <w:szCs w:val="21"/>
                <w:u w:val="none"/>
                <w:lang w:bidi="ar-SA"/>
              </w:rPr>
            </w:pPr>
            <w:r>
              <w:rPr>
                <w:rFonts w:hint="eastAsia" w:ascii="宋体" w:hAnsi="宋体" w:eastAsia="宋体" w:cs="宋体"/>
                <w:b/>
                <w:bCs/>
                <w:color w:val="000000"/>
                <w:kern w:val="0"/>
                <w:sz w:val="21"/>
                <w:szCs w:val="21"/>
                <w:u w:val="none"/>
                <w:lang w:val="en-US" w:eastAsia="zh-CN" w:bidi="ar"/>
              </w:rPr>
              <w:t>岗位</w:t>
            </w:r>
          </w:p>
        </w:tc>
        <w:tc>
          <w:tcPr>
            <w:tcW w:w="12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top"/>
              <w:rPr>
                <w:rFonts w:hint="eastAsia" w:ascii="宋体" w:hAnsi="宋体" w:eastAsia="宋体" w:cs="宋体"/>
                <w:b/>
                <w:bCs/>
                <w:color w:val="000000"/>
                <w:sz w:val="21"/>
                <w:szCs w:val="21"/>
                <w:u w:val="none"/>
                <w:lang w:bidi="ar-SA"/>
              </w:rPr>
            </w:pPr>
            <w:r>
              <w:rPr>
                <w:rFonts w:hint="eastAsia" w:ascii="宋体" w:hAnsi="宋体" w:eastAsia="宋体" w:cs="宋体"/>
                <w:b/>
                <w:bCs/>
                <w:color w:val="000000"/>
                <w:kern w:val="0"/>
                <w:sz w:val="21"/>
                <w:szCs w:val="21"/>
                <w:u w:val="none"/>
                <w:lang w:val="en-US" w:eastAsia="zh-CN" w:bidi="ar"/>
              </w:rPr>
              <w:t>人数编制</w:t>
            </w:r>
          </w:p>
        </w:tc>
        <w:tc>
          <w:tcPr>
            <w:tcW w:w="13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top"/>
              <w:rPr>
                <w:rFonts w:hint="eastAsia" w:ascii="宋体" w:hAnsi="宋体" w:eastAsia="宋体" w:cs="宋体"/>
                <w:b/>
                <w:bCs/>
                <w:color w:val="000000"/>
                <w:sz w:val="21"/>
                <w:szCs w:val="21"/>
                <w:u w:val="none"/>
                <w:lang w:bidi="ar-SA"/>
              </w:rPr>
            </w:pPr>
            <w:r>
              <w:rPr>
                <w:rFonts w:hint="eastAsia" w:ascii="宋体" w:hAnsi="宋体" w:eastAsia="宋体" w:cs="宋体"/>
                <w:b/>
                <w:bCs/>
                <w:color w:val="000000"/>
                <w:kern w:val="0"/>
                <w:sz w:val="21"/>
                <w:szCs w:val="21"/>
                <w:u w:val="none"/>
                <w:lang w:val="en-US" w:eastAsia="zh-CN" w:bidi="ar"/>
              </w:rPr>
              <w:t>单人年度费用（元）</w:t>
            </w:r>
          </w:p>
        </w:tc>
        <w:tc>
          <w:tcPr>
            <w:tcW w:w="11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top"/>
              <w:rPr>
                <w:rFonts w:hint="eastAsia" w:ascii="宋体" w:hAnsi="宋体" w:eastAsia="宋体" w:cs="宋体"/>
                <w:b/>
                <w:bCs/>
                <w:color w:val="000000"/>
                <w:sz w:val="21"/>
                <w:szCs w:val="21"/>
                <w:u w:val="none"/>
                <w:lang w:bidi="ar-SA"/>
              </w:rPr>
            </w:pPr>
            <w:r>
              <w:rPr>
                <w:rFonts w:hint="eastAsia" w:ascii="宋体" w:hAnsi="宋体" w:eastAsia="宋体" w:cs="宋体"/>
                <w:b/>
                <w:bCs/>
                <w:color w:val="000000"/>
                <w:kern w:val="0"/>
                <w:sz w:val="21"/>
                <w:szCs w:val="21"/>
                <w:u w:val="none"/>
                <w:lang w:val="en-US" w:eastAsia="zh-CN" w:bidi="ar"/>
              </w:rPr>
              <w:t>合计费用（元）</w:t>
            </w:r>
          </w:p>
        </w:tc>
        <w:tc>
          <w:tcPr>
            <w:tcW w:w="306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top"/>
              <w:rPr>
                <w:rFonts w:hint="eastAsia" w:ascii="宋体" w:hAnsi="宋体" w:eastAsia="宋体" w:cs="宋体"/>
                <w:b/>
                <w:bCs/>
                <w:color w:val="000000"/>
                <w:sz w:val="21"/>
                <w:szCs w:val="21"/>
                <w:u w:val="none"/>
                <w:lang w:bidi="ar-SA"/>
              </w:rPr>
            </w:pPr>
            <w:r>
              <w:rPr>
                <w:rFonts w:hint="eastAsia" w:ascii="宋体" w:hAnsi="宋体" w:eastAsia="宋体" w:cs="宋体"/>
                <w:b/>
                <w:bCs/>
                <w:color w:val="000000"/>
                <w:kern w:val="0"/>
                <w:sz w:val="21"/>
                <w:szCs w:val="21"/>
                <w:u w:val="none"/>
                <w:lang w:val="en-US" w:eastAsia="zh-CN" w:bidi="ar"/>
              </w:rPr>
              <w:t>备注</w:t>
            </w:r>
          </w:p>
        </w:tc>
      </w:tr>
      <w:tr>
        <w:tblPrEx>
          <w:tblCellMar>
            <w:top w:w="0" w:type="dxa"/>
            <w:left w:w="108" w:type="dxa"/>
            <w:bottom w:w="0" w:type="dxa"/>
            <w:right w:w="108" w:type="dxa"/>
          </w:tblCellMar>
        </w:tblPrEx>
        <w:trPr>
          <w:trHeight w:val="845" w:hRule="atLeast"/>
        </w:trPr>
        <w:tc>
          <w:tcPr>
            <w:tcW w:w="72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auto"/>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1</w:t>
            </w:r>
          </w:p>
        </w:tc>
        <w:tc>
          <w:tcPr>
            <w:tcW w:w="11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auto"/>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项目经理</w:t>
            </w:r>
          </w:p>
        </w:tc>
        <w:tc>
          <w:tcPr>
            <w:tcW w:w="12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auto"/>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1</w:t>
            </w:r>
          </w:p>
        </w:tc>
        <w:tc>
          <w:tcPr>
            <w:tcW w:w="13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auto"/>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220000</w:t>
            </w:r>
          </w:p>
        </w:tc>
        <w:tc>
          <w:tcPr>
            <w:tcW w:w="11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auto"/>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220000</w:t>
            </w:r>
          </w:p>
        </w:tc>
        <w:tc>
          <w:tcPr>
            <w:tcW w:w="306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auto"/>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45周岁以下，大专及以上学历，持有物业经理上岗证。</w:t>
            </w:r>
          </w:p>
        </w:tc>
      </w:tr>
      <w:tr>
        <w:tblPrEx>
          <w:tblCellMar>
            <w:top w:w="0" w:type="dxa"/>
            <w:left w:w="108" w:type="dxa"/>
            <w:bottom w:w="0" w:type="dxa"/>
            <w:right w:w="108" w:type="dxa"/>
          </w:tblCellMar>
        </w:tblPrEx>
        <w:trPr>
          <w:trHeight w:val="1226" w:hRule="atLeast"/>
        </w:trPr>
        <w:tc>
          <w:tcPr>
            <w:tcW w:w="72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auto"/>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2</w:t>
            </w:r>
          </w:p>
        </w:tc>
        <w:tc>
          <w:tcPr>
            <w:tcW w:w="11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auto"/>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安全员</w:t>
            </w:r>
          </w:p>
        </w:tc>
        <w:tc>
          <w:tcPr>
            <w:tcW w:w="12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auto"/>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1</w:t>
            </w:r>
          </w:p>
        </w:tc>
        <w:tc>
          <w:tcPr>
            <w:tcW w:w="13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auto"/>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85000</w:t>
            </w:r>
          </w:p>
        </w:tc>
        <w:tc>
          <w:tcPr>
            <w:tcW w:w="11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auto"/>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85000</w:t>
            </w:r>
          </w:p>
        </w:tc>
        <w:tc>
          <w:tcPr>
            <w:tcW w:w="306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auto"/>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45周岁以下，有相关工作经验，需持有安全员证，负责园区安全生产、隐患排查、应急处理。</w:t>
            </w:r>
          </w:p>
        </w:tc>
      </w:tr>
      <w:tr>
        <w:tblPrEx>
          <w:tblCellMar>
            <w:top w:w="0" w:type="dxa"/>
            <w:left w:w="108" w:type="dxa"/>
            <w:bottom w:w="0" w:type="dxa"/>
            <w:right w:w="108" w:type="dxa"/>
          </w:tblCellMar>
        </w:tblPrEx>
        <w:trPr>
          <w:trHeight w:val="800" w:hRule="atLeast"/>
        </w:trPr>
        <w:tc>
          <w:tcPr>
            <w:tcW w:w="72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auto"/>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3</w:t>
            </w:r>
          </w:p>
        </w:tc>
        <w:tc>
          <w:tcPr>
            <w:tcW w:w="11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auto"/>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客服人员</w:t>
            </w:r>
          </w:p>
        </w:tc>
        <w:tc>
          <w:tcPr>
            <w:tcW w:w="12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auto"/>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2</w:t>
            </w:r>
          </w:p>
        </w:tc>
        <w:tc>
          <w:tcPr>
            <w:tcW w:w="13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auto"/>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85000</w:t>
            </w:r>
          </w:p>
        </w:tc>
        <w:tc>
          <w:tcPr>
            <w:tcW w:w="11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auto"/>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170000</w:t>
            </w:r>
          </w:p>
        </w:tc>
        <w:tc>
          <w:tcPr>
            <w:tcW w:w="306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auto"/>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40周岁以下，全日制大专以上学历，负责资料档案管理和水、电、物业费催缴等工作。</w:t>
            </w:r>
          </w:p>
        </w:tc>
      </w:tr>
      <w:tr>
        <w:tblPrEx>
          <w:tblCellMar>
            <w:top w:w="0" w:type="dxa"/>
            <w:left w:w="108" w:type="dxa"/>
            <w:bottom w:w="0" w:type="dxa"/>
            <w:right w:w="108" w:type="dxa"/>
          </w:tblCellMar>
        </w:tblPrEx>
        <w:trPr>
          <w:trHeight w:val="830" w:hRule="atLeast"/>
        </w:trPr>
        <w:tc>
          <w:tcPr>
            <w:tcW w:w="72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auto"/>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4</w:t>
            </w:r>
          </w:p>
        </w:tc>
        <w:tc>
          <w:tcPr>
            <w:tcW w:w="11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auto"/>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工程人员</w:t>
            </w:r>
          </w:p>
        </w:tc>
        <w:tc>
          <w:tcPr>
            <w:tcW w:w="12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auto"/>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2</w:t>
            </w:r>
          </w:p>
        </w:tc>
        <w:tc>
          <w:tcPr>
            <w:tcW w:w="13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auto"/>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80000</w:t>
            </w:r>
          </w:p>
        </w:tc>
        <w:tc>
          <w:tcPr>
            <w:tcW w:w="11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auto"/>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160000</w:t>
            </w:r>
          </w:p>
        </w:tc>
        <w:tc>
          <w:tcPr>
            <w:tcW w:w="306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auto"/>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45周岁以下，有相关工作经验，持有电工证，负责园区水、电及工程维修等日常工作。</w:t>
            </w:r>
          </w:p>
        </w:tc>
      </w:tr>
      <w:tr>
        <w:tblPrEx>
          <w:tblCellMar>
            <w:top w:w="0" w:type="dxa"/>
            <w:left w:w="108" w:type="dxa"/>
            <w:bottom w:w="0" w:type="dxa"/>
            <w:right w:w="108" w:type="dxa"/>
          </w:tblCellMar>
        </w:tblPrEx>
        <w:trPr>
          <w:trHeight w:val="759" w:hRule="atLeast"/>
        </w:trPr>
        <w:tc>
          <w:tcPr>
            <w:tcW w:w="72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auto"/>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5</w:t>
            </w:r>
          </w:p>
        </w:tc>
        <w:tc>
          <w:tcPr>
            <w:tcW w:w="11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auto"/>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保安队长</w:t>
            </w:r>
          </w:p>
        </w:tc>
        <w:tc>
          <w:tcPr>
            <w:tcW w:w="12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auto"/>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1</w:t>
            </w:r>
          </w:p>
        </w:tc>
        <w:tc>
          <w:tcPr>
            <w:tcW w:w="13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auto"/>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100000</w:t>
            </w:r>
          </w:p>
        </w:tc>
        <w:tc>
          <w:tcPr>
            <w:tcW w:w="11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auto"/>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100000</w:t>
            </w:r>
          </w:p>
        </w:tc>
        <w:tc>
          <w:tcPr>
            <w:tcW w:w="306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auto"/>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45周岁以下，需持有保安员证。</w:t>
            </w:r>
          </w:p>
        </w:tc>
      </w:tr>
      <w:tr>
        <w:tblPrEx>
          <w:tblCellMar>
            <w:top w:w="0" w:type="dxa"/>
            <w:left w:w="108" w:type="dxa"/>
            <w:bottom w:w="0" w:type="dxa"/>
            <w:right w:w="108" w:type="dxa"/>
          </w:tblCellMar>
        </w:tblPrEx>
        <w:trPr>
          <w:trHeight w:val="634" w:hRule="atLeast"/>
        </w:trPr>
        <w:tc>
          <w:tcPr>
            <w:tcW w:w="72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auto"/>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6</w:t>
            </w:r>
          </w:p>
        </w:tc>
        <w:tc>
          <w:tcPr>
            <w:tcW w:w="11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auto"/>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保安班长</w:t>
            </w:r>
          </w:p>
        </w:tc>
        <w:tc>
          <w:tcPr>
            <w:tcW w:w="12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auto"/>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1</w:t>
            </w:r>
          </w:p>
        </w:tc>
        <w:tc>
          <w:tcPr>
            <w:tcW w:w="13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auto"/>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85000</w:t>
            </w:r>
          </w:p>
        </w:tc>
        <w:tc>
          <w:tcPr>
            <w:tcW w:w="11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auto"/>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85000</w:t>
            </w:r>
          </w:p>
        </w:tc>
        <w:tc>
          <w:tcPr>
            <w:tcW w:w="306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auto"/>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45周岁以下，需持有保安员证。</w:t>
            </w:r>
          </w:p>
        </w:tc>
      </w:tr>
      <w:tr>
        <w:tblPrEx>
          <w:tblCellMar>
            <w:top w:w="0" w:type="dxa"/>
            <w:left w:w="108" w:type="dxa"/>
            <w:bottom w:w="0" w:type="dxa"/>
            <w:right w:w="108" w:type="dxa"/>
          </w:tblCellMar>
        </w:tblPrEx>
        <w:trPr>
          <w:trHeight w:val="748" w:hRule="atLeast"/>
        </w:trPr>
        <w:tc>
          <w:tcPr>
            <w:tcW w:w="72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auto"/>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7</w:t>
            </w:r>
          </w:p>
        </w:tc>
        <w:tc>
          <w:tcPr>
            <w:tcW w:w="11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auto"/>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保安员</w:t>
            </w:r>
          </w:p>
        </w:tc>
        <w:tc>
          <w:tcPr>
            <w:tcW w:w="12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auto"/>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6</w:t>
            </w:r>
          </w:p>
        </w:tc>
        <w:tc>
          <w:tcPr>
            <w:tcW w:w="13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auto"/>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80000</w:t>
            </w:r>
          </w:p>
        </w:tc>
        <w:tc>
          <w:tcPr>
            <w:tcW w:w="11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auto"/>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480000</w:t>
            </w:r>
          </w:p>
        </w:tc>
        <w:tc>
          <w:tcPr>
            <w:tcW w:w="306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auto"/>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45周岁以下，所有保安人员需持有保安员证。</w:t>
            </w:r>
          </w:p>
        </w:tc>
      </w:tr>
      <w:tr>
        <w:tblPrEx>
          <w:tblCellMar>
            <w:top w:w="0" w:type="dxa"/>
            <w:left w:w="108" w:type="dxa"/>
            <w:bottom w:w="0" w:type="dxa"/>
            <w:right w:w="108" w:type="dxa"/>
          </w:tblCellMar>
        </w:tblPrEx>
        <w:trPr>
          <w:trHeight w:val="785" w:hRule="atLeast"/>
        </w:trPr>
        <w:tc>
          <w:tcPr>
            <w:tcW w:w="72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auto"/>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8</w:t>
            </w:r>
          </w:p>
        </w:tc>
        <w:tc>
          <w:tcPr>
            <w:tcW w:w="11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auto"/>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消监控员</w:t>
            </w:r>
          </w:p>
        </w:tc>
        <w:tc>
          <w:tcPr>
            <w:tcW w:w="12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auto"/>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3</w:t>
            </w:r>
          </w:p>
        </w:tc>
        <w:tc>
          <w:tcPr>
            <w:tcW w:w="13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auto"/>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80000</w:t>
            </w:r>
          </w:p>
        </w:tc>
        <w:tc>
          <w:tcPr>
            <w:tcW w:w="11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auto"/>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240000</w:t>
            </w:r>
          </w:p>
        </w:tc>
        <w:tc>
          <w:tcPr>
            <w:tcW w:w="306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auto"/>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45周岁以下，须持有消防设施操作员证（具备国考证）。</w:t>
            </w:r>
          </w:p>
        </w:tc>
      </w:tr>
      <w:tr>
        <w:tblPrEx>
          <w:tblCellMar>
            <w:top w:w="0" w:type="dxa"/>
            <w:left w:w="108" w:type="dxa"/>
            <w:bottom w:w="0" w:type="dxa"/>
            <w:right w:w="108" w:type="dxa"/>
          </w:tblCellMar>
        </w:tblPrEx>
        <w:trPr>
          <w:trHeight w:val="658" w:hRule="atLeast"/>
        </w:trPr>
        <w:tc>
          <w:tcPr>
            <w:tcW w:w="72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auto"/>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9</w:t>
            </w:r>
          </w:p>
        </w:tc>
        <w:tc>
          <w:tcPr>
            <w:tcW w:w="11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auto"/>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保洁主管</w:t>
            </w:r>
          </w:p>
        </w:tc>
        <w:tc>
          <w:tcPr>
            <w:tcW w:w="12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auto"/>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1</w:t>
            </w:r>
          </w:p>
        </w:tc>
        <w:tc>
          <w:tcPr>
            <w:tcW w:w="13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auto"/>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80000</w:t>
            </w:r>
          </w:p>
        </w:tc>
        <w:tc>
          <w:tcPr>
            <w:tcW w:w="11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auto"/>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80000</w:t>
            </w:r>
          </w:p>
        </w:tc>
        <w:tc>
          <w:tcPr>
            <w:tcW w:w="306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auto"/>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55周岁以下，负责园区公共区域保洁。</w:t>
            </w:r>
          </w:p>
        </w:tc>
      </w:tr>
      <w:tr>
        <w:tblPrEx>
          <w:tblCellMar>
            <w:top w:w="0" w:type="dxa"/>
            <w:left w:w="108" w:type="dxa"/>
            <w:bottom w:w="0" w:type="dxa"/>
            <w:right w:w="108" w:type="dxa"/>
          </w:tblCellMar>
        </w:tblPrEx>
        <w:trPr>
          <w:trHeight w:val="638" w:hRule="atLeast"/>
        </w:trPr>
        <w:tc>
          <w:tcPr>
            <w:tcW w:w="72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auto"/>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10</w:t>
            </w:r>
          </w:p>
        </w:tc>
        <w:tc>
          <w:tcPr>
            <w:tcW w:w="11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auto"/>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保洁员</w:t>
            </w:r>
          </w:p>
        </w:tc>
        <w:tc>
          <w:tcPr>
            <w:tcW w:w="12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auto"/>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8</w:t>
            </w:r>
          </w:p>
        </w:tc>
        <w:tc>
          <w:tcPr>
            <w:tcW w:w="13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auto"/>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55000</w:t>
            </w:r>
          </w:p>
        </w:tc>
        <w:tc>
          <w:tcPr>
            <w:tcW w:w="11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auto"/>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440000</w:t>
            </w:r>
          </w:p>
        </w:tc>
        <w:tc>
          <w:tcPr>
            <w:tcW w:w="306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auto"/>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55周岁以下，负责园区公共区域保洁。</w:t>
            </w:r>
          </w:p>
        </w:tc>
      </w:tr>
      <w:tr>
        <w:tblPrEx>
          <w:tblCellMar>
            <w:top w:w="0" w:type="dxa"/>
            <w:left w:w="108" w:type="dxa"/>
            <w:bottom w:w="0" w:type="dxa"/>
            <w:right w:w="108" w:type="dxa"/>
          </w:tblCellMar>
        </w:tblPrEx>
        <w:trPr>
          <w:trHeight w:val="845" w:hRule="atLeast"/>
        </w:trPr>
        <w:tc>
          <w:tcPr>
            <w:tcW w:w="72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auto"/>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11</w:t>
            </w:r>
          </w:p>
        </w:tc>
        <w:tc>
          <w:tcPr>
            <w:tcW w:w="11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auto"/>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物资耗材</w:t>
            </w:r>
          </w:p>
        </w:tc>
        <w:tc>
          <w:tcPr>
            <w:tcW w:w="12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auto"/>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w:t>
            </w:r>
          </w:p>
        </w:tc>
        <w:tc>
          <w:tcPr>
            <w:tcW w:w="13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auto"/>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w:t>
            </w:r>
          </w:p>
        </w:tc>
        <w:tc>
          <w:tcPr>
            <w:tcW w:w="11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auto"/>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50000</w:t>
            </w:r>
          </w:p>
        </w:tc>
        <w:tc>
          <w:tcPr>
            <w:tcW w:w="306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auto"/>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单项维修总价500元（含）以下的日常维修和物品采购（办公物品、低值易耗品）。</w:t>
            </w:r>
          </w:p>
        </w:tc>
      </w:tr>
      <w:tr>
        <w:tblPrEx>
          <w:tblCellMar>
            <w:top w:w="0" w:type="dxa"/>
            <w:left w:w="108" w:type="dxa"/>
            <w:bottom w:w="0" w:type="dxa"/>
            <w:right w:w="108" w:type="dxa"/>
          </w:tblCellMar>
        </w:tblPrEx>
        <w:trPr>
          <w:trHeight w:val="1000" w:hRule="atLeast"/>
        </w:trPr>
        <w:tc>
          <w:tcPr>
            <w:tcW w:w="72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auto"/>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12</w:t>
            </w:r>
          </w:p>
        </w:tc>
        <w:tc>
          <w:tcPr>
            <w:tcW w:w="11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auto"/>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日常维护养护</w:t>
            </w:r>
          </w:p>
        </w:tc>
        <w:tc>
          <w:tcPr>
            <w:tcW w:w="12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auto"/>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w:t>
            </w:r>
          </w:p>
        </w:tc>
        <w:tc>
          <w:tcPr>
            <w:tcW w:w="13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auto"/>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w:t>
            </w:r>
          </w:p>
        </w:tc>
        <w:tc>
          <w:tcPr>
            <w:tcW w:w="11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auto"/>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300000</w:t>
            </w:r>
          </w:p>
        </w:tc>
        <w:tc>
          <w:tcPr>
            <w:tcW w:w="306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auto"/>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生活水箱清洗检测，绿化养护，管道和化粪池清掏及四害消杀、消防维保、外墙清洗等。</w:t>
            </w:r>
          </w:p>
        </w:tc>
      </w:tr>
      <w:tr>
        <w:tblPrEx>
          <w:tblCellMar>
            <w:top w:w="0" w:type="dxa"/>
            <w:left w:w="108" w:type="dxa"/>
            <w:bottom w:w="0" w:type="dxa"/>
            <w:right w:w="108" w:type="dxa"/>
          </w:tblCellMar>
        </w:tblPrEx>
        <w:trPr>
          <w:trHeight w:val="733" w:hRule="atLeast"/>
        </w:trPr>
        <w:tc>
          <w:tcPr>
            <w:tcW w:w="72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auto"/>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13</w:t>
            </w:r>
          </w:p>
        </w:tc>
        <w:tc>
          <w:tcPr>
            <w:tcW w:w="11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auto"/>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垃圾清运</w:t>
            </w:r>
          </w:p>
        </w:tc>
        <w:tc>
          <w:tcPr>
            <w:tcW w:w="12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auto"/>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w:t>
            </w:r>
          </w:p>
        </w:tc>
        <w:tc>
          <w:tcPr>
            <w:tcW w:w="13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auto"/>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w:t>
            </w:r>
          </w:p>
        </w:tc>
        <w:tc>
          <w:tcPr>
            <w:tcW w:w="11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auto"/>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24000</w:t>
            </w:r>
          </w:p>
        </w:tc>
        <w:tc>
          <w:tcPr>
            <w:tcW w:w="306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auto"/>
              <w:rPr>
                <w:rFonts w:hint="eastAsia" w:ascii="宋体" w:hAnsi="宋体" w:eastAsia="宋体" w:cs="宋体"/>
                <w:kern w:val="0"/>
                <w:sz w:val="21"/>
                <w:szCs w:val="21"/>
                <w:lang w:val="en-US" w:eastAsia="zh-CN" w:bidi="ar-SA"/>
              </w:rPr>
            </w:pPr>
          </w:p>
        </w:tc>
      </w:tr>
      <w:tr>
        <w:tblPrEx>
          <w:tblCellMar>
            <w:top w:w="0" w:type="dxa"/>
            <w:left w:w="108" w:type="dxa"/>
            <w:bottom w:w="0" w:type="dxa"/>
            <w:right w:w="108" w:type="dxa"/>
          </w:tblCellMar>
        </w:tblPrEx>
        <w:trPr>
          <w:trHeight w:val="573" w:hRule="atLeast"/>
        </w:trPr>
        <w:tc>
          <w:tcPr>
            <w:tcW w:w="72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auto"/>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14</w:t>
            </w:r>
          </w:p>
        </w:tc>
        <w:tc>
          <w:tcPr>
            <w:tcW w:w="11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auto"/>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总额</w:t>
            </w:r>
          </w:p>
        </w:tc>
        <w:tc>
          <w:tcPr>
            <w:tcW w:w="12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auto"/>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26</w:t>
            </w:r>
          </w:p>
        </w:tc>
        <w:tc>
          <w:tcPr>
            <w:tcW w:w="13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auto"/>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w:t>
            </w:r>
          </w:p>
        </w:tc>
        <w:tc>
          <w:tcPr>
            <w:tcW w:w="11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auto"/>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2434000</w:t>
            </w:r>
          </w:p>
        </w:tc>
        <w:tc>
          <w:tcPr>
            <w:tcW w:w="306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auto"/>
              <w:rPr>
                <w:rFonts w:hint="eastAsia" w:ascii="宋体" w:hAnsi="宋体" w:eastAsia="宋体" w:cs="宋体"/>
                <w:kern w:val="0"/>
                <w:sz w:val="21"/>
                <w:szCs w:val="21"/>
                <w:lang w:val="en-US" w:eastAsia="zh-CN" w:bidi="ar-SA"/>
              </w:rPr>
            </w:pPr>
          </w:p>
        </w:tc>
      </w:tr>
    </w:tbl>
    <w:p>
      <w:pPr>
        <w:pStyle w:val="53"/>
        <w:ind w:left="0" w:leftChars="0" w:firstLine="0" w:firstLineChars="0"/>
        <w:jc w:val="left"/>
        <w:rPr>
          <w:rFonts w:hint="eastAsia" w:ascii="宋体" w:hAnsi="宋体" w:eastAsia="宋体" w:cs="宋体"/>
          <w:b/>
          <w:bCs/>
          <w:sz w:val="21"/>
          <w:szCs w:val="21"/>
          <w:lang w:val="en-US" w:eastAsia="zh-CN"/>
        </w:rPr>
      </w:pPr>
      <w:r>
        <w:rPr>
          <w:rFonts w:hint="eastAsia" w:ascii="宋体" w:hAnsi="宋体" w:eastAsia="宋体" w:cs="宋体"/>
          <w:b/>
          <w:bCs/>
          <w:sz w:val="21"/>
          <w:szCs w:val="21"/>
          <w:lang w:val="en-US" w:eastAsia="zh-CN"/>
        </w:rPr>
        <w:t>出租率大于70%</w:t>
      </w:r>
    </w:p>
    <w:tbl>
      <w:tblPr>
        <w:tblStyle w:val="33"/>
        <w:tblpPr w:leftFromText="180" w:rightFromText="180" w:vertAnchor="text" w:horzAnchor="page" w:tblpX="1813" w:tblpY="281"/>
        <w:tblOverlap w:val="never"/>
        <w:tblW w:w="8514" w:type="dxa"/>
        <w:tblInd w:w="0" w:type="dxa"/>
        <w:tblLayout w:type="fixed"/>
        <w:tblCellMar>
          <w:top w:w="0" w:type="dxa"/>
          <w:left w:w="108" w:type="dxa"/>
          <w:bottom w:w="0" w:type="dxa"/>
          <w:right w:w="108" w:type="dxa"/>
        </w:tblCellMar>
      </w:tblPr>
      <w:tblGrid>
        <w:gridCol w:w="810"/>
        <w:gridCol w:w="1275"/>
        <w:gridCol w:w="870"/>
        <w:gridCol w:w="1215"/>
        <w:gridCol w:w="1222"/>
        <w:gridCol w:w="3122"/>
      </w:tblGrid>
      <w:tr>
        <w:tblPrEx>
          <w:tblCellMar>
            <w:top w:w="0" w:type="dxa"/>
            <w:left w:w="108" w:type="dxa"/>
            <w:bottom w:w="0" w:type="dxa"/>
            <w:right w:w="108" w:type="dxa"/>
          </w:tblCellMar>
        </w:tblPrEx>
        <w:trPr>
          <w:trHeight w:val="793" w:hRule="atLeast"/>
        </w:trPr>
        <w:tc>
          <w:tcPr>
            <w:tcW w:w="8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top"/>
              <w:rPr>
                <w:rFonts w:hint="eastAsia" w:ascii="宋体" w:hAnsi="宋体" w:eastAsia="宋体" w:cs="宋体"/>
                <w:b/>
                <w:bCs/>
                <w:color w:val="000000"/>
                <w:sz w:val="21"/>
                <w:szCs w:val="21"/>
                <w:u w:val="none"/>
                <w:lang w:bidi="ar-SA"/>
              </w:rPr>
            </w:pPr>
            <w:r>
              <w:rPr>
                <w:rFonts w:hint="eastAsia" w:ascii="宋体" w:hAnsi="宋体" w:eastAsia="宋体" w:cs="宋体"/>
                <w:b/>
                <w:bCs/>
                <w:color w:val="000000"/>
                <w:kern w:val="0"/>
                <w:sz w:val="21"/>
                <w:szCs w:val="21"/>
                <w:u w:val="none"/>
                <w:lang w:val="en-US" w:eastAsia="zh-CN" w:bidi="ar"/>
              </w:rPr>
              <w:t>序号</w:t>
            </w:r>
          </w:p>
        </w:tc>
        <w:tc>
          <w:tcPr>
            <w:tcW w:w="12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top"/>
              <w:rPr>
                <w:rFonts w:hint="eastAsia" w:ascii="宋体" w:hAnsi="宋体" w:eastAsia="宋体" w:cs="宋体"/>
                <w:b/>
                <w:bCs/>
                <w:color w:val="000000"/>
                <w:sz w:val="21"/>
                <w:szCs w:val="21"/>
                <w:u w:val="none"/>
                <w:lang w:bidi="ar-SA"/>
              </w:rPr>
            </w:pPr>
            <w:r>
              <w:rPr>
                <w:rFonts w:hint="eastAsia" w:ascii="宋体" w:hAnsi="宋体" w:eastAsia="宋体" w:cs="宋体"/>
                <w:b/>
                <w:bCs/>
                <w:color w:val="000000"/>
                <w:kern w:val="0"/>
                <w:sz w:val="21"/>
                <w:szCs w:val="21"/>
                <w:u w:val="none"/>
                <w:lang w:val="en-US" w:eastAsia="zh-CN" w:bidi="ar"/>
              </w:rPr>
              <w:t>岗位</w:t>
            </w:r>
          </w:p>
        </w:tc>
        <w:tc>
          <w:tcPr>
            <w:tcW w:w="8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top"/>
              <w:rPr>
                <w:rFonts w:hint="eastAsia" w:ascii="宋体" w:hAnsi="宋体" w:eastAsia="宋体" w:cs="宋体"/>
                <w:b/>
                <w:bCs/>
                <w:color w:val="000000"/>
                <w:sz w:val="21"/>
                <w:szCs w:val="21"/>
                <w:u w:val="none"/>
                <w:lang w:bidi="ar-SA"/>
              </w:rPr>
            </w:pPr>
            <w:r>
              <w:rPr>
                <w:rFonts w:hint="eastAsia" w:ascii="宋体" w:hAnsi="宋体" w:eastAsia="宋体" w:cs="宋体"/>
                <w:b/>
                <w:bCs/>
                <w:color w:val="000000"/>
                <w:kern w:val="0"/>
                <w:sz w:val="21"/>
                <w:szCs w:val="21"/>
                <w:u w:val="none"/>
                <w:lang w:val="en-US" w:eastAsia="zh-CN" w:bidi="ar"/>
              </w:rPr>
              <w:t>人数编制</w:t>
            </w:r>
          </w:p>
        </w:tc>
        <w:tc>
          <w:tcPr>
            <w:tcW w:w="12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top"/>
              <w:rPr>
                <w:rFonts w:hint="eastAsia" w:ascii="宋体" w:hAnsi="宋体" w:eastAsia="宋体" w:cs="宋体"/>
                <w:b/>
                <w:bCs/>
                <w:color w:val="000000"/>
                <w:sz w:val="21"/>
                <w:szCs w:val="21"/>
                <w:u w:val="none"/>
                <w:lang w:bidi="ar-SA"/>
              </w:rPr>
            </w:pPr>
            <w:r>
              <w:rPr>
                <w:rFonts w:hint="eastAsia" w:ascii="宋体" w:hAnsi="宋体" w:eastAsia="宋体" w:cs="宋体"/>
                <w:b/>
                <w:bCs/>
                <w:color w:val="000000"/>
                <w:kern w:val="0"/>
                <w:sz w:val="21"/>
                <w:szCs w:val="21"/>
                <w:u w:val="none"/>
                <w:lang w:val="en-US" w:eastAsia="zh-CN" w:bidi="ar"/>
              </w:rPr>
              <w:t>单人年度费用（元）</w:t>
            </w:r>
          </w:p>
        </w:tc>
        <w:tc>
          <w:tcPr>
            <w:tcW w:w="12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top"/>
              <w:rPr>
                <w:rFonts w:hint="eastAsia" w:ascii="宋体" w:hAnsi="宋体" w:eastAsia="宋体" w:cs="宋体"/>
                <w:b/>
                <w:bCs/>
                <w:color w:val="000000"/>
                <w:sz w:val="21"/>
                <w:szCs w:val="21"/>
                <w:u w:val="none"/>
                <w:lang w:bidi="ar-SA"/>
              </w:rPr>
            </w:pPr>
            <w:r>
              <w:rPr>
                <w:rFonts w:hint="eastAsia" w:ascii="宋体" w:hAnsi="宋体" w:eastAsia="宋体" w:cs="宋体"/>
                <w:b/>
                <w:bCs/>
                <w:color w:val="000000"/>
                <w:kern w:val="0"/>
                <w:sz w:val="21"/>
                <w:szCs w:val="21"/>
                <w:u w:val="none"/>
                <w:lang w:val="en-US" w:eastAsia="zh-CN" w:bidi="ar"/>
              </w:rPr>
              <w:t>合计费用（元）</w:t>
            </w:r>
          </w:p>
        </w:tc>
        <w:tc>
          <w:tcPr>
            <w:tcW w:w="31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top"/>
              <w:rPr>
                <w:rFonts w:hint="eastAsia" w:ascii="宋体" w:hAnsi="宋体" w:eastAsia="宋体" w:cs="宋体"/>
                <w:b/>
                <w:bCs/>
                <w:color w:val="000000"/>
                <w:sz w:val="21"/>
                <w:szCs w:val="21"/>
                <w:u w:val="none"/>
                <w:lang w:bidi="ar-SA"/>
              </w:rPr>
            </w:pPr>
            <w:r>
              <w:rPr>
                <w:rFonts w:hint="eastAsia" w:ascii="宋体" w:hAnsi="宋体" w:eastAsia="宋体" w:cs="宋体"/>
                <w:b/>
                <w:bCs/>
                <w:color w:val="000000"/>
                <w:kern w:val="0"/>
                <w:sz w:val="21"/>
                <w:szCs w:val="21"/>
                <w:u w:val="none"/>
                <w:lang w:val="en-US" w:eastAsia="zh-CN" w:bidi="ar"/>
              </w:rPr>
              <w:t>备注</w:t>
            </w:r>
          </w:p>
        </w:tc>
      </w:tr>
      <w:tr>
        <w:tblPrEx>
          <w:tblCellMar>
            <w:top w:w="0" w:type="dxa"/>
            <w:left w:w="108" w:type="dxa"/>
            <w:bottom w:w="0" w:type="dxa"/>
            <w:right w:w="108" w:type="dxa"/>
          </w:tblCellMar>
        </w:tblPrEx>
        <w:trPr>
          <w:trHeight w:val="1155" w:hRule="atLeast"/>
        </w:trPr>
        <w:tc>
          <w:tcPr>
            <w:tcW w:w="8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auto"/>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1</w:t>
            </w:r>
          </w:p>
        </w:tc>
        <w:tc>
          <w:tcPr>
            <w:tcW w:w="12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auto"/>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项目经理</w:t>
            </w:r>
          </w:p>
        </w:tc>
        <w:tc>
          <w:tcPr>
            <w:tcW w:w="8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auto"/>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1</w:t>
            </w:r>
          </w:p>
        </w:tc>
        <w:tc>
          <w:tcPr>
            <w:tcW w:w="12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auto"/>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220000</w:t>
            </w:r>
          </w:p>
        </w:tc>
        <w:tc>
          <w:tcPr>
            <w:tcW w:w="12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auto"/>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220000</w:t>
            </w:r>
          </w:p>
        </w:tc>
        <w:tc>
          <w:tcPr>
            <w:tcW w:w="31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auto"/>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45周岁以下，大专及以上学历，持有物业经理上岗证。</w:t>
            </w:r>
          </w:p>
        </w:tc>
      </w:tr>
      <w:tr>
        <w:tblPrEx>
          <w:tblCellMar>
            <w:top w:w="0" w:type="dxa"/>
            <w:left w:w="108" w:type="dxa"/>
            <w:bottom w:w="0" w:type="dxa"/>
            <w:right w:w="108" w:type="dxa"/>
          </w:tblCellMar>
        </w:tblPrEx>
        <w:trPr>
          <w:trHeight w:val="1040" w:hRule="atLeast"/>
        </w:trPr>
        <w:tc>
          <w:tcPr>
            <w:tcW w:w="8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auto"/>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2</w:t>
            </w:r>
          </w:p>
        </w:tc>
        <w:tc>
          <w:tcPr>
            <w:tcW w:w="12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auto"/>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安全员</w:t>
            </w:r>
          </w:p>
        </w:tc>
        <w:tc>
          <w:tcPr>
            <w:tcW w:w="8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auto"/>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1</w:t>
            </w:r>
          </w:p>
        </w:tc>
        <w:tc>
          <w:tcPr>
            <w:tcW w:w="12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auto"/>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85000</w:t>
            </w:r>
          </w:p>
        </w:tc>
        <w:tc>
          <w:tcPr>
            <w:tcW w:w="12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auto"/>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85000</w:t>
            </w:r>
          </w:p>
        </w:tc>
        <w:tc>
          <w:tcPr>
            <w:tcW w:w="31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auto"/>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45周岁以下，有相关工作经验，需持有安全员证，负责园区安全生产、隐患排查、应急处理。</w:t>
            </w:r>
          </w:p>
        </w:tc>
      </w:tr>
      <w:tr>
        <w:tblPrEx>
          <w:tblCellMar>
            <w:top w:w="0" w:type="dxa"/>
            <w:left w:w="108" w:type="dxa"/>
            <w:bottom w:w="0" w:type="dxa"/>
            <w:right w:w="108" w:type="dxa"/>
          </w:tblCellMar>
        </w:tblPrEx>
        <w:trPr>
          <w:trHeight w:val="1037" w:hRule="atLeast"/>
        </w:trPr>
        <w:tc>
          <w:tcPr>
            <w:tcW w:w="8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auto"/>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3</w:t>
            </w:r>
          </w:p>
        </w:tc>
        <w:tc>
          <w:tcPr>
            <w:tcW w:w="12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auto"/>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客服人员</w:t>
            </w:r>
          </w:p>
        </w:tc>
        <w:tc>
          <w:tcPr>
            <w:tcW w:w="8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auto"/>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2</w:t>
            </w:r>
          </w:p>
        </w:tc>
        <w:tc>
          <w:tcPr>
            <w:tcW w:w="12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auto"/>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85000</w:t>
            </w:r>
          </w:p>
        </w:tc>
        <w:tc>
          <w:tcPr>
            <w:tcW w:w="12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auto"/>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170000</w:t>
            </w:r>
          </w:p>
        </w:tc>
        <w:tc>
          <w:tcPr>
            <w:tcW w:w="31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auto"/>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40周岁以下，全日制大专以上学历，负责资料档案管理和水、电、物业费催缴等工作。</w:t>
            </w:r>
          </w:p>
        </w:tc>
      </w:tr>
      <w:tr>
        <w:tblPrEx>
          <w:tblCellMar>
            <w:top w:w="0" w:type="dxa"/>
            <w:left w:w="108" w:type="dxa"/>
            <w:bottom w:w="0" w:type="dxa"/>
            <w:right w:w="108" w:type="dxa"/>
          </w:tblCellMar>
        </w:tblPrEx>
        <w:trPr>
          <w:trHeight w:val="847" w:hRule="atLeast"/>
        </w:trPr>
        <w:tc>
          <w:tcPr>
            <w:tcW w:w="8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auto"/>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4</w:t>
            </w:r>
          </w:p>
        </w:tc>
        <w:tc>
          <w:tcPr>
            <w:tcW w:w="12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auto"/>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工程人员</w:t>
            </w:r>
          </w:p>
        </w:tc>
        <w:tc>
          <w:tcPr>
            <w:tcW w:w="8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auto"/>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2</w:t>
            </w:r>
          </w:p>
        </w:tc>
        <w:tc>
          <w:tcPr>
            <w:tcW w:w="12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auto"/>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80000</w:t>
            </w:r>
          </w:p>
        </w:tc>
        <w:tc>
          <w:tcPr>
            <w:tcW w:w="12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auto"/>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160000</w:t>
            </w:r>
          </w:p>
        </w:tc>
        <w:tc>
          <w:tcPr>
            <w:tcW w:w="31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auto"/>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45周岁以下，有相关工作经验，持有电工证，负责园区水、电及工程维修等日常工作。</w:t>
            </w:r>
          </w:p>
        </w:tc>
      </w:tr>
      <w:tr>
        <w:tblPrEx>
          <w:tblCellMar>
            <w:top w:w="0" w:type="dxa"/>
            <w:left w:w="108" w:type="dxa"/>
            <w:bottom w:w="0" w:type="dxa"/>
            <w:right w:w="108" w:type="dxa"/>
          </w:tblCellMar>
        </w:tblPrEx>
        <w:trPr>
          <w:trHeight w:val="757" w:hRule="atLeast"/>
        </w:trPr>
        <w:tc>
          <w:tcPr>
            <w:tcW w:w="8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auto"/>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5</w:t>
            </w:r>
          </w:p>
        </w:tc>
        <w:tc>
          <w:tcPr>
            <w:tcW w:w="12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auto"/>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保安队长</w:t>
            </w:r>
          </w:p>
        </w:tc>
        <w:tc>
          <w:tcPr>
            <w:tcW w:w="8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auto"/>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1</w:t>
            </w:r>
          </w:p>
        </w:tc>
        <w:tc>
          <w:tcPr>
            <w:tcW w:w="12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auto"/>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100000</w:t>
            </w:r>
          </w:p>
        </w:tc>
        <w:tc>
          <w:tcPr>
            <w:tcW w:w="12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auto"/>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100000</w:t>
            </w:r>
          </w:p>
        </w:tc>
        <w:tc>
          <w:tcPr>
            <w:tcW w:w="31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auto"/>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45周岁以下，需持有保安员证。</w:t>
            </w:r>
          </w:p>
        </w:tc>
      </w:tr>
      <w:tr>
        <w:tblPrEx>
          <w:tblCellMar>
            <w:top w:w="0" w:type="dxa"/>
            <w:left w:w="108" w:type="dxa"/>
            <w:bottom w:w="0" w:type="dxa"/>
            <w:right w:w="108" w:type="dxa"/>
          </w:tblCellMar>
        </w:tblPrEx>
        <w:trPr>
          <w:trHeight w:val="763" w:hRule="atLeast"/>
        </w:trPr>
        <w:tc>
          <w:tcPr>
            <w:tcW w:w="8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auto"/>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6</w:t>
            </w:r>
          </w:p>
        </w:tc>
        <w:tc>
          <w:tcPr>
            <w:tcW w:w="12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auto"/>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保安班长</w:t>
            </w:r>
          </w:p>
        </w:tc>
        <w:tc>
          <w:tcPr>
            <w:tcW w:w="8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auto"/>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1</w:t>
            </w:r>
          </w:p>
        </w:tc>
        <w:tc>
          <w:tcPr>
            <w:tcW w:w="12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auto"/>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85000</w:t>
            </w:r>
          </w:p>
        </w:tc>
        <w:tc>
          <w:tcPr>
            <w:tcW w:w="12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auto"/>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85000</w:t>
            </w:r>
          </w:p>
        </w:tc>
        <w:tc>
          <w:tcPr>
            <w:tcW w:w="31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auto"/>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45周岁以下，需持有保安员证。</w:t>
            </w:r>
          </w:p>
        </w:tc>
      </w:tr>
      <w:tr>
        <w:tblPrEx>
          <w:tblCellMar>
            <w:top w:w="0" w:type="dxa"/>
            <w:left w:w="108" w:type="dxa"/>
            <w:bottom w:w="0" w:type="dxa"/>
            <w:right w:w="108" w:type="dxa"/>
          </w:tblCellMar>
        </w:tblPrEx>
        <w:trPr>
          <w:trHeight w:val="704" w:hRule="atLeast"/>
        </w:trPr>
        <w:tc>
          <w:tcPr>
            <w:tcW w:w="8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auto"/>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7</w:t>
            </w:r>
          </w:p>
        </w:tc>
        <w:tc>
          <w:tcPr>
            <w:tcW w:w="12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auto"/>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保安员</w:t>
            </w:r>
          </w:p>
        </w:tc>
        <w:tc>
          <w:tcPr>
            <w:tcW w:w="8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auto"/>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8</w:t>
            </w:r>
          </w:p>
        </w:tc>
        <w:tc>
          <w:tcPr>
            <w:tcW w:w="12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auto"/>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80000</w:t>
            </w:r>
          </w:p>
        </w:tc>
        <w:tc>
          <w:tcPr>
            <w:tcW w:w="12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auto"/>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640000</w:t>
            </w:r>
          </w:p>
        </w:tc>
        <w:tc>
          <w:tcPr>
            <w:tcW w:w="31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auto"/>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45周岁以下，所有保安人员需持有保安员证。</w:t>
            </w:r>
          </w:p>
        </w:tc>
      </w:tr>
      <w:tr>
        <w:tblPrEx>
          <w:tblCellMar>
            <w:top w:w="0" w:type="dxa"/>
            <w:left w:w="108" w:type="dxa"/>
            <w:bottom w:w="0" w:type="dxa"/>
            <w:right w:w="108" w:type="dxa"/>
          </w:tblCellMar>
        </w:tblPrEx>
        <w:trPr>
          <w:trHeight w:val="770" w:hRule="atLeast"/>
        </w:trPr>
        <w:tc>
          <w:tcPr>
            <w:tcW w:w="8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auto"/>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8</w:t>
            </w:r>
          </w:p>
        </w:tc>
        <w:tc>
          <w:tcPr>
            <w:tcW w:w="12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auto"/>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消监控员</w:t>
            </w:r>
          </w:p>
        </w:tc>
        <w:tc>
          <w:tcPr>
            <w:tcW w:w="8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auto"/>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3</w:t>
            </w:r>
          </w:p>
        </w:tc>
        <w:tc>
          <w:tcPr>
            <w:tcW w:w="12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auto"/>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80000</w:t>
            </w:r>
          </w:p>
        </w:tc>
        <w:tc>
          <w:tcPr>
            <w:tcW w:w="12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auto"/>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240000</w:t>
            </w:r>
          </w:p>
        </w:tc>
        <w:tc>
          <w:tcPr>
            <w:tcW w:w="31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auto"/>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45周岁以下，须持有消防设施操作员证（具备国考证）。</w:t>
            </w:r>
          </w:p>
        </w:tc>
      </w:tr>
      <w:tr>
        <w:tblPrEx>
          <w:tblCellMar>
            <w:top w:w="0" w:type="dxa"/>
            <w:left w:w="108" w:type="dxa"/>
            <w:bottom w:w="0" w:type="dxa"/>
            <w:right w:w="108" w:type="dxa"/>
          </w:tblCellMar>
        </w:tblPrEx>
        <w:trPr>
          <w:trHeight w:val="744" w:hRule="atLeast"/>
        </w:trPr>
        <w:tc>
          <w:tcPr>
            <w:tcW w:w="8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auto"/>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9</w:t>
            </w:r>
          </w:p>
        </w:tc>
        <w:tc>
          <w:tcPr>
            <w:tcW w:w="12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auto"/>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保洁主管</w:t>
            </w:r>
          </w:p>
        </w:tc>
        <w:tc>
          <w:tcPr>
            <w:tcW w:w="8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auto"/>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1</w:t>
            </w:r>
          </w:p>
        </w:tc>
        <w:tc>
          <w:tcPr>
            <w:tcW w:w="12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auto"/>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80000</w:t>
            </w:r>
          </w:p>
        </w:tc>
        <w:tc>
          <w:tcPr>
            <w:tcW w:w="12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auto"/>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80000</w:t>
            </w:r>
          </w:p>
        </w:tc>
        <w:tc>
          <w:tcPr>
            <w:tcW w:w="31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auto"/>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55周岁以下，负责园区公共区域保洁。</w:t>
            </w:r>
          </w:p>
        </w:tc>
      </w:tr>
      <w:tr>
        <w:tblPrEx>
          <w:tblCellMar>
            <w:top w:w="0" w:type="dxa"/>
            <w:left w:w="108" w:type="dxa"/>
            <w:bottom w:w="0" w:type="dxa"/>
            <w:right w:w="108" w:type="dxa"/>
          </w:tblCellMar>
        </w:tblPrEx>
        <w:trPr>
          <w:trHeight w:val="728" w:hRule="atLeast"/>
        </w:trPr>
        <w:tc>
          <w:tcPr>
            <w:tcW w:w="8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auto"/>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10</w:t>
            </w:r>
          </w:p>
        </w:tc>
        <w:tc>
          <w:tcPr>
            <w:tcW w:w="12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auto"/>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保洁员</w:t>
            </w:r>
          </w:p>
        </w:tc>
        <w:tc>
          <w:tcPr>
            <w:tcW w:w="8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auto"/>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10</w:t>
            </w:r>
          </w:p>
        </w:tc>
        <w:tc>
          <w:tcPr>
            <w:tcW w:w="12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auto"/>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55000</w:t>
            </w:r>
          </w:p>
        </w:tc>
        <w:tc>
          <w:tcPr>
            <w:tcW w:w="12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auto"/>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550000</w:t>
            </w:r>
          </w:p>
        </w:tc>
        <w:tc>
          <w:tcPr>
            <w:tcW w:w="31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auto"/>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55周岁以下，负责园区公共区域保洁。</w:t>
            </w:r>
          </w:p>
        </w:tc>
      </w:tr>
      <w:tr>
        <w:tblPrEx>
          <w:tblCellMar>
            <w:top w:w="0" w:type="dxa"/>
            <w:left w:w="108" w:type="dxa"/>
            <w:bottom w:w="0" w:type="dxa"/>
            <w:right w:w="108" w:type="dxa"/>
          </w:tblCellMar>
        </w:tblPrEx>
        <w:trPr>
          <w:trHeight w:val="875" w:hRule="atLeast"/>
        </w:trPr>
        <w:tc>
          <w:tcPr>
            <w:tcW w:w="8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auto"/>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11</w:t>
            </w:r>
          </w:p>
        </w:tc>
        <w:tc>
          <w:tcPr>
            <w:tcW w:w="12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auto"/>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物资耗材</w:t>
            </w:r>
          </w:p>
        </w:tc>
        <w:tc>
          <w:tcPr>
            <w:tcW w:w="8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auto"/>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w:t>
            </w:r>
          </w:p>
        </w:tc>
        <w:tc>
          <w:tcPr>
            <w:tcW w:w="12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auto"/>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w:t>
            </w:r>
          </w:p>
        </w:tc>
        <w:tc>
          <w:tcPr>
            <w:tcW w:w="12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auto"/>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70000</w:t>
            </w:r>
          </w:p>
        </w:tc>
        <w:tc>
          <w:tcPr>
            <w:tcW w:w="31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auto"/>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单项维修总价500元（含）以下的日常维修和物品采购（办公物品、低值易耗品）。</w:t>
            </w:r>
          </w:p>
        </w:tc>
      </w:tr>
      <w:tr>
        <w:tblPrEx>
          <w:tblCellMar>
            <w:top w:w="0" w:type="dxa"/>
            <w:left w:w="108" w:type="dxa"/>
            <w:bottom w:w="0" w:type="dxa"/>
            <w:right w:w="108" w:type="dxa"/>
          </w:tblCellMar>
        </w:tblPrEx>
        <w:trPr>
          <w:trHeight w:val="815" w:hRule="atLeast"/>
        </w:trPr>
        <w:tc>
          <w:tcPr>
            <w:tcW w:w="8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auto"/>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12</w:t>
            </w:r>
          </w:p>
        </w:tc>
        <w:tc>
          <w:tcPr>
            <w:tcW w:w="12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auto"/>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日常维护养护</w:t>
            </w:r>
          </w:p>
        </w:tc>
        <w:tc>
          <w:tcPr>
            <w:tcW w:w="8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auto"/>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w:t>
            </w:r>
          </w:p>
        </w:tc>
        <w:tc>
          <w:tcPr>
            <w:tcW w:w="12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auto"/>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w:t>
            </w:r>
          </w:p>
        </w:tc>
        <w:tc>
          <w:tcPr>
            <w:tcW w:w="12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auto"/>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300000</w:t>
            </w:r>
          </w:p>
        </w:tc>
        <w:tc>
          <w:tcPr>
            <w:tcW w:w="31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auto"/>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生活水箱清洗检测，绿化养护，管道和化粪池清掏及四害消杀、消防维保、外墙清洗等。</w:t>
            </w:r>
          </w:p>
        </w:tc>
      </w:tr>
      <w:tr>
        <w:tblPrEx>
          <w:tblCellMar>
            <w:top w:w="0" w:type="dxa"/>
            <w:left w:w="108" w:type="dxa"/>
            <w:bottom w:w="0" w:type="dxa"/>
            <w:right w:w="108" w:type="dxa"/>
          </w:tblCellMar>
        </w:tblPrEx>
        <w:trPr>
          <w:trHeight w:val="657" w:hRule="atLeast"/>
        </w:trPr>
        <w:tc>
          <w:tcPr>
            <w:tcW w:w="8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auto"/>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13</w:t>
            </w:r>
          </w:p>
        </w:tc>
        <w:tc>
          <w:tcPr>
            <w:tcW w:w="12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auto"/>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垃圾清运</w:t>
            </w:r>
          </w:p>
        </w:tc>
        <w:tc>
          <w:tcPr>
            <w:tcW w:w="8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auto"/>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w:t>
            </w:r>
          </w:p>
        </w:tc>
        <w:tc>
          <w:tcPr>
            <w:tcW w:w="12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auto"/>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w:t>
            </w:r>
          </w:p>
        </w:tc>
        <w:tc>
          <w:tcPr>
            <w:tcW w:w="12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auto"/>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36000</w:t>
            </w:r>
          </w:p>
        </w:tc>
        <w:tc>
          <w:tcPr>
            <w:tcW w:w="31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auto"/>
              <w:rPr>
                <w:rFonts w:hint="eastAsia" w:ascii="宋体" w:hAnsi="宋体" w:eastAsia="宋体" w:cs="宋体"/>
                <w:kern w:val="0"/>
                <w:sz w:val="21"/>
                <w:szCs w:val="21"/>
                <w:lang w:val="en-US" w:eastAsia="zh-CN" w:bidi="ar-SA"/>
              </w:rPr>
            </w:pPr>
          </w:p>
        </w:tc>
      </w:tr>
      <w:tr>
        <w:tblPrEx>
          <w:tblCellMar>
            <w:top w:w="0" w:type="dxa"/>
            <w:left w:w="108" w:type="dxa"/>
            <w:bottom w:w="0" w:type="dxa"/>
            <w:right w:w="108" w:type="dxa"/>
          </w:tblCellMar>
        </w:tblPrEx>
        <w:trPr>
          <w:trHeight w:val="627" w:hRule="atLeast"/>
        </w:trPr>
        <w:tc>
          <w:tcPr>
            <w:tcW w:w="8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auto"/>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14</w:t>
            </w:r>
          </w:p>
        </w:tc>
        <w:tc>
          <w:tcPr>
            <w:tcW w:w="12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auto"/>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总额</w:t>
            </w:r>
          </w:p>
        </w:tc>
        <w:tc>
          <w:tcPr>
            <w:tcW w:w="8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auto"/>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30</w:t>
            </w:r>
          </w:p>
        </w:tc>
        <w:tc>
          <w:tcPr>
            <w:tcW w:w="12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auto"/>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w:t>
            </w:r>
          </w:p>
        </w:tc>
        <w:tc>
          <w:tcPr>
            <w:tcW w:w="12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auto"/>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2736000</w:t>
            </w:r>
          </w:p>
        </w:tc>
        <w:tc>
          <w:tcPr>
            <w:tcW w:w="31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auto"/>
              <w:rPr>
                <w:rFonts w:hint="eastAsia" w:ascii="宋体" w:hAnsi="宋体" w:eastAsia="宋体" w:cs="宋体"/>
                <w:kern w:val="0"/>
                <w:sz w:val="21"/>
                <w:szCs w:val="21"/>
                <w:lang w:val="en-US" w:eastAsia="zh-CN" w:bidi="ar-SA"/>
              </w:rPr>
            </w:pPr>
          </w:p>
        </w:tc>
      </w:tr>
    </w:tbl>
    <w:p>
      <w:pPr>
        <w:spacing w:line="400" w:lineRule="exact"/>
        <w:rPr>
          <w:rFonts w:hint="eastAsia" w:ascii="宋体" w:hAnsi="宋体" w:eastAsia="宋体" w:cs="宋体"/>
          <w:b/>
          <w:color w:val="auto"/>
          <w:sz w:val="21"/>
          <w:szCs w:val="21"/>
          <w:highlight w:val="none"/>
        </w:rPr>
      </w:pPr>
    </w:p>
    <w:p>
      <w:pPr>
        <w:spacing w:line="400" w:lineRule="exact"/>
        <w:rPr>
          <w:rFonts w:hint="eastAsia" w:ascii="宋体" w:hAnsi="宋体" w:eastAsia="宋体" w:cs="宋体"/>
          <w:color w:val="auto"/>
          <w:spacing w:val="-6"/>
          <w:sz w:val="21"/>
          <w:szCs w:val="21"/>
          <w:highlight w:val="none"/>
        </w:rPr>
      </w:pPr>
      <w:r>
        <w:rPr>
          <w:rFonts w:hint="eastAsia" w:ascii="宋体" w:hAnsi="宋体" w:eastAsia="宋体" w:cs="宋体"/>
          <w:b/>
          <w:color w:val="auto"/>
          <w:sz w:val="21"/>
          <w:szCs w:val="21"/>
          <w:highlight w:val="none"/>
        </w:rPr>
        <w:t>二、</w:t>
      </w:r>
      <w:r>
        <w:rPr>
          <w:rFonts w:hint="eastAsia" w:ascii="宋体" w:hAnsi="宋体" w:eastAsia="宋体" w:cs="宋体"/>
          <w:b/>
          <w:color w:val="auto"/>
          <w:sz w:val="21"/>
          <w:szCs w:val="21"/>
          <w:highlight w:val="none"/>
          <w:lang w:val="en-US" w:eastAsia="zh-CN"/>
        </w:rPr>
        <w:t>物业</w:t>
      </w:r>
      <w:r>
        <w:rPr>
          <w:rFonts w:hint="eastAsia" w:ascii="宋体" w:hAnsi="宋体" w:eastAsia="宋体" w:cs="宋体"/>
          <w:b/>
          <w:color w:val="auto"/>
          <w:spacing w:val="-6"/>
          <w:sz w:val="21"/>
          <w:szCs w:val="21"/>
          <w:highlight w:val="none"/>
        </w:rPr>
        <w:t>服务范围及内容</w:t>
      </w:r>
      <w:r>
        <w:rPr>
          <w:rFonts w:hint="eastAsia" w:ascii="宋体" w:hAnsi="宋体" w:eastAsia="宋体" w:cs="宋体"/>
          <w:color w:val="auto"/>
          <w:spacing w:val="-6"/>
          <w:sz w:val="21"/>
          <w:szCs w:val="21"/>
          <w:highlight w:val="none"/>
        </w:rPr>
        <w:t>：</w:t>
      </w:r>
    </w:p>
    <w:p>
      <w:pPr>
        <w:pageBreakBefore w:val="0"/>
        <w:widowControl w:val="0"/>
        <w:kinsoku/>
        <w:wordWrap/>
        <w:overflowPunct/>
        <w:topLinePunct w:val="0"/>
        <w:autoSpaceDE/>
        <w:autoSpaceDN/>
        <w:bidi w:val="0"/>
        <w:spacing w:line="480" w:lineRule="exact"/>
        <w:ind w:firstLine="420" w:firstLineChars="200"/>
        <w:textAlignment w:val="auto"/>
        <w:rPr>
          <w:rFonts w:hint="eastAsia" w:ascii="宋体" w:hAnsi="宋体" w:eastAsia="宋体" w:cs="宋体"/>
          <w:b w:val="0"/>
          <w:color w:val="auto"/>
          <w:kern w:val="0"/>
          <w:sz w:val="21"/>
          <w:szCs w:val="21"/>
          <w:highlight w:val="none"/>
          <w:lang w:val="en-US" w:eastAsia="zh-CN" w:bidi="ar"/>
        </w:rPr>
      </w:pPr>
      <w:r>
        <w:rPr>
          <w:rFonts w:hint="eastAsia" w:ascii="宋体" w:hAnsi="宋体" w:eastAsia="宋体" w:cs="宋体"/>
          <w:color w:val="auto"/>
          <w:sz w:val="21"/>
          <w:szCs w:val="21"/>
          <w:highlight w:val="none"/>
        </w:rPr>
        <w:t>1、制</w:t>
      </w:r>
      <w:r>
        <w:rPr>
          <w:rFonts w:hint="eastAsia" w:ascii="宋体" w:hAnsi="宋体" w:eastAsia="宋体" w:cs="宋体"/>
          <w:b w:val="0"/>
          <w:color w:val="auto"/>
          <w:kern w:val="0"/>
          <w:sz w:val="21"/>
          <w:szCs w:val="21"/>
          <w:highlight w:val="none"/>
          <w:lang w:val="en-US" w:eastAsia="zh-CN" w:bidi="ar"/>
        </w:rPr>
        <w:t>定物业管理服务工作计划，并组织实施等；</w:t>
      </w:r>
    </w:p>
    <w:p>
      <w:pPr>
        <w:pageBreakBefore w:val="0"/>
        <w:widowControl w:val="0"/>
        <w:kinsoku/>
        <w:wordWrap/>
        <w:overflowPunct/>
        <w:topLinePunct w:val="0"/>
        <w:autoSpaceDE/>
        <w:autoSpaceDN/>
        <w:bidi w:val="0"/>
        <w:spacing w:line="480" w:lineRule="exact"/>
        <w:ind w:firstLine="420" w:firstLineChars="200"/>
        <w:textAlignment w:val="auto"/>
        <w:rPr>
          <w:rFonts w:hint="eastAsia" w:ascii="宋体" w:hAnsi="宋体" w:eastAsia="宋体" w:cs="宋体"/>
          <w:b w:val="0"/>
          <w:color w:val="auto"/>
          <w:kern w:val="0"/>
          <w:sz w:val="21"/>
          <w:szCs w:val="21"/>
          <w:highlight w:val="none"/>
          <w:lang w:val="en-US" w:eastAsia="zh-CN" w:bidi="ar"/>
        </w:rPr>
      </w:pPr>
      <w:r>
        <w:rPr>
          <w:rFonts w:hint="eastAsia" w:ascii="宋体" w:hAnsi="宋体" w:eastAsia="宋体" w:cs="宋体"/>
          <w:b w:val="0"/>
          <w:color w:val="auto"/>
          <w:kern w:val="0"/>
          <w:sz w:val="21"/>
          <w:szCs w:val="21"/>
          <w:highlight w:val="none"/>
          <w:lang w:val="en-US" w:eastAsia="zh-CN" w:bidi="ar"/>
        </w:rPr>
        <w:t xml:space="preserve">2、房屋和公共配套设施的管理和维修养护； </w:t>
      </w:r>
    </w:p>
    <w:p>
      <w:pPr>
        <w:pageBreakBefore w:val="0"/>
        <w:widowControl w:val="0"/>
        <w:kinsoku/>
        <w:wordWrap/>
        <w:overflowPunct/>
        <w:topLinePunct w:val="0"/>
        <w:autoSpaceDE/>
        <w:autoSpaceDN/>
        <w:bidi w:val="0"/>
        <w:spacing w:line="480" w:lineRule="exact"/>
        <w:ind w:firstLine="420" w:firstLineChars="200"/>
        <w:textAlignment w:val="auto"/>
        <w:rPr>
          <w:rFonts w:hint="eastAsia" w:ascii="宋体" w:hAnsi="宋体" w:eastAsia="宋体" w:cs="宋体"/>
          <w:b w:val="0"/>
          <w:color w:val="auto"/>
          <w:kern w:val="0"/>
          <w:sz w:val="21"/>
          <w:szCs w:val="21"/>
          <w:highlight w:val="none"/>
          <w:lang w:val="en-US" w:eastAsia="zh-CN" w:bidi="ar"/>
        </w:rPr>
      </w:pPr>
      <w:r>
        <w:rPr>
          <w:rFonts w:hint="eastAsia" w:ascii="宋体" w:hAnsi="宋体" w:eastAsia="宋体" w:cs="宋体"/>
          <w:b w:val="0"/>
          <w:color w:val="auto"/>
          <w:kern w:val="0"/>
          <w:sz w:val="21"/>
          <w:szCs w:val="21"/>
          <w:highlight w:val="none"/>
          <w:lang w:val="en-US" w:eastAsia="zh-CN" w:bidi="ar"/>
        </w:rPr>
        <w:t>3、公共场所的消防喷淋系统、空调通风系统、门禁安保系统、保卫监控系统、高低配电系统和供水系统、停车系统等的管理和维修养护；</w:t>
      </w:r>
    </w:p>
    <w:p>
      <w:pPr>
        <w:pageBreakBefore w:val="0"/>
        <w:widowControl w:val="0"/>
        <w:kinsoku/>
        <w:wordWrap/>
        <w:overflowPunct/>
        <w:topLinePunct w:val="0"/>
        <w:autoSpaceDE/>
        <w:autoSpaceDN/>
        <w:bidi w:val="0"/>
        <w:spacing w:line="480" w:lineRule="exact"/>
        <w:ind w:firstLine="420" w:firstLineChars="200"/>
        <w:textAlignment w:val="auto"/>
        <w:rPr>
          <w:rFonts w:hint="eastAsia" w:ascii="宋体" w:hAnsi="宋体" w:eastAsia="宋体" w:cs="宋体"/>
          <w:b w:val="0"/>
          <w:color w:val="auto"/>
          <w:kern w:val="0"/>
          <w:sz w:val="21"/>
          <w:szCs w:val="21"/>
          <w:highlight w:val="none"/>
          <w:lang w:val="en-US" w:eastAsia="zh-CN" w:bidi="ar"/>
        </w:rPr>
      </w:pPr>
      <w:r>
        <w:rPr>
          <w:rFonts w:hint="eastAsia" w:ascii="宋体" w:hAnsi="宋体" w:eastAsia="宋体" w:cs="宋体"/>
          <w:b w:val="0"/>
          <w:color w:val="auto"/>
          <w:kern w:val="0"/>
          <w:sz w:val="21"/>
          <w:szCs w:val="21"/>
          <w:highlight w:val="none"/>
          <w:lang w:val="en-US" w:eastAsia="zh-CN" w:bidi="ar"/>
        </w:rPr>
        <w:t>4、服务设施、设备及弱电智能化系统等公共设备设施的管理和维护保养；</w:t>
      </w:r>
    </w:p>
    <w:p>
      <w:pPr>
        <w:pageBreakBefore w:val="0"/>
        <w:widowControl w:val="0"/>
        <w:kinsoku/>
        <w:wordWrap/>
        <w:overflowPunct/>
        <w:topLinePunct w:val="0"/>
        <w:autoSpaceDE/>
        <w:autoSpaceDN/>
        <w:bidi w:val="0"/>
        <w:spacing w:line="480" w:lineRule="exact"/>
        <w:ind w:firstLine="420" w:firstLineChars="200"/>
        <w:textAlignment w:val="auto"/>
        <w:rPr>
          <w:rFonts w:hint="eastAsia" w:ascii="宋体" w:hAnsi="宋体" w:eastAsia="宋体" w:cs="宋体"/>
          <w:b w:val="0"/>
          <w:color w:val="auto"/>
          <w:kern w:val="0"/>
          <w:sz w:val="21"/>
          <w:szCs w:val="21"/>
          <w:highlight w:val="none"/>
          <w:lang w:val="en-US" w:eastAsia="zh-CN" w:bidi="ar"/>
        </w:rPr>
      </w:pPr>
      <w:r>
        <w:rPr>
          <w:rFonts w:hint="eastAsia" w:ascii="宋体" w:hAnsi="宋体" w:eastAsia="宋体" w:cs="宋体"/>
          <w:b w:val="0"/>
          <w:color w:val="auto"/>
          <w:kern w:val="0"/>
          <w:sz w:val="21"/>
          <w:szCs w:val="21"/>
          <w:highlight w:val="none"/>
          <w:lang w:val="en-US" w:eastAsia="zh-CN" w:bidi="ar"/>
        </w:rPr>
        <w:t>5、公共场地、房屋建筑物公用部位的清洁卫生、生活垃圾的收集、清运；</w:t>
      </w:r>
    </w:p>
    <w:p>
      <w:pPr>
        <w:pageBreakBefore w:val="0"/>
        <w:widowControl w:val="0"/>
        <w:kinsoku/>
        <w:wordWrap/>
        <w:overflowPunct/>
        <w:topLinePunct w:val="0"/>
        <w:autoSpaceDE/>
        <w:autoSpaceDN/>
        <w:bidi w:val="0"/>
        <w:spacing w:line="480" w:lineRule="exact"/>
        <w:ind w:firstLine="420" w:firstLineChars="200"/>
        <w:textAlignment w:val="auto"/>
        <w:rPr>
          <w:rFonts w:hint="eastAsia" w:ascii="宋体" w:hAnsi="宋体" w:eastAsia="宋体" w:cs="宋体"/>
          <w:b w:val="0"/>
          <w:color w:val="auto"/>
          <w:kern w:val="0"/>
          <w:sz w:val="21"/>
          <w:szCs w:val="21"/>
          <w:highlight w:val="none"/>
          <w:lang w:val="en-US" w:eastAsia="zh-CN" w:bidi="ar"/>
        </w:rPr>
      </w:pPr>
      <w:r>
        <w:rPr>
          <w:rFonts w:hint="eastAsia" w:ascii="宋体" w:hAnsi="宋体" w:eastAsia="宋体" w:cs="宋体"/>
          <w:b w:val="0"/>
          <w:color w:val="auto"/>
          <w:kern w:val="0"/>
          <w:sz w:val="21"/>
          <w:szCs w:val="21"/>
          <w:highlight w:val="none"/>
          <w:lang w:val="en-US" w:eastAsia="zh-CN" w:bidi="ar"/>
        </w:rPr>
        <w:t>6、配合和协助当地公安机关进行安全监控和巡视等秩序维护工作；</w:t>
      </w:r>
    </w:p>
    <w:p>
      <w:pPr>
        <w:pageBreakBefore w:val="0"/>
        <w:widowControl w:val="0"/>
        <w:kinsoku/>
        <w:wordWrap/>
        <w:overflowPunct/>
        <w:topLinePunct w:val="0"/>
        <w:autoSpaceDE/>
        <w:autoSpaceDN/>
        <w:bidi w:val="0"/>
        <w:spacing w:line="480" w:lineRule="exact"/>
        <w:ind w:firstLine="420" w:firstLineChars="200"/>
        <w:textAlignment w:val="auto"/>
        <w:rPr>
          <w:rFonts w:hint="eastAsia" w:ascii="宋体" w:hAnsi="宋体" w:eastAsia="宋体" w:cs="宋体"/>
          <w:b w:val="0"/>
          <w:color w:val="auto"/>
          <w:kern w:val="0"/>
          <w:sz w:val="21"/>
          <w:szCs w:val="21"/>
          <w:highlight w:val="none"/>
          <w:lang w:val="en-US" w:eastAsia="zh-CN" w:bidi="ar"/>
        </w:rPr>
      </w:pPr>
      <w:r>
        <w:rPr>
          <w:rFonts w:hint="eastAsia" w:ascii="宋体" w:hAnsi="宋体" w:eastAsia="宋体" w:cs="宋体"/>
          <w:b w:val="0"/>
          <w:color w:val="auto"/>
          <w:kern w:val="0"/>
          <w:sz w:val="21"/>
          <w:szCs w:val="21"/>
          <w:highlight w:val="none"/>
          <w:lang w:val="en-US" w:eastAsia="zh-CN" w:bidi="ar"/>
        </w:rPr>
        <w:t>7、各种车辆（包括机动和非机动）的管理；</w:t>
      </w:r>
    </w:p>
    <w:p>
      <w:pPr>
        <w:pageBreakBefore w:val="0"/>
        <w:widowControl w:val="0"/>
        <w:kinsoku/>
        <w:wordWrap/>
        <w:overflowPunct/>
        <w:topLinePunct w:val="0"/>
        <w:autoSpaceDE/>
        <w:autoSpaceDN/>
        <w:bidi w:val="0"/>
        <w:spacing w:line="480" w:lineRule="exact"/>
        <w:ind w:firstLine="420" w:firstLineChars="200"/>
        <w:textAlignment w:val="auto"/>
        <w:rPr>
          <w:rFonts w:hint="eastAsia" w:ascii="宋体" w:hAnsi="宋体" w:eastAsia="宋体" w:cs="宋体"/>
          <w:b w:val="0"/>
          <w:color w:val="auto"/>
          <w:kern w:val="0"/>
          <w:sz w:val="21"/>
          <w:szCs w:val="21"/>
          <w:highlight w:val="none"/>
          <w:lang w:val="en-US" w:eastAsia="zh-CN" w:bidi="ar"/>
        </w:rPr>
      </w:pPr>
      <w:r>
        <w:rPr>
          <w:rFonts w:hint="eastAsia" w:ascii="宋体" w:hAnsi="宋体" w:eastAsia="宋体" w:cs="宋体"/>
          <w:b w:val="0"/>
          <w:color w:val="auto"/>
          <w:kern w:val="0"/>
          <w:sz w:val="21"/>
          <w:szCs w:val="21"/>
          <w:highlight w:val="none"/>
          <w:lang w:val="en-US" w:eastAsia="zh-CN" w:bidi="ar"/>
        </w:rPr>
        <w:t>8、园区公共绿化的养护和管理；</w:t>
      </w:r>
    </w:p>
    <w:p>
      <w:pPr>
        <w:pageBreakBefore w:val="0"/>
        <w:widowControl w:val="0"/>
        <w:kinsoku/>
        <w:wordWrap/>
        <w:overflowPunct/>
        <w:topLinePunct w:val="0"/>
        <w:autoSpaceDE/>
        <w:autoSpaceDN/>
        <w:bidi w:val="0"/>
        <w:spacing w:line="480" w:lineRule="exact"/>
        <w:ind w:firstLine="420" w:firstLineChars="200"/>
        <w:textAlignment w:val="auto"/>
        <w:rPr>
          <w:rFonts w:hint="eastAsia" w:ascii="宋体" w:hAnsi="宋体" w:eastAsia="宋体" w:cs="宋体"/>
          <w:b w:val="0"/>
          <w:color w:val="auto"/>
          <w:kern w:val="0"/>
          <w:sz w:val="21"/>
          <w:szCs w:val="21"/>
          <w:highlight w:val="none"/>
          <w:lang w:val="en-US" w:eastAsia="zh-CN" w:bidi="ar"/>
        </w:rPr>
      </w:pPr>
      <w:r>
        <w:rPr>
          <w:rFonts w:hint="eastAsia" w:ascii="宋体" w:hAnsi="宋体" w:eastAsia="宋体" w:cs="宋体"/>
          <w:b w:val="0"/>
          <w:color w:val="auto"/>
          <w:kern w:val="0"/>
          <w:sz w:val="21"/>
          <w:szCs w:val="21"/>
          <w:highlight w:val="none"/>
          <w:lang w:val="en-US" w:eastAsia="zh-CN" w:bidi="ar"/>
        </w:rPr>
        <w:t>9、对装修活动进行监督管理；</w:t>
      </w:r>
    </w:p>
    <w:p>
      <w:pPr>
        <w:pageBreakBefore w:val="0"/>
        <w:widowControl w:val="0"/>
        <w:kinsoku/>
        <w:wordWrap/>
        <w:overflowPunct/>
        <w:topLinePunct w:val="0"/>
        <w:autoSpaceDE/>
        <w:autoSpaceDN/>
        <w:bidi w:val="0"/>
        <w:spacing w:line="480" w:lineRule="exact"/>
        <w:ind w:firstLine="420" w:firstLineChars="200"/>
        <w:textAlignment w:val="auto"/>
        <w:rPr>
          <w:rFonts w:hint="eastAsia" w:ascii="宋体" w:hAnsi="宋体" w:eastAsia="宋体" w:cs="宋体"/>
          <w:b w:val="0"/>
          <w:color w:val="auto"/>
          <w:kern w:val="0"/>
          <w:sz w:val="21"/>
          <w:szCs w:val="21"/>
          <w:highlight w:val="none"/>
          <w:lang w:val="en-US" w:eastAsia="zh-CN" w:bidi="ar"/>
        </w:rPr>
      </w:pPr>
      <w:r>
        <w:rPr>
          <w:rFonts w:hint="eastAsia" w:ascii="宋体" w:hAnsi="宋体" w:eastAsia="宋体" w:cs="宋体"/>
          <w:b w:val="0"/>
          <w:color w:val="auto"/>
          <w:kern w:val="0"/>
          <w:sz w:val="21"/>
          <w:szCs w:val="21"/>
          <w:highlight w:val="none"/>
          <w:lang w:val="en-US" w:eastAsia="zh-CN" w:bidi="ar"/>
        </w:rPr>
        <w:t>10、协助采购方做好物业管理费、停车泊位费、空调电费及公共卫生间、电梯、公共部位等的公共能耗费用的收取及开具发票工作。本次招标承包期内收取的上述收益权归采购方所有。</w:t>
      </w:r>
    </w:p>
    <w:p>
      <w:pPr>
        <w:pageBreakBefore w:val="0"/>
        <w:widowControl w:val="0"/>
        <w:kinsoku/>
        <w:wordWrap/>
        <w:overflowPunct/>
        <w:topLinePunct w:val="0"/>
        <w:autoSpaceDE/>
        <w:autoSpaceDN/>
        <w:bidi w:val="0"/>
        <w:spacing w:line="480" w:lineRule="exact"/>
        <w:ind w:firstLine="420" w:firstLineChars="200"/>
        <w:textAlignment w:val="auto"/>
        <w:rPr>
          <w:rFonts w:hint="eastAsia" w:ascii="宋体" w:hAnsi="宋体" w:eastAsia="宋体" w:cs="宋体"/>
          <w:b w:val="0"/>
          <w:color w:val="auto"/>
          <w:kern w:val="0"/>
          <w:sz w:val="21"/>
          <w:szCs w:val="21"/>
          <w:highlight w:val="none"/>
          <w:lang w:val="en-US" w:eastAsia="zh-CN" w:bidi="ar"/>
        </w:rPr>
      </w:pPr>
      <w:r>
        <w:rPr>
          <w:rFonts w:hint="eastAsia" w:ascii="宋体" w:hAnsi="宋体" w:eastAsia="宋体" w:cs="宋体"/>
          <w:b w:val="0"/>
          <w:color w:val="auto"/>
          <w:kern w:val="0"/>
          <w:sz w:val="21"/>
          <w:szCs w:val="21"/>
          <w:highlight w:val="none"/>
          <w:lang w:val="en-US" w:eastAsia="zh-CN" w:bidi="ar"/>
        </w:rPr>
        <w:t>11、档案资料管理；</w:t>
      </w:r>
    </w:p>
    <w:p>
      <w:pPr>
        <w:pageBreakBefore w:val="0"/>
        <w:widowControl w:val="0"/>
        <w:kinsoku/>
        <w:wordWrap/>
        <w:overflowPunct/>
        <w:topLinePunct w:val="0"/>
        <w:autoSpaceDE/>
        <w:autoSpaceDN/>
        <w:bidi w:val="0"/>
        <w:spacing w:line="480" w:lineRule="exact"/>
        <w:ind w:firstLine="420" w:firstLineChars="200"/>
        <w:textAlignment w:val="auto"/>
        <w:rPr>
          <w:rFonts w:hint="eastAsia" w:ascii="宋体" w:hAnsi="宋体" w:eastAsia="宋体" w:cs="宋体"/>
          <w:b w:val="0"/>
          <w:color w:val="auto"/>
          <w:kern w:val="0"/>
          <w:sz w:val="21"/>
          <w:szCs w:val="21"/>
          <w:highlight w:val="none"/>
          <w:lang w:val="en-US" w:eastAsia="zh-CN" w:bidi="ar"/>
        </w:rPr>
      </w:pPr>
      <w:r>
        <w:rPr>
          <w:rFonts w:hint="eastAsia" w:ascii="宋体" w:hAnsi="宋体" w:eastAsia="宋体" w:cs="宋体"/>
          <w:b w:val="0"/>
          <w:color w:val="auto"/>
          <w:kern w:val="0"/>
          <w:sz w:val="21"/>
          <w:szCs w:val="21"/>
          <w:highlight w:val="none"/>
          <w:lang w:val="en-US" w:eastAsia="zh-CN" w:bidi="ar"/>
        </w:rPr>
        <w:t>12、园区“灭四害”、白蚁防治、“五水共治”等创建考核工作；</w:t>
      </w:r>
    </w:p>
    <w:p>
      <w:pPr>
        <w:pageBreakBefore w:val="0"/>
        <w:widowControl w:val="0"/>
        <w:kinsoku/>
        <w:wordWrap/>
        <w:overflowPunct/>
        <w:topLinePunct w:val="0"/>
        <w:autoSpaceDE/>
        <w:autoSpaceDN/>
        <w:bidi w:val="0"/>
        <w:spacing w:line="480" w:lineRule="exact"/>
        <w:ind w:firstLine="420" w:firstLineChars="200"/>
        <w:textAlignment w:val="auto"/>
        <w:rPr>
          <w:rFonts w:hint="eastAsia" w:ascii="宋体" w:hAnsi="宋体" w:eastAsia="宋体" w:cs="宋体"/>
          <w:b w:val="0"/>
          <w:color w:val="auto"/>
          <w:kern w:val="0"/>
          <w:sz w:val="21"/>
          <w:szCs w:val="21"/>
          <w:highlight w:val="none"/>
          <w:lang w:val="en-US" w:eastAsia="zh-CN" w:bidi="ar"/>
        </w:rPr>
      </w:pPr>
      <w:r>
        <w:rPr>
          <w:rFonts w:hint="eastAsia" w:ascii="宋体" w:hAnsi="宋体" w:eastAsia="宋体" w:cs="宋体"/>
          <w:b w:val="0"/>
          <w:color w:val="auto"/>
          <w:kern w:val="0"/>
          <w:sz w:val="21"/>
          <w:szCs w:val="21"/>
          <w:highlight w:val="none"/>
          <w:lang w:val="en-US" w:eastAsia="zh-CN" w:bidi="ar"/>
        </w:rPr>
        <w:t>13、物业管理公司应有完善的管理制度。具备：1）客户服务制度；2）卫生保洁制度及考核标准；3）各工作岗位职责、考核制度及标准；4）物品出入管理制度；5）消防管理制度；6）突发事件应急处理措施和预案的演练；7）绿化维护管理规定；8）投诉处理制度（处理流程：投诉受理-记录-处理-验证-统计分析汇总，报业主方）；9）精神文明建设公约；10）安全生产制度；</w:t>
      </w:r>
    </w:p>
    <w:p>
      <w:pPr>
        <w:pageBreakBefore w:val="0"/>
        <w:widowControl w:val="0"/>
        <w:kinsoku/>
        <w:wordWrap/>
        <w:overflowPunct/>
        <w:topLinePunct w:val="0"/>
        <w:autoSpaceDE/>
        <w:autoSpaceDN/>
        <w:bidi w:val="0"/>
        <w:spacing w:line="480" w:lineRule="exact"/>
        <w:ind w:firstLine="420" w:firstLineChars="200"/>
        <w:textAlignment w:val="auto"/>
        <w:rPr>
          <w:rFonts w:hint="eastAsia" w:ascii="宋体" w:hAnsi="宋体" w:eastAsia="宋体" w:cs="宋体"/>
          <w:b w:val="0"/>
          <w:color w:val="auto"/>
          <w:kern w:val="0"/>
          <w:sz w:val="21"/>
          <w:szCs w:val="21"/>
          <w:highlight w:val="none"/>
          <w:lang w:val="en-US" w:eastAsia="zh-CN" w:bidi="ar"/>
        </w:rPr>
      </w:pPr>
      <w:r>
        <w:rPr>
          <w:rFonts w:hint="eastAsia" w:ascii="宋体" w:hAnsi="宋体" w:eastAsia="宋体" w:cs="宋体"/>
          <w:b w:val="0"/>
          <w:color w:val="auto"/>
          <w:kern w:val="0"/>
          <w:sz w:val="21"/>
          <w:szCs w:val="21"/>
          <w:highlight w:val="none"/>
          <w:lang w:val="en-US" w:eastAsia="zh-CN" w:bidi="ar"/>
        </w:rPr>
        <w:t>14、物业管理公司应提供年度物业服务工作计划，报业主方确认，每月向业主方报月度工作计划及完成情况，每月10日前反馈；</w:t>
      </w:r>
    </w:p>
    <w:p>
      <w:pPr>
        <w:pageBreakBefore w:val="0"/>
        <w:widowControl w:val="0"/>
        <w:kinsoku/>
        <w:wordWrap/>
        <w:overflowPunct/>
        <w:topLinePunct w:val="0"/>
        <w:autoSpaceDE/>
        <w:autoSpaceDN/>
        <w:bidi w:val="0"/>
        <w:spacing w:line="480" w:lineRule="exact"/>
        <w:ind w:firstLine="420" w:firstLineChars="200"/>
        <w:textAlignment w:val="auto"/>
        <w:rPr>
          <w:rFonts w:hint="eastAsia" w:ascii="宋体" w:hAnsi="宋体" w:eastAsia="宋体" w:cs="宋体"/>
          <w:b w:val="0"/>
          <w:color w:val="auto"/>
          <w:kern w:val="0"/>
          <w:sz w:val="21"/>
          <w:szCs w:val="21"/>
          <w:highlight w:val="none"/>
          <w:lang w:val="en-US" w:eastAsia="zh-CN" w:bidi="ar"/>
        </w:rPr>
      </w:pPr>
      <w:r>
        <w:rPr>
          <w:rFonts w:hint="eastAsia" w:ascii="宋体" w:hAnsi="宋体" w:eastAsia="宋体" w:cs="宋体"/>
          <w:b w:val="0"/>
          <w:color w:val="auto"/>
          <w:kern w:val="0"/>
          <w:sz w:val="21"/>
          <w:szCs w:val="21"/>
          <w:highlight w:val="none"/>
          <w:lang w:val="en-US" w:eastAsia="zh-CN" w:bidi="ar"/>
        </w:rPr>
        <w:t>15、园区公寓楼的室内入住初次保洁、空置房的保洁、租赁合同签订、房租、物业费、水电费收缴等；</w:t>
      </w:r>
    </w:p>
    <w:p>
      <w:pPr>
        <w:pageBreakBefore w:val="0"/>
        <w:widowControl w:val="0"/>
        <w:kinsoku/>
        <w:wordWrap/>
        <w:overflowPunct/>
        <w:topLinePunct w:val="0"/>
        <w:autoSpaceDE/>
        <w:autoSpaceDN/>
        <w:bidi w:val="0"/>
        <w:spacing w:line="480" w:lineRule="exact"/>
        <w:ind w:firstLine="420" w:firstLineChars="200"/>
        <w:textAlignment w:val="auto"/>
        <w:rPr>
          <w:rFonts w:hint="eastAsia" w:ascii="宋体" w:hAnsi="宋体" w:eastAsia="宋体" w:cs="宋体"/>
          <w:b w:val="0"/>
          <w:color w:val="auto"/>
          <w:kern w:val="0"/>
          <w:sz w:val="21"/>
          <w:szCs w:val="21"/>
          <w:highlight w:val="none"/>
          <w:lang w:val="en-US" w:eastAsia="zh-CN" w:bidi="ar"/>
        </w:rPr>
      </w:pPr>
      <w:r>
        <w:rPr>
          <w:rFonts w:hint="eastAsia" w:ascii="宋体" w:hAnsi="宋体" w:eastAsia="宋体" w:cs="宋体"/>
          <w:b w:val="0"/>
          <w:color w:val="auto"/>
          <w:kern w:val="0"/>
          <w:sz w:val="21"/>
          <w:szCs w:val="21"/>
          <w:highlight w:val="none"/>
          <w:lang w:val="en-US" w:eastAsia="zh-CN" w:bidi="ar"/>
        </w:rPr>
        <w:t>16、园区（含宿舍楼及住宅楼室内维修项目）单项维修总价不超过500元（含500元）以下的日常维修；</w:t>
      </w:r>
    </w:p>
    <w:p>
      <w:pPr>
        <w:pageBreakBefore w:val="0"/>
        <w:widowControl w:val="0"/>
        <w:kinsoku/>
        <w:wordWrap/>
        <w:overflowPunct/>
        <w:topLinePunct w:val="0"/>
        <w:autoSpaceDE/>
        <w:autoSpaceDN/>
        <w:bidi w:val="0"/>
        <w:spacing w:line="480" w:lineRule="exact"/>
        <w:ind w:firstLine="420" w:firstLineChars="200"/>
        <w:textAlignment w:val="auto"/>
        <w:rPr>
          <w:rFonts w:hint="eastAsia" w:ascii="宋体" w:hAnsi="宋体" w:eastAsia="宋体" w:cs="宋体"/>
          <w:b w:val="0"/>
          <w:color w:val="auto"/>
          <w:kern w:val="0"/>
          <w:sz w:val="21"/>
          <w:szCs w:val="21"/>
          <w:highlight w:val="none"/>
          <w:lang w:val="en-US" w:eastAsia="zh-CN" w:bidi="ar"/>
        </w:rPr>
      </w:pPr>
      <w:r>
        <w:rPr>
          <w:rFonts w:hint="eastAsia" w:ascii="宋体" w:hAnsi="宋体" w:eastAsia="宋体" w:cs="宋体"/>
          <w:b w:val="0"/>
          <w:color w:val="auto"/>
          <w:kern w:val="0"/>
          <w:sz w:val="21"/>
          <w:szCs w:val="21"/>
          <w:highlight w:val="none"/>
          <w:lang w:val="en-US" w:eastAsia="zh-CN" w:bidi="ar"/>
        </w:rPr>
        <w:t>17、法律政策及合同规定的其他委托事项。</w:t>
      </w:r>
    </w:p>
    <w:p>
      <w:pPr>
        <w:spacing w:line="400" w:lineRule="exact"/>
        <w:rPr>
          <w:rFonts w:hint="eastAsia" w:ascii="宋体" w:hAnsi="宋体" w:eastAsia="宋体" w:cs="宋体"/>
          <w:color w:val="auto"/>
          <w:sz w:val="21"/>
          <w:szCs w:val="21"/>
          <w:highlight w:val="none"/>
        </w:rPr>
      </w:pPr>
      <w:r>
        <w:rPr>
          <w:rFonts w:hint="eastAsia" w:ascii="宋体" w:hAnsi="宋体" w:eastAsia="宋体" w:cs="宋体"/>
          <w:b/>
          <w:color w:val="auto"/>
          <w:sz w:val="21"/>
          <w:szCs w:val="21"/>
          <w:highlight w:val="none"/>
        </w:rPr>
        <w:t>三、物业管理标准</w:t>
      </w:r>
    </w:p>
    <w:p>
      <w:pPr>
        <w:spacing w:line="4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须根据国务院物业管理条例和省、市有关物业管理法律法规的相关规定，以及投标方根据上述规定制定的物业管理制度。</w:t>
      </w:r>
    </w:p>
    <w:p>
      <w:pPr>
        <w:spacing w:line="360" w:lineRule="auto"/>
        <w:ind w:firstLine="422" w:firstLineChars="200"/>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（一）服务人员准则</w:t>
      </w:r>
    </w:p>
    <w:p>
      <w:pPr>
        <w:spacing w:line="360" w:lineRule="auto"/>
        <w:ind w:firstLine="630" w:firstLineChars="3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全体物业管理人员必须遵守如下工作准则：</w:t>
      </w:r>
    </w:p>
    <w:p>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1、各职守岗位统一着装。</w:t>
      </w:r>
    </w:p>
    <w:p>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2、上班时间佩戴工作牌。 </w:t>
      </w:r>
    </w:p>
    <w:p>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3、仪容仪表整洁、大方、得体。</w:t>
      </w:r>
    </w:p>
    <w:p>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4、热情待人、文明礼貌、使用服务规范用语。</w:t>
      </w:r>
    </w:p>
    <w:p>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5、开展微笑服务，遇到用户时主动问候和招呼。</w:t>
      </w:r>
    </w:p>
    <w:p>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6、遵守安全工作规定及操作程序，及时发现不安全因素，正确处理突发事件。</w:t>
      </w:r>
    </w:p>
    <w:p>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7、不损坏、不拿取公共或用户的财物。</w:t>
      </w:r>
    </w:p>
    <w:p>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8、遵守保密规定，不得擅自进入机要部位。不得随便对外透露消息和用户情况。</w:t>
      </w:r>
    </w:p>
    <w:p>
      <w:pPr>
        <w:spacing w:line="360" w:lineRule="auto"/>
        <w:ind w:firstLine="422" w:firstLineChars="200"/>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（二）保洁项目内容及清洁标准</w:t>
      </w:r>
    </w:p>
    <w:p>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1、清扫、拖洗各幢楼内公共走廊地面和楼梯间地面，并随时保洁。</w:t>
      </w:r>
    </w:p>
    <w:p>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2、清抹擦拭各幢各层办公室外门和门套、防烟门、走廊灯具、开关、栏杆、楼梯扶手、石材墙面、窗台板等。</w:t>
      </w:r>
    </w:p>
    <w:p>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3、随时清抹各幢大堂玻璃门、走廊玻璃、电梯门、电梯按钮，</w:t>
      </w:r>
      <w:r>
        <w:rPr>
          <w:rFonts w:hint="eastAsia" w:ascii="宋体" w:hAnsi="宋体" w:eastAsia="宋体" w:cs="宋体"/>
          <w:color w:val="auto"/>
          <w:sz w:val="21"/>
          <w:szCs w:val="21"/>
          <w:highlight w:val="none"/>
          <w:lang w:eastAsia="zh-CN"/>
        </w:rPr>
        <w:t>电梯轿厢内</w:t>
      </w:r>
      <w:r>
        <w:rPr>
          <w:rFonts w:hint="eastAsia" w:ascii="宋体" w:hAnsi="宋体" w:eastAsia="宋体" w:cs="宋体"/>
          <w:color w:val="auto"/>
          <w:sz w:val="21"/>
          <w:szCs w:val="21"/>
          <w:highlight w:val="none"/>
        </w:rPr>
        <w:t>不锈钢壁面。</w:t>
      </w:r>
    </w:p>
    <w:p>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4、公共洗手间和茶水间内的墙面、地面、台面及卫生洁具的及时清洗和保洁，及时清倒、清洗垃圾桶。</w:t>
      </w:r>
    </w:p>
    <w:p>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5、各幢门厅的玻璃顶盖应保持清洁。</w:t>
      </w:r>
    </w:p>
    <w:p>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6、园区内道路每天清扫，一季度清洗一次，垃圾桶每天及时清倒、清洗；及时清理公共场所，公共绿地的废弃杂物；及时清扫积水、积雪；及时组织清理乱堆放物品、乱张贴宣传品等。</w:t>
      </w:r>
    </w:p>
    <w:p>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7、各幢楼内走廊装饰玻璃应保持清洁。</w:t>
      </w:r>
    </w:p>
    <w:p>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8、定期清抹园区内路灯、标识牌等。</w:t>
      </w:r>
    </w:p>
    <w:p>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9、定期开展除“四害”</w:t>
      </w:r>
      <w:r>
        <w:rPr>
          <w:rFonts w:hint="eastAsia" w:ascii="宋体" w:hAnsi="宋体" w:eastAsia="宋体" w:cs="宋体"/>
          <w:color w:val="auto"/>
          <w:sz w:val="21"/>
          <w:szCs w:val="21"/>
          <w:highlight w:val="none"/>
          <w:lang w:val="en-US" w:eastAsia="zh-CN"/>
        </w:rPr>
        <w:t>、白蚁灭杀</w:t>
      </w:r>
      <w:r>
        <w:rPr>
          <w:rFonts w:hint="eastAsia" w:ascii="宋体" w:hAnsi="宋体" w:eastAsia="宋体" w:cs="宋体"/>
          <w:color w:val="auto"/>
          <w:sz w:val="21"/>
          <w:szCs w:val="21"/>
          <w:highlight w:val="none"/>
        </w:rPr>
        <w:t>工作。</w:t>
      </w:r>
    </w:p>
    <w:p>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10、保洁时间尽量与机关办公时间错开，避免干扰正常办公。每天地面两次清扫需在机关上班前和中午休息时间内完成。</w:t>
      </w:r>
    </w:p>
    <w:tbl>
      <w:tblPr>
        <w:tblStyle w:val="33"/>
        <w:tblW w:w="896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8"/>
        <w:gridCol w:w="1149"/>
        <w:gridCol w:w="2277"/>
        <w:gridCol w:w="2307"/>
        <w:gridCol w:w="2499"/>
        <w:gridCol w:w="2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61" w:type="dxa"/>
          <w:cantSplit/>
          <w:trHeight w:val="268" w:hRule="atLeast"/>
        </w:trPr>
        <w:tc>
          <w:tcPr>
            <w:tcW w:w="468" w:type="dxa"/>
            <w:noWrap w:val="0"/>
            <w:vAlign w:val="center"/>
          </w:tcPr>
          <w:p>
            <w:pPr>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序号</w:t>
            </w:r>
          </w:p>
        </w:tc>
        <w:tc>
          <w:tcPr>
            <w:tcW w:w="1149" w:type="dxa"/>
            <w:noWrap w:val="0"/>
            <w:vAlign w:val="center"/>
          </w:tcPr>
          <w:p>
            <w:pPr>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位置</w:t>
            </w:r>
          </w:p>
        </w:tc>
        <w:tc>
          <w:tcPr>
            <w:tcW w:w="2277" w:type="dxa"/>
            <w:noWrap w:val="0"/>
            <w:vAlign w:val="center"/>
          </w:tcPr>
          <w:p>
            <w:pPr>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清洁项目</w:t>
            </w:r>
          </w:p>
        </w:tc>
        <w:tc>
          <w:tcPr>
            <w:tcW w:w="2307" w:type="dxa"/>
            <w:noWrap w:val="0"/>
            <w:vAlign w:val="center"/>
          </w:tcPr>
          <w:p>
            <w:pPr>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清洁工作内容</w:t>
            </w:r>
          </w:p>
        </w:tc>
        <w:tc>
          <w:tcPr>
            <w:tcW w:w="2499" w:type="dxa"/>
            <w:noWrap w:val="0"/>
            <w:vAlign w:val="center"/>
          </w:tcPr>
          <w:p>
            <w:pPr>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清洁标准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61" w:type="dxa"/>
          <w:cantSplit/>
          <w:trHeight w:val="443" w:hRule="atLeast"/>
        </w:trPr>
        <w:tc>
          <w:tcPr>
            <w:tcW w:w="468" w:type="dxa"/>
            <w:vMerge w:val="restart"/>
            <w:noWrap w:val="0"/>
            <w:vAlign w:val="center"/>
          </w:tcPr>
          <w:p>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1</w:t>
            </w:r>
          </w:p>
        </w:tc>
        <w:tc>
          <w:tcPr>
            <w:tcW w:w="1149" w:type="dxa"/>
            <w:vMerge w:val="restart"/>
            <w:noWrap w:val="0"/>
            <w:vAlign w:val="center"/>
          </w:tcPr>
          <w:p>
            <w:pPr>
              <w:widowControl/>
              <w:jc w:val="center"/>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外围道路</w:t>
            </w:r>
          </w:p>
          <w:p>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及配套设施</w:t>
            </w:r>
          </w:p>
        </w:tc>
        <w:tc>
          <w:tcPr>
            <w:tcW w:w="2277" w:type="dxa"/>
            <w:noWrap w:val="0"/>
            <w:vAlign w:val="center"/>
          </w:tcPr>
          <w:p>
            <w:pPr>
              <w:widowControl/>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广场、道路</w:t>
            </w:r>
          </w:p>
        </w:tc>
        <w:tc>
          <w:tcPr>
            <w:tcW w:w="2307" w:type="dxa"/>
            <w:noWrap w:val="0"/>
            <w:vAlign w:val="center"/>
          </w:tcPr>
          <w:p>
            <w:pPr>
              <w:widowControl/>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每日清扫一次、巡回保洁</w:t>
            </w:r>
          </w:p>
        </w:tc>
        <w:tc>
          <w:tcPr>
            <w:tcW w:w="2499" w:type="dxa"/>
            <w:noWrap w:val="0"/>
            <w:vAlign w:val="center"/>
          </w:tcPr>
          <w:p>
            <w:pPr>
              <w:widowControl/>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地面无垃圾、杂物、积水、无明显污迹、泥沙、无喷漆涂鸦、无关粘贴物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61" w:type="dxa"/>
          <w:cantSplit/>
          <w:trHeight w:val="357" w:hRule="atLeast"/>
        </w:trPr>
        <w:tc>
          <w:tcPr>
            <w:tcW w:w="468" w:type="dxa"/>
            <w:vMerge w:val="continue"/>
            <w:noWrap w:val="0"/>
            <w:vAlign w:val="center"/>
          </w:tcPr>
          <w:p>
            <w:pPr>
              <w:jc w:val="center"/>
              <w:rPr>
                <w:rFonts w:hint="eastAsia" w:ascii="宋体" w:hAnsi="宋体" w:eastAsia="宋体" w:cs="宋体"/>
                <w:color w:val="auto"/>
                <w:sz w:val="21"/>
                <w:szCs w:val="21"/>
                <w:highlight w:val="none"/>
              </w:rPr>
            </w:pPr>
          </w:p>
        </w:tc>
        <w:tc>
          <w:tcPr>
            <w:tcW w:w="1149" w:type="dxa"/>
            <w:vMerge w:val="continue"/>
            <w:noWrap w:val="0"/>
            <w:vAlign w:val="center"/>
          </w:tcPr>
          <w:p>
            <w:pPr>
              <w:jc w:val="center"/>
              <w:rPr>
                <w:rFonts w:hint="eastAsia" w:ascii="宋体" w:hAnsi="宋体" w:eastAsia="宋体" w:cs="宋体"/>
                <w:color w:val="auto"/>
                <w:sz w:val="21"/>
                <w:szCs w:val="21"/>
                <w:highlight w:val="none"/>
              </w:rPr>
            </w:pPr>
          </w:p>
        </w:tc>
        <w:tc>
          <w:tcPr>
            <w:tcW w:w="2277" w:type="dxa"/>
            <w:noWrap w:val="0"/>
            <w:vAlign w:val="center"/>
          </w:tcPr>
          <w:p>
            <w:pPr>
              <w:widowControl/>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垃圾投放站点</w:t>
            </w:r>
          </w:p>
        </w:tc>
        <w:tc>
          <w:tcPr>
            <w:tcW w:w="2307" w:type="dxa"/>
            <w:noWrap w:val="0"/>
            <w:vAlign w:val="center"/>
          </w:tcPr>
          <w:p>
            <w:pPr>
              <w:widowControl/>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每日清扫一次、巡回保洁，垃圾日产日清</w:t>
            </w:r>
          </w:p>
        </w:tc>
        <w:tc>
          <w:tcPr>
            <w:tcW w:w="2499" w:type="dxa"/>
            <w:noWrap w:val="0"/>
            <w:vAlign w:val="center"/>
          </w:tcPr>
          <w:p>
            <w:pPr>
              <w:widowControl/>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地面无垃圾、杂物、无明显积灰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61" w:type="dxa"/>
          <w:cantSplit/>
          <w:trHeight w:val="239" w:hRule="atLeast"/>
        </w:trPr>
        <w:tc>
          <w:tcPr>
            <w:tcW w:w="468" w:type="dxa"/>
            <w:vMerge w:val="continue"/>
            <w:noWrap w:val="0"/>
            <w:vAlign w:val="center"/>
          </w:tcPr>
          <w:p>
            <w:pPr>
              <w:jc w:val="center"/>
              <w:rPr>
                <w:rFonts w:hint="eastAsia" w:ascii="宋体" w:hAnsi="宋体" w:eastAsia="宋体" w:cs="宋体"/>
                <w:color w:val="auto"/>
                <w:sz w:val="21"/>
                <w:szCs w:val="21"/>
                <w:highlight w:val="none"/>
              </w:rPr>
            </w:pPr>
          </w:p>
        </w:tc>
        <w:tc>
          <w:tcPr>
            <w:tcW w:w="1149" w:type="dxa"/>
            <w:vMerge w:val="continue"/>
            <w:noWrap w:val="0"/>
            <w:vAlign w:val="center"/>
          </w:tcPr>
          <w:p>
            <w:pPr>
              <w:jc w:val="center"/>
              <w:rPr>
                <w:rFonts w:hint="eastAsia" w:ascii="宋体" w:hAnsi="宋体" w:eastAsia="宋体" w:cs="宋体"/>
                <w:color w:val="auto"/>
                <w:sz w:val="21"/>
                <w:szCs w:val="21"/>
                <w:highlight w:val="none"/>
              </w:rPr>
            </w:pPr>
          </w:p>
        </w:tc>
        <w:tc>
          <w:tcPr>
            <w:tcW w:w="2277" w:type="dxa"/>
            <w:noWrap w:val="0"/>
            <w:vAlign w:val="center"/>
          </w:tcPr>
          <w:p>
            <w:pPr>
              <w:widowControl/>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垃圾桶</w:t>
            </w:r>
          </w:p>
        </w:tc>
        <w:tc>
          <w:tcPr>
            <w:tcW w:w="2307" w:type="dxa"/>
            <w:noWrap w:val="0"/>
            <w:vAlign w:val="center"/>
          </w:tcPr>
          <w:p>
            <w:pPr>
              <w:widowControl/>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每日清洗一次</w:t>
            </w:r>
          </w:p>
        </w:tc>
        <w:tc>
          <w:tcPr>
            <w:tcW w:w="2499" w:type="dxa"/>
            <w:noWrap w:val="0"/>
            <w:vAlign w:val="center"/>
          </w:tcPr>
          <w:p>
            <w:pPr>
              <w:widowControl/>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表面无明显积灰、污迹、油污，箱内无异味、无喷漆涂鸦、无关粘贴物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61" w:type="dxa"/>
          <w:cantSplit/>
          <w:trHeight w:val="450" w:hRule="atLeast"/>
        </w:trPr>
        <w:tc>
          <w:tcPr>
            <w:tcW w:w="468" w:type="dxa"/>
            <w:vMerge w:val="continue"/>
            <w:noWrap w:val="0"/>
            <w:vAlign w:val="center"/>
          </w:tcPr>
          <w:p>
            <w:pPr>
              <w:jc w:val="center"/>
              <w:rPr>
                <w:rFonts w:hint="eastAsia" w:ascii="宋体" w:hAnsi="宋体" w:eastAsia="宋体" w:cs="宋体"/>
                <w:color w:val="auto"/>
                <w:sz w:val="21"/>
                <w:szCs w:val="21"/>
                <w:highlight w:val="none"/>
              </w:rPr>
            </w:pPr>
          </w:p>
        </w:tc>
        <w:tc>
          <w:tcPr>
            <w:tcW w:w="1149" w:type="dxa"/>
            <w:vMerge w:val="continue"/>
            <w:noWrap w:val="0"/>
            <w:vAlign w:val="center"/>
          </w:tcPr>
          <w:p>
            <w:pPr>
              <w:jc w:val="center"/>
              <w:rPr>
                <w:rFonts w:hint="eastAsia" w:ascii="宋体" w:hAnsi="宋体" w:eastAsia="宋体" w:cs="宋体"/>
                <w:color w:val="auto"/>
                <w:sz w:val="21"/>
                <w:szCs w:val="21"/>
                <w:highlight w:val="none"/>
              </w:rPr>
            </w:pPr>
          </w:p>
        </w:tc>
        <w:tc>
          <w:tcPr>
            <w:tcW w:w="2277" w:type="dxa"/>
            <w:noWrap w:val="0"/>
            <w:vAlign w:val="center"/>
          </w:tcPr>
          <w:p>
            <w:pPr>
              <w:widowControl/>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标识牌</w:t>
            </w:r>
          </w:p>
        </w:tc>
        <w:tc>
          <w:tcPr>
            <w:tcW w:w="2307" w:type="dxa"/>
            <w:noWrap w:val="0"/>
            <w:vAlign w:val="center"/>
          </w:tcPr>
          <w:p>
            <w:pPr>
              <w:widowControl/>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每周擦拭一次</w:t>
            </w:r>
          </w:p>
        </w:tc>
        <w:tc>
          <w:tcPr>
            <w:tcW w:w="2499" w:type="dxa"/>
            <w:noWrap w:val="0"/>
            <w:vAlign w:val="center"/>
          </w:tcPr>
          <w:p>
            <w:pPr>
              <w:widowControl/>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无污渍、无积灰、无喷漆涂鸦、无关粘贴物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61" w:type="dxa"/>
          <w:cantSplit/>
          <w:trHeight w:val="141" w:hRule="atLeast"/>
        </w:trPr>
        <w:tc>
          <w:tcPr>
            <w:tcW w:w="468" w:type="dxa"/>
            <w:vMerge w:val="continue"/>
            <w:noWrap w:val="0"/>
            <w:vAlign w:val="center"/>
          </w:tcPr>
          <w:p>
            <w:pPr>
              <w:jc w:val="center"/>
              <w:rPr>
                <w:rFonts w:hint="eastAsia" w:ascii="宋体" w:hAnsi="宋体" w:eastAsia="宋体" w:cs="宋体"/>
                <w:color w:val="auto"/>
                <w:sz w:val="21"/>
                <w:szCs w:val="21"/>
                <w:highlight w:val="none"/>
              </w:rPr>
            </w:pPr>
          </w:p>
        </w:tc>
        <w:tc>
          <w:tcPr>
            <w:tcW w:w="1149" w:type="dxa"/>
            <w:vMerge w:val="continue"/>
            <w:noWrap w:val="0"/>
            <w:vAlign w:val="center"/>
          </w:tcPr>
          <w:p>
            <w:pPr>
              <w:jc w:val="center"/>
              <w:rPr>
                <w:rFonts w:hint="eastAsia" w:ascii="宋体" w:hAnsi="宋体" w:eastAsia="宋体" w:cs="宋体"/>
                <w:color w:val="auto"/>
                <w:sz w:val="21"/>
                <w:szCs w:val="21"/>
                <w:highlight w:val="none"/>
              </w:rPr>
            </w:pPr>
          </w:p>
        </w:tc>
        <w:tc>
          <w:tcPr>
            <w:tcW w:w="2277" w:type="dxa"/>
            <w:noWrap w:val="0"/>
            <w:vAlign w:val="center"/>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各类铺装面、座凳座椅</w:t>
            </w:r>
          </w:p>
        </w:tc>
        <w:tc>
          <w:tcPr>
            <w:tcW w:w="2307" w:type="dxa"/>
            <w:noWrap w:val="0"/>
            <w:vAlign w:val="center"/>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每天清扫二次</w:t>
            </w:r>
          </w:p>
        </w:tc>
        <w:tc>
          <w:tcPr>
            <w:tcW w:w="2499" w:type="dxa"/>
            <w:noWrap w:val="0"/>
            <w:vAlign w:val="center"/>
          </w:tcPr>
          <w:p>
            <w:pPr>
              <w:widowControl/>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随时保持干净、无杂物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61" w:type="dxa"/>
          <w:cantSplit/>
          <w:trHeight w:val="587" w:hRule="atLeast"/>
        </w:trPr>
        <w:tc>
          <w:tcPr>
            <w:tcW w:w="468" w:type="dxa"/>
            <w:vMerge w:val="continue"/>
            <w:noWrap w:val="0"/>
            <w:vAlign w:val="center"/>
          </w:tcPr>
          <w:p>
            <w:pPr>
              <w:jc w:val="center"/>
              <w:rPr>
                <w:rFonts w:hint="eastAsia" w:ascii="宋体" w:hAnsi="宋体" w:eastAsia="宋体" w:cs="宋体"/>
                <w:color w:val="auto"/>
                <w:sz w:val="21"/>
                <w:szCs w:val="21"/>
                <w:highlight w:val="none"/>
              </w:rPr>
            </w:pPr>
          </w:p>
        </w:tc>
        <w:tc>
          <w:tcPr>
            <w:tcW w:w="1149" w:type="dxa"/>
            <w:vMerge w:val="continue"/>
            <w:noWrap w:val="0"/>
            <w:vAlign w:val="center"/>
          </w:tcPr>
          <w:p>
            <w:pPr>
              <w:jc w:val="center"/>
              <w:rPr>
                <w:rFonts w:hint="eastAsia" w:ascii="宋体" w:hAnsi="宋体" w:eastAsia="宋体" w:cs="宋体"/>
                <w:color w:val="auto"/>
                <w:sz w:val="21"/>
                <w:szCs w:val="21"/>
                <w:highlight w:val="none"/>
              </w:rPr>
            </w:pPr>
          </w:p>
        </w:tc>
        <w:tc>
          <w:tcPr>
            <w:tcW w:w="2277" w:type="dxa"/>
            <w:noWrap w:val="0"/>
            <w:vAlign w:val="center"/>
          </w:tcPr>
          <w:p>
            <w:pPr>
              <w:widowControl/>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高杆灯</w:t>
            </w:r>
          </w:p>
        </w:tc>
        <w:tc>
          <w:tcPr>
            <w:tcW w:w="2307" w:type="dxa"/>
            <w:noWrap w:val="0"/>
            <w:vAlign w:val="center"/>
          </w:tcPr>
          <w:p>
            <w:pPr>
              <w:widowControl/>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每</w:t>
            </w:r>
            <w:r>
              <w:rPr>
                <w:rFonts w:hint="eastAsia" w:ascii="宋体" w:hAnsi="宋体" w:eastAsia="宋体" w:cs="宋体"/>
                <w:color w:val="auto"/>
                <w:kern w:val="0"/>
                <w:sz w:val="21"/>
                <w:szCs w:val="21"/>
                <w:highlight w:val="none"/>
                <w:lang w:val="en-US" w:eastAsia="zh-CN" w:bidi="ar"/>
              </w:rPr>
              <w:t>两</w:t>
            </w:r>
            <w:r>
              <w:rPr>
                <w:rFonts w:hint="eastAsia" w:ascii="宋体" w:hAnsi="宋体" w:eastAsia="宋体" w:cs="宋体"/>
                <w:color w:val="auto"/>
                <w:kern w:val="0"/>
                <w:sz w:val="21"/>
                <w:szCs w:val="21"/>
                <w:highlight w:val="none"/>
                <w:lang w:bidi="ar"/>
              </w:rPr>
              <w:t>月除尘一次</w:t>
            </w:r>
          </w:p>
        </w:tc>
        <w:tc>
          <w:tcPr>
            <w:tcW w:w="2499" w:type="dxa"/>
            <w:noWrap w:val="0"/>
            <w:vAlign w:val="center"/>
          </w:tcPr>
          <w:p>
            <w:pPr>
              <w:widowControl/>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目视无积尘、表面无虫网、无喷漆涂鸦、无关粘贴物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61" w:type="dxa"/>
          <w:cantSplit/>
          <w:trHeight w:val="170" w:hRule="atLeast"/>
        </w:trPr>
        <w:tc>
          <w:tcPr>
            <w:tcW w:w="468" w:type="dxa"/>
            <w:vMerge w:val="restart"/>
            <w:noWrap w:val="0"/>
            <w:vAlign w:val="center"/>
          </w:tcPr>
          <w:p>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2</w:t>
            </w:r>
          </w:p>
        </w:tc>
        <w:tc>
          <w:tcPr>
            <w:tcW w:w="1149" w:type="dxa"/>
            <w:vMerge w:val="restart"/>
            <w:noWrap w:val="0"/>
            <w:vAlign w:val="center"/>
          </w:tcPr>
          <w:p>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各楼栋大厅</w:t>
            </w:r>
          </w:p>
        </w:tc>
        <w:tc>
          <w:tcPr>
            <w:tcW w:w="2277" w:type="dxa"/>
            <w:noWrap w:val="0"/>
            <w:vAlign w:val="center"/>
          </w:tcPr>
          <w:p>
            <w:pPr>
              <w:widowControl/>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花岗石（大理石）、抛光砖地面</w:t>
            </w:r>
          </w:p>
        </w:tc>
        <w:tc>
          <w:tcPr>
            <w:tcW w:w="2307" w:type="dxa"/>
            <w:noWrap w:val="0"/>
            <w:vAlign w:val="center"/>
          </w:tcPr>
          <w:p>
            <w:pPr>
              <w:widowControl/>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每日清扫尘堆，巡回保洁，</w:t>
            </w:r>
            <w:r>
              <w:rPr>
                <w:rFonts w:hint="eastAsia" w:ascii="宋体" w:hAnsi="宋体" w:eastAsia="宋体" w:cs="宋体"/>
                <w:color w:val="auto"/>
                <w:sz w:val="21"/>
                <w:szCs w:val="21"/>
                <w:highlight w:val="none"/>
              </w:rPr>
              <w:t>每月至少抛光一次、一个季度至少打蜡一次</w:t>
            </w:r>
          </w:p>
        </w:tc>
        <w:tc>
          <w:tcPr>
            <w:tcW w:w="2499" w:type="dxa"/>
            <w:noWrap w:val="0"/>
            <w:vAlign w:val="center"/>
          </w:tcPr>
          <w:p>
            <w:pPr>
              <w:widowControl/>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干净、无垃圾、油渍、污渍、积灰、无喷漆涂鸦、无关粘贴物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61" w:type="dxa"/>
          <w:cantSplit/>
          <w:trHeight w:val="413" w:hRule="atLeast"/>
        </w:trPr>
        <w:tc>
          <w:tcPr>
            <w:tcW w:w="468" w:type="dxa"/>
            <w:vMerge w:val="continue"/>
            <w:noWrap w:val="0"/>
            <w:vAlign w:val="center"/>
          </w:tcPr>
          <w:p>
            <w:pPr>
              <w:jc w:val="center"/>
              <w:rPr>
                <w:rFonts w:hint="eastAsia" w:ascii="宋体" w:hAnsi="宋体" w:eastAsia="宋体" w:cs="宋体"/>
                <w:color w:val="auto"/>
                <w:sz w:val="21"/>
                <w:szCs w:val="21"/>
                <w:highlight w:val="none"/>
              </w:rPr>
            </w:pPr>
          </w:p>
        </w:tc>
        <w:tc>
          <w:tcPr>
            <w:tcW w:w="1149" w:type="dxa"/>
            <w:vMerge w:val="continue"/>
            <w:noWrap w:val="0"/>
            <w:vAlign w:val="center"/>
          </w:tcPr>
          <w:p>
            <w:pPr>
              <w:jc w:val="center"/>
              <w:rPr>
                <w:rFonts w:hint="eastAsia" w:ascii="宋体" w:hAnsi="宋体" w:eastAsia="宋体" w:cs="宋体"/>
                <w:color w:val="auto"/>
                <w:sz w:val="21"/>
                <w:szCs w:val="21"/>
                <w:highlight w:val="none"/>
              </w:rPr>
            </w:pPr>
          </w:p>
        </w:tc>
        <w:tc>
          <w:tcPr>
            <w:tcW w:w="2277" w:type="dxa"/>
            <w:noWrap w:val="0"/>
            <w:vAlign w:val="center"/>
          </w:tcPr>
          <w:p>
            <w:pPr>
              <w:widowControl/>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墙面</w:t>
            </w:r>
          </w:p>
        </w:tc>
        <w:tc>
          <w:tcPr>
            <w:tcW w:w="2307" w:type="dxa"/>
            <w:noWrap w:val="0"/>
            <w:vAlign w:val="center"/>
          </w:tcPr>
          <w:p>
            <w:pPr>
              <w:widowControl/>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每月除尘一次</w:t>
            </w:r>
          </w:p>
        </w:tc>
        <w:tc>
          <w:tcPr>
            <w:tcW w:w="2499" w:type="dxa"/>
            <w:noWrap w:val="0"/>
            <w:vAlign w:val="center"/>
          </w:tcPr>
          <w:p>
            <w:pPr>
              <w:widowControl/>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目视无积尘、表面无虫网、无油渍、喷漆涂鸦、无关粘贴物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61" w:type="dxa"/>
          <w:cantSplit/>
          <w:trHeight w:val="448" w:hRule="atLeast"/>
        </w:trPr>
        <w:tc>
          <w:tcPr>
            <w:tcW w:w="468" w:type="dxa"/>
            <w:vMerge w:val="continue"/>
            <w:noWrap w:val="0"/>
            <w:vAlign w:val="center"/>
          </w:tcPr>
          <w:p>
            <w:pPr>
              <w:jc w:val="center"/>
              <w:rPr>
                <w:rFonts w:hint="eastAsia" w:ascii="宋体" w:hAnsi="宋体" w:eastAsia="宋体" w:cs="宋体"/>
                <w:color w:val="auto"/>
                <w:sz w:val="21"/>
                <w:szCs w:val="21"/>
                <w:highlight w:val="none"/>
              </w:rPr>
            </w:pPr>
          </w:p>
        </w:tc>
        <w:tc>
          <w:tcPr>
            <w:tcW w:w="1149" w:type="dxa"/>
            <w:vMerge w:val="continue"/>
            <w:noWrap w:val="0"/>
            <w:vAlign w:val="center"/>
          </w:tcPr>
          <w:p>
            <w:pPr>
              <w:jc w:val="center"/>
              <w:rPr>
                <w:rFonts w:hint="eastAsia" w:ascii="宋体" w:hAnsi="宋体" w:eastAsia="宋体" w:cs="宋体"/>
                <w:color w:val="auto"/>
                <w:sz w:val="21"/>
                <w:szCs w:val="21"/>
                <w:highlight w:val="none"/>
              </w:rPr>
            </w:pPr>
          </w:p>
        </w:tc>
        <w:tc>
          <w:tcPr>
            <w:tcW w:w="2277" w:type="dxa"/>
            <w:noWrap w:val="0"/>
            <w:vAlign w:val="center"/>
          </w:tcPr>
          <w:p>
            <w:pPr>
              <w:widowControl/>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天花板</w:t>
            </w:r>
          </w:p>
        </w:tc>
        <w:tc>
          <w:tcPr>
            <w:tcW w:w="2307" w:type="dxa"/>
            <w:noWrap w:val="0"/>
            <w:vAlign w:val="center"/>
          </w:tcPr>
          <w:p>
            <w:pPr>
              <w:widowControl/>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每季除尘一次</w:t>
            </w:r>
          </w:p>
        </w:tc>
        <w:tc>
          <w:tcPr>
            <w:tcW w:w="2499" w:type="dxa"/>
            <w:noWrap w:val="0"/>
            <w:vAlign w:val="center"/>
          </w:tcPr>
          <w:p>
            <w:pPr>
              <w:widowControl/>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目视无积尘、表面无虫网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61" w:type="dxa"/>
          <w:cantSplit/>
          <w:trHeight w:val="63" w:hRule="atLeast"/>
        </w:trPr>
        <w:tc>
          <w:tcPr>
            <w:tcW w:w="468" w:type="dxa"/>
            <w:vMerge w:val="continue"/>
            <w:noWrap w:val="0"/>
            <w:vAlign w:val="center"/>
          </w:tcPr>
          <w:p>
            <w:pPr>
              <w:jc w:val="center"/>
              <w:rPr>
                <w:rFonts w:hint="eastAsia" w:ascii="宋体" w:hAnsi="宋体" w:eastAsia="宋体" w:cs="宋体"/>
                <w:color w:val="auto"/>
                <w:sz w:val="21"/>
                <w:szCs w:val="21"/>
                <w:highlight w:val="none"/>
              </w:rPr>
            </w:pPr>
          </w:p>
        </w:tc>
        <w:tc>
          <w:tcPr>
            <w:tcW w:w="1149" w:type="dxa"/>
            <w:vMerge w:val="continue"/>
            <w:noWrap w:val="0"/>
            <w:vAlign w:val="center"/>
          </w:tcPr>
          <w:p>
            <w:pPr>
              <w:jc w:val="center"/>
              <w:rPr>
                <w:rFonts w:hint="eastAsia" w:ascii="宋体" w:hAnsi="宋体" w:eastAsia="宋体" w:cs="宋体"/>
                <w:color w:val="auto"/>
                <w:sz w:val="21"/>
                <w:szCs w:val="21"/>
                <w:highlight w:val="none"/>
              </w:rPr>
            </w:pPr>
          </w:p>
        </w:tc>
        <w:tc>
          <w:tcPr>
            <w:tcW w:w="2277" w:type="dxa"/>
            <w:noWrap w:val="0"/>
            <w:vAlign w:val="center"/>
          </w:tcPr>
          <w:p>
            <w:pPr>
              <w:widowControl/>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沙发</w:t>
            </w:r>
          </w:p>
        </w:tc>
        <w:tc>
          <w:tcPr>
            <w:tcW w:w="2307" w:type="dxa"/>
            <w:noWrap w:val="0"/>
            <w:vAlign w:val="center"/>
          </w:tcPr>
          <w:p>
            <w:pPr>
              <w:widowControl/>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每日擦拭、巡回保洁</w:t>
            </w:r>
          </w:p>
        </w:tc>
        <w:tc>
          <w:tcPr>
            <w:tcW w:w="2499" w:type="dxa"/>
            <w:noWrap w:val="0"/>
            <w:vAlign w:val="center"/>
          </w:tcPr>
          <w:p>
            <w:pPr>
              <w:widowControl/>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干净、整洁、定置、无积灰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61" w:type="dxa"/>
          <w:cantSplit/>
          <w:trHeight w:val="271" w:hRule="atLeast"/>
        </w:trPr>
        <w:tc>
          <w:tcPr>
            <w:tcW w:w="468" w:type="dxa"/>
            <w:vMerge w:val="continue"/>
            <w:noWrap w:val="0"/>
            <w:vAlign w:val="center"/>
          </w:tcPr>
          <w:p>
            <w:pPr>
              <w:jc w:val="center"/>
              <w:rPr>
                <w:rFonts w:hint="eastAsia" w:ascii="宋体" w:hAnsi="宋体" w:eastAsia="宋体" w:cs="宋体"/>
                <w:color w:val="auto"/>
                <w:sz w:val="21"/>
                <w:szCs w:val="21"/>
                <w:highlight w:val="none"/>
              </w:rPr>
            </w:pPr>
          </w:p>
        </w:tc>
        <w:tc>
          <w:tcPr>
            <w:tcW w:w="1149" w:type="dxa"/>
            <w:vMerge w:val="continue"/>
            <w:noWrap w:val="0"/>
            <w:vAlign w:val="center"/>
          </w:tcPr>
          <w:p>
            <w:pPr>
              <w:jc w:val="center"/>
              <w:rPr>
                <w:rFonts w:hint="eastAsia" w:ascii="宋体" w:hAnsi="宋体" w:eastAsia="宋体" w:cs="宋体"/>
                <w:color w:val="auto"/>
                <w:sz w:val="21"/>
                <w:szCs w:val="21"/>
                <w:highlight w:val="none"/>
              </w:rPr>
            </w:pPr>
          </w:p>
        </w:tc>
        <w:tc>
          <w:tcPr>
            <w:tcW w:w="2277" w:type="dxa"/>
            <w:noWrap w:val="0"/>
            <w:vAlign w:val="center"/>
          </w:tcPr>
          <w:p>
            <w:pPr>
              <w:widowControl/>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茶几、烟缸</w:t>
            </w:r>
          </w:p>
        </w:tc>
        <w:tc>
          <w:tcPr>
            <w:tcW w:w="2307" w:type="dxa"/>
            <w:noWrap w:val="0"/>
            <w:vAlign w:val="center"/>
          </w:tcPr>
          <w:p>
            <w:pPr>
              <w:widowControl/>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不断巡回保洁</w:t>
            </w:r>
          </w:p>
        </w:tc>
        <w:tc>
          <w:tcPr>
            <w:tcW w:w="2499" w:type="dxa"/>
            <w:noWrap w:val="0"/>
            <w:vAlign w:val="center"/>
          </w:tcPr>
          <w:p>
            <w:pPr>
              <w:widowControl/>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无油渍、保持干净、烟蒂不超5个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61" w:type="dxa"/>
          <w:cantSplit/>
          <w:trHeight w:val="88" w:hRule="atLeast"/>
        </w:trPr>
        <w:tc>
          <w:tcPr>
            <w:tcW w:w="468" w:type="dxa"/>
            <w:vMerge w:val="continue"/>
            <w:noWrap w:val="0"/>
            <w:vAlign w:val="center"/>
          </w:tcPr>
          <w:p>
            <w:pPr>
              <w:jc w:val="center"/>
              <w:rPr>
                <w:rFonts w:hint="eastAsia" w:ascii="宋体" w:hAnsi="宋体" w:eastAsia="宋体" w:cs="宋体"/>
                <w:color w:val="auto"/>
                <w:sz w:val="21"/>
                <w:szCs w:val="21"/>
                <w:highlight w:val="none"/>
              </w:rPr>
            </w:pPr>
          </w:p>
        </w:tc>
        <w:tc>
          <w:tcPr>
            <w:tcW w:w="1149" w:type="dxa"/>
            <w:vMerge w:val="continue"/>
            <w:noWrap w:val="0"/>
            <w:vAlign w:val="center"/>
          </w:tcPr>
          <w:p>
            <w:pPr>
              <w:jc w:val="center"/>
              <w:rPr>
                <w:rFonts w:hint="eastAsia" w:ascii="宋体" w:hAnsi="宋体" w:eastAsia="宋体" w:cs="宋体"/>
                <w:color w:val="auto"/>
                <w:sz w:val="21"/>
                <w:szCs w:val="21"/>
                <w:highlight w:val="none"/>
              </w:rPr>
            </w:pPr>
          </w:p>
        </w:tc>
        <w:tc>
          <w:tcPr>
            <w:tcW w:w="2277" w:type="dxa"/>
            <w:noWrap w:val="0"/>
            <w:vAlign w:val="center"/>
          </w:tcPr>
          <w:p>
            <w:pPr>
              <w:widowControl/>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玻璃（门，及门把）</w:t>
            </w:r>
          </w:p>
        </w:tc>
        <w:tc>
          <w:tcPr>
            <w:tcW w:w="2307" w:type="dxa"/>
            <w:noWrap w:val="0"/>
            <w:vAlign w:val="center"/>
          </w:tcPr>
          <w:p>
            <w:pPr>
              <w:widowControl/>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日常巡回保洁、每周清洗一次</w:t>
            </w:r>
          </w:p>
        </w:tc>
        <w:tc>
          <w:tcPr>
            <w:tcW w:w="2499" w:type="dxa"/>
            <w:noWrap w:val="0"/>
            <w:vAlign w:val="center"/>
          </w:tcPr>
          <w:p>
            <w:pPr>
              <w:widowControl/>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明亮、无印迹、油渍、无积灰、无喷漆涂鸦、无关粘贴物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61" w:type="dxa"/>
          <w:cantSplit/>
          <w:trHeight w:val="88" w:hRule="atLeast"/>
        </w:trPr>
        <w:tc>
          <w:tcPr>
            <w:tcW w:w="468" w:type="dxa"/>
            <w:vMerge w:val="continue"/>
            <w:noWrap w:val="0"/>
            <w:vAlign w:val="center"/>
          </w:tcPr>
          <w:p>
            <w:pPr>
              <w:jc w:val="center"/>
              <w:rPr>
                <w:rFonts w:hint="eastAsia" w:ascii="宋体" w:hAnsi="宋体" w:eastAsia="宋体" w:cs="宋体"/>
                <w:color w:val="auto"/>
                <w:sz w:val="21"/>
                <w:szCs w:val="21"/>
                <w:highlight w:val="none"/>
              </w:rPr>
            </w:pPr>
          </w:p>
        </w:tc>
        <w:tc>
          <w:tcPr>
            <w:tcW w:w="1149" w:type="dxa"/>
            <w:vMerge w:val="continue"/>
            <w:noWrap w:val="0"/>
            <w:vAlign w:val="center"/>
          </w:tcPr>
          <w:p>
            <w:pPr>
              <w:jc w:val="center"/>
              <w:rPr>
                <w:rFonts w:hint="eastAsia" w:ascii="宋体" w:hAnsi="宋体" w:eastAsia="宋体" w:cs="宋体"/>
                <w:color w:val="auto"/>
                <w:sz w:val="21"/>
                <w:szCs w:val="21"/>
                <w:highlight w:val="none"/>
              </w:rPr>
            </w:pPr>
          </w:p>
        </w:tc>
        <w:tc>
          <w:tcPr>
            <w:tcW w:w="2277" w:type="dxa"/>
            <w:noWrap w:val="0"/>
            <w:vAlign w:val="center"/>
          </w:tcPr>
          <w:p>
            <w:pPr>
              <w:widowControl/>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灯具、开关、索引牌、指示牌</w:t>
            </w:r>
          </w:p>
        </w:tc>
        <w:tc>
          <w:tcPr>
            <w:tcW w:w="2307" w:type="dxa"/>
            <w:noWrap w:val="0"/>
            <w:vAlign w:val="center"/>
          </w:tcPr>
          <w:p>
            <w:pPr>
              <w:widowControl/>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每月擦拭一次</w:t>
            </w:r>
          </w:p>
        </w:tc>
        <w:tc>
          <w:tcPr>
            <w:tcW w:w="2499" w:type="dxa"/>
            <w:noWrap w:val="0"/>
            <w:vAlign w:val="center"/>
          </w:tcPr>
          <w:p>
            <w:pPr>
              <w:widowControl/>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目视无积尘、表面无虫网、无喷漆涂鸦、无关粘贴物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61" w:type="dxa"/>
          <w:cantSplit/>
          <w:trHeight w:val="583" w:hRule="atLeast"/>
        </w:trPr>
        <w:tc>
          <w:tcPr>
            <w:tcW w:w="468" w:type="dxa"/>
            <w:vMerge w:val="restart"/>
            <w:noWrap w:val="0"/>
            <w:vAlign w:val="center"/>
          </w:tcPr>
          <w:p>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3</w:t>
            </w:r>
          </w:p>
        </w:tc>
        <w:tc>
          <w:tcPr>
            <w:tcW w:w="1149" w:type="dxa"/>
            <w:vMerge w:val="restart"/>
            <w:noWrap w:val="0"/>
            <w:vAlign w:val="center"/>
          </w:tcPr>
          <w:p>
            <w:pPr>
              <w:widowControl/>
              <w:jc w:val="center"/>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电梯轿厢</w:t>
            </w:r>
          </w:p>
          <w:p>
            <w:pPr>
              <w:widowControl/>
              <w:jc w:val="center"/>
              <w:textAlignment w:val="center"/>
              <w:rPr>
                <w:rFonts w:hint="eastAsia" w:ascii="宋体" w:hAnsi="宋体" w:eastAsia="宋体" w:cs="宋体"/>
                <w:color w:val="auto"/>
                <w:sz w:val="21"/>
                <w:szCs w:val="21"/>
                <w:highlight w:val="none"/>
              </w:rPr>
            </w:pPr>
          </w:p>
        </w:tc>
        <w:tc>
          <w:tcPr>
            <w:tcW w:w="2277" w:type="dxa"/>
            <w:noWrap w:val="0"/>
            <w:vAlign w:val="center"/>
          </w:tcPr>
          <w:p>
            <w:pPr>
              <w:widowControl/>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不锈钢制品</w:t>
            </w:r>
          </w:p>
        </w:tc>
        <w:tc>
          <w:tcPr>
            <w:tcW w:w="2307" w:type="dxa"/>
            <w:noWrap w:val="0"/>
            <w:vAlign w:val="center"/>
          </w:tcPr>
          <w:p>
            <w:pPr>
              <w:widowControl/>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每月保养一次、每周油布擦拭一次</w:t>
            </w:r>
          </w:p>
        </w:tc>
        <w:tc>
          <w:tcPr>
            <w:tcW w:w="2499" w:type="dxa"/>
            <w:noWrap w:val="0"/>
            <w:vAlign w:val="center"/>
          </w:tcPr>
          <w:p>
            <w:pPr>
              <w:widowControl/>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表面无积灰、印迹、明显油渍、无喷漆涂鸦、无关粘贴物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61" w:type="dxa"/>
          <w:cantSplit/>
          <w:trHeight w:val="605" w:hRule="atLeast"/>
        </w:trPr>
        <w:tc>
          <w:tcPr>
            <w:tcW w:w="468" w:type="dxa"/>
            <w:vMerge w:val="continue"/>
            <w:noWrap w:val="0"/>
            <w:vAlign w:val="center"/>
          </w:tcPr>
          <w:p>
            <w:pPr>
              <w:jc w:val="center"/>
              <w:rPr>
                <w:rFonts w:hint="eastAsia" w:ascii="宋体" w:hAnsi="宋体" w:eastAsia="宋体" w:cs="宋体"/>
                <w:color w:val="auto"/>
                <w:sz w:val="21"/>
                <w:szCs w:val="21"/>
                <w:highlight w:val="none"/>
              </w:rPr>
            </w:pPr>
          </w:p>
        </w:tc>
        <w:tc>
          <w:tcPr>
            <w:tcW w:w="1149" w:type="dxa"/>
            <w:vMerge w:val="continue"/>
            <w:noWrap w:val="0"/>
            <w:vAlign w:val="center"/>
          </w:tcPr>
          <w:p>
            <w:pPr>
              <w:jc w:val="center"/>
              <w:rPr>
                <w:rFonts w:hint="eastAsia" w:ascii="宋体" w:hAnsi="宋体" w:eastAsia="宋体" w:cs="宋体"/>
                <w:color w:val="auto"/>
                <w:sz w:val="21"/>
                <w:szCs w:val="21"/>
                <w:highlight w:val="none"/>
              </w:rPr>
            </w:pPr>
          </w:p>
        </w:tc>
        <w:tc>
          <w:tcPr>
            <w:tcW w:w="2277" w:type="dxa"/>
            <w:noWrap w:val="0"/>
            <w:vAlign w:val="center"/>
          </w:tcPr>
          <w:p>
            <w:pPr>
              <w:widowControl/>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地面</w:t>
            </w:r>
          </w:p>
        </w:tc>
        <w:tc>
          <w:tcPr>
            <w:tcW w:w="2307" w:type="dxa"/>
            <w:noWrap w:val="0"/>
            <w:vAlign w:val="center"/>
          </w:tcPr>
          <w:p>
            <w:pPr>
              <w:widowControl/>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每日清扫尘堆，巡回保洁</w:t>
            </w:r>
          </w:p>
        </w:tc>
        <w:tc>
          <w:tcPr>
            <w:tcW w:w="2499" w:type="dxa"/>
            <w:noWrap w:val="0"/>
            <w:vAlign w:val="center"/>
          </w:tcPr>
          <w:p>
            <w:pPr>
              <w:widowControl/>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无垃圾、杂物、污迹、无油渍、喷漆涂鸦、无关粘贴物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61" w:type="dxa"/>
          <w:cantSplit/>
          <w:trHeight w:val="88" w:hRule="atLeast"/>
        </w:trPr>
        <w:tc>
          <w:tcPr>
            <w:tcW w:w="468" w:type="dxa"/>
            <w:vMerge w:val="continue"/>
            <w:noWrap w:val="0"/>
            <w:vAlign w:val="center"/>
          </w:tcPr>
          <w:p>
            <w:pPr>
              <w:jc w:val="center"/>
              <w:rPr>
                <w:rFonts w:hint="eastAsia" w:ascii="宋体" w:hAnsi="宋体" w:eastAsia="宋体" w:cs="宋体"/>
                <w:color w:val="auto"/>
                <w:sz w:val="21"/>
                <w:szCs w:val="21"/>
                <w:highlight w:val="none"/>
              </w:rPr>
            </w:pPr>
          </w:p>
        </w:tc>
        <w:tc>
          <w:tcPr>
            <w:tcW w:w="1149" w:type="dxa"/>
            <w:vMerge w:val="continue"/>
            <w:noWrap w:val="0"/>
            <w:vAlign w:val="center"/>
          </w:tcPr>
          <w:p>
            <w:pPr>
              <w:jc w:val="center"/>
              <w:rPr>
                <w:rFonts w:hint="eastAsia" w:ascii="宋体" w:hAnsi="宋体" w:eastAsia="宋体" w:cs="宋体"/>
                <w:color w:val="auto"/>
                <w:sz w:val="21"/>
                <w:szCs w:val="21"/>
                <w:highlight w:val="none"/>
              </w:rPr>
            </w:pPr>
          </w:p>
        </w:tc>
        <w:tc>
          <w:tcPr>
            <w:tcW w:w="2277" w:type="dxa"/>
            <w:noWrap w:val="0"/>
            <w:vAlign w:val="center"/>
          </w:tcPr>
          <w:p>
            <w:pPr>
              <w:widowControl/>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轿厢内壁（按键）</w:t>
            </w:r>
          </w:p>
        </w:tc>
        <w:tc>
          <w:tcPr>
            <w:tcW w:w="2307" w:type="dxa"/>
            <w:noWrap w:val="0"/>
            <w:vAlign w:val="center"/>
          </w:tcPr>
          <w:p>
            <w:pPr>
              <w:widowControl/>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每周油布擦拭</w:t>
            </w:r>
          </w:p>
        </w:tc>
        <w:tc>
          <w:tcPr>
            <w:tcW w:w="2499" w:type="dxa"/>
            <w:noWrap w:val="0"/>
            <w:vAlign w:val="center"/>
          </w:tcPr>
          <w:p>
            <w:pPr>
              <w:widowControl/>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无油渍、污渍、表面光亮、无喷漆涂鸦、无关粘贴物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61" w:type="dxa"/>
          <w:cantSplit/>
          <w:trHeight w:val="213" w:hRule="atLeast"/>
        </w:trPr>
        <w:tc>
          <w:tcPr>
            <w:tcW w:w="468" w:type="dxa"/>
            <w:vMerge w:val="continue"/>
            <w:noWrap w:val="0"/>
            <w:vAlign w:val="center"/>
          </w:tcPr>
          <w:p>
            <w:pPr>
              <w:jc w:val="center"/>
              <w:rPr>
                <w:rFonts w:hint="eastAsia" w:ascii="宋体" w:hAnsi="宋体" w:eastAsia="宋体" w:cs="宋体"/>
                <w:color w:val="auto"/>
                <w:sz w:val="21"/>
                <w:szCs w:val="21"/>
                <w:highlight w:val="none"/>
              </w:rPr>
            </w:pPr>
          </w:p>
        </w:tc>
        <w:tc>
          <w:tcPr>
            <w:tcW w:w="1149" w:type="dxa"/>
            <w:vMerge w:val="continue"/>
            <w:noWrap w:val="0"/>
            <w:vAlign w:val="center"/>
          </w:tcPr>
          <w:p>
            <w:pPr>
              <w:jc w:val="center"/>
              <w:rPr>
                <w:rFonts w:hint="eastAsia" w:ascii="宋体" w:hAnsi="宋体" w:eastAsia="宋体" w:cs="宋体"/>
                <w:color w:val="auto"/>
                <w:sz w:val="21"/>
                <w:szCs w:val="21"/>
                <w:highlight w:val="none"/>
              </w:rPr>
            </w:pPr>
          </w:p>
        </w:tc>
        <w:tc>
          <w:tcPr>
            <w:tcW w:w="2277" w:type="dxa"/>
            <w:noWrap w:val="0"/>
            <w:vAlign w:val="center"/>
          </w:tcPr>
          <w:p>
            <w:pPr>
              <w:widowControl/>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镜面</w:t>
            </w:r>
          </w:p>
        </w:tc>
        <w:tc>
          <w:tcPr>
            <w:tcW w:w="2307" w:type="dxa"/>
            <w:noWrap w:val="0"/>
            <w:vAlign w:val="center"/>
          </w:tcPr>
          <w:p>
            <w:pPr>
              <w:widowControl/>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每</w:t>
            </w:r>
            <w:r>
              <w:rPr>
                <w:rFonts w:hint="eastAsia" w:ascii="宋体" w:hAnsi="宋体" w:eastAsia="宋体" w:cs="宋体"/>
                <w:color w:val="auto"/>
                <w:kern w:val="0"/>
                <w:sz w:val="21"/>
                <w:szCs w:val="21"/>
                <w:highlight w:val="none"/>
                <w:lang w:val="en-US" w:eastAsia="zh-CN" w:bidi="ar"/>
              </w:rPr>
              <w:t>两</w:t>
            </w:r>
            <w:r>
              <w:rPr>
                <w:rFonts w:hint="eastAsia" w:ascii="宋体" w:hAnsi="宋体" w:eastAsia="宋体" w:cs="宋体"/>
                <w:color w:val="auto"/>
                <w:kern w:val="0"/>
                <w:sz w:val="21"/>
                <w:szCs w:val="21"/>
                <w:highlight w:val="none"/>
                <w:lang w:bidi="ar"/>
              </w:rPr>
              <w:t>日擦拭一次</w:t>
            </w:r>
          </w:p>
        </w:tc>
        <w:tc>
          <w:tcPr>
            <w:tcW w:w="2499" w:type="dxa"/>
            <w:noWrap w:val="0"/>
            <w:vAlign w:val="center"/>
          </w:tcPr>
          <w:p>
            <w:pPr>
              <w:widowControl/>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明亮、无印迹、无喷漆涂鸦、无关粘贴物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61" w:type="dxa"/>
          <w:cantSplit/>
          <w:trHeight w:val="304" w:hRule="atLeast"/>
        </w:trPr>
        <w:tc>
          <w:tcPr>
            <w:tcW w:w="468" w:type="dxa"/>
            <w:vMerge w:val="restart"/>
            <w:noWrap w:val="0"/>
            <w:vAlign w:val="center"/>
          </w:tcPr>
          <w:p>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4</w:t>
            </w:r>
          </w:p>
        </w:tc>
        <w:tc>
          <w:tcPr>
            <w:tcW w:w="1149" w:type="dxa"/>
            <w:vMerge w:val="restart"/>
            <w:noWrap w:val="0"/>
            <w:vAlign w:val="center"/>
          </w:tcPr>
          <w:p>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各楼栋楼层走廊通道及</w:t>
            </w:r>
            <w:r>
              <w:rPr>
                <w:rFonts w:hint="eastAsia" w:ascii="宋体" w:hAnsi="宋体" w:eastAsia="宋体" w:cs="宋体"/>
                <w:color w:val="auto"/>
                <w:kern w:val="0"/>
                <w:sz w:val="21"/>
                <w:szCs w:val="21"/>
                <w:highlight w:val="none"/>
                <w:lang w:bidi="ar"/>
              </w:rPr>
              <w:t>消防楼梯</w:t>
            </w:r>
          </w:p>
        </w:tc>
        <w:tc>
          <w:tcPr>
            <w:tcW w:w="2277" w:type="dxa"/>
            <w:noWrap w:val="0"/>
            <w:vAlign w:val="center"/>
          </w:tcPr>
          <w:p>
            <w:pPr>
              <w:widowControl/>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地面、台阶</w:t>
            </w:r>
          </w:p>
        </w:tc>
        <w:tc>
          <w:tcPr>
            <w:tcW w:w="2307" w:type="dxa"/>
            <w:noWrap w:val="0"/>
            <w:vAlign w:val="center"/>
          </w:tcPr>
          <w:p>
            <w:pPr>
              <w:widowControl/>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每日清扫一次、每周拖擦</w:t>
            </w:r>
          </w:p>
        </w:tc>
        <w:tc>
          <w:tcPr>
            <w:tcW w:w="2499" w:type="dxa"/>
            <w:noWrap w:val="0"/>
            <w:vAlign w:val="center"/>
          </w:tcPr>
          <w:p>
            <w:pPr>
              <w:widowControl/>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无垃圾、杂物，无污渍、无喷漆涂鸦、无关粘贴物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61" w:type="dxa"/>
          <w:cantSplit/>
          <w:trHeight w:val="472" w:hRule="atLeast"/>
        </w:trPr>
        <w:tc>
          <w:tcPr>
            <w:tcW w:w="468" w:type="dxa"/>
            <w:vMerge w:val="continue"/>
            <w:noWrap w:val="0"/>
            <w:vAlign w:val="center"/>
          </w:tcPr>
          <w:p>
            <w:pPr>
              <w:jc w:val="center"/>
              <w:rPr>
                <w:rFonts w:hint="eastAsia" w:ascii="宋体" w:hAnsi="宋体" w:eastAsia="宋体" w:cs="宋体"/>
                <w:color w:val="auto"/>
                <w:sz w:val="21"/>
                <w:szCs w:val="21"/>
                <w:highlight w:val="none"/>
              </w:rPr>
            </w:pPr>
          </w:p>
        </w:tc>
        <w:tc>
          <w:tcPr>
            <w:tcW w:w="1149" w:type="dxa"/>
            <w:vMerge w:val="continue"/>
            <w:noWrap w:val="0"/>
            <w:vAlign w:val="center"/>
          </w:tcPr>
          <w:p>
            <w:pPr>
              <w:jc w:val="center"/>
              <w:rPr>
                <w:rFonts w:hint="eastAsia" w:ascii="宋体" w:hAnsi="宋体" w:eastAsia="宋体" w:cs="宋体"/>
                <w:color w:val="auto"/>
                <w:sz w:val="21"/>
                <w:szCs w:val="21"/>
                <w:highlight w:val="none"/>
              </w:rPr>
            </w:pPr>
          </w:p>
        </w:tc>
        <w:tc>
          <w:tcPr>
            <w:tcW w:w="2277" w:type="dxa"/>
            <w:noWrap w:val="0"/>
            <w:vAlign w:val="center"/>
          </w:tcPr>
          <w:p>
            <w:pPr>
              <w:widowControl/>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楼梯扶手</w:t>
            </w:r>
          </w:p>
        </w:tc>
        <w:tc>
          <w:tcPr>
            <w:tcW w:w="2307" w:type="dxa"/>
            <w:noWrap w:val="0"/>
            <w:vAlign w:val="center"/>
          </w:tcPr>
          <w:p>
            <w:pPr>
              <w:widowControl/>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每周保养一次</w:t>
            </w:r>
          </w:p>
        </w:tc>
        <w:tc>
          <w:tcPr>
            <w:tcW w:w="2499" w:type="dxa"/>
            <w:noWrap w:val="0"/>
            <w:vAlign w:val="center"/>
          </w:tcPr>
          <w:p>
            <w:pPr>
              <w:widowControl/>
              <w:ind w:firstLine="420" w:firstLineChars="200"/>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保持扶手干净、明亮、无油渍、积灰、无喷漆涂鸦、无关粘贴物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61" w:type="dxa"/>
          <w:cantSplit/>
          <w:trHeight w:val="450" w:hRule="atLeast"/>
        </w:trPr>
        <w:tc>
          <w:tcPr>
            <w:tcW w:w="468" w:type="dxa"/>
            <w:vMerge w:val="continue"/>
            <w:noWrap w:val="0"/>
            <w:vAlign w:val="center"/>
          </w:tcPr>
          <w:p>
            <w:pPr>
              <w:jc w:val="center"/>
              <w:rPr>
                <w:rFonts w:hint="eastAsia" w:ascii="宋体" w:hAnsi="宋体" w:eastAsia="宋体" w:cs="宋体"/>
                <w:color w:val="auto"/>
                <w:sz w:val="21"/>
                <w:szCs w:val="21"/>
                <w:highlight w:val="none"/>
              </w:rPr>
            </w:pPr>
          </w:p>
        </w:tc>
        <w:tc>
          <w:tcPr>
            <w:tcW w:w="1149" w:type="dxa"/>
            <w:vMerge w:val="continue"/>
            <w:noWrap w:val="0"/>
            <w:vAlign w:val="center"/>
          </w:tcPr>
          <w:p>
            <w:pPr>
              <w:jc w:val="center"/>
              <w:rPr>
                <w:rFonts w:hint="eastAsia" w:ascii="宋体" w:hAnsi="宋体" w:eastAsia="宋体" w:cs="宋体"/>
                <w:color w:val="auto"/>
                <w:sz w:val="21"/>
                <w:szCs w:val="21"/>
                <w:highlight w:val="none"/>
              </w:rPr>
            </w:pPr>
          </w:p>
        </w:tc>
        <w:tc>
          <w:tcPr>
            <w:tcW w:w="2277" w:type="dxa"/>
            <w:noWrap w:val="0"/>
            <w:vAlign w:val="center"/>
          </w:tcPr>
          <w:p>
            <w:pPr>
              <w:widowControl/>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指示灯、开关、墙面</w:t>
            </w:r>
          </w:p>
        </w:tc>
        <w:tc>
          <w:tcPr>
            <w:tcW w:w="2307" w:type="dxa"/>
            <w:noWrap w:val="0"/>
            <w:vAlign w:val="center"/>
          </w:tcPr>
          <w:p>
            <w:pPr>
              <w:widowControl/>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每月擦拭一次</w:t>
            </w:r>
          </w:p>
        </w:tc>
        <w:tc>
          <w:tcPr>
            <w:tcW w:w="2499" w:type="dxa"/>
            <w:noWrap w:val="0"/>
            <w:vAlign w:val="center"/>
          </w:tcPr>
          <w:p>
            <w:pPr>
              <w:widowControl/>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目视表面无明显油渍、积灰、虫网、无喷漆涂鸦、无关粘贴物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61" w:type="dxa"/>
          <w:cantSplit/>
          <w:trHeight w:val="456" w:hRule="atLeast"/>
        </w:trPr>
        <w:tc>
          <w:tcPr>
            <w:tcW w:w="468" w:type="dxa"/>
            <w:vMerge w:val="continue"/>
            <w:noWrap w:val="0"/>
            <w:vAlign w:val="center"/>
          </w:tcPr>
          <w:p>
            <w:pPr>
              <w:jc w:val="center"/>
              <w:rPr>
                <w:rFonts w:hint="eastAsia" w:ascii="宋体" w:hAnsi="宋体" w:eastAsia="宋体" w:cs="宋体"/>
                <w:color w:val="auto"/>
                <w:sz w:val="21"/>
                <w:szCs w:val="21"/>
                <w:highlight w:val="none"/>
              </w:rPr>
            </w:pPr>
          </w:p>
        </w:tc>
        <w:tc>
          <w:tcPr>
            <w:tcW w:w="1149" w:type="dxa"/>
            <w:vMerge w:val="continue"/>
            <w:noWrap w:val="0"/>
            <w:vAlign w:val="center"/>
          </w:tcPr>
          <w:p>
            <w:pPr>
              <w:jc w:val="center"/>
              <w:rPr>
                <w:rFonts w:hint="eastAsia" w:ascii="宋体" w:hAnsi="宋体" w:eastAsia="宋体" w:cs="宋体"/>
                <w:color w:val="auto"/>
                <w:sz w:val="21"/>
                <w:szCs w:val="21"/>
                <w:highlight w:val="none"/>
              </w:rPr>
            </w:pPr>
          </w:p>
        </w:tc>
        <w:tc>
          <w:tcPr>
            <w:tcW w:w="2277" w:type="dxa"/>
            <w:noWrap w:val="0"/>
            <w:vAlign w:val="center"/>
          </w:tcPr>
          <w:p>
            <w:pPr>
              <w:widowControl/>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垃圾箱（烟筒）</w:t>
            </w:r>
          </w:p>
        </w:tc>
        <w:tc>
          <w:tcPr>
            <w:tcW w:w="2307" w:type="dxa"/>
            <w:noWrap w:val="0"/>
            <w:vAlign w:val="center"/>
          </w:tcPr>
          <w:p>
            <w:pPr>
              <w:widowControl/>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每日清理垃圾一次、每周清洗一次</w:t>
            </w:r>
          </w:p>
        </w:tc>
        <w:tc>
          <w:tcPr>
            <w:tcW w:w="2499" w:type="dxa"/>
            <w:noWrap w:val="0"/>
            <w:vAlign w:val="center"/>
          </w:tcPr>
          <w:p>
            <w:pPr>
              <w:widowControl/>
              <w:ind w:firstLine="420" w:firstLineChars="200"/>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保持干净无异味、无明显积灰，无油渍、喷漆涂鸦、无关粘贴物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61" w:type="dxa"/>
          <w:cantSplit/>
          <w:trHeight w:val="389" w:hRule="atLeast"/>
        </w:trPr>
        <w:tc>
          <w:tcPr>
            <w:tcW w:w="468" w:type="dxa"/>
            <w:vMerge w:val="continue"/>
            <w:noWrap w:val="0"/>
            <w:vAlign w:val="center"/>
          </w:tcPr>
          <w:p>
            <w:pPr>
              <w:jc w:val="center"/>
              <w:rPr>
                <w:rFonts w:hint="eastAsia" w:ascii="宋体" w:hAnsi="宋体" w:eastAsia="宋体" w:cs="宋体"/>
                <w:color w:val="auto"/>
                <w:sz w:val="21"/>
                <w:szCs w:val="21"/>
                <w:highlight w:val="none"/>
              </w:rPr>
            </w:pPr>
          </w:p>
        </w:tc>
        <w:tc>
          <w:tcPr>
            <w:tcW w:w="1149" w:type="dxa"/>
            <w:vMerge w:val="continue"/>
            <w:noWrap w:val="0"/>
            <w:vAlign w:val="center"/>
          </w:tcPr>
          <w:p>
            <w:pPr>
              <w:jc w:val="center"/>
              <w:rPr>
                <w:rFonts w:hint="eastAsia" w:ascii="宋体" w:hAnsi="宋体" w:eastAsia="宋体" w:cs="宋体"/>
                <w:color w:val="auto"/>
                <w:sz w:val="21"/>
                <w:szCs w:val="21"/>
                <w:highlight w:val="none"/>
              </w:rPr>
            </w:pPr>
          </w:p>
        </w:tc>
        <w:tc>
          <w:tcPr>
            <w:tcW w:w="2277" w:type="dxa"/>
            <w:noWrap w:val="0"/>
            <w:vAlign w:val="center"/>
          </w:tcPr>
          <w:p>
            <w:pPr>
              <w:widowControl/>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门</w:t>
            </w:r>
          </w:p>
        </w:tc>
        <w:tc>
          <w:tcPr>
            <w:tcW w:w="2307" w:type="dxa"/>
            <w:noWrap w:val="0"/>
            <w:vAlign w:val="center"/>
          </w:tcPr>
          <w:p>
            <w:pPr>
              <w:widowControl/>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每周擦拭一次</w:t>
            </w:r>
          </w:p>
        </w:tc>
        <w:tc>
          <w:tcPr>
            <w:tcW w:w="2499" w:type="dxa"/>
            <w:noWrap w:val="0"/>
            <w:vAlign w:val="center"/>
          </w:tcPr>
          <w:p>
            <w:pPr>
              <w:widowControl/>
              <w:ind w:firstLine="420" w:firstLineChars="200"/>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无油渍、积灰、污渍、无喷漆涂鸦、无关粘贴物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61" w:type="dxa"/>
          <w:cantSplit/>
          <w:trHeight w:val="189" w:hRule="atLeast"/>
        </w:trPr>
        <w:tc>
          <w:tcPr>
            <w:tcW w:w="468" w:type="dxa"/>
            <w:vMerge w:val="restart"/>
            <w:noWrap w:val="0"/>
            <w:vAlign w:val="center"/>
          </w:tcPr>
          <w:p>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5</w:t>
            </w:r>
          </w:p>
        </w:tc>
        <w:tc>
          <w:tcPr>
            <w:tcW w:w="1149" w:type="dxa"/>
            <w:vMerge w:val="restart"/>
            <w:noWrap w:val="0"/>
            <w:vAlign w:val="center"/>
          </w:tcPr>
          <w:p>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办公楼</w:t>
            </w:r>
          </w:p>
        </w:tc>
        <w:tc>
          <w:tcPr>
            <w:tcW w:w="2277" w:type="dxa"/>
            <w:noWrap w:val="0"/>
            <w:vAlign w:val="center"/>
          </w:tcPr>
          <w:p>
            <w:pPr>
              <w:widowControl/>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室内地面、楼层走廊、电梯门厅、通道地面、会议室、活动室、阅览室等</w:t>
            </w:r>
          </w:p>
        </w:tc>
        <w:tc>
          <w:tcPr>
            <w:tcW w:w="2307" w:type="dxa"/>
            <w:noWrap w:val="0"/>
            <w:vAlign w:val="center"/>
          </w:tcPr>
          <w:p>
            <w:pPr>
              <w:widowControl/>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每日清扫、拖擦一次，巡回保洁无垃圾</w:t>
            </w:r>
          </w:p>
        </w:tc>
        <w:tc>
          <w:tcPr>
            <w:tcW w:w="2499" w:type="dxa"/>
            <w:noWrap w:val="0"/>
            <w:vAlign w:val="center"/>
          </w:tcPr>
          <w:p>
            <w:pPr>
              <w:widowControl/>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无污渍、水迹，目视表面无明显油渍、积灰、无喷漆涂鸦、无关粘贴物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61" w:type="dxa"/>
          <w:cantSplit/>
          <w:trHeight w:val="189" w:hRule="atLeast"/>
        </w:trPr>
        <w:tc>
          <w:tcPr>
            <w:tcW w:w="468" w:type="dxa"/>
            <w:vMerge w:val="continue"/>
            <w:noWrap w:val="0"/>
            <w:vAlign w:val="center"/>
          </w:tcPr>
          <w:p>
            <w:pPr>
              <w:jc w:val="center"/>
              <w:rPr>
                <w:rFonts w:hint="eastAsia" w:ascii="宋体" w:hAnsi="宋体" w:eastAsia="宋体" w:cs="宋体"/>
                <w:color w:val="auto"/>
                <w:sz w:val="21"/>
                <w:szCs w:val="21"/>
                <w:highlight w:val="none"/>
              </w:rPr>
            </w:pPr>
          </w:p>
        </w:tc>
        <w:tc>
          <w:tcPr>
            <w:tcW w:w="1149" w:type="dxa"/>
            <w:vMerge w:val="continue"/>
            <w:noWrap w:val="0"/>
            <w:vAlign w:val="center"/>
          </w:tcPr>
          <w:p>
            <w:pPr>
              <w:jc w:val="center"/>
              <w:rPr>
                <w:rFonts w:hint="eastAsia" w:ascii="宋体" w:hAnsi="宋体" w:eastAsia="宋体" w:cs="宋体"/>
                <w:color w:val="auto"/>
                <w:sz w:val="21"/>
                <w:szCs w:val="21"/>
                <w:highlight w:val="none"/>
              </w:rPr>
            </w:pPr>
          </w:p>
        </w:tc>
        <w:tc>
          <w:tcPr>
            <w:tcW w:w="2277" w:type="dxa"/>
            <w:noWrap w:val="0"/>
            <w:vAlign w:val="center"/>
          </w:tcPr>
          <w:p>
            <w:pPr>
              <w:widowControl/>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灯、天花板</w:t>
            </w:r>
          </w:p>
        </w:tc>
        <w:tc>
          <w:tcPr>
            <w:tcW w:w="2307" w:type="dxa"/>
            <w:noWrap w:val="0"/>
            <w:vAlign w:val="center"/>
          </w:tcPr>
          <w:p>
            <w:pPr>
              <w:widowControl/>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每月除尘一次</w:t>
            </w:r>
          </w:p>
        </w:tc>
        <w:tc>
          <w:tcPr>
            <w:tcW w:w="2499" w:type="dxa"/>
            <w:noWrap w:val="0"/>
            <w:vAlign w:val="center"/>
          </w:tcPr>
          <w:p>
            <w:pPr>
              <w:widowControl/>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目视表面无明显积灰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61" w:type="dxa"/>
          <w:cantSplit/>
          <w:trHeight w:val="189" w:hRule="atLeast"/>
        </w:trPr>
        <w:tc>
          <w:tcPr>
            <w:tcW w:w="468" w:type="dxa"/>
            <w:vMerge w:val="continue"/>
            <w:noWrap w:val="0"/>
            <w:vAlign w:val="center"/>
          </w:tcPr>
          <w:p>
            <w:pPr>
              <w:jc w:val="center"/>
              <w:rPr>
                <w:rFonts w:hint="eastAsia" w:ascii="宋体" w:hAnsi="宋体" w:eastAsia="宋体" w:cs="宋体"/>
                <w:color w:val="auto"/>
                <w:sz w:val="21"/>
                <w:szCs w:val="21"/>
                <w:highlight w:val="none"/>
              </w:rPr>
            </w:pPr>
          </w:p>
        </w:tc>
        <w:tc>
          <w:tcPr>
            <w:tcW w:w="1149" w:type="dxa"/>
            <w:vMerge w:val="continue"/>
            <w:noWrap w:val="0"/>
            <w:vAlign w:val="center"/>
          </w:tcPr>
          <w:p>
            <w:pPr>
              <w:jc w:val="center"/>
              <w:rPr>
                <w:rFonts w:hint="eastAsia" w:ascii="宋体" w:hAnsi="宋体" w:eastAsia="宋体" w:cs="宋体"/>
                <w:color w:val="auto"/>
                <w:sz w:val="21"/>
                <w:szCs w:val="21"/>
                <w:highlight w:val="none"/>
              </w:rPr>
            </w:pPr>
          </w:p>
        </w:tc>
        <w:tc>
          <w:tcPr>
            <w:tcW w:w="2277" w:type="dxa"/>
            <w:noWrap w:val="0"/>
            <w:vAlign w:val="center"/>
          </w:tcPr>
          <w:p>
            <w:pPr>
              <w:widowControl/>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楼层玻璃</w:t>
            </w:r>
          </w:p>
        </w:tc>
        <w:tc>
          <w:tcPr>
            <w:tcW w:w="2307" w:type="dxa"/>
            <w:noWrap w:val="0"/>
            <w:vAlign w:val="center"/>
          </w:tcPr>
          <w:p>
            <w:pPr>
              <w:widowControl/>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每周清洗一次（内、外侧）</w:t>
            </w:r>
          </w:p>
        </w:tc>
        <w:tc>
          <w:tcPr>
            <w:tcW w:w="2499" w:type="dxa"/>
            <w:noWrap w:val="0"/>
            <w:vAlign w:val="center"/>
          </w:tcPr>
          <w:p>
            <w:pPr>
              <w:widowControl/>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无积灰（发现污渍及时清除）、无喷漆涂鸦、无关粘贴物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61" w:type="dxa"/>
          <w:cantSplit/>
          <w:trHeight w:val="189" w:hRule="atLeast"/>
        </w:trPr>
        <w:tc>
          <w:tcPr>
            <w:tcW w:w="468" w:type="dxa"/>
            <w:vMerge w:val="continue"/>
            <w:noWrap w:val="0"/>
            <w:vAlign w:val="center"/>
          </w:tcPr>
          <w:p>
            <w:pPr>
              <w:jc w:val="center"/>
              <w:rPr>
                <w:rFonts w:hint="eastAsia" w:ascii="宋体" w:hAnsi="宋体" w:eastAsia="宋体" w:cs="宋体"/>
                <w:color w:val="auto"/>
                <w:sz w:val="21"/>
                <w:szCs w:val="21"/>
                <w:highlight w:val="none"/>
              </w:rPr>
            </w:pPr>
          </w:p>
        </w:tc>
        <w:tc>
          <w:tcPr>
            <w:tcW w:w="1149" w:type="dxa"/>
            <w:vMerge w:val="continue"/>
            <w:noWrap w:val="0"/>
            <w:vAlign w:val="center"/>
          </w:tcPr>
          <w:p>
            <w:pPr>
              <w:jc w:val="center"/>
              <w:rPr>
                <w:rFonts w:hint="eastAsia" w:ascii="宋体" w:hAnsi="宋体" w:eastAsia="宋体" w:cs="宋体"/>
                <w:color w:val="auto"/>
                <w:sz w:val="21"/>
                <w:szCs w:val="21"/>
                <w:highlight w:val="none"/>
              </w:rPr>
            </w:pPr>
          </w:p>
        </w:tc>
        <w:tc>
          <w:tcPr>
            <w:tcW w:w="2277" w:type="dxa"/>
            <w:noWrap w:val="0"/>
            <w:vAlign w:val="center"/>
          </w:tcPr>
          <w:p>
            <w:pPr>
              <w:widowControl/>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窗框</w:t>
            </w:r>
          </w:p>
        </w:tc>
        <w:tc>
          <w:tcPr>
            <w:tcW w:w="2307" w:type="dxa"/>
            <w:noWrap w:val="0"/>
            <w:vAlign w:val="center"/>
          </w:tcPr>
          <w:p>
            <w:pPr>
              <w:widowControl/>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每周擦拭一次</w:t>
            </w:r>
          </w:p>
        </w:tc>
        <w:tc>
          <w:tcPr>
            <w:tcW w:w="2499" w:type="dxa"/>
            <w:noWrap w:val="0"/>
            <w:vAlign w:val="center"/>
          </w:tcPr>
          <w:p>
            <w:pPr>
              <w:widowControl/>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无积灰、无喷漆涂鸦、无关粘贴物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61" w:type="dxa"/>
          <w:cantSplit/>
          <w:trHeight w:val="408" w:hRule="atLeast"/>
        </w:trPr>
        <w:tc>
          <w:tcPr>
            <w:tcW w:w="468" w:type="dxa"/>
            <w:vMerge w:val="continue"/>
            <w:noWrap w:val="0"/>
            <w:vAlign w:val="center"/>
          </w:tcPr>
          <w:p>
            <w:pPr>
              <w:jc w:val="center"/>
              <w:rPr>
                <w:rFonts w:hint="eastAsia" w:ascii="宋体" w:hAnsi="宋体" w:eastAsia="宋体" w:cs="宋体"/>
                <w:color w:val="auto"/>
                <w:sz w:val="21"/>
                <w:szCs w:val="21"/>
                <w:highlight w:val="none"/>
              </w:rPr>
            </w:pPr>
          </w:p>
        </w:tc>
        <w:tc>
          <w:tcPr>
            <w:tcW w:w="1149" w:type="dxa"/>
            <w:vMerge w:val="continue"/>
            <w:noWrap w:val="0"/>
            <w:vAlign w:val="center"/>
          </w:tcPr>
          <w:p>
            <w:pPr>
              <w:jc w:val="center"/>
              <w:rPr>
                <w:rFonts w:hint="eastAsia" w:ascii="宋体" w:hAnsi="宋体" w:eastAsia="宋体" w:cs="宋体"/>
                <w:color w:val="auto"/>
                <w:sz w:val="21"/>
                <w:szCs w:val="21"/>
                <w:highlight w:val="none"/>
              </w:rPr>
            </w:pPr>
          </w:p>
        </w:tc>
        <w:tc>
          <w:tcPr>
            <w:tcW w:w="2277" w:type="dxa"/>
            <w:noWrap w:val="0"/>
            <w:vAlign w:val="center"/>
          </w:tcPr>
          <w:p>
            <w:pPr>
              <w:widowControl/>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窗台</w:t>
            </w:r>
          </w:p>
        </w:tc>
        <w:tc>
          <w:tcPr>
            <w:tcW w:w="2307" w:type="dxa"/>
            <w:noWrap w:val="0"/>
            <w:vAlign w:val="center"/>
          </w:tcPr>
          <w:p>
            <w:pPr>
              <w:widowControl/>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隔日擦拭一次</w:t>
            </w:r>
          </w:p>
        </w:tc>
        <w:tc>
          <w:tcPr>
            <w:tcW w:w="2499" w:type="dxa"/>
            <w:noWrap w:val="0"/>
            <w:vAlign w:val="center"/>
          </w:tcPr>
          <w:p>
            <w:pPr>
              <w:widowControl/>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无积灰、无喷漆涂鸦、无关粘贴物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61" w:type="dxa"/>
          <w:cantSplit/>
          <w:trHeight w:val="189" w:hRule="atLeast"/>
        </w:trPr>
        <w:tc>
          <w:tcPr>
            <w:tcW w:w="468" w:type="dxa"/>
            <w:vMerge w:val="continue"/>
            <w:noWrap w:val="0"/>
            <w:vAlign w:val="center"/>
          </w:tcPr>
          <w:p>
            <w:pPr>
              <w:jc w:val="center"/>
              <w:rPr>
                <w:rFonts w:hint="eastAsia" w:ascii="宋体" w:hAnsi="宋体" w:eastAsia="宋体" w:cs="宋体"/>
                <w:color w:val="auto"/>
                <w:sz w:val="21"/>
                <w:szCs w:val="21"/>
                <w:highlight w:val="none"/>
              </w:rPr>
            </w:pPr>
          </w:p>
        </w:tc>
        <w:tc>
          <w:tcPr>
            <w:tcW w:w="1149" w:type="dxa"/>
            <w:vMerge w:val="continue"/>
            <w:noWrap w:val="0"/>
            <w:vAlign w:val="center"/>
          </w:tcPr>
          <w:p>
            <w:pPr>
              <w:jc w:val="center"/>
              <w:rPr>
                <w:rFonts w:hint="eastAsia" w:ascii="宋体" w:hAnsi="宋体" w:eastAsia="宋体" w:cs="宋体"/>
                <w:color w:val="auto"/>
                <w:sz w:val="21"/>
                <w:szCs w:val="21"/>
                <w:highlight w:val="none"/>
              </w:rPr>
            </w:pPr>
          </w:p>
        </w:tc>
        <w:tc>
          <w:tcPr>
            <w:tcW w:w="2277" w:type="dxa"/>
            <w:noWrap w:val="0"/>
            <w:vAlign w:val="center"/>
          </w:tcPr>
          <w:p>
            <w:pPr>
              <w:widowControl/>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消防箱</w:t>
            </w:r>
          </w:p>
        </w:tc>
        <w:tc>
          <w:tcPr>
            <w:tcW w:w="2307" w:type="dxa"/>
            <w:noWrap w:val="0"/>
            <w:vAlign w:val="center"/>
          </w:tcPr>
          <w:p>
            <w:pPr>
              <w:widowControl/>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外表隔日擦拭一次，内部每周擦拭一次</w:t>
            </w:r>
          </w:p>
        </w:tc>
        <w:tc>
          <w:tcPr>
            <w:tcW w:w="2499" w:type="dxa"/>
            <w:noWrap w:val="0"/>
            <w:vAlign w:val="center"/>
          </w:tcPr>
          <w:p>
            <w:pPr>
              <w:widowControl/>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无明显油渍、玻璃明亮、框架无积灰，箱内目视无积灰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61" w:type="dxa"/>
          <w:cantSplit/>
          <w:trHeight w:val="189" w:hRule="atLeast"/>
        </w:trPr>
        <w:tc>
          <w:tcPr>
            <w:tcW w:w="468" w:type="dxa"/>
            <w:vMerge w:val="continue"/>
            <w:noWrap w:val="0"/>
            <w:vAlign w:val="center"/>
          </w:tcPr>
          <w:p>
            <w:pPr>
              <w:jc w:val="center"/>
              <w:rPr>
                <w:rFonts w:hint="eastAsia" w:ascii="宋体" w:hAnsi="宋体" w:eastAsia="宋体" w:cs="宋体"/>
                <w:color w:val="auto"/>
                <w:sz w:val="21"/>
                <w:szCs w:val="21"/>
                <w:highlight w:val="none"/>
              </w:rPr>
            </w:pPr>
          </w:p>
        </w:tc>
        <w:tc>
          <w:tcPr>
            <w:tcW w:w="1149" w:type="dxa"/>
            <w:vMerge w:val="continue"/>
            <w:noWrap w:val="0"/>
            <w:vAlign w:val="center"/>
          </w:tcPr>
          <w:p>
            <w:pPr>
              <w:jc w:val="center"/>
              <w:rPr>
                <w:rFonts w:hint="eastAsia" w:ascii="宋体" w:hAnsi="宋体" w:eastAsia="宋体" w:cs="宋体"/>
                <w:color w:val="auto"/>
                <w:sz w:val="21"/>
                <w:szCs w:val="21"/>
                <w:highlight w:val="none"/>
              </w:rPr>
            </w:pPr>
          </w:p>
        </w:tc>
        <w:tc>
          <w:tcPr>
            <w:tcW w:w="2277" w:type="dxa"/>
            <w:noWrap w:val="0"/>
            <w:vAlign w:val="center"/>
          </w:tcPr>
          <w:p>
            <w:pPr>
              <w:widowControl/>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指示灯</w:t>
            </w:r>
          </w:p>
        </w:tc>
        <w:tc>
          <w:tcPr>
            <w:tcW w:w="2307" w:type="dxa"/>
            <w:noWrap w:val="0"/>
            <w:vAlign w:val="center"/>
          </w:tcPr>
          <w:p>
            <w:pPr>
              <w:widowControl/>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每周擦拭一次</w:t>
            </w:r>
          </w:p>
        </w:tc>
        <w:tc>
          <w:tcPr>
            <w:tcW w:w="2499" w:type="dxa"/>
            <w:noWrap w:val="0"/>
            <w:vAlign w:val="center"/>
          </w:tcPr>
          <w:p>
            <w:pPr>
              <w:widowControl/>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无积灰、无喷漆涂鸦、无关粘贴物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61" w:type="dxa"/>
          <w:cantSplit/>
          <w:trHeight w:val="189" w:hRule="atLeast"/>
        </w:trPr>
        <w:tc>
          <w:tcPr>
            <w:tcW w:w="468" w:type="dxa"/>
            <w:vMerge w:val="continue"/>
            <w:noWrap w:val="0"/>
            <w:vAlign w:val="center"/>
          </w:tcPr>
          <w:p>
            <w:pPr>
              <w:jc w:val="center"/>
              <w:rPr>
                <w:rFonts w:hint="eastAsia" w:ascii="宋体" w:hAnsi="宋体" w:eastAsia="宋体" w:cs="宋体"/>
                <w:color w:val="auto"/>
                <w:sz w:val="21"/>
                <w:szCs w:val="21"/>
                <w:highlight w:val="none"/>
              </w:rPr>
            </w:pPr>
          </w:p>
        </w:tc>
        <w:tc>
          <w:tcPr>
            <w:tcW w:w="1149" w:type="dxa"/>
            <w:vMerge w:val="continue"/>
            <w:noWrap w:val="0"/>
            <w:vAlign w:val="center"/>
          </w:tcPr>
          <w:p>
            <w:pPr>
              <w:jc w:val="center"/>
              <w:rPr>
                <w:rFonts w:hint="eastAsia" w:ascii="宋体" w:hAnsi="宋体" w:eastAsia="宋体" w:cs="宋体"/>
                <w:color w:val="auto"/>
                <w:sz w:val="21"/>
                <w:szCs w:val="21"/>
                <w:highlight w:val="none"/>
              </w:rPr>
            </w:pPr>
          </w:p>
        </w:tc>
        <w:tc>
          <w:tcPr>
            <w:tcW w:w="2277" w:type="dxa"/>
            <w:noWrap w:val="0"/>
            <w:vAlign w:val="center"/>
          </w:tcPr>
          <w:p>
            <w:pPr>
              <w:widowControl/>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公告栏</w:t>
            </w:r>
          </w:p>
        </w:tc>
        <w:tc>
          <w:tcPr>
            <w:tcW w:w="2307" w:type="dxa"/>
            <w:noWrap w:val="0"/>
            <w:vAlign w:val="center"/>
          </w:tcPr>
          <w:p>
            <w:pPr>
              <w:widowControl/>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每日擦拭一次</w:t>
            </w:r>
          </w:p>
        </w:tc>
        <w:tc>
          <w:tcPr>
            <w:tcW w:w="2499" w:type="dxa"/>
            <w:noWrap w:val="0"/>
            <w:vAlign w:val="center"/>
          </w:tcPr>
          <w:p>
            <w:pPr>
              <w:widowControl/>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无积灰、无喷漆涂鸦、无关粘贴物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61" w:type="dxa"/>
          <w:cantSplit/>
          <w:trHeight w:val="144" w:hRule="atLeast"/>
        </w:trPr>
        <w:tc>
          <w:tcPr>
            <w:tcW w:w="468" w:type="dxa"/>
            <w:vMerge w:val="continue"/>
            <w:noWrap w:val="0"/>
            <w:vAlign w:val="center"/>
          </w:tcPr>
          <w:p>
            <w:pPr>
              <w:jc w:val="center"/>
              <w:rPr>
                <w:rFonts w:hint="eastAsia" w:ascii="宋体" w:hAnsi="宋体" w:eastAsia="宋体" w:cs="宋体"/>
                <w:color w:val="auto"/>
                <w:sz w:val="21"/>
                <w:szCs w:val="21"/>
                <w:highlight w:val="none"/>
              </w:rPr>
            </w:pPr>
          </w:p>
        </w:tc>
        <w:tc>
          <w:tcPr>
            <w:tcW w:w="1149" w:type="dxa"/>
            <w:vMerge w:val="continue"/>
            <w:noWrap w:val="0"/>
            <w:vAlign w:val="center"/>
          </w:tcPr>
          <w:p>
            <w:pPr>
              <w:jc w:val="center"/>
              <w:rPr>
                <w:rFonts w:hint="eastAsia" w:ascii="宋体" w:hAnsi="宋体" w:eastAsia="宋体" w:cs="宋体"/>
                <w:color w:val="auto"/>
                <w:sz w:val="21"/>
                <w:szCs w:val="21"/>
                <w:highlight w:val="none"/>
              </w:rPr>
            </w:pPr>
          </w:p>
        </w:tc>
        <w:tc>
          <w:tcPr>
            <w:tcW w:w="2277" w:type="dxa"/>
            <w:noWrap w:val="0"/>
            <w:vAlign w:val="center"/>
          </w:tcPr>
          <w:p>
            <w:pPr>
              <w:widowControl/>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画框</w:t>
            </w:r>
          </w:p>
        </w:tc>
        <w:tc>
          <w:tcPr>
            <w:tcW w:w="2307" w:type="dxa"/>
            <w:noWrap w:val="0"/>
            <w:vAlign w:val="center"/>
          </w:tcPr>
          <w:p>
            <w:pPr>
              <w:widowControl/>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每周除尘一次</w:t>
            </w:r>
          </w:p>
        </w:tc>
        <w:tc>
          <w:tcPr>
            <w:tcW w:w="2499" w:type="dxa"/>
            <w:noWrap w:val="0"/>
            <w:vAlign w:val="center"/>
          </w:tcPr>
          <w:p>
            <w:pPr>
              <w:widowControl/>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无积灰、无喷漆涂鸦、无关粘贴物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61" w:type="dxa"/>
          <w:cantSplit/>
          <w:trHeight w:val="450" w:hRule="atLeast"/>
        </w:trPr>
        <w:tc>
          <w:tcPr>
            <w:tcW w:w="468" w:type="dxa"/>
            <w:vMerge w:val="continue"/>
            <w:noWrap w:val="0"/>
            <w:vAlign w:val="center"/>
          </w:tcPr>
          <w:p>
            <w:pPr>
              <w:jc w:val="center"/>
              <w:rPr>
                <w:rFonts w:hint="eastAsia" w:ascii="宋体" w:hAnsi="宋体" w:eastAsia="宋体" w:cs="宋体"/>
                <w:color w:val="auto"/>
                <w:sz w:val="21"/>
                <w:szCs w:val="21"/>
                <w:highlight w:val="none"/>
              </w:rPr>
            </w:pPr>
          </w:p>
        </w:tc>
        <w:tc>
          <w:tcPr>
            <w:tcW w:w="1149" w:type="dxa"/>
            <w:vMerge w:val="continue"/>
            <w:noWrap w:val="0"/>
            <w:vAlign w:val="center"/>
          </w:tcPr>
          <w:p>
            <w:pPr>
              <w:jc w:val="center"/>
              <w:rPr>
                <w:rFonts w:hint="eastAsia" w:ascii="宋体" w:hAnsi="宋体" w:eastAsia="宋体" w:cs="宋体"/>
                <w:color w:val="auto"/>
                <w:sz w:val="21"/>
                <w:szCs w:val="21"/>
                <w:highlight w:val="none"/>
              </w:rPr>
            </w:pPr>
          </w:p>
        </w:tc>
        <w:tc>
          <w:tcPr>
            <w:tcW w:w="2277" w:type="dxa"/>
            <w:noWrap w:val="0"/>
            <w:vAlign w:val="center"/>
          </w:tcPr>
          <w:p>
            <w:pPr>
              <w:widowControl/>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墙面</w:t>
            </w:r>
          </w:p>
        </w:tc>
        <w:tc>
          <w:tcPr>
            <w:tcW w:w="2307" w:type="dxa"/>
            <w:noWrap w:val="0"/>
            <w:vAlign w:val="center"/>
          </w:tcPr>
          <w:p>
            <w:pPr>
              <w:widowControl/>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每半月除尘一次</w:t>
            </w:r>
          </w:p>
        </w:tc>
        <w:tc>
          <w:tcPr>
            <w:tcW w:w="2499" w:type="dxa"/>
            <w:noWrap w:val="0"/>
            <w:vAlign w:val="center"/>
          </w:tcPr>
          <w:p>
            <w:pPr>
              <w:widowControl/>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目视无油渍、积灰、虫网、无喷漆涂鸦、无关粘贴物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61" w:type="dxa"/>
          <w:cantSplit/>
          <w:trHeight w:val="469" w:hRule="atLeast"/>
        </w:trPr>
        <w:tc>
          <w:tcPr>
            <w:tcW w:w="468" w:type="dxa"/>
            <w:vMerge w:val="continue"/>
            <w:noWrap w:val="0"/>
            <w:vAlign w:val="center"/>
          </w:tcPr>
          <w:p>
            <w:pPr>
              <w:jc w:val="center"/>
              <w:rPr>
                <w:rFonts w:hint="eastAsia" w:ascii="宋体" w:hAnsi="宋体" w:eastAsia="宋体" w:cs="宋体"/>
                <w:color w:val="auto"/>
                <w:sz w:val="21"/>
                <w:szCs w:val="21"/>
                <w:highlight w:val="none"/>
              </w:rPr>
            </w:pPr>
          </w:p>
        </w:tc>
        <w:tc>
          <w:tcPr>
            <w:tcW w:w="1149" w:type="dxa"/>
            <w:vMerge w:val="continue"/>
            <w:noWrap w:val="0"/>
            <w:vAlign w:val="center"/>
          </w:tcPr>
          <w:p>
            <w:pPr>
              <w:jc w:val="center"/>
              <w:rPr>
                <w:rFonts w:hint="eastAsia" w:ascii="宋体" w:hAnsi="宋体" w:eastAsia="宋体" w:cs="宋体"/>
                <w:color w:val="auto"/>
                <w:sz w:val="21"/>
                <w:szCs w:val="21"/>
                <w:highlight w:val="none"/>
              </w:rPr>
            </w:pPr>
          </w:p>
        </w:tc>
        <w:tc>
          <w:tcPr>
            <w:tcW w:w="2277" w:type="dxa"/>
            <w:noWrap w:val="0"/>
            <w:vAlign w:val="center"/>
          </w:tcPr>
          <w:p>
            <w:pPr>
              <w:widowControl/>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顶面（灯、烟感应器）</w:t>
            </w:r>
          </w:p>
        </w:tc>
        <w:tc>
          <w:tcPr>
            <w:tcW w:w="2307" w:type="dxa"/>
            <w:noWrap w:val="0"/>
            <w:vAlign w:val="center"/>
          </w:tcPr>
          <w:p>
            <w:pPr>
              <w:widowControl/>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每月除尘一次</w:t>
            </w:r>
          </w:p>
        </w:tc>
        <w:tc>
          <w:tcPr>
            <w:tcW w:w="2499" w:type="dxa"/>
            <w:noWrap w:val="0"/>
            <w:vAlign w:val="center"/>
          </w:tcPr>
          <w:p>
            <w:pPr>
              <w:widowControl/>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目视无油渍、积灰、虫网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61" w:type="dxa"/>
          <w:cantSplit/>
          <w:trHeight w:val="189" w:hRule="atLeast"/>
        </w:trPr>
        <w:tc>
          <w:tcPr>
            <w:tcW w:w="468" w:type="dxa"/>
            <w:vMerge w:val="continue"/>
            <w:noWrap w:val="0"/>
            <w:vAlign w:val="center"/>
          </w:tcPr>
          <w:p>
            <w:pPr>
              <w:jc w:val="center"/>
              <w:rPr>
                <w:rFonts w:hint="eastAsia" w:ascii="宋体" w:hAnsi="宋体" w:eastAsia="宋体" w:cs="宋体"/>
                <w:color w:val="auto"/>
                <w:sz w:val="21"/>
                <w:szCs w:val="21"/>
                <w:highlight w:val="none"/>
              </w:rPr>
            </w:pPr>
          </w:p>
        </w:tc>
        <w:tc>
          <w:tcPr>
            <w:tcW w:w="1149" w:type="dxa"/>
            <w:vMerge w:val="continue"/>
            <w:noWrap w:val="0"/>
            <w:vAlign w:val="center"/>
          </w:tcPr>
          <w:p>
            <w:pPr>
              <w:jc w:val="center"/>
              <w:rPr>
                <w:rFonts w:hint="eastAsia" w:ascii="宋体" w:hAnsi="宋体" w:eastAsia="宋体" w:cs="宋体"/>
                <w:color w:val="auto"/>
                <w:sz w:val="21"/>
                <w:szCs w:val="21"/>
                <w:highlight w:val="none"/>
              </w:rPr>
            </w:pPr>
          </w:p>
        </w:tc>
        <w:tc>
          <w:tcPr>
            <w:tcW w:w="2277" w:type="dxa"/>
            <w:noWrap w:val="0"/>
            <w:vAlign w:val="center"/>
          </w:tcPr>
          <w:p>
            <w:pPr>
              <w:widowControl/>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外墙立面和玻璃</w:t>
            </w:r>
          </w:p>
        </w:tc>
        <w:tc>
          <w:tcPr>
            <w:tcW w:w="2307" w:type="dxa"/>
            <w:noWrap w:val="0"/>
            <w:vAlign w:val="center"/>
          </w:tcPr>
          <w:p>
            <w:pPr>
              <w:widowControl/>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2米以下每周清洗一次</w:t>
            </w:r>
          </w:p>
        </w:tc>
        <w:tc>
          <w:tcPr>
            <w:tcW w:w="2499" w:type="dxa"/>
            <w:noWrap w:val="0"/>
            <w:vAlign w:val="center"/>
          </w:tcPr>
          <w:p>
            <w:pPr>
              <w:widowControl/>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目视无污渍、积灰、虫网、无喷漆涂鸦、无关粘贴物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61" w:type="dxa"/>
          <w:cantSplit/>
          <w:trHeight w:val="189" w:hRule="atLeast"/>
        </w:trPr>
        <w:tc>
          <w:tcPr>
            <w:tcW w:w="468" w:type="dxa"/>
            <w:vMerge w:val="restart"/>
            <w:noWrap w:val="0"/>
            <w:vAlign w:val="center"/>
          </w:tcPr>
          <w:p>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6</w:t>
            </w:r>
          </w:p>
        </w:tc>
        <w:tc>
          <w:tcPr>
            <w:tcW w:w="1149" w:type="dxa"/>
            <w:vMerge w:val="restart"/>
            <w:noWrap w:val="0"/>
            <w:vAlign w:val="center"/>
          </w:tcPr>
          <w:p>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宿舍楼及住宅楼</w:t>
            </w:r>
          </w:p>
        </w:tc>
        <w:tc>
          <w:tcPr>
            <w:tcW w:w="2277" w:type="dxa"/>
            <w:noWrap w:val="0"/>
            <w:vAlign w:val="center"/>
          </w:tcPr>
          <w:p>
            <w:pPr>
              <w:widowControl/>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室内</w:t>
            </w:r>
          </w:p>
        </w:tc>
        <w:tc>
          <w:tcPr>
            <w:tcW w:w="2307" w:type="dxa"/>
            <w:noWrap w:val="0"/>
            <w:vAlign w:val="center"/>
          </w:tcPr>
          <w:p>
            <w:pPr>
              <w:widowControl/>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初次入住保洁</w:t>
            </w:r>
          </w:p>
        </w:tc>
        <w:tc>
          <w:tcPr>
            <w:tcW w:w="2499" w:type="dxa"/>
            <w:noWrap w:val="0"/>
            <w:vAlign w:val="center"/>
          </w:tcPr>
          <w:p>
            <w:pPr>
              <w:widowControl/>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地面无灰尘，卫生洁具无污渍，桌椅等设施无灰尘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61" w:type="dxa"/>
          <w:cantSplit/>
          <w:trHeight w:val="90" w:hRule="atLeast"/>
        </w:trPr>
        <w:tc>
          <w:tcPr>
            <w:tcW w:w="468" w:type="dxa"/>
            <w:vMerge w:val="continue"/>
            <w:noWrap w:val="0"/>
            <w:vAlign w:val="center"/>
          </w:tcPr>
          <w:p>
            <w:pPr>
              <w:widowControl/>
              <w:jc w:val="center"/>
              <w:textAlignment w:val="center"/>
              <w:rPr>
                <w:rFonts w:hint="eastAsia" w:ascii="宋体" w:hAnsi="宋体" w:eastAsia="宋体" w:cs="宋体"/>
                <w:color w:val="auto"/>
                <w:sz w:val="21"/>
                <w:szCs w:val="21"/>
                <w:highlight w:val="none"/>
              </w:rPr>
            </w:pPr>
          </w:p>
        </w:tc>
        <w:tc>
          <w:tcPr>
            <w:tcW w:w="1149" w:type="dxa"/>
            <w:vMerge w:val="continue"/>
            <w:noWrap w:val="0"/>
            <w:vAlign w:val="center"/>
          </w:tcPr>
          <w:p>
            <w:pPr>
              <w:widowControl/>
              <w:jc w:val="center"/>
              <w:textAlignment w:val="center"/>
              <w:rPr>
                <w:rFonts w:hint="eastAsia" w:ascii="宋体" w:hAnsi="宋体" w:eastAsia="宋体" w:cs="宋体"/>
                <w:color w:val="auto"/>
                <w:sz w:val="21"/>
                <w:szCs w:val="21"/>
                <w:highlight w:val="none"/>
              </w:rPr>
            </w:pPr>
          </w:p>
        </w:tc>
        <w:tc>
          <w:tcPr>
            <w:tcW w:w="2277" w:type="dxa"/>
            <w:noWrap w:val="0"/>
            <w:vAlign w:val="center"/>
          </w:tcPr>
          <w:p>
            <w:pPr>
              <w:widowControl/>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空置房</w:t>
            </w:r>
          </w:p>
        </w:tc>
        <w:tc>
          <w:tcPr>
            <w:tcW w:w="2307" w:type="dxa"/>
            <w:noWrap w:val="0"/>
            <w:vAlign w:val="center"/>
          </w:tcPr>
          <w:p>
            <w:pPr>
              <w:widowControl/>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每月</w:t>
            </w:r>
            <w:r>
              <w:rPr>
                <w:rFonts w:hint="eastAsia" w:ascii="宋体" w:hAnsi="宋体" w:eastAsia="宋体" w:cs="宋体"/>
                <w:color w:val="auto"/>
                <w:kern w:val="0"/>
                <w:sz w:val="21"/>
                <w:szCs w:val="21"/>
                <w:highlight w:val="none"/>
                <w:lang w:eastAsia="zh-CN" w:bidi="ar"/>
              </w:rPr>
              <w:t>两次</w:t>
            </w:r>
            <w:r>
              <w:rPr>
                <w:rFonts w:hint="eastAsia" w:ascii="宋体" w:hAnsi="宋体" w:eastAsia="宋体" w:cs="宋体"/>
                <w:color w:val="auto"/>
                <w:kern w:val="0"/>
                <w:sz w:val="21"/>
                <w:szCs w:val="21"/>
                <w:highlight w:val="none"/>
                <w:lang w:bidi="ar"/>
              </w:rPr>
              <w:t>清洁</w:t>
            </w:r>
          </w:p>
        </w:tc>
        <w:tc>
          <w:tcPr>
            <w:tcW w:w="2499" w:type="dxa"/>
            <w:noWrap w:val="0"/>
            <w:vAlign w:val="center"/>
          </w:tcPr>
          <w:p>
            <w:pPr>
              <w:widowControl/>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地面无灰尘，卫生洁具无污渍，桌椅等设施无灰尘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gridAfter w:val="1"/>
          <w:wAfter w:w="261" w:type="dxa"/>
          <w:trHeight w:val="847" w:hRule="atLeast"/>
        </w:trPr>
        <w:tc>
          <w:tcPr>
            <w:tcW w:w="468" w:type="dxa"/>
            <w:vMerge w:val="restart"/>
            <w:noWrap w:val="0"/>
            <w:vAlign w:val="center"/>
          </w:tcPr>
          <w:p>
            <w:pPr>
              <w:widowControl/>
              <w:jc w:val="center"/>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7</w:t>
            </w:r>
          </w:p>
        </w:tc>
        <w:tc>
          <w:tcPr>
            <w:tcW w:w="1149" w:type="dxa"/>
            <w:vMerge w:val="restart"/>
            <w:noWrap w:val="0"/>
            <w:vAlign w:val="center"/>
          </w:tcPr>
          <w:p>
            <w:pPr>
              <w:widowControl/>
              <w:jc w:val="center"/>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停车场</w:t>
            </w:r>
          </w:p>
        </w:tc>
        <w:tc>
          <w:tcPr>
            <w:tcW w:w="2277" w:type="dxa"/>
            <w:noWrap w:val="0"/>
            <w:vAlign w:val="center"/>
          </w:tcPr>
          <w:p>
            <w:pPr>
              <w:widowControl/>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地面</w:t>
            </w:r>
          </w:p>
        </w:tc>
        <w:tc>
          <w:tcPr>
            <w:tcW w:w="2307" w:type="dxa"/>
            <w:noWrap w:val="0"/>
            <w:vAlign w:val="center"/>
          </w:tcPr>
          <w:p>
            <w:pPr>
              <w:widowControl/>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巡回保洁，每个月冲洗一次</w:t>
            </w:r>
          </w:p>
        </w:tc>
        <w:tc>
          <w:tcPr>
            <w:tcW w:w="2499" w:type="dxa"/>
            <w:noWrap w:val="0"/>
            <w:vAlign w:val="center"/>
          </w:tcPr>
          <w:p>
            <w:pPr>
              <w:widowControl/>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保持干净，无垃圾、杂物、无喷漆涂鸦、无关粘贴物、无明显泥尘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gridAfter w:val="1"/>
          <w:wAfter w:w="261" w:type="dxa"/>
          <w:trHeight w:val="790" w:hRule="atLeast"/>
        </w:trPr>
        <w:tc>
          <w:tcPr>
            <w:tcW w:w="468" w:type="dxa"/>
            <w:vMerge w:val="continue"/>
            <w:noWrap w:val="0"/>
            <w:vAlign w:val="center"/>
          </w:tcPr>
          <w:p>
            <w:pPr>
              <w:jc w:val="center"/>
              <w:rPr>
                <w:rFonts w:hint="eastAsia" w:ascii="宋体" w:hAnsi="宋体" w:eastAsia="宋体" w:cs="宋体"/>
                <w:color w:val="auto"/>
                <w:sz w:val="21"/>
                <w:szCs w:val="21"/>
                <w:highlight w:val="none"/>
              </w:rPr>
            </w:pPr>
          </w:p>
        </w:tc>
        <w:tc>
          <w:tcPr>
            <w:tcW w:w="1149" w:type="dxa"/>
            <w:vMerge w:val="continue"/>
            <w:noWrap w:val="0"/>
            <w:vAlign w:val="center"/>
          </w:tcPr>
          <w:p>
            <w:pPr>
              <w:jc w:val="center"/>
              <w:rPr>
                <w:rFonts w:hint="eastAsia" w:ascii="宋体" w:hAnsi="宋体" w:eastAsia="宋体" w:cs="宋体"/>
                <w:color w:val="auto"/>
                <w:sz w:val="21"/>
                <w:szCs w:val="21"/>
                <w:highlight w:val="none"/>
              </w:rPr>
            </w:pPr>
          </w:p>
        </w:tc>
        <w:tc>
          <w:tcPr>
            <w:tcW w:w="2277" w:type="dxa"/>
            <w:noWrap w:val="0"/>
            <w:vAlign w:val="center"/>
          </w:tcPr>
          <w:p>
            <w:pPr>
              <w:widowControl/>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挡车器</w:t>
            </w:r>
          </w:p>
        </w:tc>
        <w:tc>
          <w:tcPr>
            <w:tcW w:w="2307" w:type="dxa"/>
            <w:noWrap w:val="0"/>
            <w:vAlign w:val="center"/>
          </w:tcPr>
          <w:p>
            <w:pPr>
              <w:widowControl/>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每月擦拭一次</w:t>
            </w:r>
          </w:p>
        </w:tc>
        <w:tc>
          <w:tcPr>
            <w:tcW w:w="2499" w:type="dxa"/>
            <w:noWrap w:val="0"/>
            <w:vAlign w:val="center"/>
          </w:tcPr>
          <w:p>
            <w:pPr>
              <w:widowControl/>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无积灰、污渍、无喷漆涂鸦、无关粘贴物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gridAfter w:val="1"/>
          <w:wAfter w:w="261" w:type="dxa"/>
          <w:trHeight w:val="790" w:hRule="atLeast"/>
        </w:trPr>
        <w:tc>
          <w:tcPr>
            <w:tcW w:w="468" w:type="dxa"/>
            <w:vMerge w:val="continue"/>
            <w:noWrap w:val="0"/>
            <w:vAlign w:val="center"/>
          </w:tcPr>
          <w:p>
            <w:pPr>
              <w:jc w:val="center"/>
              <w:rPr>
                <w:rFonts w:hint="eastAsia" w:ascii="宋体" w:hAnsi="宋体" w:eastAsia="宋体" w:cs="宋体"/>
                <w:color w:val="auto"/>
                <w:sz w:val="21"/>
                <w:szCs w:val="21"/>
                <w:highlight w:val="none"/>
              </w:rPr>
            </w:pPr>
          </w:p>
        </w:tc>
        <w:tc>
          <w:tcPr>
            <w:tcW w:w="1149" w:type="dxa"/>
            <w:vMerge w:val="continue"/>
            <w:noWrap w:val="0"/>
            <w:vAlign w:val="center"/>
          </w:tcPr>
          <w:p>
            <w:pPr>
              <w:jc w:val="center"/>
              <w:rPr>
                <w:rFonts w:hint="eastAsia" w:ascii="宋体" w:hAnsi="宋体" w:eastAsia="宋体" w:cs="宋体"/>
                <w:color w:val="auto"/>
                <w:sz w:val="21"/>
                <w:szCs w:val="21"/>
                <w:highlight w:val="none"/>
              </w:rPr>
            </w:pPr>
          </w:p>
        </w:tc>
        <w:tc>
          <w:tcPr>
            <w:tcW w:w="2277" w:type="dxa"/>
            <w:noWrap w:val="0"/>
            <w:vAlign w:val="center"/>
          </w:tcPr>
          <w:p>
            <w:pPr>
              <w:widowControl/>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反光镜</w:t>
            </w:r>
          </w:p>
        </w:tc>
        <w:tc>
          <w:tcPr>
            <w:tcW w:w="2307" w:type="dxa"/>
            <w:noWrap w:val="0"/>
            <w:vAlign w:val="center"/>
          </w:tcPr>
          <w:p>
            <w:pPr>
              <w:widowControl/>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每周擦拭一次</w:t>
            </w:r>
          </w:p>
        </w:tc>
        <w:tc>
          <w:tcPr>
            <w:tcW w:w="2499" w:type="dxa"/>
            <w:noWrap w:val="0"/>
            <w:vAlign w:val="center"/>
          </w:tcPr>
          <w:p>
            <w:pPr>
              <w:widowControl/>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目视无积灰、污迹、无喷漆涂鸦、无关粘贴物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gridAfter w:val="1"/>
          <w:wAfter w:w="261" w:type="dxa"/>
          <w:trHeight w:val="796" w:hRule="atLeast"/>
        </w:trPr>
        <w:tc>
          <w:tcPr>
            <w:tcW w:w="468" w:type="dxa"/>
            <w:vMerge w:val="continue"/>
            <w:noWrap w:val="0"/>
            <w:vAlign w:val="center"/>
          </w:tcPr>
          <w:p>
            <w:pPr>
              <w:jc w:val="center"/>
              <w:rPr>
                <w:rFonts w:hint="eastAsia" w:ascii="宋体" w:hAnsi="宋体" w:eastAsia="宋体" w:cs="宋体"/>
                <w:color w:val="auto"/>
                <w:sz w:val="21"/>
                <w:szCs w:val="21"/>
                <w:highlight w:val="none"/>
              </w:rPr>
            </w:pPr>
          </w:p>
        </w:tc>
        <w:tc>
          <w:tcPr>
            <w:tcW w:w="1149" w:type="dxa"/>
            <w:vMerge w:val="continue"/>
            <w:noWrap w:val="0"/>
            <w:vAlign w:val="center"/>
          </w:tcPr>
          <w:p>
            <w:pPr>
              <w:jc w:val="center"/>
              <w:rPr>
                <w:rFonts w:hint="eastAsia" w:ascii="宋体" w:hAnsi="宋体" w:eastAsia="宋体" w:cs="宋体"/>
                <w:color w:val="auto"/>
                <w:sz w:val="21"/>
                <w:szCs w:val="21"/>
                <w:highlight w:val="none"/>
              </w:rPr>
            </w:pPr>
          </w:p>
        </w:tc>
        <w:tc>
          <w:tcPr>
            <w:tcW w:w="2277" w:type="dxa"/>
            <w:noWrap w:val="0"/>
            <w:vAlign w:val="center"/>
          </w:tcPr>
          <w:p>
            <w:pPr>
              <w:widowControl/>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坡道</w:t>
            </w:r>
          </w:p>
        </w:tc>
        <w:tc>
          <w:tcPr>
            <w:tcW w:w="2307" w:type="dxa"/>
            <w:noWrap w:val="0"/>
            <w:vAlign w:val="center"/>
          </w:tcPr>
          <w:p>
            <w:pPr>
              <w:widowControl/>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巡回保洁</w:t>
            </w:r>
          </w:p>
        </w:tc>
        <w:tc>
          <w:tcPr>
            <w:tcW w:w="2499" w:type="dxa"/>
            <w:noWrap w:val="0"/>
            <w:vAlign w:val="center"/>
          </w:tcPr>
          <w:p>
            <w:pPr>
              <w:widowControl/>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无垃圾、无明显泥沙、无喷漆涂鸦、无关粘贴物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gridAfter w:val="1"/>
          <w:wAfter w:w="261" w:type="dxa"/>
          <w:trHeight w:val="796" w:hRule="atLeast"/>
        </w:trPr>
        <w:tc>
          <w:tcPr>
            <w:tcW w:w="468" w:type="dxa"/>
            <w:vMerge w:val="continue"/>
            <w:noWrap w:val="0"/>
            <w:vAlign w:val="center"/>
          </w:tcPr>
          <w:p>
            <w:pPr>
              <w:jc w:val="center"/>
              <w:rPr>
                <w:rFonts w:hint="eastAsia" w:ascii="宋体" w:hAnsi="宋体" w:eastAsia="宋体" w:cs="宋体"/>
                <w:color w:val="auto"/>
                <w:sz w:val="21"/>
                <w:szCs w:val="21"/>
                <w:highlight w:val="none"/>
              </w:rPr>
            </w:pPr>
          </w:p>
        </w:tc>
        <w:tc>
          <w:tcPr>
            <w:tcW w:w="1149" w:type="dxa"/>
            <w:vMerge w:val="continue"/>
            <w:noWrap w:val="0"/>
            <w:vAlign w:val="center"/>
          </w:tcPr>
          <w:p>
            <w:pPr>
              <w:jc w:val="center"/>
              <w:rPr>
                <w:rFonts w:hint="eastAsia" w:ascii="宋体" w:hAnsi="宋体" w:eastAsia="宋体" w:cs="宋体"/>
                <w:color w:val="auto"/>
                <w:sz w:val="21"/>
                <w:szCs w:val="21"/>
                <w:highlight w:val="none"/>
              </w:rPr>
            </w:pPr>
          </w:p>
        </w:tc>
        <w:tc>
          <w:tcPr>
            <w:tcW w:w="2277" w:type="dxa"/>
            <w:noWrap w:val="0"/>
            <w:vAlign w:val="center"/>
          </w:tcPr>
          <w:p>
            <w:pPr>
              <w:widowControl/>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人防通道</w:t>
            </w:r>
          </w:p>
        </w:tc>
        <w:tc>
          <w:tcPr>
            <w:tcW w:w="2307" w:type="dxa"/>
            <w:noWrap w:val="0"/>
            <w:vAlign w:val="center"/>
          </w:tcPr>
          <w:p>
            <w:pPr>
              <w:widowControl/>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巡回保洁</w:t>
            </w:r>
          </w:p>
        </w:tc>
        <w:tc>
          <w:tcPr>
            <w:tcW w:w="2499" w:type="dxa"/>
            <w:noWrap w:val="0"/>
            <w:vAlign w:val="center"/>
          </w:tcPr>
          <w:p>
            <w:pPr>
              <w:widowControl/>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无垃圾、无杂物、无喷漆涂鸦、无关粘贴物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gridAfter w:val="1"/>
          <w:wAfter w:w="261" w:type="dxa"/>
          <w:trHeight w:val="1075" w:hRule="atLeast"/>
        </w:trPr>
        <w:tc>
          <w:tcPr>
            <w:tcW w:w="468" w:type="dxa"/>
            <w:vMerge w:val="continue"/>
            <w:noWrap w:val="0"/>
            <w:vAlign w:val="center"/>
          </w:tcPr>
          <w:p>
            <w:pPr>
              <w:jc w:val="center"/>
              <w:rPr>
                <w:rFonts w:hint="eastAsia" w:ascii="宋体" w:hAnsi="宋体" w:eastAsia="宋体" w:cs="宋体"/>
                <w:color w:val="auto"/>
                <w:sz w:val="21"/>
                <w:szCs w:val="21"/>
                <w:highlight w:val="none"/>
              </w:rPr>
            </w:pPr>
          </w:p>
        </w:tc>
        <w:tc>
          <w:tcPr>
            <w:tcW w:w="1149" w:type="dxa"/>
            <w:vMerge w:val="continue"/>
            <w:noWrap w:val="0"/>
            <w:vAlign w:val="center"/>
          </w:tcPr>
          <w:p>
            <w:pPr>
              <w:jc w:val="center"/>
              <w:rPr>
                <w:rFonts w:hint="eastAsia" w:ascii="宋体" w:hAnsi="宋体" w:eastAsia="宋体" w:cs="宋体"/>
                <w:color w:val="auto"/>
                <w:sz w:val="21"/>
                <w:szCs w:val="21"/>
                <w:highlight w:val="none"/>
              </w:rPr>
            </w:pPr>
          </w:p>
        </w:tc>
        <w:tc>
          <w:tcPr>
            <w:tcW w:w="2277" w:type="dxa"/>
            <w:noWrap w:val="0"/>
            <w:vAlign w:val="center"/>
          </w:tcPr>
          <w:p>
            <w:pPr>
              <w:widowControl/>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标识牌</w:t>
            </w:r>
          </w:p>
        </w:tc>
        <w:tc>
          <w:tcPr>
            <w:tcW w:w="2307" w:type="dxa"/>
            <w:noWrap w:val="0"/>
            <w:vAlign w:val="center"/>
          </w:tcPr>
          <w:p>
            <w:pPr>
              <w:widowControl/>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每周擦拭一次（1.8米以下），其余每月擦拭一次</w:t>
            </w:r>
          </w:p>
        </w:tc>
        <w:tc>
          <w:tcPr>
            <w:tcW w:w="2499" w:type="dxa"/>
            <w:noWrap w:val="0"/>
            <w:vAlign w:val="center"/>
          </w:tcPr>
          <w:p>
            <w:pPr>
              <w:widowControl/>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目视无积灰、污迹、无喷漆涂鸦、无关粘贴物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gridAfter w:val="1"/>
          <w:wAfter w:w="261" w:type="dxa"/>
          <w:trHeight w:val="790" w:hRule="atLeast"/>
        </w:trPr>
        <w:tc>
          <w:tcPr>
            <w:tcW w:w="468" w:type="dxa"/>
            <w:vMerge w:val="continue"/>
            <w:noWrap w:val="0"/>
            <w:vAlign w:val="center"/>
          </w:tcPr>
          <w:p>
            <w:pPr>
              <w:jc w:val="center"/>
              <w:rPr>
                <w:rFonts w:hint="eastAsia" w:ascii="宋体" w:hAnsi="宋体" w:eastAsia="宋体" w:cs="宋体"/>
                <w:color w:val="auto"/>
                <w:sz w:val="21"/>
                <w:szCs w:val="21"/>
                <w:highlight w:val="none"/>
              </w:rPr>
            </w:pPr>
          </w:p>
        </w:tc>
        <w:tc>
          <w:tcPr>
            <w:tcW w:w="1149" w:type="dxa"/>
            <w:vMerge w:val="continue"/>
            <w:noWrap w:val="0"/>
            <w:vAlign w:val="center"/>
          </w:tcPr>
          <w:p>
            <w:pPr>
              <w:jc w:val="center"/>
              <w:rPr>
                <w:rFonts w:hint="eastAsia" w:ascii="宋体" w:hAnsi="宋体" w:eastAsia="宋体" w:cs="宋体"/>
                <w:color w:val="auto"/>
                <w:sz w:val="21"/>
                <w:szCs w:val="21"/>
                <w:highlight w:val="none"/>
              </w:rPr>
            </w:pPr>
          </w:p>
        </w:tc>
        <w:tc>
          <w:tcPr>
            <w:tcW w:w="2277" w:type="dxa"/>
            <w:noWrap w:val="0"/>
            <w:vAlign w:val="center"/>
          </w:tcPr>
          <w:p>
            <w:pPr>
              <w:widowControl/>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消防栓</w:t>
            </w:r>
          </w:p>
        </w:tc>
        <w:tc>
          <w:tcPr>
            <w:tcW w:w="2307" w:type="dxa"/>
            <w:noWrap w:val="0"/>
            <w:vAlign w:val="center"/>
          </w:tcPr>
          <w:p>
            <w:pPr>
              <w:widowControl/>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每半月擦拭一次</w:t>
            </w:r>
          </w:p>
        </w:tc>
        <w:tc>
          <w:tcPr>
            <w:tcW w:w="2499" w:type="dxa"/>
            <w:noWrap w:val="0"/>
            <w:vAlign w:val="center"/>
          </w:tcPr>
          <w:p>
            <w:pPr>
              <w:widowControl/>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目视无积灰、污迹、无喷漆涂鸦、无关粘贴物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gridAfter w:val="1"/>
          <w:wAfter w:w="261" w:type="dxa"/>
          <w:trHeight w:val="790" w:hRule="atLeast"/>
        </w:trPr>
        <w:tc>
          <w:tcPr>
            <w:tcW w:w="468" w:type="dxa"/>
            <w:vMerge w:val="continue"/>
            <w:noWrap w:val="0"/>
            <w:vAlign w:val="center"/>
          </w:tcPr>
          <w:p>
            <w:pPr>
              <w:jc w:val="center"/>
              <w:rPr>
                <w:rFonts w:hint="eastAsia" w:ascii="宋体" w:hAnsi="宋体" w:eastAsia="宋体" w:cs="宋体"/>
                <w:color w:val="auto"/>
                <w:sz w:val="21"/>
                <w:szCs w:val="21"/>
                <w:highlight w:val="none"/>
              </w:rPr>
            </w:pPr>
          </w:p>
        </w:tc>
        <w:tc>
          <w:tcPr>
            <w:tcW w:w="1149" w:type="dxa"/>
            <w:vMerge w:val="continue"/>
            <w:noWrap w:val="0"/>
            <w:vAlign w:val="center"/>
          </w:tcPr>
          <w:p>
            <w:pPr>
              <w:jc w:val="center"/>
              <w:rPr>
                <w:rFonts w:hint="eastAsia" w:ascii="宋体" w:hAnsi="宋体" w:eastAsia="宋体" w:cs="宋体"/>
                <w:color w:val="auto"/>
                <w:sz w:val="21"/>
                <w:szCs w:val="21"/>
                <w:highlight w:val="none"/>
              </w:rPr>
            </w:pPr>
          </w:p>
        </w:tc>
        <w:tc>
          <w:tcPr>
            <w:tcW w:w="2277" w:type="dxa"/>
            <w:noWrap w:val="0"/>
            <w:vAlign w:val="center"/>
          </w:tcPr>
          <w:p>
            <w:pPr>
              <w:widowControl/>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墙面</w:t>
            </w:r>
          </w:p>
        </w:tc>
        <w:tc>
          <w:tcPr>
            <w:tcW w:w="2307" w:type="dxa"/>
            <w:noWrap w:val="0"/>
            <w:vAlign w:val="center"/>
          </w:tcPr>
          <w:p>
            <w:pPr>
              <w:widowControl/>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每月除尘一次</w:t>
            </w:r>
          </w:p>
        </w:tc>
        <w:tc>
          <w:tcPr>
            <w:tcW w:w="2499" w:type="dxa"/>
            <w:noWrap w:val="0"/>
            <w:vAlign w:val="center"/>
          </w:tcPr>
          <w:p>
            <w:pPr>
              <w:widowControl/>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目视无积灰、虫网、无喷漆涂鸦、无关粘贴物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gridAfter w:val="1"/>
          <w:wAfter w:w="261" w:type="dxa"/>
          <w:trHeight w:val="796" w:hRule="atLeast"/>
        </w:trPr>
        <w:tc>
          <w:tcPr>
            <w:tcW w:w="468" w:type="dxa"/>
            <w:vMerge w:val="continue"/>
            <w:noWrap w:val="0"/>
            <w:vAlign w:val="center"/>
          </w:tcPr>
          <w:p>
            <w:pPr>
              <w:jc w:val="center"/>
              <w:rPr>
                <w:rFonts w:hint="eastAsia" w:ascii="宋体" w:hAnsi="宋体" w:eastAsia="宋体" w:cs="宋体"/>
                <w:color w:val="auto"/>
                <w:sz w:val="21"/>
                <w:szCs w:val="21"/>
                <w:highlight w:val="none"/>
              </w:rPr>
            </w:pPr>
          </w:p>
        </w:tc>
        <w:tc>
          <w:tcPr>
            <w:tcW w:w="1149" w:type="dxa"/>
            <w:vMerge w:val="continue"/>
            <w:noWrap w:val="0"/>
            <w:vAlign w:val="center"/>
          </w:tcPr>
          <w:p>
            <w:pPr>
              <w:jc w:val="center"/>
              <w:rPr>
                <w:rFonts w:hint="eastAsia" w:ascii="宋体" w:hAnsi="宋体" w:eastAsia="宋体" w:cs="宋体"/>
                <w:color w:val="auto"/>
                <w:sz w:val="21"/>
                <w:szCs w:val="21"/>
                <w:highlight w:val="none"/>
              </w:rPr>
            </w:pPr>
          </w:p>
        </w:tc>
        <w:tc>
          <w:tcPr>
            <w:tcW w:w="2277" w:type="dxa"/>
            <w:noWrap w:val="0"/>
            <w:vAlign w:val="center"/>
          </w:tcPr>
          <w:p>
            <w:pPr>
              <w:widowControl/>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公共管线</w:t>
            </w:r>
          </w:p>
        </w:tc>
        <w:tc>
          <w:tcPr>
            <w:tcW w:w="2307" w:type="dxa"/>
            <w:noWrap w:val="0"/>
            <w:vAlign w:val="center"/>
          </w:tcPr>
          <w:p>
            <w:pPr>
              <w:widowControl/>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每月除尘一次，每两个月擦拭一次</w:t>
            </w:r>
          </w:p>
        </w:tc>
        <w:tc>
          <w:tcPr>
            <w:tcW w:w="2499" w:type="dxa"/>
            <w:noWrap w:val="0"/>
            <w:vAlign w:val="center"/>
          </w:tcPr>
          <w:p>
            <w:pPr>
              <w:widowControl/>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目视无积灰、虫网、无喷漆涂鸦、无关粘贴物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gridAfter w:val="1"/>
          <w:wAfter w:w="261" w:type="dxa"/>
          <w:trHeight w:val="796" w:hRule="atLeast"/>
        </w:trPr>
        <w:tc>
          <w:tcPr>
            <w:tcW w:w="468" w:type="dxa"/>
            <w:vMerge w:val="continue"/>
            <w:noWrap w:val="0"/>
            <w:vAlign w:val="center"/>
          </w:tcPr>
          <w:p>
            <w:pPr>
              <w:jc w:val="center"/>
              <w:rPr>
                <w:rFonts w:hint="eastAsia" w:ascii="宋体" w:hAnsi="宋体" w:eastAsia="宋体" w:cs="宋体"/>
                <w:color w:val="auto"/>
                <w:sz w:val="21"/>
                <w:szCs w:val="21"/>
                <w:highlight w:val="none"/>
              </w:rPr>
            </w:pPr>
          </w:p>
        </w:tc>
        <w:tc>
          <w:tcPr>
            <w:tcW w:w="1149" w:type="dxa"/>
            <w:vMerge w:val="continue"/>
            <w:noWrap w:val="0"/>
            <w:vAlign w:val="center"/>
          </w:tcPr>
          <w:p>
            <w:pPr>
              <w:jc w:val="center"/>
              <w:rPr>
                <w:rFonts w:hint="eastAsia" w:ascii="宋体" w:hAnsi="宋体" w:eastAsia="宋体" w:cs="宋体"/>
                <w:color w:val="auto"/>
                <w:sz w:val="21"/>
                <w:szCs w:val="21"/>
                <w:highlight w:val="none"/>
              </w:rPr>
            </w:pPr>
          </w:p>
        </w:tc>
        <w:tc>
          <w:tcPr>
            <w:tcW w:w="2277" w:type="dxa"/>
            <w:noWrap w:val="0"/>
            <w:vAlign w:val="center"/>
          </w:tcPr>
          <w:p>
            <w:pPr>
              <w:widowControl/>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排水沟</w:t>
            </w:r>
          </w:p>
        </w:tc>
        <w:tc>
          <w:tcPr>
            <w:tcW w:w="2307" w:type="dxa"/>
            <w:noWrap w:val="0"/>
            <w:vAlign w:val="center"/>
          </w:tcPr>
          <w:p>
            <w:pPr>
              <w:widowControl/>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每月清理一次、每季冲洗一次</w:t>
            </w:r>
          </w:p>
        </w:tc>
        <w:tc>
          <w:tcPr>
            <w:tcW w:w="2499" w:type="dxa"/>
            <w:noWrap w:val="0"/>
            <w:vAlign w:val="center"/>
          </w:tcPr>
          <w:p>
            <w:pPr>
              <w:widowControl/>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目视无垃圾、无明显泥沙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gridAfter w:val="1"/>
          <w:wAfter w:w="261" w:type="dxa"/>
          <w:trHeight w:val="790" w:hRule="atLeast"/>
        </w:trPr>
        <w:tc>
          <w:tcPr>
            <w:tcW w:w="468" w:type="dxa"/>
            <w:vMerge w:val="continue"/>
            <w:noWrap w:val="0"/>
            <w:vAlign w:val="center"/>
          </w:tcPr>
          <w:p>
            <w:pPr>
              <w:jc w:val="center"/>
              <w:rPr>
                <w:rFonts w:hint="eastAsia" w:ascii="宋体" w:hAnsi="宋体" w:eastAsia="宋体" w:cs="宋体"/>
                <w:color w:val="auto"/>
                <w:sz w:val="21"/>
                <w:szCs w:val="21"/>
                <w:highlight w:val="none"/>
              </w:rPr>
            </w:pPr>
          </w:p>
        </w:tc>
        <w:tc>
          <w:tcPr>
            <w:tcW w:w="1149" w:type="dxa"/>
            <w:vMerge w:val="continue"/>
            <w:noWrap w:val="0"/>
            <w:vAlign w:val="center"/>
          </w:tcPr>
          <w:p>
            <w:pPr>
              <w:jc w:val="center"/>
              <w:rPr>
                <w:rFonts w:hint="eastAsia" w:ascii="宋体" w:hAnsi="宋体" w:eastAsia="宋体" w:cs="宋体"/>
                <w:color w:val="auto"/>
                <w:sz w:val="21"/>
                <w:szCs w:val="21"/>
                <w:highlight w:val="none"/>
              </w:rPr>
            </w:pPr>
          </w:p>
        </w:tc>
        <w:tc>
          <w:tcPr>
            <w:tcW w:w="2277" w:type="dxa"/>
            <w:noWrap w:val="0"/>
            <w:vAlign w:val="center"/>
          </w:tcPr>
          <w:p>
            <w:pPr>
              <w:widowControl/>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应急灯</w:t>
            </w:r>
          </w:p>
        </w:tc>
        <w:tc>
          <w:tcPr>
            <w:tcW w:w="2307" w:type="dxa"/>
            <w:noWrap w:val="0"/>
            <w:vAlign w:val="center"/>
          </w:tcPr>
          <w:p>
            <w:pPr>
              <w:widowControl/>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每月除尘、擦拭一次</w:t>
            </w:r>
          </w:p>
        </w:tc>
        <w:tc>
          <w:tcPr>
            <w:tcW w:w="2499" w:type="dxa"/>
            <w:noWrap w:val="0"/>
            <w:vAlign w:val="center"/>
          </w:tcPr>
          <w:p>
            <w:pPr>
              <w:widowControl/>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目视无积灰、无喷漆涂鸦、无关粘贴物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gridAfter w:val="1"/>
          <w:wAfter w:w="261" w:type="dxa"/>
          <w:trHeight w:val="644" w:hRule="atLeast"/>
        </w:trPr>
        <w:tc>
          <w:tcPr>
            <w:tcW w:w="468" w:type="dxa"/>
            <w:vMerge w:val="continue"/>
            <w:noWrap w:val="0"/>
            <w:vAlign w:val="center"/>
          </w:tcPr>
          <w:p>
            <w:pPr>
              <w:jc w:val="center"/>
              <w:rPr>
                <w:rFonts w:hint="eastAsia" w:ascii="宋体" w:hAnsi="宋体" w:eastAsia="宋体" w:cs="宋体"/>
                <w:color w:val="auto"/>
                <w:sz w:val="21"/>
                <w:szCs w:val="21"/>
                <w:highlight w:val="none"/>
              </w:rPr>
            </w:pPr>
          </w:p>
        </w:tc>
        <w:tc>
          <w:tcPr>
            <w:tcW w:w="1149" w:type="dxa"/>
            <w:vMerge w:val="continue"/>
            <w:noWrap w:val="0"/>
            <w:vAlign w:val="center"/>
          </w:tcPr>
          <w:p>
            <w:pPr>
              <w:jc w:val="center"/>
              <w:rPr>
                <w:rFonts w:hint="eastAsia" w:ascii="宋体" w:hAnsi="宋体" w:eastAsia="宋体" w:cs="宋体"/>
                <w:color w:val="auto"/>
                <w:sz w:val="21"/>
                <w:szCs w:val="21"/>
                <w:highlight w:val="none"/>
              </w:rPr>
            </w:pPr>
          </w:p>
        </w:tc>
        <w:tc>
          <w:tcPr>
            <w:tcW w:w="2277" w:type="dxa"/>
            <w:noWrap w:val="0"/>
            <w:vAlign w:val="center"/>
          </w:tcPr>
          <w:p>
            <w:pPr>
              <w:widowControl/>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风口</w:t>
            </w:r>
          </w:p>
        </w:tc>
        <w:tc>
          <w:tcPr>
            <w:tcW w:w="2307" w:type="dxa"/>
            <w:noWrap w:val="0"/>
            <w:vAlign w:val="center"/>
          </w:tcPr>
          <w:p>
            <w:pPr>
              <w:widowControl/>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每月除尘一次</w:t>
            </w:r>
          </w:p>
        </w:tc>
        <w:tc>
          <w:tcPr>
            <w:tcW w:w="2499" w:type="dxa"/>
            <w:noWrap w:val="0"/>
            <w:vAlign w:val="center"/>
          </w:tcPr>
          <w:p>
            <w:pPr>
              <w:widowControl/>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目视无积灰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gridAfter w:val="1"/>
          <w:wAfter w:w="261" w:type="dxa"/>
          <w:trHeight w:val="426" w:hRule="atLeast"/>
        </w:trPr>
        <w:tc>
          <w:tcPr>
            <w:tcW w:w="468" w:type="dxa"/>
            <w:vMerge w:val="restart"/>
            <w:noWrap w:val="0"/>
            <w:vAlign w:val="center"/>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8</w:t>
            </w:r>
          </w:p>
        </w:tc>
        <w:tc>
          <w:tcPr>
            <w:tcW w:w="1149" w:type="dxa"/>
            <w:vMerge w:val="restart"/>
            <w:noWrap w:val="0"/>
            <w:vAlign w:val="center"/>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各类设备用房</w:t>
            </w:r>
          </w:p>
        </w:tc>
        <w:tc>
          <w:tcPr>
            <w:tcW w:w="2277" w:type="dxa"/>
            <w:noWrap w:val="0"/>
            <w:vAlign w:val="center"/>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监控房、保安、电工房</w:t>
            </w:r>
          </w:p>
        </w:tc>
        <w:tc>
          <w:tcPr>
            <w:tcW w:w="2307" w:type="dxa"/>
            <w:noWrap w:val="0"/>
            <w:vAlign w:val="center"/>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每天保洁一次</w:t>
            </w:r>
          </w:p>
        </w:tc>
        <w:tc>
          <w:tcPr>
            <w:tcW w:w="2499" w:type="dxa"/>
            <w:vMerge w:val="restart"/>
            <w:noWrap w:val="0"/>
            <w:vAlign w:val="center"/>
          </w:tcPr>
          <w:p>
            <w:pPr>
              <w:widowControl/>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无灰尘、无垃圾、杂物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gridAfter w:val="1"/>
          <w:wAfter w:w="261" w:type="dxa"/>
          <w:trHeight w:val="550" w:hRule="atLeast"/>
        </w:trPr>
        <w:tc>
          <w:tcPr>
            <w:tcW w:w="468" w:type="dxa"/>
            <w:vMerge w:val="continue"/>
            <w:noWrap w:val="0"/>
            <w:vAlign w:val="center"/>
          </w:tcPr>
          <w:p>
            <w:pPr>
              <w:jc w:val="center"/>
              <w:rPr>
                <w:rFonts w:hint="eastAsia" w:ascii="宋体" w:hAnsi="宋体" w:eastAsia="宋体" w:cs="宋体"/>
                <w:color w:val="auto"/>
                <w:sz w:val="21"/>
                <w:szCs w:val="21"/>
                <w:highlight w:val="none"/>
              </w:rPr>
            </w:pPr>
          </w:p>
        </w:tc>
        <w:tc>
          <w:tcPr>
            <w:tcW w:w="1149" w:type="dxa"/>
            <w:vMerge w:val="continue"/>
            <w:noWrap w:val="0"/>
            <w:vAlign w:val="center"/>
          </w:tcPr>
          <w:p>
            <w:pPr>
              <w:jc w:val="center"/>
              <w:rPr>
                <w:rFonts w:hint="eastAsia" w:ascii="宋体" w:hAnsi="宋体" w:eastAsia="宋体" w:cs="宋体"/>
                <w:color w:val="auto"/>
                <w:sz w:val="21"/>
                <w:szCs w:val="21"/>
                <w:highlight w:val="none"/>
              </w:rPr>
            </w:pPr>
          </w:p>
        </w:tc>
        <w:tc>
          <w:tcPr>
            <w:tcW w:w="2277" w:type="dxa"/>
            <w:noWrap w:val="0"/>
            <w:vAlign w:val="center"/>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强弱电机房用房</w:t>
            </w:r>
          </w:p>
        </w:tc>
        <w:tc>
          <w:tcPr>
            <w:tcW w:w="2307" w:type="dxa"/>
            <w:noWrap w:val="0"/>
            <w:vAlign w:val="center"/>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每两周清扫二次</w:t>
            </w:r>
          </w:p>
        </w:tc>
        <w:tc>
          <w:tcPr>
            <w:tcW w:w="2499" w:type="dxa"/>
            <w:vMerge w:val="continue"/>
            <w:noWrap w:val="0"/>
            <w:vAlign w:val="center"/>
          </w:tcPr>
          <w:p>
            <w:pPr>
              <w:widowControl/>
              <w:textAlignment w:val="center"/>
              <w:rPr>
                <w:rFonts w:hint="eastAsia" w:ascii="宋体" w:hAnsi="宋体" w:eastAsia="宋体" w:cs="宋体"/>
                <w:color w:val="auto"/>
                <w:kern w:val="0"/>
                <w:sz w:val="21"/>
                <w:szCs w:val="21"/>
                <w:highlight w:val="none"/>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gridAfter w:val="1"/>
          <w:wAfter w:w="261" w:type="dxa"/>
          <w:trHeight w:val="398" w:hRule="atLeast"/>
        </w:trPr>
        <w:tc>
          <w:tcPr>
            <w:tcW w:w="468" w:type="dxa"/>
            <w:vMerge w:val="restart"/>
            <w:noWrap w:val="0"/>
            <w:vAlign w:val="center"/>
          </w:tcPr>
          <w:p>
            <w:pPr>
              <w:widowControl/>
              <w:jc w:val="center"/>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9</w:t>
            </w:r>
          </w:p>
        </w:tc>
        <w:tc>
          <w:tcPr>
            <w:tcW w:w="1149" w:type="dxa"/>
            <w:vMerge w:val="restart"/>
            <w:noWrap w:val="0"/>
            <w:vAlign w:val="center"/>
          </w:tcPr>
          <w:p>
            <w:pPr>
              <w:widowControl/>
              <w:jc w:val="center"/>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开水间</w:t>
            </w:r>
          </w:p>
        </w:tc>
        <w:tc>
          <w:tcPr>
            <w:tcW w:w="2277" w:type="dxa"/>
            <w:noWrap w:val="0"/>
            <w:vAlign w:val="center"/>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墙身</w:t>
            </w:r>
          </w:p>
        </w:tc>
        <w:tc>
          <w:tcPr>
            <w:tcW w:w="2307" w:type="dxa"/>
            <w:noWrap w:val="0"/>
            <w:vAlign w:val="center"/>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每天保洁；每两周清洗一次、除污渍</w:t>
            </w:r>
          </w:p>
        </w:tc>
        <w:tc>
          <w:tcPr>
            <w:tcW w:w="2499" w:type="dxa"/>
            <w:noWrap w:val="0"/>
            <w:vAlign w:val="center"/>
          </w:tcPr>
          <w:p>
            <w:pPr>
              <w:widowControl/>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无污渍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gridAfter w:val="1"/>
          <w:wAfter w:w="261" w:type="dxa"/>
          <w:trHeight w:val="432" w:hRule="atLeast"/>
        </w:trPr>
        <w:tc>
          <w:tcPr>
            <w:tcW w:w="468" w:type="dxa"/>
            <w:vMerge w:val="continue"/>
            <w:noWrap w:val="0"/>
            <w:vAlign w:val="center"/>
          </w:tcPr>
          <w:p>
            <w:pPr>
              <w:widowControl/>
              <w:jc w:val="center"/>
              <w:textAlignment w:val="center"/>
              <w:rPr>
                <w:rFonts w:hint="eastAsia" w:ascii="宋体" w:hAnsi="宋体" w:eastAsia="宋体" w:cs="宋体"/>
                <w:color w:val="auto"/>
                <w:kern w:val="0"/>
                <w:sz w:val="21"/>
                <w:szCs w:val="21"/>
                <w:highlight w:val="none"/>
                <w:lang w:bidi="ar"/>
              </w:rPr>
            </w:pPr>
          </w:p>
        </w:tc>
        <w:tc>
          <w:tcPr>
            <w:tcW w:w="1149" w:type="dxa"/>
            <w:vMerge w:val="continue"/>
            <w:noWrap w:val="0"/>
            <w:vAlign w:val="center"/>
          </w:tcPr>
          <w:p>
            <w:pPr>
              <w:widowControl/>
              <w:jc w:val="center"/>
              <w:textAlignment w:val="center"/>
              <w:rPr>
                <w:rFonts w:hint="eastAsia" w:ascii="宋体" w:hAnsi="宋体" w:eastAsia="宋体" w:cs="宋体"/>
                <w:color w:val="auto"/>
                <w:kern w:val="0"/>
                <w:sz w:val="21"/>
                <w:szCs w:val="21"/>
                <w:highlight w:val="none"/>
                <w:lang w:bidi="ar"/>
              </w:rPr>
            </w:pPr>
          </w:p>
        </w:tc>
        <w:tc>
          <w:tcPr>
            <w:tcW w:w="2277" w:type="dxa"/>
            <w:noWrap w:val="0"/>
            <w:vAlign w:val="center"/>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地面</w:t>
            </w:r>
          </w:p>
        </w:tc>
        <w:tc>
          <w:tcPr>
            <w:tcW w:w="2307" w:type="dxa"/>
            <w:noWrap w:val="0"/>
            <w:vAlign w:val="center"/>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每天随时拖抹、保洁；每两周用洁清剂清洗</w:t>
            </w:r>
            <w:r>
              <w:rPr>
                <w:rFonts w:hint="eastAsia" w:ascii="宋体" w:hAnsi="宋体" w:eastAsia="宋体" w:cs="宋体"/>
                <w:color w:val="auto"/>
                <w:sz w:val="21"/>
                <w:szCs w:val="21"/>
                <w:highlight w:val="none"/>
                <w:lang w:eastAsia="zh-CN"/>
              </w:rPr>
              <w:t>两次</w:t>
            </w:r>
          </w:p>
        </w:tc>
        <w:tc>
          <w:tcPr>
            <w:tcW w:w="2499" w:type="dxa"/>
            <w:noWrap w:val="0"/>
            <w:vAlign w:val="center"/>
          </w:tcPr>
          <w:p>
            <w:pPr>
              <w:widowControl/>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无污渍、无水迹及垃圾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gridAfter w:val="1"/>
          <w:wAfter w:w="261" w:type="dxa"/>
          <w:trHeight w:val="790" w:hRule="atLeast"/>
        </w:trPr>
        <w:tc>
          <w:tcPr>
            <w:tcW w:w="468" w:type="dxa"/>
            <w:vMerge w:val="restart"/>
            <w:noWrap w:val="0"/>
            <w:vAlign w:val="center"/>
          </w:tcPr>
          <w:p>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10</w:t>
            </w:r>
          </w:p>
        </w:tc>
        <w:tc>
          <w:tcPr>
            <w:tcW w:w="1149" w:type="dxa"/>
            <w:vMerge w:val="restart"/>
            <w:noWrap w:val="0"/>
            <w:vAlign w:val="center"/>
          </w:tcPr>
          <w:p>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洗手间</w:t>
            </w:r>
          </w:p>
        </w:tc>
        <w:tc>
          <w:tcPr>
            <w:tcW w:w="2277" w:type="dxa"/>
            <w:noWrap w:val="0"/>
            <w:vAlign w:val="center"/>
          </w:tcPr>
          <w:p>
            <w:pPr>
              <w:widowControl/>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大小便器</w:t>
            </w:r>
          </w:p>
        </w:tc>
        <w:tc>
          <w:tcPr>
            <w:tcW w:w="2307" w:type="dxa"/>
            <w:noWrap w:val="0"/>
            <w:vAlign w:val="center"/>
          </w:tcPr>
          <w:p>
            <w:pPr>
              <w:widowControl/>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巡回保洁</w:t>
            </w:r>
          </w:p>
        </w:tc>
        <w:tc>
          <w:tcPr>
            <w:tcW w:w="2499" w:type="dxa"/>
            <w:noWrap w:val="0"/>
            <w:vAlign w:val="center"/>
          </w:tcPr>
          <w:p>
            <w:pPr>
              <w:widowControl/>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干净无污渍、无异味、无喷漆涂鸦、无关粘贴物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gridAfter w:val="1"/>
          <w:wAfter w:w="261" w:type="dxa"/>
          <w:trHeight w:val="829" w:hRule="atLeast"/>
        </w:trPr>
        <w:tc>
          <w:tcPr>
            <w:tcW w:w="468" w:type="dxa"/>
            <w:vMerge w:val="continue"/>
            <w:noWrap w:val="0"/>
            <w:vAlign w:val="center"/>
          </w:tcPr>
          <w:p>
            <w:pPr>
              <w:jc w:val="center"/>
              <w:rPr>
                <w:rFonts w:hint="eastAsia" w:ascii="宋体" w:hAnsi="宋体" w:eastAsia="宋体" w:cs="宋体"/>
                <w:color w:val="auto"/>
                <w:sz w:val="21"/>
                <w:szCs w:val="21"/>
                <w:highlight w:val="none"/>
              </w:rPr>
            </w:pPr>
          </w:p>
        </w:tc>
        <w:tc>
          <w:tcPr>
            <w:tcW w:w="1149" w:type="dxa"/>
            <w:vMerge w:val="continue"/>
            <w:noWrap w:val="0"/>
            <w:vAlign w:val="center"/>
          </w:tcPr>
          <w:p>
            <w:pPr>
              <w:jc w:val="center"/>
              <w:rPr>
                <w:rFonts w:hint="eastAsia" w:ascii="宋体" w:hAnsi="宋体" w:eastAsia="宋体" w:cs="宋体"/>
                <w:color w:val="auto"/>
                <w:sz w:val="21"/>
                <w:szCs w:val="21"/>
                <w:highlight w:val="none"/>
              </w:rPr>
            </w:pPr>
          </w:p>
        </w:tc>
        <w:tc>
          <w:tcPr>
            <w:tcW w:w="2277" w:type="dxa"/>
            <w:noWrap w:val="0"/>
            <w:vAlign w:val="center"/>
          </w:tcPr>
          <w:p>
            <w:pPr>
              <w:widowControl/>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洗手池、台面、龙头</w:t>
            </w:r>
          </w:p>
        </w:tc>
        <w:tc>
          <w:tcPr>
            <w:tcW w:w="2307" w:type="dxa"/>
            <w:noWrap w:val="0"/>
            <w:vAlign w:val="center"/>
          </w:tcPr>
          <w:p>
            <w:pPr>
              <w:widowControl/>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巡回保洁</w:t>
            </w:r>
          </w:p>
        </w:tc>
        <w:tc>
          <w:tcPr>
            <w:tcW w:w="2499" w:type="dxa"/>
            <w:noWrap w:val="0"/>
            <w:vAlign w:val="center"/>
          </w:tcPr>
          <w:p>
            <w:pPr>
              <w:widowControl/>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干净无污渍、无异味、无喷漆涂鸦、无关粘贴物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gridAfter w:val="1"/>
          <w:wAfter w:w="261" w:type="dxa"/>
          <w:trHeight w:val="790" w:hRule="atLeast"/>
        </w:trPr>
        <w:tc>
          <w:tcPr>
            <w:tcW w:w="468" w:type="dxa"/>
            <w:vMerge w:val="continue"/>
            <w:noWrap w:val="0"/>
            <w:vAlign w:val="center"/>
          </w:tcPr>
          <w:p>
            <w:pPr>
              <w:jc w:val="center"/>
              <w:rPr>
                <w:rFonts w:hint="eastAsia" w:ascii="宋体" w:hAnsi="宋体" w:eastAsia="宋体" w:cs="宋体"/>
                <w:color w:val="auto"/>
                <w:sz w:val="21"/>
                <w:szCs w:val="21"/>
                <w:highlight w:val="none"/>
              </w:rPr>
            </w:pPr>
          </w:p>
        </w:tc>
        <w:tc>
          <w:tcPr>
            <w:tcW w:w="1149" w:type="dxa"/>
            <w:vMerge w:val="continue"/>
            <w:noWrap w:val="0"/>
            <w:vAlign w:val="center"/>
          </w:tcPr>
          <w:p>
            <w:pPr>
              <w:jc w:val="center"/>
              <w:rPr>
                <w:rFonts w:hint="eastAsia" w:ascii="宋体" w:hAnsi="宋体" w:eastAsia="宋体" w:cs="宋体"/>
                <w:color w:val="auto"/>
                <w:sz w:val="21"/>
                <w:szCs w:val="21"/>
                <w:highlight w:val="none"/>
              </w:rPr>
            </w:pPr>
          </w:p>
        </w:tc>
        <w:tc>
          <w:tcPr>
            <w:tcW w:w="2277" w:type="dxa"/>
            <w:noWrap w:val="0"/>
            <w:vAlign w:val="center"/>
          </w:tcPr>
          <w:p>
            <w:pPr>
              <w:widowControl/>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镜面</w:t>
            </w:r>
          </w:p>
        </w:tc>
        <w:tc>
          <w:tcPr>
            <w:tcW w:w="2307" w:type="dxa"/>
            <w:noWrap w:val="0"/>
            <w:vAlign w:val="center"/>
          </w:tcPr>
          <w:p>
            <w:pPr>
              <w:widowControl/>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巡回保洁</w:t>
            </w:r>
          </w:p>
        </w:tc>
        <w:tc>
          <w:tcPr>
            <w:tcW w:w="2499" w:type="dxa"/>
            <w:noWrap w:val="0"/>
            <w:vAlign w:val="center"/>
          </w:tcPr>
          <w:p>
            <w:pPr>
              <w:widowControl/>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明亮、无印迹、污渍、喷漆涂鸦、无关粘贴物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gridAfter w:val="1"/>
          <w:wAfter w:w="261" w:type="dxa"/>
          <w:trHeight w:val="790" w:hRule="atLeast"/>
        </w:trPr>
        <w:tc>
          <w:tcPr>
            <w:tcW w:w="468" w:type="dxa"/>
            <w:vMerge w:val="continue"/>
            <w:noWrap w:val="0"/>
            <w:vAlign w:val="center"/>
          </w:tcPr>
          <w:p>
            <w:pPr>
              <w:jc w:val="center"/>
              <w:rPr>
                <w:rFonts w:hint="eastAsia" w:ascii="宋体" w:hAnsi="宋体" w:eastAsia="宋体" w:cs="宋体"/>
                <w:color w:val="auto"/>
                <w:sz w:val="21"/>
                <w:szCs w:val="21"/>
                <w:highlight w:val="none"/>
              </w:rPr>
            </w:pPr>
          </w:p>
        </w:tc>
        <w:tc>
          <w:tcPr>
            <w:tcW w:w="1149" w:type="dxa"/>
            <w:vMerge w:val="continue"/>
            <w:noWrap w:val="0"/>
            <w:vAlign w:val="center"/>
          </w:tcPr>
          <w:p>
            <w:pPr>
              <w:jc w:val="center"/>
              <w:rPr>
                <w:rFonts w:hint="eastAsia" w:ascii="宋体" w:hAnsi="宋体" w:eastAsia="宋体" w:cs="宋体"/>
                <w:color w:val="auto"/>
                <w:sz w:val="21"/>
                <w:szCs w:val="21"/>
                <w:highlight w:val="none"/>
              </w:rPr>
            </w:pPr>
          </w:p>
        </w:tc>
        <w:tc>
          <w:tcPr>
            <w:tcW w:w="2277" w:type="dxa"/>
            <w:noWrap w:val="0"/>
            <w:vAlign w:val="center"/>
          </w:tcPr>
          <w:p>
            <w:pPr>
              <w:widowControl/>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隔断板、门</w:t>
            </w:r>
          </w:p>
        </w:tc>
        <w:tc>
          <w:tcPr>
            <w:tcW w:w="2307" w:type="dxa"/>
            <w:noWrap w:val="0"/>
            <w:vAlign w:val="center"/>
          </w:tcPr>
          <w:p>
            <w:pPr>
              <w:widowControl/>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巡回保洁</w:t>
            </w:r>
          </w:p>
        </w:tc>
        <w:tc>
          <w:tcPr>
            <w:tcW w:w="2499" w:type="dxa"/>
            <w:noWrap w:val="0"/>
            <w:vAlign w:val="center"/>
          </w:tcPr>
          <w:p>
            <w:pPr>
              <w:widowControl/>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无积灰、污渍、喷漆涂鸦、无关粘贴物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gridAfter w:val="1"/>
          <w:wAfter w:w="261" w:type="dxa"/>
          <w:trHeight w:val="790" w:hRule="atLeast"/>
        </w:trPr>
        <w:tc>
          <w:tcPr>
            <w:tcW w:w="468" w:type="dxa"/>
            <w:vMerge w:val="continue"/>
            <w:noWrap w:val="0"/>
            <w:vAlign w:val="center"/>
          </w:tcPr>
          <w:p>
            <w:pPr>
              <w:jc w:val="center"/>
              <w:rPr>
                <w:rFonts w:hint="eastAsia" w:ascii="宋体" w:hAnsi="宋体" w:eastAsia="宋体" w:cs="宋体"/>
                <w:color w:val="auto"/>
                <w:sz w:val="21"/>
                <w:szCs w:val="21"/>
                <w:highlight w:val="none"/>
              </w:rPr>
            </w:pPr>
          </w:p>
        </w:tc>
        <w:tc>
          <w:tcPr>
            <w:tcW w:w="1149" w:type="dxa"/>
            <w:vMerge w:val="continue"/>
            <w:noWrap w:val="0"/>
            <w:vAlign w:val="center"/>
          </w:tcPr>
          <w:p>
            <w:pPr>
              <w:jc w:val="center"/>
              <w:rPr>
                <w:rFonts w:hint="eastAsia" w:ascii="宋体" w:hAnsi="宋体" w:eastAsia="宋体" w:cs="宋体"/>
                <w:color w:val="auto"/>
                <w:sz w:val="21"/>
                <w:szCs w:val="21"/>
                <w:highlight w:val="none"/>
              </w:rPr>
            </w:pPr>
          </w:p>
        </w:tc>
        <w:tc>
          <w:tcPr>
            <w:tcW w:w="2277" w:type="dxa"/>
            <w:noWrap w:val="0"/>
            <w:vAlign w:val="center"/>
          </w:tcPr>
          <w:p>
            <w:pPr>
              <w:widowControl/>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灯具、墙面</w:t>
            </w:r>
          </w:p>
        </w:tc>
        <w:tc>
          <w:tcPr>
            <w:tcW w:w="2307" w:type="dxa"/>
            <w:noWrap w:val="0"/>
            <w:vAlign w:val="center"/>
          </w:tcPr>
          <w:p>
            <w:pPr>
              <w:widowControl/>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每周除尘、每半月擦拭一次</w:t>
            </w:r>
          </w:p>
        </w:tc>
        <w:tc>
          <w:tcPr>
            <w:tcW w:w="2499" w:type="dxa"/>
            <w:noWrap w:val="0"/>
            <w:vAlign w:val="center"/>
          </w:tcPr>
          <w:p>
            <w:pPr>
              <w:widowControl/>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无积灰、积水、污渍、喷漆涂鸦、无关粘贴物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gridAfter w:val="1"/>
          <w:wAfter w:w="261" w:type="dxa"/>
          <w:trHeight w:val="796" w:hRule="atLeast"/>
        </w:trPr>
        <w:tc>
          <w:tcPr>
            <w:tcW w:w="468" w:type="dxa"/>
            <w:vMerge w:val="continue"/>
            <w:noWrap w:val="0"/>
            <w:vAlign w:val="center"/>
          </w:tcPr>
          <w:p>
            <w:pPr>
              <w:jc w:val="center"/>
              <w:rPr>
                <w:rFonts w:hint="eastAsia" w:ascii="宋体" w:hAnsi="宋体" w:eastAsia="宋体" w:cs="宋体"/>
                <w:color w:val="auto"/>
                <w:sz w:val="21"/>
                <w:szCs w:val="21"/>
                <w:highlight w:val="none"/>
              </w:rPr>
            </w:pPr>
          </w:p>
        </w:tc>
        <w:tc>
          <w:tcPr>
            <w:tcW w:w="1149" w:type="dxa"/>
            <w:vMerge w:val="continue"/>
            <w:noWrap w:val="0"/>
            <w:vAlign w:val="center"/>
          </w:tcPr>
          <w:p>
            <w:pPr>
              <w:jc w:val="center"/>
              <w:rPr>
                <w:rFonts w:hint="eastAsia" w:ascii="宋体" w:hAnsi="宋体" w:eastAsia="宋体" w:cs="宋体"/>
                <w:color w:val="auto"/>
                <w:sz w:val="21"/>
                <w:szCs w:val="21"/>
                <w:highlight w:val="none"/>
              </w:rPr>
            </w:pPr>
          </w:p>
        </w:tc>
        <w:tc>
          <w:tcPr>
            <w:tcW w:w="2277" w:type="dxa"/>
            <w:noWrap w:val="0"/>
            <w:vAlign w:val="center"/>
          </w:tcPr>
          <w:p>
            <w:pPr>
              <w:widowControl/>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地面</w:t>
            </w:r>
          </w:p>
        </w:tc>
        <w:tc>
          <w:tcPr>
            <w:tcW w:w="2307" w:type="dxa"/>
            <w:noWrap w:val="0"/>
            <w:vAlign w:val="center"/>
          </w:tcPr>
          <w:p>
            <w:pPr>
              <w:widowControl/>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巡回保洁、冲洗</w:t>
            </w:r>
          </w:p>
        </w:tc>
        <w:tc>
          <w:tcPr>
            <w:tcW w:w="2499" w:type="dxa"/>
            <w:noWrap w:val="0"/>
            <w:vAlign w:val="center"/>
          </w:tcPr>
          <w:p>
            <w:pPr>
              <w:widowControl/>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无垃圾、积水、污渍、喷漆涂鸦、无关粘贴物、无异味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gridAfter w:val="1"/>
          <w:wAfter w:w="261" w:type="dxa"/>
          <w:trHeight w:val="790" w:hRule="atLeast"/>
        </w:trPr>
        <w:tc>
          <w:tcPr>
            <w:tcW w:w="468" w:type="dxa"/>
            <w:vMerge w:val="continue"/>
            <w:noWrap w:val="0"/>
            <w:vAlign w:val="center"/>
          </w:tcPr>
          <w:p>
            <w:pPr>
              <w:jc w:val="center"/>
              <w:rPr>
                <w:rFonts w:hint="eastAsia" w:ascii="宋体" w:hAnsi="宋体" w:eastAsia="宋体" w:cs="宋体"/>
                <w:color w:val="auto"/>
                <w:sz w:val="21"/>
                <w:szCs w:val="21"/>
                <w:highlight w:val="none"/>
              </w:rPr>
            </w:pPr>
          </w:p>
        </w:tc>
        <w:tc>
          <w:tcPr>
            <w:tcW w:w="1149" w:type="dxa"/>
            <w:vMerge w:val="continue"/>
            <w:noWrap w:val="0"/>
            <w:vAlign w:val="center"/>
          </w:tcPr>
          <w:p>
            <w:pPr>
              <w:jc w:val="center"/>
              <w:rPr>
                <w:rFonts w:hint="eastAsia" w:ascii="宋体" w:hAnsi="宋体" w:eastAsia="宋体" w:cs="宋体"/>
                <w:color w:val="auto"/>
                <w:sz w:val="21"/>
                <w:szCs w:val="21"/>
                <w:highlight w:val="none"/>
              </w:rPr>
            </w:pPr>
          </w:p>
        </w:tc>
        <w:tc>
          <w:tcPr>
            <w:tcW w:w="2277" w:type="dxa"/>
            <w:noWrap w:val="0"/>
            <w:vAlign w:val="center"/>
          </w:tcPr>
          <w:p>
            <w:pPr>
              <w:widowControl/>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玻璃、窗框</w:t>
            </w:r>
          </w:p>
        </w:tc>
        <w:tc>
          <w:tcPr>
            <w:tcW w:w="2307" w:type="dxa"/>
            <w:noWrap w:val="0"/>
            <w:vAlign w:val="center"/>
          </w:tcPr>
          <w:p>
            <w:pPr>
              <w:widowControl/>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巡回保洁</w:t>
            </w:r>
          </w:p>
        </w:tc>
        <w:tc>
          <w:tcPr>
            <w:tcW w:w="2499" w:type="dxa"/>
            <w:noWrap w:val="0"/>
            <w:vAlign w:val="center"/>
          </w:tcPr>
          <w:p>
            <w:pPr>
              <w:widowControl/>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无积灰（发现污渍及时清除）、喷漆涂鸦、无关粘贴物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gridAfter w:val="1"/>
          <w:wAfter w:w="261" w:type="dxa"/>
          <w:trHeight w:val="460" w:hRule="atLeast"/>
        </w:trPr>
        <w:tc>
          <w:tcPr>
            <w:tcW w:w="468" w:type="dxa"/>
            <w:vMerge w:val="continue"/>
            <w:noWrap w:val="0"/>
            <w:vAlign w:val="center"/>
          </w:tcPr>
          <w:p>
            <w:pPr>
              <w:jc w:val="center"/>
              <w:rPr>
                <w:rFonts w:hint="eastAsia" w:ascii="宋体" w:hAnsi="宋体" w:eastAsia="宋体" w:cs="宋体"/>
                <w:color w:val="auto"/>
                <w:sz w:val="21"/>
                <w:szCs w:val="21"/>
                <w:highlight w:val="none"/>
              </w:rPr>
            </w:pPr>
          </w:p>
        </w:tc>
        <w:tc>
          <w:tcPr>
            <w:tcW w:w="1149" w:type="dxa"/>
            <w:vMerge w:val="continue"/>
            <w:noWrap w:val="0"/>
            <w:vAlign w:val="center"/>
          </w:tcPr>
          <w:p>
            <w:pPr>
              <w:jc w:val="center"/>
              <w:rPr>
                <w:rFonts w:hint="eastAsia" w:ascii="宋体" w:hAnsi="宋体" w:eastAsia="宋体" w:cs="宋体"/>
                <w:color w:val="auto"/>
                <w:sz w:val="21"/>
                <w:szCs w:val="21"/>
                <w:highlight w:val="none"/>
              </w:rPr>
            </w:pPr>
          </w:p>
        </w:tc>
        <w:tc>
          <w:tcPr>
            <w:tcW w:w="2277" w:type="dxa"/>
            <w:noWrap w:val="0"/>
            <w:vAlign w:val="center"/>
          </w:tcPr>
          <w:p>
            <w:pPr>
              <w:widowControl/>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垃圾篓</w:t>
            </w:r>
          </w:p>
        </w:tc>
        <w:tc>
          <w:tcPr>
            <w:tcW w:w="2307" w:type="dxa"/>
            <w:noWrap w:val="0"/>
            <w:vAlign w:val="center"/>
          </w:tcPr>
          <w:p>
            <w:pPr>
              <w:widowControl/>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不超过1/2</w:t>
            </w:r>
          </w:p>
        </w:tc>
        <w:tc>
          <w:tcPr>
            <w:tcW w:w="2499" w:type="dxa"/>
            <w:noWrap w:val="0"/>
            <w:vAlign w:val="center"/>
          </w:tcPr>
          <w:p>
            <w:pPr>
              <w:widowControl/>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及时更换垃圾袋、无异味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gridAfter w:val="1"/>
          <w:wAfter w:w="261" w:type="dxa"/>
          <w:trHeight w:val="215" w:hRule="atLeast"/>
        </w:trPr>
        <w:tc>
          <w:tcPr>
            <w:tcW w:w="468" w:type="dxa"/>
            <w:noWrap w:val="0"/>
            <w:vAlign w:val="center"/>
          </w:tcPr>
          <w:p>
            <w:pPr>
              <w:widowControl/>
              <w:jc w:val="center"/>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11</w:t>
            </w:r>
          </w:p>
        </w:tc>
        <w:tc>
          <w:tcPr>
            <w:tcW w:w="3426" w:type="dxa"/>
            <w:gridSpan w:val="2"/>
            <w:noWrap w:val="0"/>
            <w:vAlign w:val="center"/>
          </w:tcPr>
          <w:p>
            <w:pPr>
              <w:widowControl/>
              <w:jc w:val="left"/>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color w:val="auto"/>
                <w:sz w:val="21"/>
                <w:szCs w:val="21"/>
                <w:highlight w:val="none"/>
              </w:rPr>
              <w:t>屋面、平台、檐沟</w:t>
            </w:r>
          </w:p>
        </w:tc>
        <w:tc>
          <w:tcPr>
            <w:tcW w:w="2307" w:type="dxa"/>
            <w:noWrap w:val="0"/>
            <w:vAlign w:val="center"/>
          </w:tcPr>
          <w:p>
            <w:pPr>
              <w:widowControl/>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color w:val="auto"/>
                <w:sz w:val="21"/>
                <w:szCs w:val="21"/>
                <w:highlight w:val="none"/>
              </w:rPr>
              <w:t>每两周清抹二次</w:t>
            </w:r>
          </w:p>
        </w:tc>
        <w:tc>
          <w:tcPr>
            <w:tcW w:w="2499" w:type="dxa"/>
            <w:noWrap w:val="0"/>
            <w:vAlign w:val="center"/>
          </w:tcPr>
          <w:p>
            <w:pPr>
              <w:widowControl/>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color w:val="auto"/>
                <w:sz w:val="21"/>
                <w:szCs w:val="21"/>
                <w:highlight w:val="none"/>
              </w:rPr>
              <w:t>无杂物、无积水、无积雪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gridAfter w:val="1"/>
          <w:wAfter w:w="261" w:type="dxa"/>
          <w:trHeight w:val="193" w:hRule="atLeast"/>
        </w:trPr>
        <w:tc>
          <w:tcPr>
            <w:tcW w:w="468" w:type="dxa"/>
            <w:noWrap w:val="0"/>
            <w:vAlign w:val="center"/>
          </w:tcPr>
          <w:p>
            <w:pPr>
              <w:widowControl/>
              <w:jc w:val="center"/>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12</w:t>
            </w:r>
          </w:p>
        </w:tc>
        <w:tc>
          <w:tcPr>
            <w:tcW w:w="3426" w:type="dxa"/>
            <w:gridSpan w:val="2"/>
            <w:noWrap w:val="0"/>
            <w:vAlign w:val="center"/>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外墙、玻璃雨棚</w:t>
            </w:r>
          </w:p>
        </w:tc>
        <w:tc>
          <w:tcPr>
            <w:tcW w:w="2307" w:type="dxa"/>
            <w:noWrap w:val="0"/>
            <w:vAlign w:val="center"/>
          </w:tcPr>
          <w:p>
            <w:p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2米以下外墙每半月清洁一次；园区玻璃雨棚每周清洗一次</w:t>
            </w:r>
          </w:p>
        </w:tc>
        <w:tc>
          <w:tcPr>
            <w:tcW w:w="2499" w:type="dxa"/>
            <w:noWrap w:val="0"/>
            <w:vAlign w:val="center"/>
          </w:tcPr>
          <w:p>
            <w:pP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无污渍、无积灰、无虫网、无喷漆涂鸦、无积雪、无杂物、无关粘贴物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93" w:hRule="atLeast"/>
        </w:trPr>
        <w:tc>
          <w:tcPr>
            <w:tcW w:w="468" w:type="dxa"/>
            <w:noWrap w:val="0"/>
            <w:vAlign w:val="center"/>
          </w:tcPr>
          <w:p>
            <w:pPr>
              <w:widowControl/>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13</w:t>
            </w:r>
          </w:p>
        </w:tc>
        <w:tc>
          <w:tcPr>
            <w:tcW w:w="3426" w:type="dxa"/>
            <w:gridSpan w:val="2"/>
            <w:noWrap w:val="0"/>
            <w:vAlign w:val="center"/>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玻璃幕墙</w:t>
            </w:r>
          </w:p>
        </w:tc>
        <w:tc>
          <w:tcPr>
            <w:tcW w:w="5067" w:type="dxa"/>
            <w:gridSpan w:val="3"/>
            <w:noWrap w:val="0"/>
            <w:vAlign w:val="center"/>
          </w:tcPr>
          <w:p>
            <w:pPr>
              <w:jc w:val="center"/>
              <w:rPr>
                <w:rFonts w:hint="eastAsia" w:ascii="宋体" w:hAnsi="宋体" w:eastAsia="宋体" w:cs="宋体"/>
                <w:color w:val="auto"/>
                <w:kern w:val="0"/>
                <w:sz w:val="21"/>
                <w:szCs w:val="21"/>
                <w:highlight w:val="none"/>
                <w:lang w:bidi="ar"/>
              </w:rPr>
            </w:pPr>
            <w:r>
              <w:rPr>
                <w:rFonts w:hint="eastAsia" w:ascii="宋体" w:hAnsi="宋体" w:eastAsia="宋体" w:cs="宋体"/>
                <w:color w:val="auto"/>
                <w:sz w:val="21"/>
                <w:szCs w:val="21"/>
              </w:rPr>
              <w:t>每年全面清洗一次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93" w:hRule="atLeast"/>
        </w:trPr>
        <w:tc>
          <w:tcPr>
            <w:tcW w:w="468" w:type="dxa"/>
            <w:noWrap w:val="0"/>
            <w:vAlign w:val="center"/>
          </w:tcPr>
          <w:p>
            <w:pPr>
              <w:widowControl/>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14</w:t>
            </w:r>
          </w:p>
        </w:tc>
        <w:tc>
          <w:tcPr>
            <w:tcW w:w="3426" w:type="dxa"/>
            <w:gridSpan w:val="2"/>
            <w:noWrap w:val="0"/>
            <w:vAlign w:val="center"/>
          </w:tcPr>
          <w:p>
            <w:pPr>
              <w:jc w:val="center"/>
              <w:rPr>
                <w:rFonts w:hint="eastAsia" w:ascii="宋体" w:hAnsi="宋体" w:eastAsia="宋体" w:cs="宋体"/>
                <w:color w:val="auto"/>
                <w:sz w:val="21"/>
                <w:szCs w:val="21"/>
                <w:highlight w:val="none"/>
              </w:rPr>
            </w:pPr>
            <w:r>
              <w:rPr>
                <w:rFonts w:hint="eastAsia" w:ascii="宋体" w:hAnsi="宋体" w:eastAsia="宋体" w:cs="宋体"/>
                <w:b w:val="0"/>
                <w:bCs w:val="0"/>
                <w:color w:val="auto"/>
                <w:kern w:val="2"/>
                <w:sz w:val="21"/>
                <w:szCs w:val="21"/>
                <w:shd w:val="clear" w:color="auto" w:fill="auto"/>
                <w:lang w:val="en-US" w:eastAsia="zh-CN" w:bidi="ar-SA"/>
              </w:rPr>
              <w:t>不定期项目</w:t>
            </w:r>
          </w:p>
        </w:tc>
        <w:tc>
          <w:tcPr>
            <w:tcW w:w="5067" w:type="dxa"/>
            <w:gridSpan w:val="3"/>
            <w:noWrap w:val="0"/>
            <w:vAlign w:val="center"/>
          </w:tcPr>
          <w:p>
            <w:pPr>
              <w:jc w:val="center"/>
              <w:rPr>
                <w:rFonts w:hint="eastAsia" w:ascii="宋体" w:hAnsi="宋体" w:eastAsia="宋体" w:cs="宋体"/>
                <w:color w:val="auto"/>
                <w:sz w:val="21"/>
                <w:szCs w:val="21"/>
              </w:rPr>
            </w:pPr>
            <w:r>
              <w:rPr>
                <w:rFonts w:hint="eastAsia" w:ascii="宋体" w:hAnsi="宋体" w:eastAsia="宋体" w:cs="宋体"/>
                <w:color w:val="auto"/>
                <w:sz w:val="21"/>
                <w:szCs w:val="21"/>
              </w:rPr>
              <w:t>清扫积水、积雪、清理乱堆放物品、乱张贴，清运装修垃圾</w:t>
            </w:r>
          </w:p>
        </w:tc>
      </w:tr>
    </w:tbl>
    <w:p>
      <w:pPr>
        <w:spacing w:line="360" w:lineRule="auto"/>
        <w:ind w:firstLine="422" w:firstLineChars="200"/>
        <w:rPr>
          <w:rFonts w:hint="eastAsia" w:ascii="宋体" w:hAnsi="宋体" w:eastAsia="宋体" w:cs="宋体"/>
          <w:color w:val="auto"/>
          <w:sz w:val="21"/>
          <w:szCs w:val="21"/>
          <w:highlight w:val="none"/>
        </w:rPr>
      </w:pPr>
      <w:r>
        <w:rPr>
          <w:rFonts w:hint="eastAsia" w:ascii="宋体" w:hAnsi="宋体" w:eastAsia="宋体" w:cs="宋体"/>
          <w:b/>
          <w:color w:val="auto"/>
          <w:sz w:val="21"/>
          <w:szCs w:val="21"/>
          <w:highlight w:val="none"/>
        </w:rPr>
        <w:t>（三）房屋及公用设施维修养护工作标准</w:t>
      </w:r>
    </w:p>
    <w:p>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每天巡视检查，公共设施出现损坏及时修复，保持房屋外观完好、整洁，外墙面无脱落，无污迹，公共楼梯间扶手完好，梯灯正常，消防门启闭正常，无杂物乱堆放。公共卫生间和茶水间的洁具和设施完好、使用功能正常。负责组织对房屋外墙、楼梯间通道、屋面、上下水管道等房屋本体公用设施的定期养护和维修，并编制维修计划。</w:t>
      </w:r>
    </w:p>
    <w:p>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2、园区公共设施维护管理工作是：</w:t>
      </w:r>
    </w:p>
    <w:p>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1）供水设施的日常运作、维修养护和水箱每年两次清洗和检测；</w:t>
      </w:r>
    </w:p>
    <w:p>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2）公共排水、排污系统及化粪池等的清疏、维护；</w:t>
      </w:r>
    </w:p>
    <w:p>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3）公共场所地面、道路</w:t>
      </w:r>
      <w:r>
        <w:rPr>
          <w:rFonts w:hint="eastAsia" w:ascii="宋体" w:hAnsi="宋体" w:eastAsia="宋体" w:cs="宋体"/>
          <w:color w:val="auto"/>
          <w:sz w:val="21"/>
          <w:szCs w:val="21"/>
          <w:highlight w:val="none"/>
          <w:lang w:eastAsia="zh-CN"/>
        </w:rPr>
        <w:t>及其他</w:t>
      </w:r>
      <w:r>
        <w:rPr>
          <w:rFonts w:hint="eastAsia" w:ascii="宋体" w:hAnsi="宋体" w:eastAsia="宋体" w:cs="宋体"/>
          <w:color w:val="auto"/>
          <w:sz w:val="21"/>
          <w:szCs w:val="21"/>
          <w:highlight w:val="none"/>
        </w:rPr>
        <w:t>设施的保养和维修；</w:t>
      </w:r>
    </w:p>
    <w:p>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4）消防栓、喷淋、防排烟设备、灭火器等消防设施的定期检测和养护。</w:t>
      </w:r>
    </w:p>
    <w:p>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5）公共楼道灯、路灯、庭院灯等公共照明的维护和保养。</w:t>
      </w:r>
    </w:p>
    <w:tbl>
      <w:tblPr>
        <w:tblStyle w:val="33"/>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1375"/>
        <w:gridCol w:w="3062"/>
        <w:gridCol w:w="420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6" w:hRule="exact"/>
        </w:trPr>
        <w:tc>
          <w:tcPr>
            <w:tcW w:w="720" w:type="dxa"/>
            <w:noWrap w:val="0"/>
            <w:vAlign w:val="center"/>
          </w:tcPr>
          <w:p>
            <w:pPr>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序号</w:t>
            </w:r>
          </w:p>
        </w:tc>
        <w:tc>
          <w:tcPr>
            <w:tcW w:w="1375" w:type="dxa"/>
            <w:noWrap w:val="0"/>
            <w:vAlign w:val="center"/>
          </w:tcPr>
          <w:p>
            <w:pPr>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项  目</w:t>
            </w:r>
          </w:p>
        </w:tc>
        <w:tc>
          <w:tcPr>
            <w:tcW w:w="3062" w:type="dxa"/>
            <w:noWrap w:val="0"/>
            <w:vAlign w:val="center"/>
          </w:tcPr>
          <w:p>
            <w:pPr>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方  式</w:t>
            </w:r>
          </w:p>
        </w:tc>
        <w:tc>
          <w:tcPr>
            <w:tcW w:w="4203" w:type="dxa"/>
            <w:noWrap w:val="0"/>
            <w:vAlign w:val="center"/>
          </w:tcPr>
          <w:p>
            <w:pPr>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标  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1" w:hRule="atLeast"/>
        </w:trPr>
        <w:tc>
          <w:tcPr>
            <w:tcW w:w="720" w:type="dxa"/>
            <w:noWrap w:val="0"/>
            <w:vAlign w:val="center"/>
          </w:tcPr>
          <w:p>
            <w:pPr>
              <w:pStyle w:val="22"/>
              <w:pBdr>
                <w:bottom w:val="none" w:color="auto" w:sz="0" w:space="0"/>
              </w:pBdr>
              <w:tabs>
                <w:tab w:val="clear" w:pos="4153"/>
                <w:tab w:val="clear" w:pos="8306"/>
              </w:tabs>
              <w:snapToGrid/>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c>
          <w:tcPr>
            <w:tcW w:w="1375" w:type="dxa"/>
            <w:noWrap w:val="0"/>
            <w:vAlign w:val="center"/>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室内维修</w:t>
            </w:r>
          </w:p>
        </w:tc>
        <w:tc>
          <w:tcPr>
            <w:tcW w:w="3062" w:type="dxa"/>
            <w:noWrap w:val="0"/>
            <w:vAlign w:val="center"/>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用户报修</w:t>
            </w:r>
          </w:p>
        </w:tc>
        <w:tc>
          <w:tcPr>
            <w:tcW w:w="4203" w:type="dxa"/>
            <w:noWrap w:val="0"/>
            <w:vAlign w:val="center"/>
          </w:tcPr>
          <w:p>
            <w:p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接报修后20分钟内到现场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5" w:hRule="atLeast"/>
        </w:trPr>
        <w:tc>
          <w:tcPr>
            <w:tcW w:w="720" w:type="dxa"/>
            <w:noWrap w:val="0"/>
            <w:vAlign w:val="center"/>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p>
        </w:tc>
        <w:tc>
          <w:tcPr>
            <w:tcW w:w="1375" w:type="dxa"/>
            <w:noWrap w:val="0"/>
            <w:vAlign w:val="center"/>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各层卫生间、茶水间</w:t>
            </w:r>
          </w:p>
        </w:tc>
        <w:tc>
          <w:tcPr>
            <w:tcW w:w="3062" w:type="dxa"/>
            <w:noWrap w:val="0"/>
            <w:vAlign w:val="center"/>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每天检查一次、即坏即修</w:t>
            </w:r>
          </w:p>
        </w:tc>
        <w:tc>
          <w:tcPr>
            <w:tcW w:w="4203" w:type="dxa"/>
            <w:noWrap w:val="0"/>
            <w:vAlign w:val="center"/>
          </w:tcPr>
          <w:p>
            <w:p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洁具和设施完好，使用功能正常，无滴漏，无堵塞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2" w:hRule="atLeast"/>
        </w:trPr>
        <w:tc>
          <w:tcPr>
            <w:tcW w:w="720" w:type="dxa"/>
            <w:noWrap w:val="0"/>
            <w:vAlign w:val="center"/>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w:t>
            </w:r>
          </w:p>
        </w:tc>
        <w:tc>
          <w:tcPr>
            <w:tcW w:w="1375" w:type="dxa"/>
            <w:noWrap w:val="0"/>
            <w:vAlign w:val="center"/>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道路</w:t>
            </w:r>
          </w:p>
        </w:tc>
        <w:tc>
          <w:tcPr>
            <w:tcW w:w="3062" w:type="dxa"/>
            <w:noWrap w:val="0"/>
            <w:vAlign w:val="center"/>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每天检查一遍、即坏即修</w:t>
            </w:r>
          </w:p>
        </w:tc>
        <w:tc>
          <w:tcPr>
            <w:tcW w:w="4203" w:type="dxa"/>
            <w:noWrap w:val="0"/>
            <w:vAlign w:val="center"/>
          </w:tcPr>
          <w:p>
            <w:p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平整无积水、无缺损、完好率100%以上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5" w:hRule="atLeast"/>
        </w:trPr>
        <w:tc>
          <w:tcPr>
            <w:tcW w:w="720" w:type="dxa"/>
            <w:noWrap w:val="0"/>
            <w:vAlign w:val="center"/>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w:t>
            </w:r>
          </w:p>
        </w:tc>
        <w:tc>
          <w:tcPr>
            <w:tcW w:w="1375" w:type="dxa"/>
            <w:noWrap w:val="0"/>
            <w:vAlign w:val="center"/>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楼梯及墙面</w:t>
            </w:r>
          </w:p>
        </w:tc>
        <w:tc>
          <w:tcPr>
            <w:tcW w:w="3062" w:type="dxa"/>
            <w:noWrap w:val="0"/>
            <w:vAlign w:val="center"/>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每周检查一遍、即坏即修</w:t>
            </w:r>
          </w:p>
        </w:tc>
        <w:tc>
          <w:tcPr>
            <w:tcW w:w="4203" w:type="dxa"/>
            <w:noWrap w:val="0"/>
            <w:vAlign w:val="center"/>
          </w:tcPr>
          <w:p>
            <w:p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整洁、无缺损，扶手完好，楼灯正常，无张贴痕迹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6" w:hRule="atLeast"/>
        </w:trPr>
        <w:tc>
          <w:tcPr>
            <w:tcW w:w="720" w:type="dxa"/>
            <w:noWrap w:val="0"/>
            <w:vAlign w:val="center"/>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w:t>
            </w:r>
          </w:p>
        </w:tc>
        <w:tc>
          <w:tcPr>
            <w:tcW w:w="1375" w:type="dxa"/>
            <w:noWrap w:val="0"/>
            <w:vAlign w:val="center"/>
          </w:tcPr>
          <w:p>
            <w:pPr>
              <w:pStyle w:val="22"/>
              <w:pBdr>
                <w:bottom w:val="none" w:color="auto" w:sz="0" w:space="0"/>
              </w:pBdr>
              <w:tabs>
                <w:tab w:val="clear" w:pos="4153"/>
                <w:tab w:val="clear" w:pos="8306"/>
              </w:tabs>
              <w:snapToGrid/>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明暗沟</w:t>
            </w:r>
          </w:p>
        </w:tc>
        <w:tc>
          <w:tcPr>
            <w:tcW w:w="3062" w:type="dxa"/>
            <w:noWrap w:val="0"/>
            <w:vAlign w:val="center"/>
          </w:tcPr>
          <w:p>
            <w:pPr>
              <w:pStyle w:val="22"/>
              <w:pBdr>
                <w:bottom w:val="none" w:color="auto" w:sz="0" w:space="0"/>
              </w:pBdr>
              <w:tabs>
                <w:tab w:val="clear" w:pos="4153"/>
                <w:tab w:val="clear" w:pos="8306"/>
              </w:tabs>
              <w:snapToGrid/>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每周检查一遍，即坏即修</w:t>
            </w:r>
          </w:p>
        </w:tc>
        <w:tc>
          <w:tcPr>
            <w:tcW w:w="4203" w:type="dxa"/>
            <w:noWrap w:val="0"/>
            <w:vAlign w:val="center"/>
          </w:tcPr>
          <w:p>
            <w:p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畅通、无积水、无尘土、无塌陷、无鼠洞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6" w:hRule="atLeast"/>
        </w:trPr>
        <w:tc>
          <w:tcPr>
            <w:tcW w:w="720" w:type="dxa"/>
            <w:noWrap w:val="0"/>
            <w:vAlign w:val="center"/>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w:t>
            </w:r>
          </w:p>
        </w:tc>
        <w:tc>
          <w:tcPr>
            <w:tcW w:w="1375" w:type="dxa"/>
            <w:noWrap w:val="0"/>
            <w:vAlign w:val="center"/>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污水管</w:t>
            </w:r>
          </w:p>
        </w:tc>
        <w:tc>
          <w:tcPr>
            <w:tcW w:w="3062" w:type="dxa"/>
            <w:noWrap w:val="0"/>
            <w:vAlign w:val="center"/>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每月检查一遍</w:t>
            </w:r>
          </w:p>
        </w:tc>
        <w:tc>
          <w:tcPr>
            <w:tcW w:w="4203" w:type="dxa"/>
            <w:noWrap w:val="0"/>
            <w:vAlign w:val="center"/>
          </w:tcPr>
          <w:p>
            <w:p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无堵、少污积、无外溢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2" w:hRule="atLeast"/>
        </w:trPr>
        <w:tc>
          <w:tcPr>
            <w:tcW w:w="720" w:type="dxa"/>
            <w:noWrap w:val="0"/>
            <w:vAlign w:val="center"/>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w:t>
            </w:r>
          </w:p>
        </w:tc>
        <w:tc>
          <w:tcPr>
            <w:tcW w:w="1375" w:type="dxa"/>
            <w:noWrap w:val="0"/>
            <w:vAlign w:val="center"/>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化粪池</w:t>
            </w:r>
          </w:p>
        </w:tc>
        <w:tc>
          <w:tcPr>
            <w:tcW w:w="3062" w:type="dxa"/>
            <w:noWrap w:val="0"/>
            <w:vAlign w:val="center"/>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每月检查一次，每年清掏二次</w:t>
            </w:r>
          </w:p>
        </w:tc>
        <w:tc>
          <w:tcPr>
            <w:tcW w:w="4203" w:type="dxa"/>
            <w:noWrap w:val="0"/>
            <w:vAlign w:val="center"/>
          </w:tcPr>
          <w:p>
            <w:pPr>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无满溢，发现异常及时清掏</w:t>
            </w:r>
          </w:p>
        </w:tc>
      </w:tr>
    </w:tbl>
    <w:p>
      <w:pPr>
        <w:spacing w:line="360" w:lineRule="auto"/>
        <w:ind w:firstLine="422" w:firstLineChars="200"/>
        <w:rPr>
          <w:rFonts w:hint="eastAsia" w:ascii="宋体" w:hAnsi="宋体" w:eastAsia="宋体" w:cs="宋体"/>
          <w:color w:val="auto"/>
          <w:sz w:val="21"/>
          <w:szCs w:val="21"/>
          <w:highlight w:val="none"/>
        </w:rPr>
      </w:pPr>
      <w:r>
        <w:rPr>
          <w:rFonts w:hint="eastAsia" w:ascii="宋体" w:hAnsi="宋体" w:eastAsia="宋体" w:cs="宋体"/>
          <w:b/>
          <w:color w:val="auto"/>
          <w:sz w:val="21"/>
          <w:szCs w:val="21"/>
          <w:highlight w:val="none"/>
        </w:rPr>
        <w:t>（四）机电设备的维修养护标准</w:t>
      </w:r>
    </w:p>
    <w:p>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机电设备日常维护管理的内容有：供配电系统有运行记录、定期清除框内外灰尘、污垢，机房每周保洁，按维修保养计划定期保养，保持良好的运行状态。</w:t>
      </w:r>
    </w:p>
    <w:p>
      <w:pPr>
        <w:spacing w:line="360" w:lineRule="auto"/>
        <w:ind w:firstLine="422" w:firstLineChars="200"/>
        <w:rPr>
          <w:rFonts w:hint="eastAsia" w:ascii="宋体" w:hAnsi="宋体" w:eastAsia="宋体" w:cs="宋体"/>
          <w:color w:val="auto"/>
          <w:sz w:val="21"/>
          <w:szCs w:val="21"/>
          <w:highlight w:val="none"/>
        </w:rPr>
      </w:pPr>
      <w:r>
        <w:rPr>
          <w:rFonts w:hint="eastAsia" w:ascii="宋体" w:hAnsi="宋体" w:eastAsia="宋体" w:cs="宋体"/>
          <w:b/>
          <w:color w:val="auto"/>
          <w:sz w:val="21"/>
          <w:szCs w:val="21"/>
          <w:highlight w:val="none"/>
        </w:rPr>
        <w:t>1、高低配电系统维修养护计划和标准</w:t>
      </w:r>
    </w:p>
    <w:tbl>
      <w:tblPr>
        <w:tblStyle w:val="3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4"/>
        <w:gridCol w:w="1135"/>
        <w:gridCol w:w="3445"/>
        <w:gridCol w:w="43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3" w:hRule="atLeast"/>
          <w:jc w:val="center"/>
        </w:trPr>
        <w:tc>
          <w:tcPr>
            <w:tcW w:w="674" w:type="dxa"/>
            <w:noWrap w:val="0"/>
            <w:vAlign w:val="center"/>
          </w:tcPr>
          <w:p>
            <w:pPr>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序号</w:t>
            </w:r>
          </w:p>
        </w:tc>
        <w:tc>
          <w:tcPr>
            <w:tcW w:w="1135" w:type="dxa"/>
            <w:noWrap w:val="0"/>
            <w:vAlign w:val="center"/>
          </w:tcPr>
          <w:p>
            <w:pPr>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保养周期</w:t>
            </w:r>
          </w:p>
        </w:tc>
        <w:tc>
          <w:tcPr>
            <w:tcW w:w="3445" w:type="dxa"/>
            <w:noWrap w:val="0"/>
            <w:vAlign w:val="center"/>
          </w:tcPr>
          <w:p>
            <w:pPr>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保养内容</w:t>
            </w:r>
          </w:p>
        </w:tc>
        <w:tc>
          <w:tcPr>
            <w:tcW w:w="4316" w:type="dxa"/>
            <w:noWrap w:val="0"/>
            <w:vAlign w:val="center"/>
          </w:tcPr>
          <w:p>
            <w:pPr>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保养标准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6" w:hRule="atLeast"/>
          <w:jc w:val="center"/>
        </w:trPr>
        <w:tc>
          <w:tcPr>
            <w:tcW w:w="674" w:type="dxa"/>
            <w:noWrap w:val="0"/>
            <w:vAlign w:val="center"/>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c>
          <w:tcPr>
            <w:tcW w:w="1135" w:type="dxa"/>
            <w:noWrap w:val="0"/>
            <w:vAlign w:val="center"/>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日常保养</w:t>
            </w:r>
          </w:p>
        </w:tc>
        <w:tc>
          <w:tcPr>
            <w:tcW w:w="3445" w:type="dxa"/>
            <w:noWrap w:val="0"/>
            <w:vAlign w:val="center"/>
          </w:tcPr>
          <w:p>
            <w:p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高低压配电室清洁；检查仪表、指示灯是否正常；检查变压器外观、运行温度和噪音</w:t>
            </w:r>
          </w:p>
        </w:tc>
        <w:tc>
          <w:tcPr>
            <w:tcW w:w="4316" w:type="dxa"/>
            <w:noWrap w:val="0"/>
            <w:vAlign w:val="center"/>
          </w:tcPr>
          <w:p>
            <w:pPr>
              <w:pStyle w:val="28"/>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室内环境整洁；配电柜内外无杂物和污物；电缆沟线无积水；仪表指示灯显示正常。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jc w:val="center"/>
        </w:trPr>
        <w:tc>
          <w:tcPr>
            <w:tcW w:w="674" w:type="dxa"/>
            <w:noWrap w:val="0"/>
            <w:vAlign w:val="center"/>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p>
        </w:tc>
        <w:tc>
          <w:tcPr>
            <w:tcW w:w="1135" w:type="dxa"/>
            <w:noWrap w:val="0"/>
            <w:vAlign w:val="center"/>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每周保养</w:t>
            </w:r>
          </w:p>
        </w:tc>
        <w:tc>
          <w:tcPr>
            <w:tcW w:w="3445" w:type="dxa"/>
            <w:noWrap w:val="0"/>
            <w:vAlign w:val="center"/>
          </w:tcPr>
          <w:p>
            <w:p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检查配电元件和线路连接</w:t>
            </w:r>
          </w:p>
        </w:tc>
        <w:tc>
          <w:tcPr>
            <w:tcW w:w="4316" w:type="dxa"/>
            <w:noWrap w:val="0"/>
            <w:vAlign w:val="center"/>
          </w:tcPr>
          <w:p>
            <w:p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元件和线路表面完好无损，压接良好。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jc w:val="center"/>
        </w:trPr>
        <w:tc>
          <w:tcPr>
            <w:tcW w:w="674" w:type="dxa"/>
            <w:noWrap w:val="0"/>
            <w:vAlign w:val="center"/>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w:t>
            </w:r>
          </w:p>
        </w:tc>
        <w:tc>
          <w:tcPr>
            <w:tcW w:w="1135" w:type="dxa"/>
            <w:noWrap w:val="0"/>
            <w:vAlign w:val="center"/>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每月保养</w:t>
            </w:r>
          </w:p>
        </w:tc>
        <w:tc>
          <w:tcPr>
            <w:tcW w:w="3445" w:type="dxa"/>
            <w:noWrap w:val="0"/>
            <w:vAlign w:val="center"/>
          </w:tcPr>
          <w:p>
            <w:p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检查井道内电缆、切换箱、T接箱和控制箱；检查变压器测温报警系统及通风系统。</w:t>
            </w:r>
          </w:p>
        </w:tc>
        <w:tc>
          <w:tcPr>
            <w:tcW w:w="4316" w:type="dxa"/>
            <w:noWrap w:val="0"/>
            <w:vAlign w:val="center"/>
          </w:tcPr>
          <w:p>
            <w:p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井道内清洁干燥；电缆表面完好，标号牌齐全，接地良好；各种控制箱应完好、清洁；操作良好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jc w:val="center"/>
        </w:trPr>
        <w:tc>
          <w:tcPr>
            <w:tcW w:w="674" w:type="dxa"/>
            <w:noWrap w:val="0"/>
            <w:vAlign w:val="center"/>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w:t>
            </w:r>
          </w:p>
        </w:tc>
        <w:tc>
          <w:tcPr>
            <w:tcW w:w="1135" w:type="dxa"/>
            <w:noWrap w:val="0"/>
            <w:vAlign w:val="center"/>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每季保养</w:t>
            </w:r>
          </w:p>
        </w:tc>
        <w:tc>
          <w:tcPr>
            <w:tcW w:w="3445" w:type="dxa"/>
            <w:noWrap w:val="0"/>
            <w:vAlign w:val="center"/>
          </w:tcPr>
          <w:p>
            <w:p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低压配电柜箱内元件检查、清洁（每</w:t>
            </w:r>
            <w:r>
              <w:rPr>
                <w:rFonts w:hint="eastAsia" w:ascii="宋体" w:hAnsi="宋体" w:eastAsia="宋体" w:cs="宋体"/>
                <w:color w:val="auto"/>
                <w:sz w:val="21"/>
                <w:szCs w:val="21"/>
                <w:highlight w:val="none"/>
                <w:lang w:eastAsia="zh-CN"/>
              </w:rPr>
              <w:t>两季</w:t>
            </w:r>
            <w:r>
              <w:rPr>
                <w:rFonts w:hint="eastAsia" w:ascii="宋体" w:hAnsi="宋体" w:eastAsia="宋体" w:cs="宋体"/>
                <w:color w:val="auto"/>
                <w:sz w:val="21"/>
                <w:szCs w:val="21"/>
                <w:highlight w:val="none"/>
              </w:rPr>
              <w:t>一次）</w:t>
            </w:r>
          </w:p>
        </w:tc>
        <w:tc>
          <w:tcPr>
            <w:tcW w:w="4316" w:type="dxa"/>
            <w:noWrap w:val="0"/>
            <w:vAlign w:val="center"/>
          </w:tcPr>
          <w:p>
            <w:p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柜内无灰尘污物，螺丝坚固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674" w:type="dxa"/>
            <w:noWrap w:val="0"/>
            <w:vAlign w:val="center"/>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w:t>
            </w:r>
          </w:p>
        </w:tc>
        <w:tc>
          <w:tcPr>
            <w:tcW w:w="1135" w:type="dxa"/>
            <w:noWrap w:val="0"/>
            <w:vAlign w:val="center"/>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每年保养</w:t>
            </w:r>
          </w:p>
        </w:tc>
        <w:tc>
          <w:tcPr>
            <w:tcW w:w="3445" w:type="dxa"/>
            <w:noWrap w:val="0"/>
            <w:vAlign w:val="center"/>
          </w:tcPr>
          <w:p>
            <w:p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预防性试验（每两年一次）</w:t>
            </w:r>
          </w:p>
        </w:tc>
        <w:tc>
          <w:tcPr>
            <w:tcW w:w="4316" w:type="dxa"/>
            <w:noWrap w:val="0"/>
            <w:vAlign w:val="center"/>
          </w:tcPr>
          <w:p>
            <w:p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参照GB50150-</w:t>
            </w:r>
            <w:r>
              <w:rPr>
                <w:rFonts w:hint="eastAsia" w:ascii="宋体" w:hAnsi="宋体" w:eastAsia="宋体" w:cs="宋体"/>
                <w:color w:val="auto"/>
                <w:sz w:val="21"/>
                <w:szCs w:val="21"/>
                <w:highlight w:val="none"/>
                <w:lang w:val="en-US" w:eastAsia="zh-CN"/>
              </w:rPr>
              <w:t>2016</w:t>
            </w:r>
            <w:r>
              <w:rPr>
                <w:rFonts w:hint="eastAsia" w:ascii="宋体" w:hAnsi="宋体" w:eastAsia="宋体" w:cs="宋体"/>
                <w:color w:val="auto"/>
                <w:sz w:val="21"/>
                <w:szCs w:val="21"/>
                <w:highlight w:val="none"/>
              </w:rPr>
              <w:t>标准要求</w:t>
            </w:r>
          </w:p>
        </w:tc>
      </w:tr>
    </w:tbl>
    <w:p>
      <w:pPr>
        <w:spacing w:before="156" w:beforeLines="50" w:after="156" w:afterLines="50" w:line="460" w:lineRule="exact"/>
        <w:ind w:firstLine="422" w:firstLineChars="200"/>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2、给水系统维修养护计划和标准</w:t>
      </w:r>
    </w:p>
    <w:tbl>
      <w:tblPr>
        <w:tblStyle w:val="3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8"/>
        <w:gridCol w:w="1218"/>
        <w:gridCol w:w="3642"/>
        <w:gridCol w:w="40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48" w:type="dxa"/>
            <w:noWrap w:val="0"/>
            <w:vAlign w:val="top"/>
          </w:tcPr>
          <w:p>
            <w:pPr>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序号</w:t>
            </w:r>
          </w:p>
        </w:tc>
        <w:tc>
          <w:tcPr>
            <w:tcW w:w="1218" w:type="dxa"/>
            <w:noWrap w:val="0"/>
            <w:vAlign w:val="center"/>
          </w:tcPr>
          <w:p>
            <w:pPr>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保养周期</w:t>
            </w:r>
          </w:p>
        </w:tc>
        <w:tc>
          <w:tcPr>
            <w:tcW w:w="3642" w:type="dxa"/>
            <w:noWrap w:val="0"/>
            <w:vAlign w:val="center"/>
          </w:tcPr>
          <w:p>
            <w:pPr>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保养内容</w:t>
            </w:r>
          </w:p>
        </w:tc>
        <w:tc>
          <w:tcPr>
            <w:tcW w:w="4062" w:type="dxa"/>
            <w:noWrap w:val="0"/>
            <w:vAlign w:val="center"/>
          </w:tcPr>
          <w:p>
            <w:pPr>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保养标准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48" w:type="dxa"/>
            <w:noWrap w:val="0"/>
            <w:vAlign w:val="center"/>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c>
          <w:tcPr>
            <w:tcW w:w="1218" w:type="dxa"/>
            <w:noWrap w:val="0"/>
            <w:vAlign w:val="center"/>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日常保养</w:t>
            </w:r>
          </w:p>
        </w:tc>
        <w:tc>
          <w:tcPr>
            <w:tcW w:w="3642" w:type="dxa"/>
            <w:noWrap w:val="0"/>
            <w:vAlign w:val="center"/>
          </w:tcPr>
          <w:p>
            <w:p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检查水泵外观、运行温度压力和声音；水泵、阀门和管道有无锈蚀和渗漏。</w:t>
            </w:r>
          </w:p>
        </w:tc>
        <w:tc>
          <w:tcPr>
            <w:tcW w:w="4062" w:type="dxa"/>
            <w:noWrap w:val="0"/>
            <w:vAlign w:val="center"/>
          </w:tcPr>
          <w:p>
            <w:p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水泵、阀门和管道表面无污物、无锈蚀和无渗漏；管道压力正常、水泵运行无异常噪声。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48" w:type="dxa"/>
            <w:noWrap w:val="0"/>
            <w:vAlign w:val="center"/>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p>
        </w:tc>
        <w:tc>
          <w:tcPr>
            <w:tcW w:w="1218" w:type="dxa"/>
            <w:noWrap w:val="0"/>
            <w:vAlign w:val="center"/>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每周保养</w:t>
            </w:r>
          </w:p>
        </w:tc>
        <w:tc>
          <w:tcPr>
            <w:tcW w:w="3642" w:type="dxa"/>
            <w:noWrap w:val="0"/>
            <w:vAlign w:val="center"/>
          </w:tcPr>
          <w:p>
            <w:p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生活水泵轮换运行；消防栓、水泵接合器；喷淋管道的阀是否打开。</w:t>
            </w:r>
          </w:p>
        </w:tc>
        <w:tc>
          <w:tcPr>
            <w:tcW w:w="4062" w:type="dxa"/>
            <w:noWrap w:val="0"/>
            <w:vAlign w:val="center"/>
          </w:tcPr>
          <w:p>
            <w:p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消防水系统阀门保持常开；水泵接合器无漏水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48" w:type="dxa"/>
            <w:noWrap w:val="0"/>
            <w:vAlign w:val="center"/>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w:t>
            </w:r>
          </w:p>
        </w:tc>
        <w:tc>
          <w:tcPr>
            <w:tcW w:w="1218" w:type="dxa"/>
            <w:noWrap w:val="0"/>
            <w:vAlign w:val="center"/>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每月保养</w:t>
            </w:r>
          </w:p>
        </w:tc>
        <w:tc>
          <w:tcPr>
            <w:tcW w:w="3642" w:type="dxa"/>
            <w:noWrap w:val="0"/>
            <w:vAlign w:val="center"/>
          </w:tcPr>
          <w:p>
            <w:p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消防水泵、喷淋泵、稳压泵、补压泵进行试运行。</w:t>
            </w:r>
          </w:p>
        </w:tc>
        <w:tc>
          <w:tcPr>
            <w:tcW w:w="4062" w:type="dxa"/>
            <w:noWrap w:val="0"/>
            <w:vAlign w:val="center"/>
          </w:tcPr>
          <w:p>
            <w:p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水泵运行正常，无异常噪声和振动，出口压力正常，电流正常。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648" w:type="dxa"/>
            <w:noWrap w:val="0"/>
            <w:vAlign w:val="center"/>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w:t>
            </w:r>
          </w:p>
        </w:tc>
        <w:tc>
          <w:tcPr>
            <w:tcW w:w="1218" w:type="dxa"/>
            <w:noWrap w:val="0"/>
            <w:vAlign w:val="center"/>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每季保养</w:t>
            </w:r>
          </w:p>
        </w:tc>
        <w:tc>
          <w:tcPr>
            <w:tcW w:w="3642" w:type="dxa"/>
            <w:noWrap w:val="0"/>
            <w:vAlign w:val="center"/>
          </w:tcPr>
          <w:p>
            <w:p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生活水箱的清洗及检测（每年两次）</w:t>
            </w:r>
          </w:p>
        </w:tc>
        <w:tc>
          <w:tcPr>
            <w:tcW w:w="4062" w:type="dxa"/>
            <w:noWrap w:val="0"/>
            <w:vAlign w:val="center"/>
          </w:tcPr>
          <w:p>
            <w:p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进行全面的清洗消毒。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48" w:type="dxa"/>
            <w:noWrap w:val="0"/>
            <w:vAlign w:val="center"/>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w:t>
            </w:r>
          </w:p>
        </w:tc>
        <w:tc>
          <w:tcPr>
            <w:tcW w:w="1218" w:type="dxa"/>
            <w:noWrap w:val="0"/>
            <w:vAlign w:val="center"/>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每年保养</w:t>
            </w:r>
          </w:p>
        </w:tc>
        <w:tc>
          <w:tcPr>
            <w:tcW w:w="3642" w:type="dxa"/>
            <w:noWrap w:val="0"/>
            <w:vAlign w:val="center"/>
          </w:tcPr>
          <w:p>
            <w:p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清洗消防水管；测量水泵电机绕组的绝缘电阻；管道补漆。</w:t>
            </w:r>
          </w:p>
        </w:tc>
        <w:tc>
          <w:tcPr>
            <w:tcW w:w="4062" w:type="dxa"/>
            <w:noWrap w:val="0"/>
            <w:vAlign w:val="center"/>
          </w:tcPr>
          <w:p>
            <w:p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排空消防水管中的水，重新注入消防水；管道无锈迹和脱漆。</w:t>
            </w:r>
          </w:p>
        </w:tc>
      </w:tr>
    </w:tbl>
    <w:p>
      <w:pPr>
        <w:widowControl/>
        <w:spacing w:line="360" w:lineRule="auto"/>
        <w:ind w:left="105" w:leftChars="50" w:firstLine="422" w:firstLineChars="200"/>
        <w:jc w:val="left"/>
        <w:rPr>
          <w:rFonts w:hint="eastAsia" w:ascii="宋体" w:hAnsi="宋体" w:eastAsia="宋体" w:cs="宋体"/>
          <w:b/>
          <w:color w:val="auto"/>
          <w:kern w:val="0"/>
          <w:sz w:val="21"/>
          <w:szCs w:val="21"/>
          <w:highlight w:val="none"/>
        </w:rPr>
      </w:pPr>
      <w:r>
        <w:rPr>
          <w:rFonts w:hint="eastAsia" w:ascii="宋体" w:hAnsi="宋体" w:eastAsia="宋体" w:cs="宋体"/>
          <w:b/>
          <w:color w:val="auto"/>
          <w:kern w:val="0"/>
          <w:sz w:val="21"/>
          <w:szCs w:val="21"/>
          <w:highlight w:val="none"/>
        </w:rPr>
        <w:t>（五）公共区域绿化日常养护督查管理服务标准</w:t>
      </w:r>
    </w:p>
    <w:p>
      <w:pPr>
        <w:widowControl/>
        <w:spacing w:line="360" w:lineRule="auto"/>
        <w:ind w:left="105" w:leftChars="50"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1、草坪生长良好，及时修剪和补栽补种，基本无杂草、杂物。</w:t>
      </w:r>
    </w:p>
    <w:p>
      <w:pPr>
        <w:widowControl/>
        <w:spacing w:line="360" w:lineRule="auto"/>
        <w:ind w:left="105" w:leftChars="50"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2、花卉、绿篱、树木应根据其品种和生长情况，及时修剪整形，灌木每年修剪不少于4次，保持观赏效果；苗木成活率在95%以上。</w:t>
      </w:r>
    </w:p>
    <w:p>
      <w:pPr>
        <w:widowControl/>
        <w:spacing w:line="360" w:lineRule="auto"/>
        <w:ind w:left="105" w:leftChars="50"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3、及时浇灌、定期施肥和松土，做好防涝、防冻，绿地施肥每年不少于2次。</w:t>
      </w:r>
    </w:p>
    <w:p>
      <w:pPr>
        <w:spacing w:line="360" w:lineRule="auto"/>
        <w:ind w:left="105" w:leftChars="5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 xml:space="preserve">    4、定期喷洒药物，预防病虫害。</w:t>
      </w:r>
    </w:p>
    <w:p>
      <w:pPr>
        <w:spacing w:line="360" w:lineRule="auto"/>
        <w:ind w:firstLine="422" w:firstLineChars="200"/>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（六）保安服务规范及职责</w:t>
      </w:r>
    </w:p>
    <w:p>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1、园区实行24小时值班、巡逻服务；</w:t>
      </w:r>
    </w:p>
    <w:p>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2、认真做好园区进出人员登记工作，并做好交接工作。</w:t>
      </w:r>
    </w:p>
    <w:p>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3、注意可疑人员所携带物品，仔细询问，发现情况及时汇报。</w:t>
      </w:r>
    </w:p>
    <w:p>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4、来车时主动上前，引导车辆有序停放，保持道路畅通。</w:t>
      </w:r>
    </w:p>
    <w:p>
      <w:pPr>
        <w:keepNext w:val="0"/>
        <w:keepLines w:val="0"/>
        <w:pageBreakBefore w:val="0"/>
        <w:kinsoku/>
        <w:wordWrap/>
        <w:topLinePunct w:val="0"/>
        <w:bidi w:val="0"/>
        <w:spacing w:line="6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5、巡逻人员要定时定点查看，对重要部门、要害部位要勤查看，</w:t>
      </w:r>
      <w:r>
        <w:rPr>
          <w:rFonts w:hint="eastAsia" w:ascii="宋体" w:hAnsi="宋体" w:eastAsia="宋体" w:cs="宋体"/>
          <w:color w:val="auto"/>
          <w:sz w:val="21"/>
          <w:szCs w:val="21"/>
          <w:highlight w:val="none"/>
          <w:lang w:val="en-US" w:eastAsia="zh-CN"/>
        </w:rPr>
        <w:t>建立完善的巡更打卡系统，定时在工作群发送带有时间，地点水印的巡查照片，</w:t>
      </w:r>
      <w:r>
        <w:rPr>
          <w:rFonts w:hint="eastAsia" w:ascii="宋体" w:hAnsi="宋体" w:eastAsia="宋体" w:cs="宋体"/>
          <w:color w:val="auto"/>
          <w:sz w:val="21"/>
          <w:szCs w:val="21"/>
          <w:highlight w:val="none"/>
        </w:rPr>
        <w:t>做好巡更记录。节假日、夜间巡逻时，增加巡逻次数</w:t>
      </w:r>
      <w:r>
        <w:rPr>
          <w:rFonts w:hint="eastAsia" w:ascii="宋体" w:hAnsi="宋体" w:eastAsia="宋体" w:cs="宋体"/>
          <w:color w:val="auto"/>
          <w:sz w:val="21"/>
          <w:szCs w:val="21"/>
          <w:highlight w:val="none"/>
          <w:lang w:eastAsia="zh-CN"/>
        </w:rPr>
        <w:t>。</w:t>
      </w:r>
    </w:p>
    <w:p>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巡逻时要注意发现可疑人员及可疑情况，发现反常或意外情况，除及时向领导报告外，要采取必要措施以防止火灾事故及破坏行为的发生。发现偷盗、闹事、斗殴、凶杀、放火、投毒、爆炸等犯罪分子，要坚决果断地采取措施，力争抓获犯罪分子。</w:t>
      </w:r>
    </w:p>
    <w:p>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7、若发现盗窃、凶案、火灾、投毒、损毁财物，以及一切有现场的案件或事件，要妥善保护好现场，迅速上报并积极协助调查。</w:t>
      </w:r>
    </w:p>
    <w:p>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8、巡逻人员应熟练掌握灭火常识，会使用消防器材，对初起火灾能及时扑灭。</w:t>
      </w:r>
    </w:p>
    <w:p>
      <w:pPr>
        <w:spacing w:line="360" w:lineRule="auto"/>
        <w:ind w:left="105" w:leftChars="50" w:firstLine="413" w:firstLineChars="196"/>
        <w:rPr>
          <w:rFonts w:hint="eastAsia" w:ascii="宋体" w:hAnsi="宋体" w:eastAsia="宋体" w:cs="宋体"/>
          <w:b/>
          <w:bCs w:val="0"/>
          <w:color w:val="auto"/>
          <w:sz w:val="21"/>
          <w:szCs w:val="21"/>
          <w:highlight w:val="none"/>
        </w:rPr>
      </w:pPr>
      <w:r>
        <w:rPr>
          <w:rFonts w:hint="eastAsia" w:ascii="宋体" w:hAnsi="宋体" w:eastAsia="宋体" w:cs="宋体"/>
          <w:b/>
          <w:bCs w:val="0"/>
          <w:color w:val="auto"/>
          <w:sz w:val="21"/>
          <w:szCs w:val="21"/>
          <w:highlight w:val="none"/>
        </w:rPr>
        <w:t>（七）档案管理方案</w:t>
      </w:r>
    </w:p>
    <w:p>
      <w:pPr>
        <w:spacing w:line="360" w:lineRule="auto"/>
        <w:ind w:left="105" w:leftChars="50" w:firstLine="420" w:firstLineChars="200"/>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档案资料管理，有助于保存大楼的历史资料，维持管理的连续性和规范化，便于房屋及设施设备的检查、维护、更新和与业户的沟通、联系。</w:t>
      </w:r>
    </w:p>
    <w:p>
      <w:pPr>
        <w:spacing w:line="360" w:lineRule="auto"/>
        <w:ind w:left="105" w:leftChars="5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1、档案内容</w:t>
      </w:r>
    </w:p>
    <w:p>
      <w:pPr>
        <w:spacing w:line="360" w:lineRule="auto"/>
        <w:ind w:left="105" w:leftChars="5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1）工程档案：从接管开始的所有工程技术、维修、改造资料、各种竣工图及各设施资料等；</w:t>
      </w:r>
    </w:p>
    <w:p>
      <w:pPr>
        <w:spacing w:line="360" w:lineRule="auto"/>
        <w:ind w:left="105" w:leftChars="5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2）业主档案：所有业主购（租）房合同（复印件）、业主基本情况登记表、装修申请表等；</w:t>
      </w:r>
    </w:p>
    <w:p>
      <w:pPr>
        <w:spacing w:line="360" w:lineRule="auto"/>
        <w:ind w:left="105" w:leftChars="5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3）管理档案：日常巡查、（清洁、维修、</w:t>
      </w:r>
      <w:r>
        <w:rPr>
          <w:rFonts w:hint="eastAsia" w:ascii="宋体" w:hAnsi="宋体" w:eastAsia="宋体" w:cs="宋体"/>
          <w:color w:val="auto"/>
          <w:sz w:val="21"/>
          <w:szCs w:val="21"/>
          <w:highlight w:val="none"/>
          <w:lang w:eastAsia="zh-CN"/>
        </w:rPr>
        <w:t>保安</w:t>
      </w:r>
      <w:r>
        <w:rPr>
          <w:rFonts w:hint="eastAsia" w:ascii="宋体" w:hAnsi="宋体" w:eastAsia="宋体" w:cs="宋体"/>
          <w:color w:val="auto"/>
          <w:sz w:val="21"/>
          <w:szCs w:val="21"/>
          <w:highlight w:val="none"/>
        </w:rPr>
        <w:t>）记录、值班记录、车辆管理记录、设备管理记录、监控记录、监控录像、消防日常巡查及检查记录、各类活动的照片资料、维修记录、设备运行记录、设备和管网维养及检查记录、有偿服务记录、会议记录、荣誉资料等；</w:t>
      </w:r>
    </w:p>
    <w:p>
      <w:pPr>
        <w:spacing w:line="360" w:lineRule="auto"/>
        <w:ind w:left="105" w:leftChars="50"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4）财务档案：逐年形成的园区水电费财务收支报表、物业维修报表等；公寓租金、物业费、水电费等收缴台账；</w:t>
      </w:r>
    </w:p>
    <w:p>
      <w:pPr>
        <w:spacing w:line="360" w:lineRule="auto"/>
        <w:ind w:left="105" w:leftChars="50"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5）文件档案：有关物业服务法规政策、公司文件等；</w:t>
      </w:r>
    </w:p>
    <w:p>
      <w:pPr>
        <w:spacing w:line="360" w:lineRule="auto"/>
        <w:ind w:left="105" w:leftChars="50"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6）入住公寓档案：</w:t>
      </w:r>
      <w:r>
        <w:rPr>
          <w:rFonts w:hint="eastAsia" w:ascii="宋体" w:hAnsi="宋体" w:eastAsia="宋体" w:cs="宋体"/>
          <w:color w:val="auto"/>
          <w:sz w:val="21"/>
          <w:szCs w:val="21"/>
          <w:highlight w:val="none"/>
          <w:lang w:val="en-US" w:eastAsia="zh-CN"/>
        </w:rPr>
        <w:t>根</w:t>
      </w:r>
      <w:r>
        <w:rPr>
          <w:rFonts w:hint="eastAsia" w:ascii="宋体" w:hAnsi="宋体" w:eastAsia="宋体" w:cs="宋体"/>
          <w:color w:val="auto"/>
          <w:sz w:val="21"/>
          <w:szCs w:val="21"/>
          <w:highlight w:val="none"/>
        </w:rPr>
        <w:t>据公安机关等部门要求制定公寓住客及访客的实名登记工作台账。</w:t>
      </w:r>
    </w:p>
    <w:p>
      <w:pPr>
        <w:spacing w:line="360" w:lineRule="auto"/>
        <w:ind w:left="105" w:leftChars="50"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2、建立和管理流程</w:t>
      </w:r>
    </w:p>
    <w:p>
      <w:pPr>
        <w:spacing w:line="360" w:lineRule="auto"/>
        <w:ind w:left="105" w:leftChars="50"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收集－整理－分类－分级－编号－登记－录入电脑（入柜）－借用－检查</w:t>
      </w:r>
    </w:p>
    <w:p>
      <w:pPr>
        <w:spacing w:line="360" w:lineRule="auto"/>
        <w:ind w:left="105" w:leftChars="50"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3、管理要求</w:t>
      </w:r>
    </w:p>
    <w:p>
      <w:pPr>
        <w:spacing w:line="360" w:lineRule="auto"/>
        <w:ind w:left="105" w:leftChars="50"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lang w:eastAsia="zh-CN"/>
        </w:rPr>
        <w:t>制定</w:t>
      </w:r>
      <w:r>
        <w:rPr>
          <w:rFonts w:hint="eastAsia" w:ascii="宋体" w:hAnsi="宋体" w:eastAsia="宋体" w:cs="宋体"/>
          <w:color w:val="auto"/>
          <w:sz w:val="21"/>
          <w:szCs w:val="21"/>
          <w:highlight w:val="none"/>
        </w:rPr>
        <w:t>档案管理制度，并严格执行；</w:t>
      </w:r>
    </w:p>
    <w:p>
      <w:pPr>
        <w:spacing w:line="360" w:lineRule="auto"/>
        <w:ind w:left="105" w:leftChars="50"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2）按照档案管理要求，分门别类，编目造册，方便查阅，利于管理；</w:t>
      </w:r>
    </w:p>
    <w:p>
      <w:pPr>
        <w:spacing w:line="360" w:lineRule="auto"/>
        <w:ind w:left="105" w:leftChars="50"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3）专人管理，责任到人，存放有序，管理规范；</w:t>
      </w:r>
    </w:p>
    <w:p>
      <w:pPr>
        <w:spacing w:line="360" w:lineRule="auto"/>
        <w:ind w:left="105" w:leftChars="50"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4）配置专门的档案管理用房和必要的设备设施，以满足档案管理要求；</w:t>
      </w:r>
    </w:p>
    <w:p>
      <w:pPr>
        <w:spacing w:line="360" w:lineRule="auto"/>
        <w:ind w:left="105" w:leftChars="50"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5）根据档案资料形式、性质，采取不同的管理手段，科学管理，确保档案资料完整、安全；</w:t>
      </w:r>
    </w:p>
    <w:p>
      <w:pPr>
        <w:spacing w:before="50" w:after="50" w:line="360" w:lineRule="auto"/>
        <w:ind w:left="105" w:leftChars="50"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6）实现电脑化管理，提高管理水平。</w:t>
      </w:r>
    </w:p>
    <w:p>
      <w:pPr>
        <w:spacing w:before="50" w:after="50" w:line="360" w:lineRule="auto"/>
        <w:ind w:left="105" w:leftChars="50"/>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 xml:space="preserve">    （八）安全生产工作标准</w:t>
      </w:r>
    </w:p>
    <w:p>
      <w:pPr>
        <w:spacing w:before="50" w:after="50" w:line="360" w:lineRule="auto"/>
        <w:ind w:left="105" w:leftChars="50"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1、有完善的安全生产制度和质量管理体系。</w:t>
      </w:r>
    </w:p>
    <w:p>
      <w:pPr>
        <w:spacing w:before="50" w:after="50" w:line="360" w:lineRule="auto"/>
        <w:ind w:left="105" w:leftChars="50"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2、建立网格化安全管理。</w:t>
      </w:r>
    </w:p>
    <w:p>
      <w:pPr>
        <w:spacing w:before="50" w:after="50" w:line="360" w:lineRule="auto"/>
        <w:ind w:left="105" w:leftChars="50"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3、责任人明确，有巡查</w:t>
      </w:r>
      <w:r>
        <w:rPr>
          <w:rFonts w:hint="eastAsia" w:ascii="宋体" w:hAnsi="宋体" w:eastAsia="宋体" w:cs="宋体"/>
          <w:color w:val="auto"/>
          <w:sz w:val="21"/>
          <w:szCs w:val="21"/>
          <w:highlight w:val="none"/>
          <w:lang w:eastAsia="zh-CN"/>
        </w:rPr>
        <w:t>工作台账</w:t>
      </w:r>
      <w:r>
        <w:rPr>
          <w:rFonts w:hint="eastAsia" w:ascii="宋体" w:hAnsi="宋体" w:eastAsia="宋体" w:cs="宋体"/>
          <w:color w:val="auto"/>
          <w:sz w:val="21"/>
          <w:szCs w:val="21"/>
          <w:highlight w:val="none"/>
        </w:rPr>
        <w:t>。</w:t>
      </w:r>
    </w:p>
    <w:p>
      <w:pPr>
        <w:spacing w:before="50" w:after="50" w:line="360" w:lineRule="auto"/>
        <w:ind w:left="105" w:leftChars="50"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4、有效的车辆引导管理服务，保证园区车辆安全及出行便利。</w:t>
      </w:r>
    </w:p>
    <w:p>
      <w:pPr>
        <w:spacing w:before="50" w:after="50" w:line="360" w:lineRule="auto"/>
        <w:ind w:left="105" w:leftChars="50"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5、突发、应急事件处理措施和预案的演练。</w:t>
      </w:r>
    </w:p>
    <w:p>
      <w:pPr>
        <w:spacing w:line="360" w:lineRule="auto"/>
        <w:ind w:firstLine="422" w:firstLineChars="200"/>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（九）总体要求：</w:t>
      </w:r>
    </w:p>
    <w:p>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1、房屋及公共配套设施完好率100%。</w:t>
      </w:r>
    </w:p>
    <w:p>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2、管理区域内无重大火灾、刑事和交通事故。</w:t>
      </w:r>
    </w:p>
    <w:p>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3、管理区域内卫生、消毒满意率达100%。</w:t>
      </w:r>
    </w:p>
    <w:p>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4、房屋及日常设备零修、急修及时率达100%。</w:t>
      </w:r>
    </w:p>
    <w:p>
      <w:pPr>
        <w:spacing w:line="360" w:lineRule="auto"/>
        <w:ind w:right="-147" w:rightChars="-70"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5、进出人员登记制度落实到位。</w:t>
      </w:r>
    </w:p>
    <w:p>
      <w:pPr>
        <w:spacing w:line="360" w:lineRule="auto"/>
        <w:ind w:right="-147" w:rightChars="-70"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6、车辆管理有序，保证行车和车辆安全。</w:t>
      </w:r>
    </w:p>
    <w:p>
      <w:pPr>
        <w:pStyle w:val="2"/>
        <w:ind w:firstLine="420" w:firstLineChars="200"/>
        <w:jc w:val="both"/>
        <w:rPr>
          <w:rFonts w:hint="eastAsia" w:ascii="宋体" w:hAnsi="宋体" w:eastAsia="宋体" w:cs="宋体"/>
          <w:b w:val="0"/>
          <w:bCs/>
          <w:color w:val="auto"/>
          <w:sz w:val="21"/>
          <w:szCs w:val="21"/>
          <w:highlight w:val="none"/>
          <w:lang w:val="en-US"/>
        </w:rPr>
      </w:pPr>
      <w:r>
        <w:rPr>
          <w:rFonts w:hint="eastAsia" w:ascii="宋体" w:hAnsi="宋体" w:eastAsia="宋体" w:cs="宋体"/>
          <w:b w:val="0"/>
          <w:bCs/>
          <w:color w:val="auto"/>
          <w:sz w:val="21"/>
          <w:szCs w:val="21"/>
          <w:highlight w:val="none"/>
          <w:lang w:val="en-US"/>
        </w:rPr>
        <w:t>7、绿化养护到位，无病虫害，枯死现象。</w:t>
      </w:r>
    </w:p>
    <w:p>
      <w:pPr>
        <w:rPr>
          <w:rFonts w:hint="eastAsia" w:ascii="宋体" w:hAnsi="宋体" w:eastAsia="宋体" w:cs="宋体"/>
          <w:color w:val="auto"/>
          <w:sz w:val="21"/>
          <w:szCs w:val="21"/>
          <w:highlight w:val="none"/>
          <w:lang w:val="en-US"/>
        </w:rPr>
      </w:pPr>
    </w:p>
    <w:p>
      <w:pPr>
        <w:numPr>
          <w:ilvl w:val="0"/>
          <w:numId w:val="6"/>
        </w:numPr>
        <w:spacing w:line="360" w:lineRule="auto"/>
        <w:ind w:firstLine="422" w:firstLineChars="200"/>
        <w:rPr>
          <w:rFonts w:hint="eastAsia" w:ascii="宋体" w:hAnsi="宋体" w:eastAsia="宋体" w:cs="宋体"/>
          <w:b/>
          <w:bCs/>
          <w:color w:val="auto"/>
          <w:kern w:val="0"/>
          <w:sz w:val="21"/>
          <w:szCs w:val="21"/>
          <w:highlight w:val="none"/>
        </w:rPr>
      </w:pPr>
      <w:r>
        <w:rPr>
          <w:rFonts w:hint="eastAsia" w:ascii="宋体" w:hAnsi="宋体" w:eastAsia="宋体" w:cs="宋体"/>
          <w:b/>
          <w:bCs/>
          <w:color w:val="auto"/>
          <w:sz w:val="21"/>
          <w:szCs w:val="21"/>
          <w:highlight w:val="none"/>
          <w:lang w:val="en-US" w:eastAsia="zh-CN"/>
        </w:rPr>
        <w:t>采购方</w:t>
      </w:r>
      <w:r>
        <w:rPr>
          <w:rFonts w:hint="eastAsia" w:ascii="宋体" w:hAnsi="宋体" w:eastAsia="宋体" w:cs="宋体"/>
          <w:b/>
          <w:bCs/>
          <w:color w:val="auto"/>
          <w:kern w:val="0"/>
          <w:sz w:val="21"/>
          <w:szCs w:val="21"/>
          <w:highlight w:val="none"/>
        </w:rPr>
        <w:t>有权建议物业管理公司辞退不能履行职责行为、有损企业形象的物业服务人员。</w:t>
      </w:r>
    </w:p>
    <w:p>
      <w:pPr>
        <w:numPr>
          <w:ilvl w:val="0"/>
          <w:numId w:val="6"/>
        </w:numPr>
        <w:spacing w:line="360" w:lineRule="auto"/>
        <w:ind w:firstLine="422" w:firstLineChars="200"/>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物业服务期间，采购方为物业管理公司免费提供值班宿舍，水电等费用由物业管理公司自行承担。</w:t>
      </w:r>
    </w:p>
    <w:p>
      <w:pPr>
        <w:numPr>
          <w:ilvl w:val="0"/>
          <w:numId w:val="6"/>
        </w:numPr>
        <w:spacing w:line="360" w:lineRule="auto"/>
        <w:ind w:firstLine="422" w:firstLineChars="200"/>
        <w:rPr>
          <w:rFonts w:hint="eastAsia" w:ascii="宋体" w:hAnsi="宋体" w:eastAsia="宋体" w:cs="宋体"/>
          <w:b/>
          <w:bCs/>
          <w:color w:val="auto"/>
          <w:kern w:val="0"/>
          <w:sz w:val="21"/>
          <w:szCs w:val="21"/>
          <w:highlight w:val="none"/>
        </w:rPr>
      </w:pPr>
      <w:r>
        <w:rPr>
          <w:rFonts w:hint="eastAsia" w:ascii="宋体" w:hAnsi="宋体" w:eastAsia="宋体" w:cs="宋体"/>
          <w:b/>
          <w:bCs/>
          <w:color w:val="auto"/>
          <w:sz w:val="21"/>
          <w:szCs w:val="21"/>
          <w:highlight w:val="none"/>
          <w:lang w:val="en-US" w:eastAsia="zh-CN"/>
        </w:rPr>
        <w:t>物业管理公司服务期间定期如实提供服务人员实际用工成本表及人员劳务合同，数据不得造假；未经采购方允许，不得擅自更换项目负责人、主管等重要职位。</w:t>
      </w:r>
    </w:p>
    <w:p>
      <w:pPr>
        <w:spacing w:line="400" w:lineRule="exact"/>
        <w:ind w:firstLine="422" w:firstLineChars="200"/>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四、</w:t>
      </w:r>
      <w:r>
        <w:rPr>
          <w:rFonts w:hint="eastAsia" w:ascii="宋体" w:hAnsi="宋体" w:eastAsia="宋体" w:cs="宋体"/>
          <w:b/>
          <w:color w:val="auto"/>
          <w:kern w:val="0"/>
          <w:sz w:val="21"/>
          <w:szCs w:val="21"/>
          <w:highlight w:val="none"/>
        </w:rPr>
        <w:t>对投标方的要求</w:t>
      </w:r>
    </w:p>
    <w:p>
      <w:pPr>
        <w:spacing w:line="400" w:lineRule="exact"/>
        <w:ind w:firstLine="480"/>
        <w:rPr>
          <w:rFonts w:hint="eastAsia" w:ascii="宋体" w:hAnsi="宋体" w:eastAsia="宋体" w:cs="宋体"/>
          <w:color w:val="auto"/>
          <w:sz w:val="21"/>
          <w:szCs w:val="21"/>
          <w:highlight w:val="none"/>
        </w:rPr>
      </w:pPr>
      <w:r>
        <w:rPr>
          <w:rFonts w:hint="eastAsia" w:ascii="宋体" w:hAnsi="宋体" w:eastAsia="宋体" w:cs="宋体"/>
          <w:b/>
          <w:color w:val="auto"/>
          <w:sz w:val="21"/>
          <w:szCs w:val="21"/>
          <w:highlight w:val="none"/>
        </w:rPr>
        <w:t xml:space="preserve"> </w:t>
      </w:r>
      <w:r>
        <w:rPr>
          <w:rFonts w:hint="eastAsia" w:ascii="宋体" w:hAnsi="宋体" w:eastAsia="宋体" w:cs="宋体"/>
          <w:color w:val="auto"/>
          <w:sz w:val="21"/>
          <w:szCs w:val="21"/>
          <w:highlight w:val="none"/>
        </w:rPr>
        <w:t>投标方须根据《国务院物业管理条例》和省、市物业管理方面的法律法规，充分考虑实际服务内容，制订出详细的投标方案，包括保洁服务、机电维护、保安服务、停车管理等所有物业管理服务内容的详细服务方案。</w:t>
      </w:r>
    </w:p>
    <w:p>
      <w:pPr>
        <w:numPr>
          <w:ilvl w:val="0"/>
          <w:numId w:val="0"/>
        </w:numPr>
        <w:spacing w:before="50" w:after="50" w:line="400" w:lineRule="exact"/>
        <w:ind w:firstLine="422" w:firstLineChars="200"/>
        <w:jc w:val="left"/>
        <w:rPr>
          <w:rFonts w:hint="eastAsia" w:ascii="宋体" w:hAnsi="宋体" w:eastAsia="宋体" w:cs="宋体"/>
          <w:b/>
          <w:color w:val="auto"/>
          <w:kern w:val="0"/>
          <w:sz w:val="21"/>
          <w:szCs w:val="21"/>
          <w:highlight w:val="none"/>
        </w:rPr>
      </w:pPr>
      <w:r>
        <w:rPr>
          <w:rFonts w:hint="eastAsia" w:ascii="宋体" w:hAnsi="宋体" w:eastAsia="宋体" w:cs="宋体"/>
          <w:b/>
          <w:color w:val="auto"/>
          <w:kern w:val="0"/>
          <w:sz w:val="21"/>
          <w:szCs w:val="21"/>
          <w:highlight w:val="none"/>
          <w:lang w:val="en-US" w:eastAsia="zh-CN"/>
        </w:rPr>
        <w:t>五、物业人员配置和工作要求</w:t>
      </w:r>
      <w:r>
        <w:rPr>
          <w:rFonts w:hint="eastAsia" w:ascii="宋体" w:hAnsi="宋体" w:eastAsia="宋体" w:cs="宋体"/>
          <w:b/>
          <w:color w:val="auto"/>
          <w:kern w:val="0"/>
          <w:sz w:val="21"/>
          <w:szCs w:val="21"/>
          <w:highlight w:val="none"/>
        </w:rPr>
        <w:t>：</w:t>
      </w:r>
    </w:p>
    <w:p>
      <w:pPr>
        <w:spacing w:line="400" w:lineRule="exact"/>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园区需设置以下岗位，需配合采购人日常工作需求，采购人有权根据工作需求要求中标人增加（精简）人员。</w:t>
      </w:r>
    </w:p>
    <w:p>
      <w:pPr>
        <w:widowControl/>
        <w:shd w:val="clear" w:color="auto" w:fill="FFFFFF"/>
        <w:spacing w:line="460" w:lineRule="exact"/>
        <w:ind w:left="0" w:firstLine="420" w:firstLineChars="200"/>
        <w:jc w:val="left"/>
        <w:rPr>
          <w:rFonts w:hint="eastAsia" w:ascii="宋体" w:hAnsi="宋体" w:eastAsia="宋体" w:cs="宋体"/>
          <w:kern w:val="0"/>
          <w:sz w:val="21"/>
          <w:szCs w:val="21"/>
          <w:highlight w:val="none"/>
          <w:lang w:val="en-US" w:eastAsia="zh-CN" w:bidi="ar-SA"/>
        </w:rPr>
      </w:pPr>
      <w:r>
        <w:rPr>
          <w:rFonts w:hint="eastAsia" w:ascii="宋体" w:hAnsi="宋体" w:eastAsia="宋体" w:cs="宋体"/>
          <w:kern w:val="0"/>
          <w:sz w:val="21"/>
          <w:szCs w:val="21"/>
          <w:highlight w:val="none"/>
          <w:lang w:val="en-US" w:eastAsia="zh-CN" w:bidi="ar-SA"/>
        </w:rPr>
        <w:t>1、项目负责人：要求熟悉物业管理法规，</w:t>
      </w:r>
      <w:r>
        <w:rPr>
          <w:rFonts w:hint="eastAsia" w:ascii="宋体" w:hAnsi="宋体" w:eastAsia="宋体" w:cs="宋体"/>
          <w:color w:val="auto"/>
          <w:sz w:val="21"/>
          <w:szCs w:val="21"/>
          <w:highlight w:val="none"/>
          <w:lang w:val="en-US" w:eastAsia="zh-CN"/>
        </w:rPr>
        <w:t>具备</w:t>
      </w:r>
      <w:r>
        <w:rPr>
          <w:rFonts w:hint="eastAsia" w:ascii="宋体" w:hAnsi="宋体" w:eastAsia="宋体" w:cs="宋体"/>
          <w:kern w:val="0"/>
          <w:sz w:val="21"/>
          <w:szCs w:val="21"/>
          <w:highlight w:val="none"/>
          <w:lang w:val="en-US" w:eastAsia="zh-CN" w:bidi="ar-SA"/>
        </w:rPr>
        <w:t>连续两年类似项目管理经验，45周岁以下，专科及以上学历，具有较强的沟通能力，能根据招标工作计划组织落实，组织员工培训，带领员工做好质量保证体系，达到任职要求。</w:t>
      </w:r>
    </w:p>
    <w:p>
      <w:pPr>
        <w:widowControl/>
        <w:shd w:val="clear" w:color="auto" w:fill="FFFFFF"/>
        <w:spacing w:line="460" w:lineRule="exact"/>
        <w:ind w:left="0" w:firstLine="420" w:firstLineChars="200"/>
        <w:jc w:val="left"/>
        <w:rPr>
          <w:rFonts w:hint="eastAsia" w:ascii="宋体" w:hAnsi="宋体" w:eastAsia="宋体" w:cs="宋体"/>
          <w:kern w:val="0"/>
          <w:sz w:val="21"/>
          <w:szCs w:val="21"/>
          <w:highlight w:val="none"/>
          <w:lang w:val="en-US" w:eastAsia="zh-CN" w:bidi="ar-SA"/>
        </w:rPr>
      </w:pPr>
      <w:r>
        <w:rPr>
          <w:rFonts w:hint="eastAsia" w:ascii="宋体" w:hAnsi="宋体" w:eastAsia="宋体" w:cs="宋体"/>
          <w:kern w:val="0"/>
          <w:sz w:val="21"/>
          <w:szCs w:val="21"/>
          <w:highlight w:val="none"/>
          <w:lang w:val="en-US" w:eastAsia="zh-CN" w:bidi="ar-SA"/>
        </w:rPr>
        <w:t>2、客服：年龄35周岁以下，全日制大专及以上学历，负责资料管理、物业费催缴、停车费催缴、水电费催缴等工作。</w:t>
      </w:r>
    </w:p>
    <w:p>
      <w:pPr>
        <w:widowControl/>
        <w:shd w:val="clear" w:color="auto" w:fill="FFFFFF"/>
        <w:spacing w:line="460" w:lineRule="exact"/>
        <w:ind w:left="0" w:firstLine="420" w:firstLineChars="200"/>
        <w:jc w:val="left"/>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kern w:val="0"/>
          <w:sz w:val="21"/>
          <w:szCs w:val="21"/>
          <w:highlight w:val="none"/>
          <w:lang w:val="en-US" w:eastAsia="zh-CN" w:bidi="ar-SA"/>
        </w:rPr>
        <w:t>3、安管员：年</w:t>
      </w:r>
      <w:r>
        <w:rPr>
          <w:rFonts w:hint="eastAsia" w:ascii="宋体" w:hAnsi="宋体" w:eastAsia="宋体" w:cs="宋体"/>
          <w:color w:val="auto"/>
          <w:kern w:val="0"/>
          <w:sz w:val="21"/>
          <w:szCs w:val="21"/>
          <w:highlight w:val="none"/>
          <w:lang w:val="en-US" w:eastAsia="zh-CN" w:bidi="ar-SA"/>
        </w:rPr>
        <w:t xml:space="preserve">龄55周岁以下，需持有安管员证。 </w:t>
      </w:r>
    </w:p>
    <w:p>
      <w:pPr>
        <w:widowControl/>
        <w:shd w:val="clear" w:color="auto" w:fill="FFFFFF"/>
        <w:spacing w:line="460" w:lineRule="exact"/>
        <w:ind w:left="0" w:firstLine="420" w:firstLineChars="200"/>
        <w:jc w:val="left"/>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4、门岗：年龄55周岁以下，需24小时轮流值班。</w:t>
      </w:r>
    </w:p>
    <w:p>
      <w:pPr>
        <w:widowControl/>
        <w:shd w:val="clear" w:color="auto" w:fill="FFFFFF"/>
        <w:spacing w:line="460" w:lineRule="exact"/>
        <w:ind w:left="0" w:firstLine="420" w:firstLineChars="200"/>
        <w:jc w:val="left"/>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5、消控员：年龄55周岁以下，依法持有消防设施操作员证；需24小时轮流值班。（提供身份证及消防设施操作员证）</w:t>
      </w:r>
    </w:p>
    <w:p>
      <w:pPr>
        <w:pStyle w:val="53"/>
        <w:rPr>
          <w:rFonts w:hint="eastAsia" w:ascii="宋体" w:hAnsi="宋体" w:eastAsia="宋体" w:cs="宋体"/>
          <w:color w:val="auto"/>
          <w:sz w:val="21"/>
          <w:szCs w:val="21"/>
          <w:highlight w:val="none"/>
          <w:lang w:val="en-US" w:eastAsia="zh-CN"/>
        </w:rPr>
      </w:pPr>
      <w:r>
        <w:rPr>
          <w:rFonts w:hint="eastAsia" w:ascii="宋体" w:hAnsi="宋体" w:eastAsia="宋体" w:cs="宋体"/>
          <w:color w:val="auto"/>
          <w:kern w:val="0"/>
          <w:sz w:val="21"/>
          <w:szCs w:val="21"/>
          <w:highlight w:val="none"/>
          <w:lang w:val="en-US" w:eastAsia="zh-CN" w:bidi="ar-SA"/>
        </w:rPr>
        <w:t>6、工程人员</w:t>
      </w:r>
      <w:r>
        <w:rPr>
          <w:rFonts w:hint="eastAsia" w:ascii="宋体" w:hAnsi="宋体" w:eastAsia="宋体" w:cs="宋体"/>
          <w:color w:val="auto"/>
          <w:sz w:val="21"/>
          <w:szCs w:val="21"/>
          <w:highlight w:val="none"/>
          <w:lang w:val="en-US" w:eastAsia="zh-CN"/>
        </w:rPr>
        <w:t>需持有电工证。</w:t>
      </w:r>
    </w:p>
    <w:p>
      <w:pPr>
        <w:widowControl/>
        <w:shd w:val="clear" w:color="auto" w:fill="FFFFFF"/>
        <w:spacing w:line="460" w:lineRule="exact"/>
        <w:ind w:left="0" w:firstLine="420" w:firstLineChars="200"/>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kern w:val="0"/>
          <w:sz w:val="21"/>
          <w:szCs w:val="21"/>
          <w:highlight w:val="none"/>
          <w:lang w:val="en-US" w:eastAsia="zh-CN" w:bidi="ar-SA"/>
        </w:rPr>
        <w:t>注：人员证书复印件</w:t>
      </w:r>
      <w:r>
        <w:rPr>
          <w:rFonts w:hint="eastAsia" w:ascii="宋体" w:hAnsi="宋体" w:eastAsia="宋体" w:cs="宋体"/>
          <w:color w:val="auto"/>
          <w:sz w:val="21"/>
          <w:szCs w:val="21"/>
          <w:highlight w:val="none"/>
          <w:lang w:val="en-US" w:eastAsia="zh-CN"/>
        </w:rPr>
        <w:t>在中标后</w:t>
      </w:r>
      <w:r>
        <w:rPr>
          <w:rFonts w:hint="eastAsia" w:ascii="宋体" w:hAnsi="宋体" w:eastAsia="宋体" w:cs="宋体"/>
          <w:color w:val="auto"/>
          <w:kern w:val="0"/>
          <w:sz w:val="21"/>
          <w:szCs w:val="21"/>
          <w:highlight w:val="none"/>
          <w:lang w:val="en-US" w:eastAsia="zh-CN" w:bidi="ar-SA"/>
        </w:rPr>
        <w:t>5</w:t>
      </w:r>
      <w:r>
        <w:rPr>
          <w:rFonts w:hint="eastAsia" w:ascii="宋体" w:hAnsi="宋体" w:eastAsia="宋体" w:cs="宋体"/>
          <w:color w:val="auto"/>
          <w:sz w:val="21"/>
          <w:szCs w:val="21"/>
          <w:highlight w:val="none"/>
          <w:lang w:val="en-US" w:eastAsia="zh-CN"/>
        </w:rPr>
        <w:t>个工作日内报甲方备案。</w:t>
      </w:r>
    </w:p>
    <w:tbl>
      <w:tblPr>
        <w:tblStyle w:val="3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07"/>
        <w:gridCol w:w="1907"/>
        <w:gridCol w:w="1907"/>
        <w:gridCol w:w="1907"/>
        <w:gridCol w:w="19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1907" w:type="dxa"/>
            <w:noWrap w:val="0"/>
            <w:vAlign w:val="center"/>
          </w:tcPr>
          <w:p>
            <w:pPr>
              <w:adjustRightInd w:val="0"/>
              <w:snapToGrid w:val="0"/>
              <w:spacing w:line="500" w:lineRule="exact"/>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序号</w:t>
            </w:r>
          </w:p>
        </w:tc>
        <w:tc>
          <w:tcPr>
            <w:tcW w:w="1907" w:type="dxa"/>
            <w:noWrap w:val="0"/>
            <w:vAlign w:val="center"/>
          </w:tcPr>
          <w:p>
            <w:pPr>
              <w:adjustRightInd w:val="0"/>
              <w:snapToGrid w:val="0"/>
              <w:spacing w:line="500" w:lineRule="exact"/>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岗位</w:t>
            </w:r>
          </w:p>
        </w:tc>
        <w:tc>
          <w:tcPr>
            <w:tcW w:w="1907" w:type="dxa"/>
            <w:noWrap w:val="0"/>
            <w:vAlign w:val="center"/>
          </w:tcPr>
          <w:p>
            <w:pPr>
              <w:adjustRightInd w:val="0"/>
              <w:snapToGrid w:val="0"/>
              <w:spacing w:line="500" w:lineRule="exact"/>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计划人数</w:t>
            </w:r>
          </w:p>
        </w:tc>
        <w:tc>
          <w:tcPr>
            <w:tcW w:w="1907" w:type="dxa"/>
            <w:noWrap w:val="0"/>
            <w:vAlign w:val="center"/>
          </w:tcPr>
          <w:p>
            <w:pPr>
              <w:adjustRightInd w:val="0"/>
              <w:snapToGrid w:val="0"/>
              <w:spacing w:line="500" w:lineRule="exact"/>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责任人</w:t>
            </w:r>
          </w:p>
        </w:tc>
        <w:tc>
          <w:tcPr>
            <w:tcW w:w="1908" w:type="dxa"/>
            <w:noWrap w:val="0"/>
            <w:vAlign w:val="center"/>
          </w:tcPr>
          <w:p>
            <w:pPr>
              <w:adjustRightInd w:val="0"/>
              <w:snapToGrid w:val="0"/>
              <w:spacing w:line="500" w:lineRule="exact"/>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1907" w:type="dxa"/>
            <w:noWrap w:val="0"/>
            <w:vAlign w:val="center"/>
          </w:tcPr>
          <w:p>
            <w:pPr>
              <w:adjustRightInd w:val="0"/>
              <w:snapToGrid w:val="0"/>
              <w:spacing w:line="500" w:lineRule="exact"/>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w:t>
            </w:r>
          </w:p>
        </w:tc>
        <w:tc>
          <w:tcPr>
            <w:tcW w:w="1907" w:type="dxa"/>
            <w:noWrap w:val="0"/>
            <w:vAlign w:val="center"/>
          </w:tcPr>
          <w:p>
            <w:pPr>
              <w:adjustRightInd w:val="0"/>
              <w:snapToGrid w:val="0"/>
              <w:spacing w:line="500" w:lineRule="exact"/>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行政岗</w:t>
            </w:r>
          </w:p>
        </w:tc>
        <w:tc>
          <w:tcPr>
            <w:tcW w:w="1907" w:type="dxa"/>
            <w:noWrap w:val="0"/>
            <w:vAlign w:val="center"/>
          </w:tcPr>
          <w:p>
            <w:pPr>
              <w:adjustRightInd w:val="0"/>
              <w:snapToGrid w:val="0"/>
              <w:spacing w:line="500" w:lineRule="exact"/>
              <w:ind w:firstLine="420" w:firstLineChars="200"/>
              <w:jc w:val="center"/>
              <w:rPr>
                <w:rFonts w:hint="eastAsia" w:ascii="宋体" w:hAnsi="宋体" w:eastAsia="宋体" w:cs="宋体"/>
                <w:color w:val="auto"/>
                <w:sz w:val="21"/>
                <w:szCs w:val="21"/>
                <w:highlight w:val="none"/>
                <w:lang w:val="en-US" w:eastAsia="zh-CN"/>
              </w:rPr>
            </w:pPr>
          </w:p>
        </w:tc>
        <w:tc>
          <w:tcPr>
            <w:tcW w:w="1907" w:type="dxa"/>
            <w:noWrap w:val="0"/>
            <w:vAlign w:val="center"/>
          </w:tcPr>
          <w:p>
            <w:pPr>
              <w:adjustRightInd w:val="0"/>
              <w:snapToGrid w:val="0"/>
              <w:spacing w:line="500" w:lineRule="exact"/>
              <w:ind w:firstLine="420" w:firstLineChars="200"/>
              <w:jc w:val="center"/>
              <w:rPr>
                <w:rFonts w:hint="eastAsia" w:ascii="宋体" w:hAnsi="宋体" w:eastAsia="宋体" w:cs="宋体"/>
                <w:color w:val="auto"/>
                <w:sz w:val="21"/>
                <w:szCs w:val="21"/>
                <w:highlight w:val="none"/>
                <w:lang w:val="en-US" w:eastAsia="zh-CN"/>
              </w:rPr>
            </w:pPr>
          </w:p>
        </w:tc>
        <w:tc>
          <w:tcPr>
            <w:tcW w:w="1908" w:type="dxa"/>
            <w:noWrap w:val="0"/>
            <w:vAlign w:val="center"/>
          </w:tcPr>
          <w:p>
            <w:pPr>
              <w:adjustRightInd w:val="0"/>
              <w:snapToGrid w:val="0"/>
              <w:spacing w:line="500" w:lineRule="exact"/>
              <w:ind w:firstLine="420" w:firstLineChars="200"/>
              <w:jc w:val="center"/>
              <w:rPr>
                <w:rFonts w:hint="eastAsia" w:ascii="宋体" w:hAnsi="宋体" w:eastAsia="宋体" w:cs="宋体"/>
                <w:color w:val="auto"/>
                <w:sz w:val="21"/>
                <w:szCs w:val="21"/>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1907" w:type="dxa"/>
            <w:noWrap w:val="0"/>
            <w:vAlign w:val="center"/>
          </w:tcPr>
          <w:p>
            <w:pPr>
              <w:adjustRightInd w:val="0"/>
              <w:snapToGrid w:val="0"/>
              <w:spacing w:line="500" w:lineRule="exact"/>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w:t>
            </w:r>
          </w:p>
        </w:tc>
        <w:tc>
          <w:tcPr>
            <w:tcW w:w="1907" w:type="dxa"/>
            <w:noWrap w:val="0"/>
            <w:vAlign w:val="center"/>
          </w:tcPr>
          <w:p>
            <w:pPr>
              <w:adjustRightInd w:val="0"/>
              <w:snapToGrid w:val="0"/>
              <w:spacing w:line="500" w:lineRule="exact"/>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保安岗</w:t>
            </w:r>
          </w:p>
        </w:tc>
        <w:tc>
          <w:tcPr>
            <w:tcW w:w="1907" w:type="dxa"/>
            <w:noWrap w:val="0"/>
            <w:vAlign w:val="center"/>
          </w:tcPr>
          <w:p>
            <w:pPr>
              <w:adjustRightInd w:val="0"/>
              <w:snapToGrid w:val="0"/>
              <w:spacing w:line="500" w:lineRule="exact"/>
              <w:ind w:firstLine="420" w:firstLineChars="200"/>
              <w:jc w:val="center"/>
              <w:rPr>
                <w:rFonts w:hint="eastAsia" w:ascii="宋体" w:hAnsi="宋体" w:eastAsia="宋体" w:cs="宋体"/>
                <w:color w:val="auto"/>
                <w:sz w:val="21"/>
                <w:szCs w:val="21"/>
                <w:highlight w:val="none"/>
                <w:lang w:val="en-US" w:eastAsia="zh-CN"/>
              </w:rPr>
            </w:pPr>
          </w:p>
        </w:tc>
        <w:tc>
          <w:tcPr>
            <w:tcW w:w="1907" w:type="dxa"/>
            <w:noWrap w:val="0"/>
            <w:vAlign w:val="center"/>
          </w:tcPr>
          <w:p>
            <w:pPr>
              <w:adjustRightInd w:val="0"/>
              <w:snapToGrid w:val="0"/>
              <w:spacing w:line="500" w:lineRule="exact"/>
              <w:ind w:firstLine="420" w:firstLineChars="200"/>
              <w:jc w:val="center"/>
              <w:rPr>
                <w:rFonts w:hint="eastAsia" w:ascii="宋体" w:hAnsi="宋体" w:eastAsia="宋体" w:cs="宋体"/>
                <w:color w:val="auto"/>
                <w:sz w:val="21"/>
                <w:szCs w:val="21"/>
                <w:highlight w:val="none"/>
                <w:lang w:val="en-US" w:eastAsia="zh-CN"/>
              </w:rPr>
            </w:pPr>
          </w:p>
        </w:tc>
        <w:tc>
          <w:tcPr>
            <w:tcW w:w="1908" w:type="dxa"/>
            <w:noWrap w:val="0"/>
            <w:vAlign w:val="center"/>
          </w:tcPr>
          <w:p>
            <w:pPr>
              <w:adjustRightInd w:val="0"/>
              <w:snapToGrid w:val="0"/>
              <w:spacing w:line="500" w:lineRule="exact"/>
              <w:ind w:firstLine="420" w:firstLineChars="200"/>
              <w:jc w:val="center"/>
              <w:rPr>
                <w:rFonts w:hint="eastAsia" w:ascii="宋体" w:hAnsi="宋体" w:eastAsia="宋体" w:cs="宋体"/>
                <w:color w:val="auto"/>
                <w:sz w:val="21"/>
                <w:szCs w:val="21"/>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1907" w:type="dxa"/>
            <w:noWrap w:val="0"/>
            <w:vAlign w:val="center"/>
          </w:tcPr>
          <w:p>
            <w:pPr>
              <w:adjustRightInd w:val="0"/>
              <w:snapToGrid w:val="0"/>
              <w:spacing w:line="500" w:lineRule="exact"/>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w:t>
            </w:r>
          </w:p>
        </w:tc>
        <w:tc>
          <w:tcPr>
            <w:tcW w:w="1907" w:type="dxa"/>
            <w:noWrap w:val="0"/>
            <w:vAlign w:val="center"/>
          </w:tcPr>
          <w:p>
            <w:pPr>
              <w:adjustRightInd w:val="0"/>
              <w:snapToGrid w:val="0"/>
              <w:spacing w:line="500" w:lineRule="exact"/>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保洁岗</w:t>
            </w:r>
          </w:p>
        </w:tc>
        <w:tc>
          <w:tcPr>
            <w:tcW w:w="1907" w:type="dxa"/>
            <w:noWrap w:val="0"/>
            <w:vAlign w:val="center"/>
          </w:tcPr>
          <w:p>
            <w:pPr>
              <w:adjustRightInd w:val="0"/>
              <w:snapToGrid w:val="0"/>
              <w:spacing w:line="500" w:lineRule="exact"/>
              <w:ind w:firstLine="420" w:firstLineChars="200"/>
              <w:jc w:val="center"/>
              <w:rPr>
                <w:rFonts w:hint="eastAsia" w:ascii="宋体" w:hAnsi="宋体" w:eastAsia="宋体" w:cs="宋体"/>
                <w:color w:val="auto"/>
                <w:sz w:val="21"/>
                <w:szCs w:val="21"/>
                <w:highlight w:val="none"/>
                <w:lang w:val="en-US" w:eastAsia="zh-CN"/>
              </w:rPr>
            </w:pPr>
          </w:p>
        </w:tc>
        <w:tc>
          <w:tcPr>
            <w:tcW w:w="1907" w:type="dxa"/>
            <w:noWrap w:val="0"/>
            <w:vAlign w:val="center"/>
          </w:tcPr>
          <w:p>
            <w:pPr>
              <w:adjustRightInd w:val="0"/>
              <w:snapToGrid w:val="0"/>
              <w:spacing w:line="500" w:lineRule="exact"/>
              <w:ind w:firstLine="420" w:firstLineChars="200"/>
              <w:jc w:val="center"/>
              <w:rPr>
                <w:rFonts w:hint="eastAsia" w:ascii="宋体" w:hAnsi="宋体" w:eastAsia="宋体" w:cs="宋体"/>
                <w:color w:val="auto"/>
                <w:sz w:val="21"/>
                <w:szCs w:val="21"/>
                <w:highlight w:val="none"/>
                <w:lang w:val="en-US" w:eastAsia="zh-CN"/>
              </w:rPr>
            </w:pPr>
          </w:p>
        </w:tc>
        <w:tc>
          <w:tcPr>
            <w:tcW w:w="1908" w:type="dxa"/>
            <w:noWrap w:val="0"/>
            <w:vAlign w:val="center"/>
          </w:tcPr>
          <w:p>
            <w:pPr>
              <w:adjustRightInd w:val="0"/>
              <w:snapToGrid w:val="0"/>
              <w:spacing w:line="500" w:lineRule="exact"/>
              <w:ind w:firstLine="420" w:firstLineChars="200"/>
              <w:jc w:val="center"/>
              <w:rPr>
                <w:rFonts w:hint="eastAsia" w:ascii="宋体" w:hAnsi="宋体" w:eastAsia="宋体" w:cs="宋体"/>
                <w:color w:val="auto"/>
                <w:sz w:val="21"/>
                <w:szCs w:val="21"/>
                <w:highlight w:val="none"/>
                <w:lang w:val="en-US" w:eastAsia="zh-CN"/>
              </w:rPr>
            </w:pPr>
          </w:p>
        </w:tc>
      </w:tr>
    </w:tbl>
    <w:p>
      <w:pPr>
        <w:spacing w:line="400" w:lineRule="exact"/>
        <w:ind w:firstLine="48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注：投标人需根据项目实际情况，填报拟派人员方案。项目负责人需经招标人面试后上岗。</w:t>
      </w:r>
    </w:p>
    <w:p>
      <w:pPr>
        <w:spacing w:before="50" w:after="50" w:line="400" w:lineRule="exact"/>
        <w:ind w:firstLine="422" w:firstLineChars="200"/>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lang w:val="en-US" w:eastAsia="zh-CN"/>
        </w:rPr>
        <w:t>六</w:t>
      </w:r>
      <w:r>
        <w:rPr>
          <w:rFonts w:hint="eastAsia" w:ascii="宋体" w:hAnsi="宋体" w:eastAsia="宋体" w:cs="宋体"/>
          <w:b/>
          <w:color w:val="auto"/>
          <w:sz w:val="21"/>
          <w:szCs w:val="21"/>
          <w:highlight w:val="none"/>
        </w:rPr>
        <w:t>、需配备的物品及设备</w:t>
      </w:r>
    </w:p>
    <w:p>
      <w:pPr>
        <w:pStyle w:val="17"/>
        <w:spacing w:line="400" w:lineRule="exact"/>
        <w:ind w:firstLine="480"/>
        <w:rPr>
          <w:rFonts w:hint="eastAsia" w:ascii="宋体" w:hAnsi="宋体" w:eastAsia="宋体" w:cs="宋体"/>
          <w:color w:val="auto"/>
          <w:sz w:val="21"/>
          <w:szCs w:val="21"/>
          <w:highlight w:val="none"/>
        </w:rPr>
      </w:pPr>
      <w:r>
        <w:rPr>
          <w:rFonts w:hint="eastAsia" w:ascii="宋体" w:hAnsi="宋体" w:eastAsia="宋体" w:cs="宋体"/>
          <w:b/>
          <w:color w:val="auto"/>
          <w:sz w:val="21"/>
          <w:szCs w:val="21"/>
          <w:highlight w:val="none"/>
        </w:rPr>
        <w:t>开办设备由采购方按需购置，产权归采购方所有。物业服务中所需的物品及设备由中标单位提供。</w:t>
      </w:r>
    </w:p>
    <w:p>
      <w:pPr>
        <w:numPr>
          <w:ilvl w:val="0"/>
          <w:numId w:val="0"/>
        </w:numPr>
        <w:tabs>
          <w:tab w:val="left" w:pos="315"/>
        </w:tabs>
        <w:adjustRightInd w:val="0"/>
        <w:snapToGrid w:val="0"/>
        <w:spacing w:line="440" w:lineRule="exact"/>
        <w:ind w:firstLine="422" w:firstLineChars="200"/>
        <w:rPr>
          <w:rFonts w:hint="eastAsia" w:ascii="宋体" w:hAnsi="宋体" w:eastAsia="宋体" w:cs="宋体"/>
          <w:b/>
          <w:color w:val="auto"/>
          <w:kern w:val="2"/>
          <w:sz w:val="21"/>
          <w:szCs w:val="21"/>
          <w:highlight w:val="none"/>
          <w:lang w:val="en-US" w:eastAsia="zh-CN" w:bidi="ar-SA"/>
        </w:rPr>
      </w:pPr>
      <w:r>
        <w:rPr>
          <w:rFonts w:hint="eastAsia" w:ascii="宋体" w:hAnsi="宋体" w:eastAsia="宋体" w:cs="宋体"/>
          <w:b/>
          <w:color w:val="auto"/>
          <w:kern w:val="2"/>
          <w:sz w:val="21"/>
          <w:szCs w:val="21"/>
          <w:highlight w:val="none"/>
          <w:lang w:val="en-US" w:eastAsia="zh-CN" w:bidi="ar-SA"/>
        </w:rPr>
        <w:t>七、考核标准及要求：</w:t>
      </w:r>
    </w:p>
    <w:p>
      <w:pPr>
        <w:numPr>
          <w:ilvl w:val="0"/>
          <w:numId w:val="0"/>
        </w:numPr>
        <w:tabs>
          <w:tab w:val="left" w:pos="315"/>
        </w:tabs>
        <w:adjustRightInd w:val="0"/>
        <w:snapToGrid w:val="0"/>
        <w:spacing w:line="440" w:lineRule="exact"/>
        <w:ind w:firstLine="420" w:firstLineChars="200"/>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1</w:t>
      </w:r>
      <w:r>
        <w:rPr>
          <w:rFonts w:hint="eastAsia" w:ascii="宋体" w:hAnsi="宋体" w:eastAsia="宋体" w:cs="宋体"/>
          <w:b w:val="0"/>
          <w:bCs w:val="0"/>
          <w:color w:val="auto"/>
          <w:sz w:val="21"/>
          <w:szCs w:val="21"/>
          <w:highlight w:val="none"/>
        </w:rPr>
        <w:t>、服务质量目标及服务合格的条件</w:t>
      </w:r>
    </w:p>
    <w:p>
      <w:pPr>
        <w:tabs>
          <w:tab w:val="left" w:pos="315"/>
        </w:tabs>
        <w:adjustRightInd w:val="0"/>
        <w:snapToGrid w:val="0"/>
        <w:spacing w:line="440" w:lineRule="exact"/>
        <w:ind w:firstLine="210" w:firstLineChars="100"/>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（1）符合本招标文件及合同文件的要求；</w:t>
      </w:r>
    </w:p>
    <w:p>
      <w:pPr>
        <w:tabs>
          <w:tab w:val="left" w:pos="315"/>
        </w:tabs>
        <w:adjustRightInd w:val="0"/>
        <w:snapToGrid w:val="0"/>
        <w:spacing w:line="440" w:lineRule="exact"/>
        <w:ind w:firstLine="210" w:firstLineChars="100"/>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（2）服务期内无安全责任事故；</w:t>
      </w:r>
    </w:p>
    <w:p>
      <w:pPr>
        <w:tabs>
          <w:tab w:val="left" w:pos="315"/>
        </w:tabs>
        <w:adjustRightInd w:val="0"/>
        <w:snapToGrid w:val="0"/>
        <w:spacing w:line="440" w:lineRule="exact"/>
        <w:ind w:firstLine="210" w:firstLineChars="100"/>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（3）服务期内无较大的责任事故；</w:t>
      </w:r>
    </w:p>
    <w:p>
      <w:pPr>
        <w:tabs>
          <w:tab w:val="left" w:pos="315"/>
        </w:tabs>
        <w:adjustRightInd w:val="0"/>
        <w:snapToGrid w:val="0"/>
        <w:spacing w:line="440" w:lineRule="exact"/>
        <w:ind w:firstLine="210" w:firstLineChars="100"/>
        <w:rPr>
          <w:rFonts w:hint="eastAsia" w:ascii="宋体" w:hAnsi="宋体" w:eastAsia="宋体" w:cs="宋体"/>
          <w:b/>
          <w:color w:val="auto"/>
          <w:sz w:val="21"/>
          <w:szCs w:val="21"/>
          <w:highlight w:val="none"/>
        </w:rPr>
      </w:pPr>
      <w:r>
        <w:rPr>
          <w:rFonts w:hint="eastAsia" w:ascii="宋体" w:hAnsi="宋体" w:eastAsia="宋体" w:cs="宋体"/>
          <w:b w:val="0"/>
          <w:bCs w:val="0"/>
          <w:color w:val="auto"/>
          <w:sz w:val="21"/>
          <w:szCs w:val="21"/>
          <w:highlight w:val="none"/>
        </w:rPr>
        <w:t>（4）通过义乌市政府的有关考核；</w:t>
      </w:r>
    </w:p>
    <w:p>
      <w:pPr>
        <w:spacing w:line="4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.对发生</w:t>
      </w:r>
      <w:r>
        <w:rPr>
          <w:rFonts w:hint="eastAsia" w:ascii="宋体" w:hAnsi="宋体" w:eastAsia="宋体" w:cs="宋体"/>
          <w:color w:val="auto"/>
          <w:sz w:val="21"/>
          <w:szCs w:val="21"/>
          <w:highlight w:val="none"/>
          <w:lang w:eastAsia="zh-CN"/>
        </w:rPr>
        <w:t>一般及以上安全</w:t>
      </w:r>
      <w:r>
        <w:rPr>
          <w:rFonts w:hint="eastAsia" w:ascii="宋体" w:hAnsi="宋体" w:eastAsia="宋体" w:cs="宋体"/>
          <w:color w:val="auto"/>
          <w:sz w:val="21"/>
          <w:szCs w:val="21"/>
          <w:highlight w:val="none"/>
        </w:rPr>
        <w:t>事故实行一票否决制（即</w:t>
      </w:r>
      <w:r>
        <w:rPr>
          <w:rFonts w:hint="eastAsia" w:ascii="宋体" w:hAnsi="宋体" w:eastAsia="宋体" w:cs="宋体"/>
          <w:color w:val="auto"/>
          <w:sz w:val="21"/>
          <w:szCs w:val="21"/>
          <w:highlight w:val="none"/>
          <w:lang w:val="en-US" w:eastAsia="zh-CN"/>
        </w:rPr>
        <w:t>采购</w:t>
      </w:r>
      <w:r>
        <w:rPr>
          <w:rFonts w:hint="eastAsia" w:ascii="宋体" w:hAnsi="宋体" w:eastAsia="宋体" w:cs="宋体"/>
          <w:color w:val="auto"/>
          <w:sz w:val="21"/>
          <w:szCs w:val="21"/>
          <w:highlight w:val="none"/>
        </w:rPr>
        <w:t>方可单方面解除《物业服务合同》），并追究</w:t>
      </w:r>
      <w:r>
        <w:rPr>
          <w:rFonts w:hint="eastAsia" w:ascii="宋体" w:hAnsi="宋体" w:eastAsia="宋体" w:cs="宋体"/>
          <w:color w:val="auto"/>
          <w:sz w:val="21"/>
          <w:szCs w:val="21"/>
          <w:highlight w:val="none"/>
          <w:lang w:val="en-US" w:eastAsia="zh-CN"/>
        </w:rPr>
        <w:t>中标方</w:t>
      </w:r>
      <w:r>
        <w:rPr>
          <w:rFonts w:hint="eastAsia" w:ascii="宋体" w:hAnsi="宋体" w:eastAsia="宋体" w:cs="宋体"/>
          <w:color w:val="auto"/>
          <w:sz w:val="21"/>
          <w:szCs w:val="21"/>
          <w:highlight w:val="none"/>
        </w:rPr>
        <w:t>责任人的责任，同时由</w:t>
      </w:r>
      <w:r>
        <w:rPr>
          <w:rFonts w:hint="eastAsia" w:ascii="宋体" w:hAnsi="宋体" w:eastAsia="宋体" w:cs="宋体"/>
          <w:color w:val="auto"/>
          <w:sz w:val="21"/>
          <w:szCs w:val="21"/>
          <w:highlight w:val="none"/>
          <w:lang w:val="en-US" w:eastAsia="zh-CN"/>
        </w:rPr>
        <w:t>中标</w:t>
      </w:r>
      <w:r>
        <w:rPr>
          <w:rFonts w:hint="eastAsia" w:ascii="宋体" w:hAnsi="宋体" w:eastAsia="宋体" w:cs="宋体"/>
          <w:color w:val="auto"/>
          <w:sz w:val="21"/>
          <w:szCs w:val="21"/>
          <w:highlight w:val="none"/>
        </w:rPr>
        <w:t>方承担该事故对甲方造成的一切损失。</w:t>
      </w:r>
    </w:p>
    <w:p>
      <w:pPr>
        <w:spacing w:line="4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.对检查考核中发现的问题，如</w:t>
      </w:r>
      <w:r>
        <w:rPr>
          <w:rFonts w:hint="eastAsia" w:ascii="宋体" w:hAnsi="宋体" w:eastAsia="宋体" w:cs="宋体"/>
          <w:color w:val="auto"/>
          <w:sz w:val="21"/>
          <w:szCs w:val="21"/>
          <w:highlight w:val="none"/>
          <w:lang w:val="en-US" w:eastAsia="zh-CN"/>
        </w:rPr>
        <w:t>中标</w:t>
      </w:r>
      <w:r>
        <w:rPr>
          <w:rFonts w:hint="eastAsia" w:ascii="宋体" w:hAnsi="宋体" w:eastAsia="宋体" w:cs="宋体"/>
          <w:color w:val="auto"/>
          <w:sz w:val="21"/>
          <w:szCs w:val="21"/>
          <w:highlight w:val="none"/>
        </w:rPr>
        <w:t>方未能在限期内整改完毕，可按本办法对</w:t>
      </w:r>
      <w:r>
        <w:rPr>
          <w:rFonts w:hint="eastAsia" w:ascii="宋体" w:hAnsi="宋体" w:eastAsia="宋体" w:cs="宋体"/>
          <w:color w:val="auto"/>
          <w:sz w:val="21"/>
          <w:szCs w:val="21"/>
          <w:highlight w:val="none"/>
          <w:lang w:val="en-US" w:eastAsia="zh-CN"/>
        </w:rPr>
        <w:t>中标</w:t>
      </w:r>
      <w:r>
        <w:rPr>
          <w:rFonts w:hint="eastAsia" w:ascii="宋体" w:hAnsi="宋体" w:eastAsia="宋体" w:cs="宋体"/>
          <w:color w:val="auto"/>
          <w:sz w:val="21"/>
          <w:szCs w:val="21"/>
          <w:highlight w:val="none"/>
        </w:rPr>
        <w:t>方进行加倍处罚。</w:t>
      </w:r>
    </w:p>
    <w:p>
      <w:pPr>
        <w:spacing w:line="4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rPr>
        <w:t>.若</w:t>
      </w:r>
      <w:r>
        <w:rPr>
          <w:rFonts w:hint="eastAsia" w:ascii="宋体" w:hAnsi="宋体" w:eastAsia="宋体" w:cs="宋体"/>
          <w:color w:val="auto"/>
          <w:sz w:val="21"/>
          <w:szCs w:val="21"/>
          <w:highlight w:val="none"/>
          <w:lang w:val="en-US" w:eastAsia="zh-CN"/>
        </w:rPr>
        <w:t>采购</w:t>
      </w:r>
      <w:r>
        <w:rPr>
          <w:rFonts w:hint="eastAsia" w:ascii="宋体" w:hAnsi="宋体" w:eastAsia="宋体" w:cs="宋体"/>
          <w:color w:val="auto"/>
          <w:sz w:val="21"/>
          <w:szCs w:val="21"/>
          <w:highlight w:val="none"/>
        </w:rPr>
        <w:t>方集团公司或相关上级部门在检查过程中发现有不符合服务标准的内容，分数按评分细则标准的三倍扣除。</w:t>
      </w:r>
    </w:p>
    <w:p>
      <w:pPr>
        <w:pStyle w:val="17"/>
        <w:keepNext w:val="0"/>
        <w:keepLines w:val="0"/>
        <w:pageBreakBefore w:val="0"/>
        <w:widowControl w:val="0"/>
        <w:kinsoku/>
        <w:wordWrap/>
        <w:overflowPunct/>
        <w:topLinePunct w:val="0"/>
        <w:autoSpaceDE/>
        <w:autoSpaceDN/>
        <w:bidi w:val="0"/>
        <w:adjustRightInd/>
        <w:snapToGrid/>
        <w:spacing w:line="480" w:lineRule="exact"/>
        <w:ind w:left="0"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.物业服务人员数量不得少于招标文件要求</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每半年核实人员数量。</w:t>
      </w:r>
      <w:r>
        <w:rPr>
          <w:rFonts w:hint="eastAsia" w:ascii="宋体" w:hAnsi="宋体" w:eastAsia="宋体" w:cs="宋体"/>
          <w:b w:val="0"/>
          <w:bCs w:val="0"/>
          <w:color w:val="auto"/>
          <w:sz w:val="21"/>
          <w:szCs w:val="21"/>
          <w:highlight w:val="none"/>
        </w:rPr>
        <w:t>到岗率</w:t>
      </w:r>
      <w:r>
        <w:rPr>
          <w:rFonts w:hint="eastAsia" w:ascii="宋体" w:hAnsi="宋体" w:eastAsia="宋体" w:cs="宋体"/>
          <w:b w:val="0"/>
          <w:bCs w:val="0"/>
          <w:color w:val="auto"/>
          <w:sz w:val="21"/>
          <w:szCs w:val="21"/>
          <w:highlight w:val="none"/>
          <w:lang w:val="en-US" w:eastAsia="zh-CN"/>
        </w:rPr>
        <w:t>连续两次</w:t>
      </w:r>
      <w:r>
        <w:rPr>
          <w:rFonts w:hint="eastAsia" w:ascii="宋体" w:hAnsi="宋体" w:eastAsia="宋体" w:cs="宋体"/>
          <w:b w:val="0"/>
          <w:bCs w:val="0"/>
          <w:color w:val="auto"/>
          <w:sz w:val="21"/>
          <w:szCs w:val="21"/>
          <w:highlight w:val="none"/>
        </w:rPr>
        <w:t>少于</w:t>
      </w:r>
      <w:r>
        <w:rPr>
          <w:rFonts w:hint="eastAsia" w:ascii="宋体" w:hAnsi="宋体" w:eastAsia="宋体" w:cs="宋体"/>
          <w:b w:val="0"/>
          <w:bCs w:val="0"/>
          <w:color w:val="auto"/>
          <w:sz w:val="21"/>
          <w:szCs w:val="21"/>
          <w:highlight w:val="none"/>
          <w:lang w:val="en-US" w:eastAsia="zh-CN"/>
        </w:rPr>
        <w:t>95</w:t>
      </w:r>
      <w:r>
        <w:rPr>
          <w:rFonts w:hint="eastAsia" w:ascii="宋体" w:hAnsi="宋体" w:eastAsia="宋体" w:cs="宋体"/>
          <w:b w:val="0"/>
          <w:bCs w:val="0"/>
          <w:color w:val="auto"/>
          <w:sz w:val="21"/>
          <w:szCs w:val="21"/>
          <w:highlight w:val="none"/>
        </w:rPr>
        <w:t>%的，</w:t>
      </w:r>
      <w:r>
        <w:rPr>
          <w:rFonts w:hint="eastAsia" w:ascii="宋体" w:hAnsi="宋体" w:eastAsia="宋体" w:cs="宋体"/>
          <w:color w:val="auto"/>
          <w:sz w:val="21"/>
          <w:szCs w:val="21"/>
          <w:highlight w:val="none"/>
          <w:lang w:val="en-US" w:eastAsia="zh-CN"/>
        </w:rPr>
        <w:t>采购</w:t>
      </w:r>
      <w:r>
        <w:rPr>
          <w:rFonts w:hint="eastAsia" w:ascii="宋体" w:hAnsi="宋体" w:eastAsia="宋体" w:cs="宋体"/>
          <w:color w:val="auto"/>
          <w:sz w:val="21"/>
          <w:szCs w:val="21"/>
          <w:highlight w:val="none"/>
        </w:rPr>
        <w:t>方有权终止合同</w:t>
      </w:r>
      <w:r>
        <w:rPr>
          <w:rFonts w:hint="eastAsia" w:ascii="宋体" w:hAnsi="宋体" w:eastAsia="宋体" w:cs="宋体"/>
          <w:color w:val="auto"/>
          <w:sz w:val="21"/>
          <w:szCs w:val="21"/>
          <w:highlight w:val="none"/>
          <w:lang w:eastAsia="zh-CN"/>
        </w:rPr>
        <w:t>。</w:t>
      </w:r>
    </w:p>
    <w:p>
      <w:pPr>
        <w:pStyle w:val="17"/>
        <w:keepNext w:val="0"/>
        <w:keepLines w:val="0"/>
        <w:pageBreakBefore w:val="0"/>
        <w:widowControl w:val="0"/>
        <w:kinsoku/>
        <w:wordWrap/>
        <w:overflowPunct/>
        <w:topLinePunct w:val="0"/>
        <w:autoSpaceDE/>
        <w:autoSpaceDN/>
        <w:bidi w:val="0"/>
        <w:adjustRightInd/>
        <w:snapToGrid/>
        <w:spacing w:line="480" w:lineRule="exact"/>
        <w:ind w:left="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6</w:t>
      </w:r>
      <w:r>
        <w:rPr>
          <w:rFonts w:hint="eastAsia" w:ascii="宋体" w:hAnsi="宋体" w:eastAsia="宋体" w:cs="宋体"/>
          <w:color w:val="auto"/>
          <w:sz w:val="21"/>
          <w:szCs w:val="21"/>
          <w:highlight w:val="none"/>
        </w:rPr>
        <w:t>.每月</w:t>
      </w:r>
      <w:r>
        <w:rPr>
          <w:rFonts w:hint="eastAsia" w:ascii="宋体" w:hAnsi="宋体" w:eastAsia="宋体" w:cs="宋体"/>
          <w:color w:val="auto"/>
          <w:sz w:val="21"/>
          <w:szCs w:val="21"/>
          <w:highlight w:val="none"/>
          <w:lang w:val="en-US" w:eastAsia="zh-CN"/>
        </w:rPr>
        <w:t>考核</w:t>
      </w:r>
      <w:r>
        <w:rPr>
          <w:rFonts w:hint="eastAsia" w:ascii="宋体" w:hAnsi="宋体" w:eastAsia="宋体" w:cs="宋体"/>
          <w:color w:val="auto"/>
          <w:sz w:val="21"/>
          <w:szCs w:val="21"/>
          <w:highlight w:val="none"/>
        </w:rPr>
        <w:t>基础分为100分，考核分数为</w:t>
      </w:r>
      <w:r>
        <w:rPr>
          <w:rFonts w:hint="eastAsia" w:hAnsi="宋体" w:eastAsia="宋体" w:cs="宋体"/>
          <w:color w:val="auto"/>
          <w:sz w:val="21"/>
          <w:szCs w:val="21"/>
          <w:highlight w:val="none"/>
          <w:lang w:val="en-US" w:eastAsia="zh-CN"/>
        </w:rPr>
        <w:t>80</w:t>
      </w:r>
      <w:r>
        <w:rPr>
          <w:rFonts w:hint="eastAsia" w:ascii="宋体" w:hAnsi="宋体" w:eastAsia="宋体" w:cs="宋体"/>
          <w:color w:val="auto"/>
          <w:sz w:val="21"/>
          <w:szCs w:val="21"/>
          <w:highlight w:val="none"/>
        </w:rPr>
        <w:t>分（含）以上的为合格；考核分数低于</w:t>
      </w:r>
      <w:r>
        <w:rPr>
          <w:rFonts w:hint="eastAsia" w:hAnsi="宋体" w:eastAsia="宋体" w:cs="宋体"/>
          <w:color w:val="auto"/>
          <w:sz w:val="21"/>
          <w:szCs w:val="21"/>
          <w:highlight w:val="none"/>
          <w:lang w:val="en-US" w:eastAsia="zh-CN"/>
        </w:rPr>
        <w:t>8</w:t>
      </w:r>
      <w:r>
        <w:rPr>
          <w:rFonts w:hint="eastAsia" w:ascii="宋体" w:hAnsi="宋体" w:eastAsia="宋体" w:cs="宋体"/>
          <w:color w:val="auto"/>
          <w:sz w:val="21"/>
          <w:szCs w:val="21"/>
          <w:highlight w:val="none"/>
        </w:rPr>
        <w:t>0分，在</w:t>
      </w:r>
      <w:r>
        <w:rPr>
          <w:rFonts w:hint="eastAsia" w:hAnsi="宋体" w:eastAsia="宋体" w:cs="宋体"/>
          <w:color w:val="auto"/>
          <w:sz w:val="21"/>
          <w:szCs w:val="21"/>
          <w:highlight w:val="none"/>
          <w:lang w:val="en-US" w:eastAsia="zh-CN"/>
        </w:rPr>
        <w:t>7</w:t>
      </w:r>
      <w:r>
        <w:rPr>
          <w:rFonts w:hint="eastAsia" w:ascii="宋体" w:hAnsi="宋体" w:eastAsia="宋体" w:cs="宋体"/>
          <w:color w:val="auto"/>
          <w:sz w:val="21"/>
          <w:szCs w:val="21"/>
          <w:highlight w:val="none"/>
        </w:rPr>
        <w:t>5分（含）以上的，以</w:t>
      </w:r>
      <w:r>
        <w:rPr>
          <w:rFonts w:hint="eastAsia" w:hAnsi="宋体" w:eastAsia="宋体" w:cs="宋体"/>
          <w:color w:val="auto"/>
          <w:sz w:val="21"/>
          <w:szCs w:val="21"/>
          <w:highlight w:val="none"/>
          <w:lang w:val="en-US" w:eastAsia="zh-CN"/>
        </w:rPr>
        <w:t>8</w:t>
      </w:r>
      <w:r>
        <w:rPr>
          <w:rFonts w:hint="eastAsia" w:ascii="宋体" w:hAnsi="宋体" w:eastAsia="宋体" w:cs="宋体"/>
          <w:color w:val="auto"/>
          <w:sz w:val="21"/>
          <w:szCs w:val="21"/>
          <w:highlight w:val="none"/>
        </w:rPr>
        <w:t>0分为扣款基数每少1分扣</w:t>
      </w:r>
      <w:r>
        <w:rPr>
          <w:rFonts w:hint="eastAsia"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000元；考核分数低于</w:t>
      </w:r>
      <w:r>
        <w:rPr>
          <w:rFonts w:hint="eastAsia" w:hAnsi="宋体" w:eastAsia="宋体" w:cs="宋体"/>
          <w:color w:val="auto"/>
          <w:sz w:val="21"/>
          <w:szCs w:val="21"/>
          <w:highlight w:val="none"/>
          <w:lang w:val="en-US" w:eastAsia="zh-CN"/>
        </w:rPr>
        <w:t>7</w:t>
      </w:r>
      <w:r>
        <w:rPr>
          <w:rFonts w:hint="eastAsia" w:ascii="宋体" w:hAnsi="宋体" w:eastAsia="宋体" w:cs="宋体"/>
          <w:color w:val="auto"/>
          <w:sz w:val="21"/>
          <w:szCs w:val="21"/>
          <w:highlight w:val="none"/>
        </w:rPr>
        <w:t>5分（不含）的，以</w:t>
      </w:r>
      <w:r>
        <w:rPr>
          <w:rFonts w:hint="eastAsia" w:hAnsi="宋体" w:eastAsia="宋体" w:cs="宋体"/>
          <w:color w:val="auto"/>
          <w:sz w:val="21"/>
          <w:szCs w:val="21"/>
          <w:highlight w:val="none"/>
          <w:lang w:val="en-US" w:eastAsia="zh-CN"/>
        </w:rPr>
        <w:t>8</w:t>
      </w:r>
      <w:r>
        <w:rPr>
          <w:rFonts w:hint="eastAsia" w:ascii="宋体" w:hAnsi="宋体" w:eastAsia="宋体" w:cs="宋体"/>
          <w:color w:val="auto"/>
          <w:sz w:val="21"/>
          <w:szCs w:val="21"/>
          <w:highlight w:val="none"/>
        </w:rPr>
        <w:t>0分为扣款基数，每少1分扣</w:t>
      </w:r>
      <w:r>
        <w:rPr>
          <w:rFonts w:hint="eastAsia"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rPr>
        <w:t>000元。年度累计三个月或连续两个月的月度考核结果低于</w:t>
      </w:r>
      <w:r>
        <w:rPr>
          <w:rFonts w:hint="eastAsia" w:hAnsi="宋体" w:eastAsia="宋体" w:cs="宋体"/>
          <w:color w:val="auto"/>
          <w:sz w:val="21"/>
          <w:szCs w:val="21"/>
          <w:highlight w:val="none"/>
          <w:lang w:val="en-US" w:eastAsia="zh-CN"/>
        </w:rPr>
        <w:t>7</w:t>
      </w:r>
      <w:r>
        <w:rPr>
          <w:rFonts w:hint="eastAsia" w:ascii="宋体" w:hAnsi="宋体" w:eastAsia="宋体" w:cs="宋体"/>
          <w:color w:val="auto"/>
          <w:sz w:val="21"/>
          <w:szCs w:val="21"/>
          <w:highlight w:val="none"/>
        </w:rPr>
        <w:t>5分的，</w:t>
      </w:r>
      <w:r>
        <w:rPr>
          <w:rFonts w:hint="eastAsia" w:ascii="宋体" w:hAnsi="宋体" w:eastAsia="宋体" w:cs="宋体"/>
          <w:color w:val="auto"/>
          <w:sz w:val="21"/>
          <w:szCs w:val="21"/>
          <w:highlight w:val="none"/>
          <w:lang w:val="en-US" w:eastAsia="zh-CN"/>
        </w:rPr>
        <w:t>采购</w:t>
      </w:r>
      <w:r>
        <w:rPr>
          <w:rFonts w:hint="eastAsia" w:ascii="宋体" w:hAnsi="宋体" w:eastAsia="宋体" w:cs="宋体"/>
          <w:color w:val="auto"/>
          <w:sz w:val="21"/>
          <w:szCs w:val="21"/>
          <w:highlight w:val="none"/>
        </w:rPr>
        <w:t>方有权终止合同，并不再</w:t>
      </w:r>
      <w:r>
        <w:rPr>
          <w:rFonts w:hint="eastAsia" w:ascii="宋体" w:hAnsi="宋体" w:eastAsia="宋体" w:cs="宋体"/>
          <w:color w:val="auto"/>
          <w:sz w:val="21"/>
          <w:szCs w:val="21"/>
          <w:highlight w:val="none"/>
          <w:lang w:eastAsia="zh-CN"/>
        </w:rPr>
        <w:t>签订</w:t>
      </w:r>
      <w:r>
        <w:rPr>
          <w:rFonts w:hint="eastAsia" w:ascii="宋体" w:hAnsi="宋体" w:eastAsia="宋体" w:cs="宋体"/>
          <w:color w:val="auto"/>
          <w:sz w:val="21"/>
          <w:szCs w:val="21"/>
          <w:highlight w:val="none"/>
        </w:rPr>
        <w:t>下一年度合同。</w:t>
      </w:r>
    </w:p>
    <w:p>
      <w:pPr>
        <w:pStyle w:val="17"/>
        <w:keepNext w:val="0"/>
        <w:keepLines w:val="0"/>
        <w:pageBreakBefore w:val="0"/>
        <w:widowControl w:val="0"/>
        <w:kinsoku/>
        <w:wordWrap/>
        <w:overflowPunct/>
        <w:topLinePunct w:val="0"/>
        <w:autoSpaceDE/>
        <w:autoSpaceDN/>
        <w:bidi w:val="0"/>
        <w:adjustRightInd/>
        <w:snapToGrid/>
        <w:spacing w:line="480" w:lineRule="exact"/>
        <w:ind w:left="0" w:firstLine="422" w:firstLineChars="200"/>
        <w:textAlignment w:val="auto"/>
        <w:outlineLvl w:val="1"/>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lang w:val="en-US" w:eastAsia="zh-CN"/>
        </w:rPr>
        <w:t>八</w:t>
      </w:r>
      <w:r>
        <w:rPr>
          <w:rFonts w:hint="eastAsia" w:ascii="宋体" w:hAnsi="宋体" w:eastAsia="宋体" w:cs="宋体"/>
          <w:b/>
          <w:color w:val="auto"/>
          <w:sz w:val="21"/>
          <w:szCs w:val="21"/>
          <w:highlight w:val="none"/>
        </w:rPr>
        <w:t>、商务要求</w:t>
      </w:r>
    </w:p>
    <w:p>
      <w:pPr>
        <w:pStyle w:val="17"/>
        <w:keepNext w:val="0"/>
        <w:keepLines w:val="0"/>
        <w:pageBreakBefore w:val="0"/>
        <w:widowControl w:val="0"/>
        <w:kinsoku/>
        <w:wordWrap/>
        <w:overflowPunct/>
        <w:topLinePunct w:val="0"/>
        <w:autoSpaceDE/>
        <w:autoSpaceDN/>
        <w:bidi w:val="0"/>
        <w:adjustRightInd/>
        <w:snapToGrid/>
        <w:spacing w:line="480" w:lineRule="exact"/>
        <w:ind w:left="0" w:firstLine="422" w:firstLineChars="200"/>
        <w:textAlignment w:val="auto"/>
        <w:outlineLvl w:val="2"/>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1、报价要求</w:t>
      </w:r>
    </w:p>
    <w:p>
      <w:pPr>
        <w:keepNext w:val="0"/>
        <w:keepLines w:val="0"/>
        <w:pageBreakBefore w:val="0"/>
        <w:kinsoku/>
        <w:wordWrap/>
        <w:topLinePunct w:val="0"/>
        <w:bidi w:val="0"/>
        <w:spacing w:line="360" w:lineRule="auto"/>
        <w:ind w:left="0" w:firstLine="420" w:firstLineChars="200"/>
        <w:textAlignment w:val="auto"/>
        <w:rPr>
          <w:rFonts w:hint="eastAsia" w:ascii="宋体" w:hAnsi="宋体" w:eastAsia="宋体" w:cs="宋体"/>
          <w:color w:val="auto"/>
          <w:sz w:val="21"/>
          <w:szCs w:val="21"/>
          <w:highlight w:val="none"/>
        </w:rPr>
      </w:pPr>
      <w:r>
        <w:rPr>
          <w:rFonts w:hint="eastAsia" w:hAnsi="宋体" w:cs="宋体"/>
          <w:bCs/>
          <w:color w:val="auto"/>
          <w:highlight w:val="none"/>
          <w:lang w:val="en-US" w:eastAsia="zh-CN"/>
        </w:rPr>
        <w:t>1.1</w:t>
      </w:r>
      <w:r>
        <w:rPr>
          <w:rFonts w:hint="eastAsia" w:ascii="宋体" w:hAnsi="宋体" w:cs="仿宋_GB2312"/>
          <w:color w:val="auto"/>
          <w:szCs w:val="21"/>
          <w:highlight w:val="none"/>
        </w:rPr>
        <w:t>投标人应根据国家的有关规定和招标文件要求并结合企业的实际情况进行投标报价。投标报价</w:t>
      </w:r>
      <w:r>
        <w:rPr>
          <w:rFonts w:hint="eastAsia" w:ascii="宋体" w:hAnsi="宋体" w:cs="仿宋_GB2312"/>
          <w:color w:val="auto"/>
          <w:szCs w:val="21"/>
          <w:highlight w:val="none"/>
          <w:lang w:val="en-US" w:eastAsia="zh-CN"/>
        </w:rPr>
        <w:t>为</w:t>
      </w:r>
      <w:r>
        <w:rPr>
          <w:rFonts w:hint="eastAsia"/>
          <w:b/>
          <w:bCs/>
          <w:color w:val="auto"/>
          <w:highlight w:val="none"/>
          <w:lang w:val="en-US" w:eastAsia="zh-CN"/>
        </w:rPr>
        <w:t>各</w:t>
      </w:r>
      <w:r>
        <w:rPr>
          <w:rFonts w:hint="eastAsia" w:ascii="宋体" w:hAnsi="宋体" w:eastAsia="宋体" w:cs="宋体"/>
          <w:b w:val="0"/>
          <w:color w:val="auto"/>
          <w:kern w:val="0"/>
          <w:sz w:val="21"/>
          <w:szCs w:val="21"/>
          <w:highlight w:val="none"/>
          <w:lang w:val="en-US" w:eastAsia="zh-CN" w:bidi="ar"/>
        </w:rPr>
        <w:t>出租率对应的预算基础上的下浮率</w:t>
      </w:r>
      <w:r>
        <w:rPr>
          <w:rFonts w:hint="eastAsia" w:ascii="宋体" w:hAnsi="宋体" w:cs="仿宋_GB2312"/>
          <w:color w:val="auto"/>
          <w:szCs w:val="21"/>
          <w:highlight w:val="none"/>
        </w:rPr>
        <w:t>，投标报价包括</w:t>
      </w:r>
      <w:r>
        <w:rPr>
          <w:rFonts w:hint="eastAsia" w:ascii="宋体" w:hAnsi="宋体" w:eastAsia="宋体" w:cs="宋体"/>
          <w:color w:val="auto"/>
          <w:sz w:val="21"/>
          <w:szCs w:val="21"/>
          <w:highlight w:val="none"/>
        </w:rPr>
        <w:t>职工工资、福利（包括加班费、职工夏季高温津贴等）、服装费、社会保险费用（包括养老、工伤、失业、医疗、生育等）；保洁设施、</w:t>
      </w:r>
      <w:r>
        <w:rPr>
          <w:rFonts w:hint="eastAsia" w:ascii="宋体" w:hAnsi="宋体" w:eastAsia="宋体" w:cs="宋体"/>
          <w:color w:val="auto"/>
          <w:sz w:val="21"/>
          <w:szCs w:val="21"/>
          <w:highlight w:val="none"/>
          <w:lang w:val="en-US" w:eastAsia="zh-CN"/>
        </w:rPr>
        <w:t>物业管理所需低值</w:t>
      </w:r>
      <w:r>
        <w:rPr>
          <w:rFonts w:hint="eastAsia" w:ascii="宋体" w:hAnsi="宋体" w:eastAsia="宋体" w:cs="宋体"/>
          <w:color w:val="auto"/>
          <w:sz w:val="21"/>
          <w:szCs w:val="21"/>
          <w:highlight w:val="none"/>
        </w:rPr>
        <w:t>用品（包括塑料袋、除臭香球、除臭剂等保洁耗材、</w:t>
      </w:r>
      <w:r>
        <w:rPr>
          <w:rFonts w:hint="eastAsia" w:ascii="宋体" w:hAnsi="宋体" w:eastAsia="宋体" w:cs="宋体"/>
          <w:color w:val="auto"/>
          <w:sz w:val="21"/>
          <w:szCs w:val="21"/>
          <w:highlight w:val="none"/>
          <w:lang w:val="en-US" w:eastAsia="zh-CN"/>
        </w:rPr>
        <w:t>公共</w:t>
      </w:r>
      <w:r>
        <w:rPr>
          <w:rFonts w:hint="eastAsia" w:ascii="宋体" w:hAnsi="宋体" w:eastAsia="宋体" w:cs="宋体"/>
          <w:color w:val="auto"/>
          <w:sz w:val="21"/>
          <w:szCs w:val="21"/>
          <w:highlight w:val="none"/>
        </w:rPr>
        <w:t>卫生间擦手纸、卷纸、洗手液等卫生间耗材）；办公支出费用；单项维修（</w:t>
      </w:r>
      <w:r>
        <w:rPr>
          <w:rFonts w:hint="eastAsia" w:ascii="宋体" w:hAnsi="宋体" w:eastAsia="宋体" w:cs="宋体"/>
          <w:b/>
          <w:bCs/>
          <w:color w:val="auto"/>
          <w:sz w:val="21"/>
          <w:szCs w:val="21"/>
          <w:highlight w:val="none"/>
        </w:rPr>
        <w:t>含</w:t>
      </w:r>
      <w:r>
        <w:rPr>
          <w:rFonts w:hint="eastAsia" w:ascii="宋体" w:hAnsi="宋体" w:eastAsia="宋体" w:cs="宋体"/>
          <w:b/>
          <w:bCs/>
          <w:color w:val="auto"/>
          <w:sz w:val="21"/>
          <w:szCs w:val="21"/>
          <w:highlight w:val="none"/>
          <w:lang w:val="en-US" w:eastAsia="zh-CN"/>
        </w:rPr>
        <w:t>宿舍</w:t>
      </w:r>
      <w:r>
        <w:rPr>
          <w:rFonts w:hint="eastAsia" w:ascii="宋体" w:hAnsi="宋体" w:eastAsia="宋体" w:cs="宋体"/>
          <w:b/>
          <w:bCs/>
          <w:color w:val="auto"/>
          <w:sz w:val="21"/>
          <w:szCs w:val="21"/>
          <w:highlight w:val="none"/>
        </w:rPr>
        <w:t>楼室内维修项目</w:t>
      </w:r>
      <w:r>
        <w:rPr>
          <w:rFonts w:hint="eastAsia" w:ascii="宋体" w:hAnsi="宋体" w:eastAsia="宋体" w:cs="宋体"/>
          <w:color w:val="auto"/>
          <w:sz w:val="21"/>
          <w:szCs w:val="21"/>
          <w:highlight w:val="none"/>
        </w:rPr>
        <w:t>）总价不超过500元（含500元）以下的日常维修；生活水箱清洗及水质检测费用、</w:t>
      </w:r>
      <w:r>
        <w:rPr>
          <w:rFonts w:hint="eastAsia" w:ascii="宋体" w:hAnsi="宋体" w:cs="宋体"/>
          <w:b/>
          <w:bCs/>
          <w:color w:val="auto"/>
          <w:sz w:val="21"/>
          <w:szCs w:val="21"/>
          <w:highlight w:val="none"/>
          <w:lang w:val="en-US" w:eastAsia="zh-CN" w:bidi="ar"/>
        </w:rPr>
        <w:t>厂房一及办公楼玻璃幕墙清洗、</w:t>
      </w:r>
      <w:r>
        <w:rPr>
          <w:rFonts w:hint="eastAsia" w:ascii="宋体" w:hAnsi="宋体" w:eastAsia="宋体" w:cs="宋体"/>
          <w:color w:val="auto"/>
          <w:sz w:val="21"/>
          <w:szCs w:val="21"/>
          <w:highlight w:val="none"/>
        </w:rPr>
        <w:t>生活垃圾清运费用、化粪池清掏、四害消杀</w:t>
      </w:r>
      <w:r>
        <w:rPr>
          <w:rFonts w:hint="eastAsia" w:ascii="宋体" w:hAnsi="宋体" w:eastAsia="宋体" w:cs="宋体"/>
          <w:color w:val="auto"/>
          <w:sz w:val="21"/>
          <w:szCs w:val="21"/>
          <w:highlight w:val="none"/>
          <w:lang w:val="en-US" w:eastAsia="zh-CN"/>
        </w:rPr>
        <w:t>及白蚁防治</w:t>
      </w:r>
      <w:r>
        <w:rPr>
          <w:rFonts w:hint="eastAsia" w:ascii="宋体" w:hAnsi="宋体" w:eastAsia="宋体" w:cs="宋体"/>
          <w:color w:val="auto"/>
          <w:sz w:val="21"/>
          <w:szCs w:val="21"/>
          <w:highlight w:val="none"/>
        </w:rPr>
        <w:t>费用；绿化养护费；代收房租、物业费、水电费及停车费（收取的费用归</w:t>
      </w:r>
      <w:r>
        <w:rPr>
          <w:rFonts w:hint="eastAsia" w:ascii="宋体" w:hAnsi="宋体" w:cs="宋体"/>
          <w:color w:val="auto"/>
          <w:sz w:val="21"/>
          <w:szCs w:val="21"/>
          <w:highlight w:val="none"/>
          <w:lang w:val="en-US" w:eastAsia="zh-CN"/>
        </w:rPr>
        <w:t>采购单位</w:t>
      </w:r>
      <w:r>
        <w:rPr>
          <w:rFonts w:hint="eastAsia" w:ascii="宋体" w:hAnsi="宋体" w:eastAsia="宋体" w:cs="宋体"/>
          <w:color w:val="auto"/>
          <w:sz w:val="21"/>
          <w:szCs w:val="21"/>
          <w:highlight w:val="none"/>
        </w:rPr>
        <w:t>所有）</w:t>
      </w:r>
      <w:r>
        <w:rPr>
          <w:rFonts w:hint="eastAsia" w:ascii="宋体" w:hAnsi="宋体" w:eastAsia="宋体" w:cs="宋体"/>
          <w:b w:val="0"/>
          <w:color w:val="auto"/>
          <w:sz w:val="21"/>
          <w:szCs w:val="21"/>
          <w:highlight w:val="none"/>
          <w:lang w:val="en-US" w:bidi="ar"/>
        </w:rPr>
        <w:t>以及配合开展创建、创优</w:t>
      </w:r>
      <w:r>
        <w:rPr>
          <w:rFonts w:hint="eastAsia" w:ascii="宋体" w:hAnsi="宋体" w:eastAsia="宋体" w:cs="宋体"/>
          <w:b w:val="0"/>
          <w:color w:val="auto"/>
          <w:sz w:val="21"/>
          <w:szCs w:val="21"/>
          <w:highlight w:val="none"/>
          <w:lang w:val="en-US" w:eastAsia="zh-CN" w:bidi="ar"/>
        </w:rPr>
        <w:t>、节假日</w:t>
      </w:r>
      <w:r>
        <w:rPr>
          <w:rFonts w:hint="eastAsia" w:ascii="宋体" w:hAnsi="宋体" w:eastAsia="宋体" w:cs="宋体"/>
          <w:b w:val="0"/>
          <w:color w:val="auto"/>
          <w:sz w:val="21"/>
          <w:szCs w:val="21"/>
          <w:highlight w:val="none"/>
          <w:lang w:val="en-US" w:bidi="ar"/>
        </w:rPr>
        <w:t>等活动过程中产生的费用。</w:t>
      </w:r>
      <w:r>
        <w:rPr>
          <w:rFonts w:hint="eastAsia" w:ascii="宋体" w:hAnsi="宋体" w:eastAsia="宋体" w:cs="宋体"/>
          <w:color w:val="auto"/>
          <w:sz w:val="21"/>
          <w:szCs w:val="21"/>
          <w:highlight w:val="none"/>
        </w:rPr>
        <w:t>利润、税金、政策性文件规定及合同包含的所有风险、责任等各项应有费用，如有漏项，视同已包含在其总项目中，合同总价不作调整。</w:t>
      </w:r>
    </w:p>
    <w:p>
      <w:pPr>
        <w:pStyle w:val="2"/>
        <w:keepNext w:val="0"/>
        <w:keepLines w:val="0"/>
        <w:pageBreakBefore w:val="0"/>
        <w:widowControl w:val="0"/>
        <w:kinsoku/>
        <w:wordWrap/>
        <w:overflowPunct/>
        <w:topLinePunct w:val="0"/>
        <w:autoSpaceDE/>
        <w:autoSpaceDN/>
        <w:bidi w:val="0"/>
        <w:adjustRightInd/>
        <w:snapToGrid/>
        <w:spacing w:before="0" w:after="0" w:line="420" w:lineRule="exact"/>
        <w:ind w:left="0" w:leftChars="0" w:firstLine="422" w:firstLineChars="200"/>
        <w:textAlignment w:val="auto"/>
        <w:rPr>
          <w:rFonts w:hint="eastAsia" w:ascii="宋体" w:hAnsi="宋体" w:eastAsia="宋体" w:cs="宋体"/>
          <w:sz w:val="21"/>
          <w:szCs w:val="21"/>
        </w:rPr>
      </w:pP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1.2</w:t>
      </w:r>
      <w:r>
        <w:rPr>
          <w:rFonts w:hint="eastAsia" w:ascii="宋体" w:hAnsi="宋体" w:eastAsia="宋体" w:cs="宋体"/>
          <w:b/>
          <w:bCs/>
          <w:color w:val="auto"/>
          <w:sz w:val="21"/>
          <w:szCs w:val="21"/>
          <w:highlight w:val="none"/>
        </w:rPr>
        <w:t>人工实发工资单价不得低于金华市政府下发《关于调整全市最低工资标准的通知》金政发〔202</w:t>
      </w:r>
      <w:r>
        <w:rPr>
          <w:rFonts w:hint="eastAsia" w:ascii="宋体" w:hAnsi="宋体" w:eastAsia="宋体" w:cs="宋体"/>
          <w:b/>
          <w:bCs/>
          <w:color w:val="auto"/>
          <w:sz w:val="21"/>
          <w:szCs w:val="21"/>
          <w:highlight w:val="none"/>
          <w:lang w:val="en-US" w:eastAsia="zh-CN"/>
        </w:rPr>
        <w:t>4</w:t>
      </w:r>
      <w:r>
        <w:rPr>
          <w:rFonts w:hint="eastAsia" w:ascii="宋体" w:hAnsi="宋体" w:eastAsia="宋体" w:cs="宋体"/>
          <w:b/>
          <w:bCs/>
          <w:color w:val="auto"/>
          <w:sz w:val="21"/>
          <w:szCs w:val="21"/>
          <w:highlight w:val="none"/>
        </w:rPr>
        <w:t>〕</w:t>
      </w:r>
      <w:r>
        <w:rPr>
          <w:rFonts w:hint="eastAsia" w:ascii="宋体" w:hAnsi="宋体" w:eastAsia="宋体" w:cs="宋体"/>
          <w:b/>
          <w:bCs/>
          <w:color w:val="auto"/>
          <w:sz w:val="21"/>
          <w:szCs w:val="21"/>
          <w:highlight w:val="none"/>
          <w:lang w:val="en-US" w:eastAsia="zh-CN"/>
        </w:rPr>
        <w:t>11</w:t>
      </w:r>
      <w:r>
        <w:rPr>
          <w:rFonts w:hint="eastAsia" w:ascii="宋体" w:hAnsi="宋体" w:eastAsia="宋体" w:cs="宋体"/>
          <w:b/>
          <w:bCs/>
          <w:color w:val="auto"/>
          <w:sz w:val="21"/>
          <w:szCs w:val="21"/>
          <w:highlight w:val="none"/>
        </w:rPr>
        <w:t>号文件规定的最低人工工资2</w:t>
      </w:r>
      <w:r>
        <w:rPr>
          <w:rFonts w:hint="eastAsia" w:ascii="宋体" w:hAnsi="宋体" w:eastAsia="宋体" w:cs="宋体"/>
          <w:b/>
          <w:bCs/>
          <w:color w:val="auto"/>
          <w:sz w:val="21"/>
          <w:szCs w:val="21"/>
          <w:highlight w:val="none"/>
          <w:lang w:val="en-US" w:eastAsia="zh-CN"/>
        </w:rPr>
        <w:t>260</w:t>
      </w:r>
      <w:r>
        <w:rPr>
          <w:rFonts w:hint="eastAsia" w:ascii="宋体" w:hAnsi="宋体" w:eastAsia="宋体" w:cs="宋体"/>
          <w:b/>
          <w:bCs/>
          <w:color w:val="auto"/>
          <w:sz w:val="21"/>
          <w:szCs w:val="21"/>
          <w:highlight w:val="none"/>
        </w:rPr>
        <w:t>元/月，否则评标小组可以认为低于成本价恶性竞争而判定为无效标。（若有新的最低工资标准按新的最低工资标准执行）。</w:t>
      </w:r>
    </w:p>
    <w:p>
      <w:pPr>
        <w:keepNext w:val="0"/>
        <w:keepLines w:val="0"/>
        <w:pageBreakBefore w:val="0"/>
        <w:widowControl/>
        <w:kinsoku/>
        <w:wordWrap/>
        <w:topLinePunct w:val="0"/>
        <w:bidi w:val="0"/>
        <w:spacing w:line="360" w:lineRule="auto"/>
        <w:ind w:left="0" w:firstLine="422" w:firstLineChars="200"/>
        <w:textAlignment w:val="auto"/>
        <w:rPr>
          <w:rFonts w:hint="eastAsia" w:ascii="宋体" w:hAnsi="宋体" w:cs="宋体"/>
          <w:color w:val="auto"/>
          <w:kern w:val="0"/>
          <w:szCs w:val="21"/>
          <w:highlight w:val="none"/>
        </w:rPr>
      </w:pPr>
      <w:r>
        <w:rPr>
          <w:rFonts w:hint="eastAsia" w:ascii="宋体" w:hAnsi="宋体" w:eastAsia="宋体" w:cs="宋体"/>
          <w:b/>
          <w:bCs/>
          <w:color w:val="auto"/>
          <w:kern w:val="2"/>
          <w:sz w:val="21"/>
          <w:szCs w:val="21"/>
          <w:highlight w:val="none"/>
          <w:lang w:val="en-US" w:eastAsia="zh-CN" w:bidi="ar-SA"/>
        </w:rPr>
        <w:t>1.3</w:t>
      </w:r>
      <w:r>
        <w:rPr>
          <w:rFonts w:hint="eastAsia" w:ascii="宋体" w:hAnsi="宋体" w:cs="宋体"/>
          <w:color w:val="auto"/>
          <w:kern w:val="0"/>
          <w:szCs w:val="21"/>
          <w:highlight w:val="none"/>
        </w:rPr>
        <w:t>投标人应在投标书的《</w:t>
      </w:r>
      <w:r>
        <w:rPr>
          <w:rFonts w:hint="eastAsia" w:ascii="宋体" w:hAnsi="宋体" w:cs="宋体"/>
          <w:color w:val="auto"/>
          <w:kern w:val="0"/>
          <w:szCs w:val="21"/>
          <w:highlight w:val="none"/>
          <w:lang w:val="en-US" w:eastAsia="zh-CN"/>
        </w:rPr>
        <w:t>开标</w:t>
      </w:r>
      <w:r>
        <w:rPr>
          <w:rFonts w:hint="eastAsia" w:ascii="宋体" w:hAnsi="宋体" w:cs="宋体"/>
          <w:color w:val="auto"/>
          <w:kern w:val="0"/>
          <w:szCs w:val="21"/>
          <w:highlight w:val="none"/>
        </w:rPr>
        <w:t>一览表》上写明投标报价项目的单价和总价，如总价金额与按单价汇总金额不一致的，以单价汇总金额计算结果为准；若文字大写表示的数据与数字表示的有差别，则以文字大写表示的数据为准；当单价与数量的乘积与合价不一致时，以单价为准，除非评标小组认为单价金额小数点有明显错误的，此时应以总价为准，并修改单价。</w:t>
      </w:r>
    </w:p>
    <w:p>
      <w:pPr>
        <w:pStyle w:val="17"/>
        <w:keepNext w:val="0"/>
        <w:keepLines w:val="0"/>
        <w:pageBreakBefore w:val="0"/>
        <w:widowControl w:val="0"/>
        <w:kinsoku/>
        <w:wordWrap/>
        <w:overflowPunct/>
        <w:topLinePunct w:val="0"/>
        <w:autoSpaceDE/>
        <w:autoSpaceDN/>
        <w:bidi w:val="0"/>
        <w:adjustRightInd/>
        <w:snapToGrid/>
        <w:spacing w:line="480" w:lineRule="exact"/>
        <w:ind w:left="0" w:firstLine="420" w:firstLineChars="200"/>
        <w:textAlignment w:val="auto"/>
        <w:rPr>
          <w:rFonts w:hint="eastAsia" w:ascii="宋体" w:hAnsi="宋体" w:eastAsia="宋体" w:cs="宋体"/>
          <w:b/>
          <w:color w:val="auto"/>
          <w:sz w:val="21"/>
          <w:szCs w:val="21"/>
          <w:highlight w:val="none"/>
        </w:rPr>
      </w:pPr>
      <w:r>
        <w:rPr>
          <w:rFonts w:hint="eastAsia" w:ascii="宋体" w:hAnsi="宋体" w:eastAsia="宋体" w:cs="宋体"/>
          <w:color w:val="auto"/>
          <w:sz w:val="21"/>
          <w:szCs w:val="21"/>
          <w:highlight w:val="none"/>
          <w:lang w:val="en-US" w:eastAsia="zh-CN"/>
        </w:rPr>
        <w:t>1.</w:t>
      </w:r>
      <w:r>
        <w:rPr>
          <w:rFonts w:hint="eastAsia"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rPr>
        <w:t>投标人应按招标项目的相关要求，根据项目特点和企业条件确定投标报价。一旦确认某一投标人中标，除合同规定的可调整内容外，中标单位不得要求追加任何费用。</w:t>
      </w:r>
    </w:p>
    <w:p>
      <w:pPr>
        <w:keepNext w:val="0"/>
        <w:keepLines w:val="0"/>
        <w:pageBreakBefore w:val="0"/>
        <w:widowControl w:val="0"/>
        <w:kinsoku/>
        <w:wordWrap/>
        <w:overflowPunct/>
        <w:topLinePunct w:val="0"/>
        <w:autoSpaceDE/>
        <w:autoSpaceDN/>
        <w:bidi w:val="0"/>
        <w:adjustRightInd/>
        <w:snapToGrid/>
        <w:spacing w:line="480" w:lineRule="exact"/>
        <w:ind w:left="0" w:firstLine="38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10"/>
          <w:sz w:val="21"/>
          <w:szCs w:val="21"/>
          <w:highlight w:val="none"/>
        </w:rPr>
        <w:t>1.</w:t>
      </w:r>
      <w:r>
        <w:rPr>
          <w:rFonts w:hint="eastAsia" w:ascii="宋体" w:hAnsi="宋体" w:eastAsia="宋体" w:cs="宋体"/>
          <w:color w:val="auto"/>
          <w:spacing w:val="-10"/>
          <w:sz w:val="21"/>
          <w:szCs w:val="21"/>
          <w:highlight w:val="none"/>
          <w:lang w:val="en-US" w:eastAsia="zh-CN"/>
        </w:rPr>
        <w:t>5</w:t>
      </w:r>
      <w:r>
        <w:rPr>
          <w:rFonts w:hint="eastAsia" w:ascii="宋体" w:hAnsi="宋体" w:eastAsia="宋体" w:cs="宋体"/>
          <w:color w:val="auto"/>
          <w:sz w:val="21"/>
          <w:szCs w:val="21"/>
          <w:highlight w:val="none"/>
        </w:rPr>
        <w:t>按国家规定由投标人缴纳的各种税收已包含在投标报价内，由投标人向税务机关缴纳。</w:t>
      </w:r>
    </w:p>
    <w:p>
      <w:pPr>
        <w:pStyle w:val="17"/>
        <w:keepNext w:val="0"/>
        <w:keepLines w:val="0"/>
        <w:pageBreakBefore w:val="0"/>
        <w:widowControl w:val="0"/>
        <w:kinsoku/>
        <w:wordWrap/>
        <w:overflowPunct/>
        <w:topLinePunct w:val="0"/>
        <w:autoSpaceDE/>
        <w:autoSpaceDN/>
        <w:bidi w:val="0"/>
        <w:adjustRightInd/>
        <w:snapToGrid/>
        <w:spacing w:line="480" w:lineRule="exact"/>
        <w:ind w:left="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r>
        <w:rPr>
          <w:rFonts w:hint="eastAsia" w:hAnsi="宋体" w:eastAsia="宋体" w:cs="宋体"/>
          <w:color w:val="auto"/>
          <w:sz w:val="21"/>
          <w:szCs w:val="21"/>
          <w:highlight w:val="none"/>
          <w:lang w:val="en-US" w:eastAsia="zh-CN"/>
        </w:rPr>
        <w:t>6</w:t>
      </w:r>
      <w:r>
        <w:rPr>
          <w:rFonts w:hint="eastAsia" w:ascii="宋体" w:hAnsi="宋体" w:eastAsia="宋体" w:cs="宋体"/>
          <w:color w:val="auto"/>
          <w:sz w:val="21"/>
          <w:szCs w:val="21"/>
          <w:highlight w:val="none"/>
        </w:rPr>
        <w:t>中标后，中标人所填写的单价在合同实施期间不因市场变化因素而变动，投标人在计算报价时应考虑一定的风险系数。</w:t>
      </w:r>
    </w:p>
    <w:p>
      <w:pPr>
        <w:pStyle w:val="17"/>
        <w:keepNext w:val="0"/>
        <w:keepLines w:val="0"/>
        <w:pageBreakBefore w:val="0"/>
        <w:widowControl w:val="0"/>
        <w:kinsoku/>
        <w:wordWrap/>
        <w:overflowPunct/>
        <w:topLinePunct w:val="0"/>
        <w:autoSpaceDE/>
        <w:autoSpaceDN/>
        <w:bidi w:val="0"/>
        <w:adjustRightInd/>
        <w:snapToGrid/>
        <w:spacing w:line="480" w:lineRule="exact"/>
        <w:ind w:left="0" w:firstLine="422" w:firstLineChars="200"/>
        <w:textAlignment w:val="auto"/>
        <w:outlineLvl w:val="2"/>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2、进场要求和违约责任</w:t>
      </w:r>
    </w:p>
    <w:p>
      <w:pPr>
        <w:pStyle w:val="17"/>
        <w:keepNext w:val="0"/>
        <w:keepLines w:val="0"/>
        <w:pageBreakBefore w:val="0"/>
        <w:widowControl w:val="0"/>
        <w:kinsoku/>
        <w:wordWrap/>
        <w:overflowPunct/>
        <w:topLinePunct w:val="0"/>
        <w:autoSpaceDE/>
        <w:autoSpaceDN/>
        <w:bidi w:val="0"/>
        <w:adjustRightInd/>
        <w:snapToGrid/>
        <w:spacing w:line="480" w:lineRule="exact"/>
        <w:ind w:left="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2.1中标人应于收到采购人进场服务通知书后7日内安排工作人员入场，机械设备、工具材料准时到位。</w:t>
      </w:r>
    </w:p>
    <w:p>
      <w:pPr>
        <w:pStyle w:val="17"/>
        <w:keepNext w:val="0"/>
        <w:keepLines w:val="0"/>
        <w:pageBreakBefore w:val="0"/>
        <w:widowControl w:val="0"/>
        <w:kinsoku/>
        <w:wordWrap/>
        <w:overflowPunct/>
        <w:topLinePunct w:val="0"/>
        <w:autoSpaceDE/>
        <w:autoSpaceDN/>
        <w:bidi w:val="0"/>
        <w:adjustRightInd/>
        <w:snapToGrid/>
        <w:spacing w:line="480" w:lineRule="exact"/>
        <w:ind w:left="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2.2进场地点：采购方指定。</w:t>
      </w:r>
    </w:p>
    <w:p>
      <w:pPr>
        <w:pStyle w:val="17"/>
        <w:keepNext w:val="0"/>
        <w:keepLines w:val="0"/>
        <w:pageBreakBefore w:val="0"/>
        <w:widowControl w:val="0"/>
        <w:kinsoku/>
        <w:wordWrap/>
        <w:overflowPunct/>
        <w:topLinePunct w:val="0"/>
        <w:autoSpaceDE/>
        <w:autoSpaceDN/>
        <w:bidi w:val="0"/>
        <w:adjustRightInd/>
        <w:snapToGrid/>
        <w:spacing w:line="480" w:lineRule="exact"/>
        <w:ind w:left="0" w:firstLine="422" w:firstLineChars="200"/>
        <w:textAlignment w:val="auto"/>
        <w:outlineLvl w:val="2"/>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3、支付方式：</w:t>
      </w:r>
    </w:p>
    <w:p>
      <w:pPr>
        <w:keepNext w:val="0"/>
        <w:keepLines w:val="0"/>
        <w:pageBreakBefore w:val="0"/>
        <w:widowControl w:val="0"/>
        <w:kinsoku/>
        <w:wordWrap/>
        <w:overflowPunct/>
        <w:topLinePunct w:val="0"/>
        <w:autoSpaceDE/>
        <w:autoSpaceDN/>
        <w:bidi w:val="0"/>
        <w:adjustRightInd/>
        <w:snapToGrid/>
        <w:spacing w:line="480" w:lineRule="exact"/>
        <w:ind w:left="0" w:firstLine="420" w:firstLineChars="200"/>
        <w:textAlignment w:val="auto"/>
        <w:outlineLvl w:val="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每季度由甲方统计出租率并按季度平均支付物业服务费用(在核对无误后，乙方开具增值税专用发票，甲方在收到发票后的15个工作日内完成付款)。</w:t>
      </w:r>
      <w:bookmarkStart w:id="75" w:name="_GoBack"/>
      <w:bookmarkEnd w:id="75"/>
    </w:p>
    <w:p>
      <w:pPr>
        <w:keepNext w:val="0"/>
        <w:keepLines w:val="0"/>
        <w:pageBreakBefore w:val="0"/>
        <w:widowControl w:val="0"/>
        <w:kinsoku/>
        <w:wordWrap/>
        <w:overflowPunct/>
        <w:topLinePunct w:val="0"/>
        <w:autoSpaceDE/>
        <w:autoSpaceDN/>
        <w:bidi w:val="0"/>
        <w:adjustRightInd/>
        <w:snapToGrid/>
        <w:spacing w:line="480" w:lineRule="exact"/>
        <w:ind w:left="0" w:firstLine="420" w:firstLineChars="200"/>
        <w:textAlignment w:val="auto"/>
        <w:outlineLvl w:val="2"/>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4、物业服务费由考核验收结果引起的经济扣罚直接在当季支付的服务费中扣除。</w:t>
      </w:r>
    </w:p>
    <w:p>
      <w:pPr>
        <w:keepNext w:val="0"/>
        <w:keepLines w:val="0"/>
        <w:pageBreakBefore w:val="0"/>
        <w:widowControl w:val="0"/>
        <w:kinsoku/>
        <w:wordWrap/>
        <w:overflowPunct/>
        <w:topLinePunct w:val="0"/>
        <w:autoSpaceDE/>
        <w:autoSpaceDN/>
        <w:bidi w:val="0"/>
        <w:adjustRightInd/>
        <w:snapToGrid/>
        <w:spacing w:line="480" w:lineRule="exact"/>
        <w:ind w:left="0" w:firstLine="420" w:firstLineChars="200"/>
        <w:textAlignment w:val="auto"/>
        <w:outlineLvl w:val="2"/>
        <w:rPr>
          <w:rFonts w:hint="eastAsia" w:ascii="宋体" w:hAnsi="宋体" w:eastAsia="宋体" w:cs="宋体"/>
          <w:b/>
          <w:color w:val="auto"/>
          <w:sz w:val="21"/>
          <w:szCs w:val="21"/>
          <w:highlight w:val="none"/>
          <w:lang w:val="en-US" w:eastAsia="zh-CN"/>
        </w:rPr>
      </w:pP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费用凭中标通知书、合同、考核文件、发票等相关资料由甲方负责办理费用支付。</w:t>
      </w:r>
    </w:p>
    <w:p>
      <w:pPr>
        <w:pStyle w:val="17"/>
        <w:keepNext w:val="0"/>
        <w:keepLines w:val="0"/>
        <w:pageBreakBefore w:val="0"/>
        <w:widowControl w:val="0"/>
        <w:kinsoku/>
        <w:wordWrap/>
        <w:overflowPunct/>
        <w:topLinePunct w:val="0"/>
        <w:autoSpaceDE/>
        <w:autoSpaceDN/>
        <w:bidi w:val="0"/>
        <w:adjustRightInd/>
        <w:snapToGrid/>
        <w:spacing w:line="480" w:lineRule="exact"/>
        <w:ind w:left="0" w:firstLine="422" w:firstLineChars="200"/>
        <w:textAlignment w:val="auto"/>
        <w:outlineLvl w:val="1"/>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lang w:val="en-US" w:eastAsia="zh-CN"/>
        </w:rPr>
        <w:t>九</w:t>
      </w:r>
      <w:r>
        <w:rPr>
          <w:rFonts w:hint="eastAsia" w:ascii="宋体" w:hAnsi="宋体" w:eastAsia="宋体" w:cs="宋体"/>
          <w:b/>
          <w:color w:val="auto"/>
          <w:sz w:val="21"/>
          <w:szCs w:val="21"/>
          <w:highlight w:val="none"/>
        </w:rPr>
        <w:t>、其他</w:t>
      </w:r>
    </w:p>
    <w:p>
      <w:pPr>
        <w:pStyle w:val="17"/>
        <w:keepNext w:val="0"/>
        <w:keepLines w:val="0"/>
        <w:pageBreakBefore w:val="0"/>
        <w:widowControl w:val="0"/>
        <w:kinsoku/>
        <w:wordWrap/>
        <w:overflowPunct/>
        <w:topLinePunct w:val="0"/>
        <w:autoSpaceDE/>
        <w:autoSpaceDN/>
        <w:bidi w:val="0"/>
        <w:adjustRightInd/>
        <w:snapToGrid/>
        <w:spacing w:line="480" w:lineRule="exact"/>
        <w:ind w:left="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1、投标人所投的技术参数不得低于本项目在服务质量要求中所涉及的服务质量标准要求和设备工具数量。</w:t>
      </w:r>
    </w:p>
    <w:p>
      <w:pPr>
        <w:pStyle w:val="17"/>
        <w:keepNext w:val="0"/>
        <w:keepLines w:val="0"/>
        <w:pageBreakBefore w:val="0"/>
        <w:widowControl w:val="0"/>
        <w:kinsoku/>
        <w:wordWrap/>
        <w:overflowPunct/>
        <w:topLinePunct w:val="0"/>
        <w:autoSpaceDE/>
        <w:autoSpaceDN/>
        <w:bidi w:val="0"/>
        <w:adjustRightInd/>
        <w:snapToGrid/>
        <w:spacing w:line="480" w:lineRule="exact"/>
        <w:ind w:left="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2、中标单位在签订合同时，若坚持提出附加条件和不合理要求，中标资格将被取消。</w:t>
      </w:r>
    </w:p>
    <w:p>
      <w:pPr>
        <w:pStyle w:val="53"/>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200"/>
        <w:textAlignment w:val="auto"/>
        <w:rPr>
          <w:rFonts w:hint="default"/>
          <w:b w:val="0"/>
          <w:bCs w:val="0"/>
          <w:sz w:val="21"/>
          <w:szCs w:val="21"/>
          <w:lang w:val="en-US" w:eastAsia="zh-CN"/>
        </w:rPr>
        <w:sectPr>
          <w:footerReference r:id="rId4" w:type="default"/>
          <w:pgSz w:w="11906" w:h="16838"/>
          <w:pgMar w:top="1135" w:right="1800" w:bottom="851" w:left="1800" w:header="851" w:footer="992" w:gutter="0"/>
          <w:pgNumType w:fmt="decimal" w:start="1"/>
          <w:cols w:space="720" w:num="1"/>
          <w:docGrid w:type="lines" w:linePitch="312" w:charSpace="0"/>
        </w:sectPr>
      </w:pPr>
    </w:p>
    <w:p>
      <w:pPr>
        <w:pStyle w:val="17"/>
        <w:spacing w:line="440" w:lineRule="exact"/>
        <w:jc w:val="center"/>
        <w:outlineLvl w:val="0"/>
        <w:rPr>
          <w:rFonts w:hAnsi="宋体"/>
          <w:b/>
          <w:bCs/>
          <w:sz w:val="36"/>
        </w:rPr>
      </w:pPr>
      <w:bookmarkStart w:id="31" w:name="_Toc17758"/>
      <w:bookmarkStart w:id="32" w:name="_Toc7717"/>
      <w:r>
        <w:rPr>
          <w:rFonts w:hint="eastAsia" w:hAnsi="宋体"/>
          <w:b/>
          <w:bCs/>
          <w:sz w:val="36"/>
        </w:rPr>
        <w:t>第四章</w:t>
      </w:r>
      <w:r>
        <w:rPr>
          <w:rFonts w:hAnsi="宋体"/>
          <w:b/>
          <w:bCs/>
          <w:sz w:val="36"/>
        </w:rPr>
        <w:t xml:space="preserve">  </w:t>
      </w:r>
      <w:r>
        <w:rPr>
          <w:rFonts w:hint="eastAsia" w:hAnsi="宋体"/>
          <w:b/>
          <w:bCs/>
          <w:sz w:val="36"/>
        </w:rPr>
        <w:t>开标、评标和定标须知</w:t>
      </w:r>
      <w:bookmarkEnd w:id="31"/>
      <w:bookmarkEnd w:id="32"/>
    </w:p>
    <w:p>
      <w:pPr>
        <w:pStyle w:val="4"/>
        <w:spacing w:before="0" w:after="0" w:line="460" w:lineRule="exact"/>
        <w:rPr>
          <w:rFonts w:ascii="宋体" w:hAnsi="宋体" w:eastAsia="宋体"/>
          <w:sz w:val="21"/>
          <w:szCs w:val="21"/>
        </w:rPr>
      </w:pPr>
      <w:bookmarkStart w:id="33" w:name="_Toc406413937"/>
      <w:bookmarkStart w:id="34" w:name="_Toc427"/>
      <w:bookmarkStart w:id="35" w:name="_Toc22509"/>
      <w:bookmarkStart w:id="36" w:name="_Toc261519847"/>
      <w:bookmarkStart w:id="37" w:name="_Toc226973002"/>
      <w:bookmarkStart w:id="38" w:name="_Toc263090375"/>
      <w:bookmarkStart w:id="39" w:name="_Toc362250705"/>
      <w:bookmarkStart w:id="40" w:name="_Toc274303253"/>
      <w:bookmarkStart w:id="41" w:name="_Toc20175"/>
      <w:bookmarkStart w:id="42" w:name="_Toc23756"/>
      <w:r>
        <w:rPr>
          <w:rFonts w:hint="eastAsia" w:ascii="宋体" w:hAnsi="宋体" w:eastAsia="宋体"/>
          <w:sz w:val="21"/>
          <w:szCs w:val="21"/>
        </w:rPr>
        <w:t>一、开标</w:t>
      </w:r>
      <w:bookmarkEnd w:id="33"/>
      <w:bookmarkEnd w:id="34"/>
      <w:bookmarkEnd w:id="35"/>
    </w:p>
    <w:p>
      <w:pPr>
        <w:spacing w:line="460" w:lineRule="exact"/>
        <w:ind w:firstLine="420" w:firstLineChars="200"/>
        <w:rPr>
          <w:rFonts w:hint="eastAsia" w:ascii="宋体" w:hAnsi="宋体"/>
        </w:rPr>
      </w:pPr>
      <w:r>
        <w:rPr>
          <w:rFonts w:hint="eastAsia" w:ascii="宋体" w:hAnsi="宋体"/>
        </w:rPr>
        <w:t>1.本项目实行电子开评标，投标人无需前往开评标现场，应在规定时间内在“义乌市阳光招标采购平台”上上传电子投标文件和准时在线参加开标。</w:t>
      </w:r>
    </w:p>
    <w:p>
      <w:pPr>
        <w:spacing w:line="460" w:lineRule="exact"/>
        <w:ind w:firstLine="420" w:firstLineChars="200"/>
        <w:rPr>
          <w:rFonts w:ascii="宋体"/>
        </w:rPr>
      </w:pPr>
      <w:r>
        <w:rPr>
          <w:rFonts w:ascii="宋体" w:hAnsi="宋体"/>
        </w:rPr>
        <w:t>2</w:t>
      </w:r>
      <w:r>
        <w:rPr>
          <w:rFonts w:ascii="宋体"/>
        </w:rPr>
        <w:t>.</w:t>
      </w:r>
      <w:r>
        <w:rPr>
          <w:rFonts w:hint="eastAsia" w:ascii="宋体" w:hAnsi="宋体"/>
        </w:rPr>
        <w:t>电子开评标及评审程序</w:t>
      </w:r>
    </w:p>
    <w:p>
      <w:pPr>
        <w:spacing w:line="460" w:lineRule="exact"/>
        <w:ind w:firstLine="420" w:firstLineChars="200"/>
        <w:rPr>
          <w:rFonts w:ascii="宋体"/>
        </w:rPr>
      </w:pPr>
      <w:r>
        <w:rPr>
          <w:rFonts w:ascii="宋体" w:hAnsi="宋体"/>
        </w:rPr>
        <w:t>2.1</w:t>
      </w:r>
      <w:r>
        <w:rPr>
          <w:rFonts w:hint="eastAsia" w:ascii="宋体" w:hAnsi="宋体"/>
        </w:rPr>
        <w:t>采购代理机构开启解密后的</w:t>
      </w:r>
      <w:r>
        <w:rPr>
          <w:rFonts w:hint="eastAsia" w:ascii="宋体" w:hAnsi="宋体"/>
          <w:lang w:eastAsia="zh-CN"/>
        </w:rPr>
        <w:t>30分钟</w:t>
      </w:r>
      <w:r>
        <w:rPr>
          <w:rFonts w:hint="eastAsia" w:ascii="宋体" w:hAnsi="宋体"/>
        </w:rPr>
        <w:t>内，由各投标人自行对电子投标文件进行解密（请各投标人务必在规定时间内完成电子投标文件的解密工作，在电子开评标期间，投标人（授权代表）需确保在各自所在的区域具备上网的技术条件并保持网络及联系方式畅通；</w:t>
      </w:r>
      <w:r>
        <w:rPr>
          <w:rFonts w:ascii="宋体" w:hAnsi="宋体"/>
        </w:rPr>
        <w:t xml:space="preserve"> </w:t>
      </w:r>
    </w:p>
    <w:p>
      <w:pPr>
        <w:spacing w:line="460" w:lineRule="exact"/>
        <w:ind w:firstLine="420" w:firstLineChars="200"/>
        <w:rPr>
          <w:rFonts w:ascii="宋体"/>
        </w:rPr>
      </w:pPr>
      <w:r>
        <w:rPr>
          <w:rFonts w:ascii="宋体" w:hAnsi="宋体"/>
        </w:rPr>
        <w:t>2.2.</w:t>
      </w:r>
      <w:r>
        <w:rPr>
          <w:rFonts w:hint="eastAsia" w:ascii="宋体" w:hAnsi="宋体"/>
        </w:rPr>
        <w:t>评标委员会对投标人的资格和商务技术响应文件进行评审；</w:t>
      </w:r>
    </w:p>
    <w:p>
      <w:pPr>
        <w:spacing w:line="460" w:lineRule="exact"/>
        <w:ind w:firstLine="420" w:firstLineChars="200"/>
        <w:rPr>
          <w:rFonts w:ascii="宋体"/>
        </w:rPr>
      </w:pPr>
      <w:r>
        <w:rPr>
          <w:rFonts w:ascii="宋体" w:hAnsi="宋体"/>
        </w:rPr>
        <w:t>2.3</w:t>
      </w:r>
      <w:r>
        <w:rPr>
          <w:rFonts w:hint="eastAsia" w:ascii="宋体" w:hAnsi="宋体"/>
        </w:rPr>
        <w:t>评标委员会对报价响应文件进行评审；</w:t>
      </w:r>
    </w:p>
    <w:p>
      <w:pPr>
        <w:spacing w:line="460" w:lineRule="exact"/>
        <w:ind w:firstLine="420" w:firstLineChars="200"/>
        <w:rPr>
          <w:rFonts w:ascii="宋体"/>
        </w:rPr>
      </w:pPr>
      <w:r>
        <w:rPr>
          <w:rFonts w:ascii="宋体" w:hAnsi="宋体"/>
        </w:rPr>
        <w:t>2.4</w:t>
      </w:r>
      <w:r>
        <w:rPr>
          <w:rFonts w:hint="eastAsia" w:ascii="宋体" w:hAnsi="宋体"/>
        </w:rPr>
        <w:t>在系统上公布评审结果。</w:t>
      </w:r>
    </w:p>
    <w:p>
      <w:pPr>
        <w:spacing w:line="460" w:lineRule="exact"/>
        <w:ind w:firstLine="422" w:firstLineChars="200"/>
        <w:rPr>
          <w:b/>
          <w:szCs w:val="21"/>
          <w:u w:val="single"/>
        </w:rPr>
      </w:pPr>
      <w:r>
        <w:rPr>
          <w:rFonts w:hint="eastAsia"/>
          <w:b/>
          <w:szCs w:val="21"/>
          <w:u w:val="single"/>
        </w:rPr>
        <w:t>特别说明：“义乌市阳光招标采购平台”如对开评标程序有调整的，按调整后的程序操作。</w:t>
      </w:r>
    </w:p>
    <w:p>
      <w:pPr>
        <w:pStyle w:val="4"/>
        <w:spacing w:before="120" w:after="120" w:line="460" w:lineRule="exact"/>
        <w:rPr>
          <w:rFonts w:ascii="宋体" w:hAnsi="宋体" w:eastAsia="宋体" w:cs="宋体"/>
          <w:sz w:val="21"/>
          <w:szCs w:val="21"/>
        </w:rPr>
      </w:pPr>
      <w:bookmarkStart w:id="43" w:name="_Toc22120"/>
      <w:r>
        <w:rPr>
          <w:rFonts w:hint="eastAsia" w:ascii="宋体" w:hAnsi="宋体" w:eastAsia="宋体" w:cs="宋体"/>
          <w:sz w:val="21"/>
          <w:szCs w:val="21"/>
        </w:rPr>
        <w:t>二、评标</w:t>
      </w:r>
      <w:bookmarkEnd w:id="36"/>
      <w:bookmarkEnd w:id="37"/>
      <w:bookmarkEnd w:id="38"/>
      <w:bookmarkEnd w:id="39"/>
      <w:bookmarkEnd w:id="40"/>
      <w:bookmarkEnd w:id="41"/>
      <w:bookmarkEnd w:id="43"/>
    </w:p>
    <w:p>
      <w:pPr>
        <w:spacing w:line="360" w:lineRule="auto"/>
        <w:ind w:firstLine="480"/>
        <w:rPr>
          <w:rFonts w:ascii="宋体" w:cs="宋体"/>
          <w:b/>
          <w:kern w:val="0"/>
          <w:szCs w:val="21"/>
        </w:rPr>
      </w:pPr>
      <w:r>
        <w:rPr>
          <w:rFonts w:ascii="宋体" w:hAnsi="宋体" w:cs="宋体"/>
          <w:b/>
          <w:kern w:val="0"/>
          <w:szCs w:val="21"/>
        </w:rPr>
        <w:t>3</w:t>
      </w:r>
      <w:r>
        <w:rPr>
          <w:rFonts w:hint="eastAsia" w:ascii="宋体" w:hAnsi="宋体" w:cs="宋体"/>
          <w:b/>
          <w:kern w:val="0"/>
          <w:szCs w:val="21"/>
        </w:rPr>
        <w:t>、评标小组</w:t>
      </w:r>
    </w:p>
    <w:p>
      <w:pPr>
        <w:spacing w:line="360" w:lineRule="auto"/>
        <w:ind w:firstLine="420" w:firstLineChars="200"/>
        <w:rPr>
          <w:rFonts w:ascii="宋体" w:cs="宋体"/>
          <w:szCs w:val="21"/>
        </w:rPr>
      </w:pPr>
      <w:r>
        <w:rPr>
          <w:rFonts w:ascii="宋体" w:hAnsi="宋体" w:cs="宋体"/>
          <w:szCs w:val="21"/>
        </w:rPr>
        <w:t xml:space="preserve">3.1 </w:t>
      </w:r>
      <w:r>
        <w:rPr>
          <w:rFonts w:hint="eastAsia" w:ascii="宋体" w:hAnsi="宋体" w:cs="宋体"/>
          <w:szCs w:val="21"/>
        </w:rPr>
        <w:t>评标小组将根据招标采购项目的特点确定。其成员由专家和采购人代表</w:t>
      </w:r>
      <w:r>
        <w:rPr>
          <w:rFonts w:ascii="宋体" w:hAnsi="宋体" w:cs="宋体"/>
          <w:szCs w:val="21"/>
        </w:rPr>
        <w:t>5</w:t>
      </w:r>
      <w:r>
        <w:rPr>
          <w:rFonts w:hint="eastAsia" w:ascii="宋体" w:hAnsi="宋体" w:cs="宋体"/>
          <w:szCs w:val="21"/>
        </w:rPr>
        <w:t>人及以上单数组成。评标小组对投标文件进行审查、质疑、评估和比较。</w:t>
      </w:r>
    </w:p>
    <w:p>
      <w:pPr>
        <w:spacing w:line="440" w:lineRule="exact"/>
        <w:rPr>
          <w:rFonts w:hint="eastAsia" w:hAnsi="宋体"/>
          <w:highlight w:val="none"/>
        </w:rPr>
      </w:pPr>
      <w:r>
        <w:rPr>
          <w:rFonts w:hint="eastAsia" w:hAnsi="宋体"/>
          <w:highlight w:val="none"/>
        </w:rPr>
        <w:t xml:space="preserve">  </w:t>
      </w:r>
      <w:r>
        <w:rPr>
          <w:rFonts w:hint="eastAsia" w:hAnsi="宋体"/>
          <w:highlight w:val="none"/>
          <w:lang w:val="en-US" w:eastAsia="zh-CN"/>
        </w:rPr>
        <w:t xml:space="preserve">  </w:t>
      </w:r>
      <w:r>
        <w:rPr>
          <w:rFonts w:hint="eastAsia" w:ascii="宋体" w:hAnsi="宋体" w:cs="宋体"/>
          <w:highlight w:val="none"/>
        </w:rPr>
        <w:t xml:space="preserve">3.2 </w:t>
      </w:r>
      <w:r>
        <w:rPr>
          <w:rFonts w:hint="eastAsia" w:hAnsi="宋体"/>
          <w:highlight w:val="none"/>
        </w:rPr>
        <w:t>评审过程中招标代理人员通过“义乌市阳光招标采购平台”在线询标方式进行询标的，投标单位应在30分钟内予以回应，否则后果自负。</w:t>
      </w:r>
    </w:p>
    <w:p>
      <w:pPr>
        <w:spacing w:line="360" w:lineRule="auto"/>
        <w:ind w:firstLine="422" w:firstLineChars="200"/>
        <w:rPr>
          <w:rFonts w:ascii="宋体" w:cs="宋体"/>
          <w:b/>
          <w:szCs w:val="21"/>
        </w:rPr>
      </w:pPr>
      <w:r>
        <w:rPr>
          <w:rFonts w:ascii="宋体" w:hAnsi="宋体" w:cs="宋体"/>
          <w:b/>
          <w:szCs w:val="21"/>
        </w:rPr>
        <w:t>4</w:t>
      </w:r>
      <w:r>
        <w:rPr>
          <w:rFonts w:hint="eastAsia" w:ascii="宋体" w:hAnsi="宋体" w:cs="宋体"/>
          <w:b/>
          <w:szCs w:val="21"/>
        </w:rPr>
        <w:t>、评标原则</w:t>
      </w:r>
    </w:p>
    <w:p>
      <w:pPr>
        <w:spacing w:line="360" w:lineRule="auto"/>
        <w:ind w:firstLine="420" w:firstLineChars="200"/>
        <w:rPr>
          <w:rFonts w:ascii="宋体" w:cs="宋体"/>
          <w:sz w:val="24"/>
        </w:rPr>
      </w:pPr>
      <w:r>
        <w:rPr>
          <w:rFonts w:ascii="宋体" w:hAnsi="宋体" w:cs="宋体"/>
          <w:szCs w:val="21"/>
        </w:rPr>
        <w:t>4.1</w:t>
      </w:r>
      <w:r>
        <w:rPr>
          <w:rFonts w:hint="eastAsia" w:ascii="宋体" w:hAnsi="宋体" w:cs="宋体"/>
          <w:szCs w:val="21"/>
        </w:rPr>
        <w:t>评标小组将遵循公开、公平、公正的原则，严格遵守评标工作纪律。</w:t>
      </w:r>
    </w:p>
    <w:p>
      <w:pPr>
        <w:spacing w:line="360" w:lineRule="auto"/>
        <w:ind w:firstLine="420" w:firstLineChars="200"/>
        <w:rPr>
          <w:rFonts w:ascii="宋体" w:cs="宋体"/>
          <w:bCs/>
          <w:szCs w:val="21"/>
        </w:rPr>
      </w:pPr>
      <w:r>
        <w:rPr>
          <w:rFonts w:ascii="宋体" w:hAnsi="宋体" w:cs="宋体"/>
          <w:szCs w:val="21"/>
        </w:rPr>
        <w:t>4.2</w:t>
      </w:r>
      <w:r>
        <w:rPr>
          <w:rFonts w:hint="eastAsia" w:ascii="宋体" w:hAnsi="宋体" w:cs="宋体"/>
          <w:bCs/>
          <w:szCs w:val="21"/>
        </w:rPr>
        <w:t>先</w:t>
      </w:r>
      <w:r>
        <w:rPr>
          <w:rFonts w:hint="eastAsia" w:ascii="宋体" w:hAnsi="宋体" w:cs="宋体"/>
          <w:bCs/>
          <w:szCs w:val="21"/>
          <w:lang w:val="en-US" w:eastAsia="zh-CN"/>
        </w:rPr>
        <w:t>评资格及商务技术响应文件，再评报价响应文件</w:t>
      </w:r>
      <w:r>
        <w:rPr>
          <w:rFonts w:hint="eastAsia" w:ascii="宋体" w:hAnsi="宋体" w:cs="宋体"/>
          <w:bCs/>
          <w:szCs w:val="21"/>
        </w:rPr>
        <w:t>。</w:t>
      </w:r>
    </w:p>
    <w:p>
      <w:pPr>
        <w:spacing w:line="360" w:lineRule="auto"/>
        <w:ind w:firstLine="420" w:firstLineChars="200"/>
        <w:rPr>
          <w:rFonts w:ascii="宋体" w:cs="宋体"/>
          <w:szCs w:val="21"/>
        </w:rPr>
      </w:pPr>
      <w:r>
        <w:rPr>
          <w:rFonts w:ascii="宋体" w:hAnsi="宋体" w:cs="宋体"/>
          <w:bCs/>
          <w:szCs w:val="21"/>
        </w:rPr>
        <w:t>4.3</w:t>
      </w:r>
      <w:r>
        <w:rPr>
          <w:rFonts w:hint="eastAsia" w:ascii="宋体" w:hAnsi="宋体" w:cs="宋体"/>
          <w:szCs w:val="21"/>
        </w:rPr>
        <w:t>客观公正对待所有投标人，对所有投标评</w:t>
      </w:r>
      <w:r>
        <w:rPr>
          <w:rFonts w:hint="eastAsia" w:ascii="宋体" w:hAnsi="宋体" w:cs="宋体"/>
          <w:color w:val="000000"/>
          <w:szCs w:val="21"/>
        </w:rPr>
        <w:t>审</w:t>
      </w:r>
      <w:r>
        <w:rPr>
          <w:rFonts w:hint="eastAsia" w:ascii="宋体" w:hAnsi="宋体" w:cs="宋体"/>
          <w:szCs w:val="21"/>
        </w:rPr>
        <w:t>均采用相同的程序和标准。评标的依据为招标文件和投标文件。</w:t>
      </w:r>
    </w:p>
    <w:p>
      <w:pPr>
        <w:spacing w:line="360" w:lineRule="auto"/>
        <w:ind w:firstLine="420" w:firstLineChars="200"/>
        <w:rPr>
          <w:rFonts w:ascii="宋体" w:cs="宋体"/>
          <w:szCs w:val="21"/>
        </w:rPr>
      </w:pPr>
      <w:r>
        <w:rPr>
          <w:rFonts w:ascii="宋体" w:hAnsi="宋体" w:cs="宋体"/>
          <w:szCs w:val="21"/>
        </w:rPr>
        <w:t>4.4</w:t>
      </w:r>
      <w:r>
        <w:rPr>
          <w:rFonts w:hint="eastAsia" w:ascii="宋体" w:hAnsi="宋体" w:cs="宋体"/>
          <w:szCs w:val="21"/>
        </w:rPr>
        <w:t>有利于提高投资效益，节约建设资金。</w:t>
      </w:r>
    </w:p>
    <w:p>
      <w:pPr>
        <w:spacing w:line="360" w:lineRule="auto"/>
        <w:ind w:firstLine="420" w:firstLineChars="200"/>
        <w:rPr>
          <w:rFonts w:ascii="宋体" w:cs="宋体"/>
          <w:szCs w:val="21"/>
        </w:rPr>
      </w:pPr>
      <w:r>
        <w:rPr>
          <w:rFonts w:ascii="宋体" w:hAnsi="宋体" w:cs="宋体"/>
          <w:szCs w:val="21"/>
        </w:rPr>
        <w:t>4.5</w:t>
      </w:r>
      <w:r>
        <w:rPr>
          <w:rFonts w:hint="eastAsia" w:ascii="宋体" w:hAnsi="宋体" w:cs="宋体"/>
          <w:szCs w:val="21"/>
        </w:rPr>
        <w:t>在评标过程中，出现异常或特殊情况时，由评标小组集体讨论决定。</w:t>
      </w:r>
    </w:p>
    <w:p>
      <w:pPr>
        <w:pStyle w:val="17"/>
        <w:spacing w:line="360" w:lineRule="auto"/>
        <w:ind w:firstLine="422" w:firstLineChars="200"/>
        <w:rPr>
          <w:rFonts w:hAnsi="宋体" w:cs="宋体"/>
        </w:rPr>
      </w:pPr>
      <w:r>
        <w:rPr>
          <w:rFonts w:hAnsi="宋体" w:cs="宋体"/>
          <w:b/>
        </w:rPr>
        <w:t>5</w:t>
      </w:r>
      <w:r>
        <w:rPr>
          <w:rFonts w:hint="eastAsia" w:hAnsi="宋体" w:cs="宋体"/>
          <w:b/>
        </w:rPr>
        <w:t>、评标过程的保密</w:t>
      </w:r>
    </w:p>
    <w:p>
      <w:pPr>
        <w:adjustRightInd w:val="0"/>
        <w:snapToGrid w:val="0"/>
        <w:spacing w:line="360" w:lineRule="auto"/>
        <w:ind w:firstLine="420" w:firstLineChars="200"/>
        <w:rPr>
          <w:rFonts w:ascii="宋体" w:cs="宋体"/>
          <w:szCs w:val="21"/>
        </w:rPr>
      </w:pPr>
      <w:r>
        <w:rPr>
          <w:rFonts w:ascii="宋体" w:hAnsi="宋体" w:cs="宋体"/>
          <w:szCs w:val="21"/>
        </w:rPr>
        <w:t>5.1</w:t>
      </w:r>
      <w:r>
        <w:rPr>
          <w:rFonts w:hint="eastAsia" w:ascii="宋体" w:hAnsi="宋体" w:cs="宋体"/>
          <w:szCs w:val="21"/>
        </w:rPr>
        <w:t>开标后，直至授予中标人合同为止，凡属于对投标文件的审查、澄清、评价和比较等有关的资料以及中标候选人的推荐情况等与评标有关的任何情况均严格保密。</w:t>
      </w:r>
    </w:p>
    <w:p>
      <w:pPr>
        <w:adjustRightInd w:val="0"/>
        <w:snapToGrid w:val="0"/>
        <w:spacing w:line="360" w:lineRule="auto"/>
        <w:ind w:firstLine="420" w:firstLineChars="200"/>
        <w:rPr>
          <w:rFonts w:ascii="宋体" w:cs="宋体"/>
          <w:szCs w:val="21"/>
        </w:rPr>
      </w:pPr>
      <w:r>
        <w:rPr>
          <w:rFonts w:ascii="宋体" w:hAnsi="宋体" w:cs="宋体"/>
          <w:szCs w:val="21"/>
        </w:rPr>
        <w:t>5.2</w:t>
      </w:r>
      <w:r>
        <w:rPr>
          <w:rFonts w:hint="eastAsia" w:ascii="宋体" w:hAnsi="宋体" w:cs="宋体"/>
          <w:szCs w:val="21"/>
        </w:rPr>
        <w:t>在投标文件的评审和比较、中标候选人推荐以及授予合同的过程中，投标人向采购人和评标小组施加影响的任何行为，都将会导致其投标被拒绝。</w:t>
      </w:r>
    </w:p>
    <w:p>
      <w:pPr>
        <w:pStyle w:val="17"/>
        <w:spacing w:line="360" w:lineRule="auto"/>
        <w:ind w:firstLine="420" w:firstLineChars="200"/>
        <w:rPr>
          <w:rFonts w:hAnsi="宋体" w:cs="宋体"/>
        </w:rPr>
      </w:pPr>
      <w:r>
        <w:rPr>
          <w:rFonts w:hAnsi="宋体" w:cs="宋体"/>
        </w:rPr>
        <w:t>5.3</w:t>
      </w:r>
      <w:r>
        <w:rPr>
          <w:rFonts w:hint="eastAsia" w:hAnsi="宋体" w:cs="宋体"/>
        </w:rPr>
        <w:t>中标人确认后，采购人不对未中标人就评标过程以及未能中标原因作出任何解释。未中标人不得向评标小组人员或其他有关人员索问评标过程的全部情况。</w:t>
      </w:r>
    </w:p>
    <w:p>
      <w:pPr>
        <w:spacing w:line="360" w:lineRule="auto"/>
        <w:ind w:firstLine="420" w:firstLineChars="200"/>
        <w:rPr>
          <w:rFonts w:hint="eastAsia" w:ascii="宋体" w:hAnsi="宋体" w:cs="宋体"/>
          <w:spacing w:val="-4"/>
          <w:szCs w:val="21"/>
        </w:rPr>
      </w:pPr>
      <w:r>
        <w:rPr>
          <w:rFonts w:ascii="宋体" w:hAnsi="宋体" w:cs="宋体"/>
          <w:szCs w:val="21"/>
        </w:rPr>
        <w:t>5.4</w:t>
      </w:r>
      <w:r>
        <w:rPr>
          <w:rFonts w:hint="eastAsia" w:ascii="宋体" w:hAnsi="宋体" w:cs="宋体"/>
          <w:spacing w:val="-4"/>
          <w:szCs w:val="21"/>
        </w:rPr>
        <w:t>为保证定标的公正性，在评标过程中，评标成员不得与投标人私人交换意见。在招标工作结束后，凡与评标情况有接触的任何人不得也不应将评标情况扩散出评标成员之外。</w:t>
      </w:r>
    </w:p>
    <w:p>
      <w:pPr>
        <w:spacing w:line="460" w:lineRule="exact"/>
        <w:ind w:firstLine="406" w:firstLineChars="200"/>
        <w:rPr>
          <w:rFonts w:ascii="宋体"/>
          <w:spacing w:val="-4"/>
          <w:highlight w:val="none"/>
        </w:rPr>
      </w:pPr>
      <w:r>
        <w:rPr>
          <w:rFonts w:ascii="宋体" w:hAnsi="宋体"/>
          <w:b/>
          <w:bCs/>
          <w:spacing w:val="-4"/>
          <w:highlight w:val="none"/>
        </w:rPr>
        <w:t>6</w:t>
      </w:r>
      <w:r>
        <w:rPr>
          <w:rFonts w:hint="eastAsia" w:ascii="宋体" w:hAnsi="宋体"/>
          <w:b/>
          <w:bCs/>
          <w:spacing w:val="-4"/>
          <w:highlight w:val="none"/>
          <w:lang w:eastAsia="zh-CN"/>
        </w:rPr>
        <w:t>、</w:t>
      </w:r>
      <w:r>
        <w:rPr>
          <w:rFonts w:hint="eastAsia" w:ascii="宋体" w:hAnsi="宋体"/>
          <w:b/>
          <w:bCs/>
          <w:spacing w:val="-4"/>
          <w:highlight w:val="none"/>
        </w:rPr>
        <w:t>投标文件中内容不一致的处理</w:t>
      </w:r>
    </w:p>
    <w:p>
      <w:pPr>
        <w:spacing w:line="460" w:lineRule="exact"/>
        <w:ind w:firstLine="404" w:firstLineChars="200"/>
        <w:rPr>
          <w:rFonts w:hint="eastAsia" w:ascii="宋体" w:hAnsi="宋体"/>
          <w:spacing w:val="-4"/>
          <w:highlight w:val="none"/>
        </w:rPr>
      </w:pPr>
      <w:r>
        <w:rPr>
          <w:rFonts w:hint="eastAsia" w:ascii="宋体" w:hAnsi="宋体"/>
          <w:spacing w:val="-4"/>
          <w:highlight w:val="none"/>
        </w:rPr>
        <w:t>同一份投标文件中，彩页、官网下载资料、检测报告等证明性资料中描写的技术性能指标与投标文件中其它地方内容描述不一致的，应以上述证明性资料为准；规范偏离表等偏离表的内容与投标文件中其它地方内容有描述不一致的，应以投标文件中其它地方内容的描述为准。</w:t>
      </w:r>
    </w:p>
    <w:p>
      <w:pPr>
        <w:spacing w:line="460" w:lineRule="exact"/>
        <w:ind w:firstLine="406" w:firstLineChars="200"/>
        <w:rPr>
          <w:rFonts w:ascii="宋体" w:cs="宋体"/>
          <w:b/>
          <w:szCs w:val="21"/>
          <w:highlight w:val="none"/>
        </w:rPr>
      </w:pPr>
      <w:r>
        <w:rPr>
          <w:rFonts w:hint="eastAsia" w:ascii="宋体" w:hAnsi="宋体"/>
          <w:b/>
          <w:bCs/>
          <w:spacing w:val="-4"/>
          <w:highlight w:val="none"/>
          <w:lang w:val="en-US" w:eastAsia="zh-CN"/>
        </w:rPr>
        <w:t>7、</w:t>
      </w:r>
      <w:r>
        <w:rPr>
          <w:rFonts w:hint="eastAsia" w:ascii="宋体" w:hAnsi="宋体" w:cs="宋体"/>
          <w:b/>
          <w:bCs/>
          <w:szCs w:val="21"/>
          <w:highlight w:val="none"/>
        </w:rPr>
        <w:t>供应商的认定</w:t>
      </w:r>
    </w:p>
    <w:p>
      <w:pPr>
        <w:spacing w:line="460" w:lineRule="exact"/>
        <w:ind w:firstLine="420" w:firstLineChars="200"/>
        <w:rPr>
          <w:rFonts w:hint="eastAsia" w:ascii="宋体" w:hAnsi="宋体" w:cs="宋体"/>
          <w:bCs/>
          <w:highlight w:val="none"/>
        </w:rPr>
      </w:pPr>
      <w:r>
        <w:rPr>
          <w:rFonts w:hint="eastAsia" w:ascii="宋体" w:hAnsi="宋体" w:cs="宋体"/>
          <w:bCs/>
          <w:highlight w:val="none"/>
        </w:rPr>
        <w:t>单位负责人为同一人或者存在直接控股、管理关系的不同供应商，不得参加同一合同项下的采购活动。</w:t>
      </w:r>
    </w:p>
    <w:p>
      <w:pPr>
        <w:tabs>
          <w:tab w:val="left" w:pos="362"/>
        </w:tabs>
        <w:spacing w:line="460" w:lineRule="exact"/>
        <w:ind w:firstLine="422" w:firstLineChars="200"/>
        <w:rPr>
          <w:rFonts w:hint="eastAsia" w:ascii="宋体" w:hAnsi="宋体" w:cs="宋体"/>
          <w:b/>
          <w:szCs w:val="21"/>
          <w:highlight w:val="none"/>
        </w:rPr>
      </w:pPr>
      <w:r>
        <w:rPr>
          <w:rFonts w:hint="eastAsia" w:ascii="宋体" w:hAnsi="宋体" w:cs="宋体"/>
          <w:b/>
          <w:szCs w:val="21"/>
          <w:highlight w:val="none"/>
          <w:lang w:val="en-US" w:eastAsia="zh-CN"/>
        </w:rPr>
        <w:t>8、</w:t>
      </w:r>
      <w:r>
        <w:rPr>
          <w:rFonts w:hint="eastAsia" w:ascii="宋体" w:hAnsi="宋体" w:cs="宋体"/>
          <w:b/>
          <w:szCs w:val="21"/>
          <w:highlight w:val="none"/>
        </w:rPr>
        <w:t>投标文件的澄清</w:t>
      </w:r>
    </w:p>
    <w:p>
      <w:pPr>
        <w:tabs>
          <w:tab w:val="left" w:pos="362"/>
        </w:tabs>
        <w:spacing w:line="460" w:lineRule="exact"/>
        <w:ind w:firstLine="420" w:firstLineChars="200"/>
        <w:rPr>
          <w:rFonts w:hint="eastAsia" w:ascii="宋体" w:hAnsi="宋体"/>
          <w:sz w:val="21"/>
          <w:szCs w:val="21"/>
          <w:highlight w:val="none"/>
        </w:rPr>
      </w:pPr>
      <w:r>
        <w:rPr>
          <w:rFonts w:hint="eastAsia" w:ascii="宋体" w:hAnsi="宋体"/>
          <w:sz w:val="21"/>
          <w:szCs w:val="21"/>
          <w:highlight w:val="none"/>
          <w:lang w:val="en-US" w:eastAsia="zh-CN"/>
        </w:rPr>
        <w:t>8</w:t>
      </w:r>
      <w:r>
        <w:rPr>
          <w:rFonts w:ascii="宋体" w:hAnsi="宋体"/>
          <w:sz w:val="21"/>
          <w:szCs w:val="21"/>
          <w:highlight w:val="none"/>
        </w:rPr>
        <w:t>.1</w:t>
      </w:r>
      <w:r>
        <w:rPr>
          <w:rFonts w:hint="eastAsia" w:ascii="宋体" w:hAnsi="宋体"/>
          <w:sz w:val="21"/>
          <w:szCs w:val="21"/>
          <w:highlight w:val="none"/>
        </w:rPr>
        <w:t>为有助于投标文件的审查、评价和比较，评标委员会应当在“义乌市阳光招标采购平台”在线询标或采用其他有效形式要求投标人对同一份投标文件含义不明确、同类问题表述不一致或者有明显文字和计算错误的内容（招标文件其它地方有另有规定处理方法的除外）作必要的澄清或说明，投标人应采用在线回复或其他有效形式在询标规定时间内进行澄清或说明（需盖电子签章或实体公章），但不得超出投标文件的范围或改变投标文件的实质性内容。根据本须知第10条规定，凡属于评标小组在评标中发现的计算错误并进行核实的修改不在此列。</w:t>
      </w:r>
    </w:p>
    <w:p>
      <w:pPr>
        <w:tabs>
          <w:tab w:val="left" w:pos="362"/>
        </w:tabs>
        <w:spacing w:line="460" w:lineRule="exact"/>
        <w:ind w:firstLine="420" w:firstLineChars="200"/>
        <w:rPr>
          <w:rFonts w:hint="eastAsia" w:ascii="宋体" w:hAnsi="宋体" w:eastAsia="宋体" w:cs="宋体"/>
          <w:sz w:val="21"/>
          <w:szCs w:val="21"/>
          <w:highlight w:val="none"/>
        </w:rPr>
      </w:pPr>
      <w:r>
        <w:rPr>
          <w:rFonts w:hint="eastAsia" w:ascii="宋体" w:hAnsi="宋体"/>
          <w:sz w:val="21"/>
          <w:szCs w:val="21"/>
          <w:highlight w:val="none"/>
        </w:rPr>
        <w:t>8.2如果投标人代表拒绝按评标委员会要求在“义乌市阳光招标采购平台”作出在线回复且无其他有效回复方式的，评标委员会可以对其作出无效标处理。</w:t>
      </w:r>
    </w:p>
    <w:p>
      <w:pPr>
        <w:numPr>
          <w:ilvl w:val="0"/>
          <w:numId w:val="7"/>
        </w:numPr>
        <w:tabs>
          <w:tab w:val="left" w:pos="362"/>
        </w:tabs>
        <w:spacing w:line="460" w:lineRule="exact"/>
        <w:ind w:firstLine="422" w:firstLineChars="200"/>
        <w:rPr>
          <w:rFonts w:hint="eastAsia" w:ascii="宋体" w:hAnsi="宋体" w:cs="宋体"/>
          <w:b/>
          <w:szCs w:val="21"/>
        </w:rPr>
      </w:pPr>
      <w:r>
        <w:rPr>
          <w:rFonts w:hint="eastAsia" w:ascii="宋体" w:hAnsi="宋体" w:cs="宋体"/>
          <w:b/>
          <w:szCs w:val="21"/>
        </w:rPr>
        <w:t>投标文件的初步评审</w:t>
      </w:r>
    </w:p>
    <w:p>
      <w:pPr>
        <w:numPr>
          <w:ilvl w:val="0"/>
          <w:numId w:val="0"/>
        </w:numPr>
        <w:tabs>
          <w:tab w:val="left" w:pos="362"/>
        </w:tabs>
        <w:spacing w:line="460" w:lineRule="exact"/>
        <w:ind w:firstLine="420" w:firstLineChars="200"/>
        <w:rPr>
          <w:rFonts w:hint="eastAsia" w:ascii="宋体" w:hAnsi="宋体" w:cs="宋体"/>
          <w:szCs w:val="21"/>
        </w:rPr>
      </w:pPr>
      <w:r>
        <w:rPr>
          <w:rFonts w:hint="eastAsia" w:ascii="宋体" w:hAnsi="宋体" w:cs="宋体"/>
          <w:szCs w:val="21"/>
          <w:lang w:val="en-US" w:eastAsia="zh-CN"/>
        </w:rPr>
        <w:t>9</w:t>
      </w:r>
      <w:r>
        <w:rPr>
          <w:rFonts w:ascii="宋体" w:hAnsi="宋体" w:cs="宋体"/>
          <w:szCs w:val="21"/>
        </w:rPr>
        <w:t>.1</w:t>
      </w:r>
      <w:r>
        <w:rPr>
          <w:rFonts w:hint="eastAsia" w:ascii="宋体" w:hAnsi="宋体" w:cs="宋体"/>
          <w:szCs w:val="21"/>
        </w:rPr>
        <w:t>开标后，采购人应将投标文件提交评标小组进行初步评审，初步评审内容为：</w:t>
      </w:r>
    </w:p>
    <w:p>
      <w:pPr>
        <w:numPr>
          <w:ilvl w:val="0"/>
          <w:numId w:val="0"/>
        </w:numPr>
        <w:tabs>
          <w:tab w:val="left" w:pos="362"/>
        </w:tabs>
        <w:spacing w:line="460" w:lineRule="exact"/>
        <w:ind w:firstLine="420" w:firstLineChars="200"/>
        <w:rPr>
          <w:rFonts w:ascii="宋体" w:cs="宋体"/>
          <w:szCs w:val="21"/>
        </w:rPr>
      </w:pPr>
      <w:r>
        <w:rPr>
          <w:rFonts w:hint="eastAsia" w:ascii="宋体" w:hAnsi="宋体" w:cs="宋体"/>
          <w:szCs w:val="21"/>
          <w:lang w:val="en-US" w:eastAsia="zh-CN"/>
        </w:rPr>
        <w:t>9</w:t>
      </w:r>
      <w:r>
        <w:rPr>
          <w:rFonts w:ascii="宋体" w:hAnsi="宋体" w:cs="宋体"/>
          <w:szCs w:val="21"/>
        </w:rPr>
        <w:t>.1.1</w:t>
      </w:r>
      <w:r>
        <w:rPr>
          <w:rFonts w:hint="eastAsia" w:ascii="宋体" w:hAnsi="宋体" w:cs="宋体"/>
          <w:szCs w:val="21"/>
        </w:rPr>
        <w:t>是否出现第五章规定的内容；</w:t>
      </w:r>
    </w:p>
    <w:p>
      <w:pPr>
        <w:spacing w:line="360" w:lineRule="auto"/>
        <w:ind w:firstLine="420" w:firstLineChars="200"/>
        <w:rPr>
          <w:rFonts w:hint="eastAsia" w:ascii="宋体" w:hAnsi="宋体" w:cs="宋体"/>
          <w:szCs w:val="21"/>
        </w:rPr>
      </w:pPr>
      <w:r>
        <w:rPr>
          <w:rFonts w:hint="eastAsia" w:ascii="宋体" w:hAnsi="宋体" w:cs="宋体"/>
          <w:szCs w:val="21"/>
        </w:rPr>
        <w:t>违反上述情形之一者，技术文件或商务文件初步评审不予通过，不列入商务标详细评审。</w:t>
      </w:r>
    </w:p>
    <w:p>
      <w:pPr>
        <w:spacing w:line="360" w:lineRule="auto"/>
        <w:ind w:firstLine="420" w:firstLineChars="200"/>
        <w:rPr>
          <w:rFonts w:hint="eastAsia" w:ascii="宋体" w:hAnsi="宋体" w:cs="宋体"/>
          <w:color w:val="000000"/>
          <w:szCs w:val="21"/>
        </w:rPr>
      </w:pPr>
      <w:r>
        <w:rPr>
          <w:rFonts w:hint="eastAsia" w:ascii="宋体" w:hAnsi="宋体" w:cs="宋体"/>
          <w:szCs w:val="21"/>
          <w:lang w:val="en-US" w:eastAsia="zh-CN"/>
        </w:rPr>
        <w:t>9</w:t>
      </w:r>
      <w:r>
        <w:rPr>
          <w:rFonts w:ascii="宋体" w:hAnsi="宋体" w:cs="宋体"/>
          <w:szCs w:val="21"/>
        </w:rPr>
        <w:t>.2</w:t>
      </w:r>
      <w:r>
        <w:rPr>
          <w:rFonts w:hint="eastAsia" w:ascii="宋体" w:hAnsi="宋体" w:cs="宋体"/>
          <w:color w:val="000000"/>
          <w:szCs w:val="21"/>
        </w:rPr>
        <w:t>评标时，评标小组将首先评定每份投标文件是否在实质上响应了招标文件的要求。所谓实质上响应，是指投标文件应与招标文件的所有实质性条款、条件和要求相符，无显著差异或保留，或者对合同中约定的</w:t>
      </w:r>
      <w:r>
        <w:rPr>
          <w:rFonts w:hint="eastAsia" w:ascii="宋体" w:hAnsi="宋体" w:cs="宋体"/>
          <w:szCs w:val="21"/>
        </w:rPr>
        <w:t>采购人的</w:t>
      </w:r>
      <w:r>
        <w:rPr>
          <w:rFonts w:hint="eastAsia" w:ascii="宋体" w:hAnsi="宋体" w:cs="宋体"/>
          <w:color w:val="000000"/>
          <w:szCs w:val="21"/>
        </w:rPr>
        <w:t>权利和投标人的义务方面造成重大的限制，纠正这些显著差异或保留将会对其他实质上响应招标文件要求的投标文件的投标人的竞争地位产生不公正的影响。</w:t>
      </w:r>
    </w:p>
    <w:p>
      <w:pPr>
        <w:spacing w:line="360" w:lineRule="auto"/>
        <w:ind w:firstLine="420" w:firstLineChars="200"/>
        <w:rPr>
          <w:rFonts w:ascii="宋体" w:cs="宋体"/>
          <w:color w:val="000000"/>
          <w:szCs w:val="21"/>
        </w:rPr>
      </w:pPr>
      <w:r>
        <w:rPr>
          <w:rFonts w:hint="eastAsia" w:ascii="宋体" w:hAnsi="宋体" w:cs="宋体"/>
          <w:color w:val="000000"/>
          <w:szCs w:val="21"/>
          <w:lang w:val="en-US" w:eastAsia="zh-CN"/>
        </w:rPr>
        <w:t>9</w:t>
      </w:r>
      <w:r>
        <w:rPr>
          <w:rFonts w:ascii="宋体" w:hAnsi="宋体" w:cs="宋体"/>
          <w:color w:val="000000"/>
          <w:szCs w:val="21"/>
        </w:rPr>
        <w:t>.3</w:t>
      </w:r>
      <w:r>
        <w:rPr>
          <w:rFonts w:hint="eastAsia" w:ascii="宋体" w:hAnsi="宋体" w:cs="宋体"/>
          <w:color w:val="000000"/>
          <w:szCs w:val="21"/>
        </w:rPr>
        <w:t>如果投标文件实质上不响应招标文件的各项要求，评标小组将予以拒绝，并且不允许投标人通过修改或撤销其不符合要求的差异或保留，使之成为具有响应性的投标。</w:t>
      </w:r>
    </w:p>
    <w:p>
      <w:pPr>
        <w:adjustRightInd w:val="0"/>
        <w:snapToGrid w:val="0"/>
        <w:spacing w:line="460" w:lineRule="exact"/>
        <w:ind w:firstLine="413" w:firstLineChars="196"/>
        <w:rPr>
          <w:rFonts w:hint="eastAsia" w:ascii="宋体" w:hAnsi="宋体" w:cs="宋体"/>
          <w:b/>
          <w:szCs w:val="21"/>
        </w:rPr>
      </w:pPr>
      <w:r>
        <w:rPr>
          <w:rFonts w:hint="eastAsia" w:ascii="宋体" w:hAnsi="宋体" w:cs="宋体"/>
          <w:b/>
          <w:szCs w:val="21"/>
          <w:lang w:val="en-US" w:eastAsia="zh-CN"/>
        </w:rPr>
        <w:t>10</w:t>
      </w:r>
      <w:r>
        <w:rPr>
          <w:rFonts w:hint="eastAsia" w:ascii="宋体" w:hAnsi="宋体" w:cs="宋体"/>
          <w:b/>
          <w:szCs w:val="21"/>
        </w:rPr>
        <w:t>、投标文件计算错误的修正</w:t>
      </w:r>
    </w:p>
    <w:p>
      <w:pPr>
        <w:adjustRightInd w:val="0"/>
        <w:snapToGrid w:val="0"/>
        <w:spacing w:line="460" w:lineRule="exact"/>
        <w:ind w:firstLine="411" w:firstLineChars="196"/>
        <w:rPr>
          <w:rFonts w:hint="eastAsia" w:ascii="宋体" w:hAnsi="宋体" w:cs="宋体"/>
          <w:bCs/>
          <w:szCs w:val="21"/>
        </w:rPr>
      </w:pPr>
      <w:r>
        <w:rPr>
          <w:rFonts w:hint="eastAsia" w:ascii="宋体" w:hAnsi="宋体" w:cs="宋体"/>
          <w:bCs/>
          <w:szCs w:val="21"/>
          <w:lang w:val="en-US" w:eastAsia="zh-CN"/>
        </w:rPr>
        <w:t>10</w:t>
      </w:r>
      <w:r>
        <w:rPr>
          <w:rFonts w:hint="eastAsia" w:ascii="宋体" w:hAnsi="宋体" w:cs="宋体"/>
          <w:bCs/>
          <w:szCs w:val="21"/>
        </w:rPr>
        <w:t>.1评标小组将对确定为实质上响应招标文件要求的投标文件进行校核，看其是否有计算或表达上的错误，修正错误的原则如下：</w:t>
      </w:r>
    </w:p>
    <w:p>
      <w:pPr>
        <w:adjustRightInd w:val="0"/>
        <w:snapToGrid w:val="0"/>
        <w:spacing w:line="460" w:lineRule="exact"/>
        <w:ind w:firstLine="411" w:firstLineChars="196"/>
        <w:rPr>
          <w:rFonts w:hint="eastAsia" w:ascii="宋体" w:hAnsi="宋体" w:eastAsia="宋体" w:cs="宋体"/>
          <w:bCs/>
          <w:szCs w:val="21"/>
          <w:highlight w:val="none"/>
          <w:lang w:eastAsia="zh-CN"/>
        </w:rPr>
      </w:pPr>
      <w:r>
        <w:rPr>
          <w:rFonts w:hint="eastAsia" w:ascii="宋体" w:hAnsi="宋体" w:cs="宋体"/>
          <w:bCs/>
          <w:szCs w:val="21"/>
          <w:highlight w:val="none"/>
          <w:lang w:val="en-US" w:eastAsia="zh-CN"/>
        </w:rPr>
        <w:t>10.1.1</w:t>
      </w:r>
      <w:r>
        <w:rPr>
          <w:rFonts w:hint="eastAsia" w:ascii="宋体" w:hAnsi="宋体" w:cs="宋体"/>
          <w:bCs/>
          <w:szCs w:val="21"/>
          <w:highlight w:val="none"/>
        </w:rPr>
        <w:t>客户端填写的报价与以pdf格式上传文件中的报价不一致的，应以pdf格式上传文件中的报价为准</w:t>
      </w:r>
      <w:r>
        <w:rPr>
          <w:rFonts w:hint="eastAsia" w:ascii="宋体" w:hAnsi="宋体" w:cs="宋体"/>
          <w:bCs/>
          <w:szCs w:val="21"/>
          <w:highlight w:val="none"/>
          <w:lang w:eastAsia="zh-CN"/>
        </w:rPr>
        <w:t>；</w:t>
      </w:r>
    </w:p>
    <w:p>
      <w:pPr>
        <w:adjustRightInd w:val="0"/>
        <w:snapToGrid w:val="0"/>
        <w:spacing w:line="460" w:lineRule="exact"/>
        <w:ind w:firstLine="411" w:firstLineChars="196"/>
        <w:rPr>
          <w:rFonts w:hint="eastAsia" w:ascii="宋体" w:hAnsi="宋体" w:cs="宋体"/>
          <w:bCs/>
          <w:szCs w:val="21"/>
          <w:highlight w:val="none"/>
        </w:rPr>
      </w:pPr>
      <w:r>
        <w:rPr>
          <w:rFonts w:hint="eastAsia" w:ascii="宋体" w:hAnsi="宋体" w:cs="宋体"/>
          <w:bCs/>
          <w:szCs w:val="21"/>
          <w:highlight w:val="none"/>
          <w:lang w:val="en-US" w:eastAsia="zh-CN"/>
        </w:rPr>
        <w:t>10</w:t>
      </w:r>
      <w:r>
        <w:rPr>
          <w:rFonts w:hint="eastAsia" w:ascii="宋体" w:hAnsi="宋体" w:cs="宋体"/>
          <w:bCs/>
          <w:szCs w:val="21"/>
          <w:highlight w:val="none"/>
        </w:rPr>
        <w:t>.1.</w:t>
      </w:r>
      <w:r>
        <w:rPr>
          <w:rFonts w:hint="eastAsia" w:ascii="宋体" w:hAnsi="宋体" w:cs="宋体"/>
          <w:bCs/>
          <w:szCs w:val="21"/>
          <w:highlight w:val="none"/>
          <w:lang w:val="en-US" w:eastAsia="zh-CN"/>
        </w:rPr>
        <w:t>2</w:t>
      </w:r>
      <w:r>
        <w:rPr>
          <w:rFonts w:hint="eastAsia" w:ascii="宋体" w:hAnsi="宋体" w:cs="宋体"/>
          <w:bCs/>
          <w:szCs w:val="21"/>
          <w:highlight w:val="none"/>
        </w:rPr>
        <w:t>投标文件中《开标一览表》（报价表）与投标文件中相应内容不一致的，以《开标一览表》（报价表）为准；</w:t>
      </w:r>
    </w:p>
    <w:p>
      <w:pPr>
        <w:adjustRightInd w:val="0"/>
        <w:snapToGrid w:val="0"/>
        <w:spacing w:line="460" w:lineRule="exact"/>
        <w:ind w:firstLine="411" w:firstLineChars="196"/>
        <w:rPr>
          <w:rFonts w:hint="eastAsia" w:ascii="宋体" w:hAnsi="宋体" w:cs="宋体"/>
          <w:bCs/>
          <w:szCs w:val="21"/>
          <w:highlight w:val="none"/>
        </w:rPr>
      </w:pPr>
      <w:r>
        <w:rPr>
          <w:rFonts w:hint="eastAsia" w:ascii="宋体" w:hAnsi="宋体" w:cs="宋体"/>
          <w:bCs/>
          <w:szCs w:val="21"/>
          <w:highlight w:val="none"/>
          <w:lang w:val="en-US" w:eastAsia="zh-CN"/>
        </w:rPr>
        <w:t>10</w:t>
      </w:r>
      <w:r>
        <w:rPr>
          <w:rFonts w:hint="eastAsia" w:ascii="宋体" w:hAnsi="宋体" w:cs="宋体"/>
          <w:bCs/>
          <w:szCs w:val="21"/>
          <w:highlight w:val="none"/>
        </w:rPr>
        <w:t>.1.</w:t>
      </w:r>
      <w:r>
        <w:rPr>
          <w:rFonts w:hint="eastAsia" w:ascii="宋体" w:hAnsi="宋体" w:cs="宋体"/>
          <w:bCs/>
          <w:szCs w:val="21"/>
          <w:highlight w:val="none"/>
          <w:lang w:val="en-US" w:eastAsia="zh-CN"/>
        </w:rPr>
        <w:t>3</w:t>
      </w:r>
      <w:r>
        <w:rPr>
          <w:rFonts w:hint="eastAsia" w:ascii="宋体" w:hAnsi="宋体" w:cs="宋体"/>
          <w:bCs/>
          <w:szCs w:val="21"/>
          <w:highlight w:val="none"/>
        </w:rPr>
        <w:t>大写金额和小写金额不一致的，以大写金额为准；</w:t>
      </w:r>
    </w:p>
    <w:p>
      <w:pPr>
        <w:adjustRightInd w:val="0"/>
        <w:snapToGrid w:val="0"/>
        <w:spacing w:line="460" w:lineRule="exact"/>
        <w:ind w:firstLine="411" w:firstLineChars="196"/>
        <w:rPr>
          <w:rFonts w:hint="eastAsia" w:ascii="宋体" w:hAnsi="宋体" w:cs="宋体"/>
          <w:bCs/>
          <w:szCs w:val="21"/>
          <w:highlight w:val="none"/>
        </w:rPr>
      </w:pPr>
      <w:r>
        <w:rPr>
          <w:rFonts w:hint="eastAsia" w:ascii="宋体" w:hAnsi="宋体" w:cs="宋体"/>
          <w:bCs/>
          <w:szCs w:val="21"/>
          <w:highlight w:val="none"/>
          <w:lang w:val="en-US" w:eastAsia="zh-CN"/>
        </w:rPr>
        <w:t>10</w:t>
      </w:r>
      <w:r>
        <w:rPr>
          <w:rFonts w:hint="eastAsia" w:ascii="宋体" w:hAnsi="宋体" w:cs="宋体"/>
          <w:bCs/>
          <w:szCs w:val="21"/>
          <w:highlight w:val="none"/>
        </w:rPr>
        <w:t>.1.</w:t>
      </w:r>
      <w:r>
        <w:rPr>
          <w:rFonts w:hint="eastAsia" w:ascii="宋体" w:hAnsi="宋体" w:cs="宋体"/>
          <w:bCs/>
          <w:szCs w:val="21"/>
          <w:highlight w:val="none"/>
          <w:lang w:val="en-US" w:eastAsia="zh-CN"/>
        </w:rPr>
        <w:t>4</w:t>
      </w:r>
      <w:r>
        <w:rPr>
          <w:rFonts w:hint="eastAsia" w:ascii="宋体" w:hAnsi="宋体" w:cs="宋体"/>
          <w:bCs/>
          <w:szCs w:val="21"/>
          <w:highlight w:val="none"/>
        </w:rPr>
        <w:t>单价金额小数点或者百分比有明显错位的，以开标一览表的总价为准，并修改单价；</w:t>
      </w:r>
    </w:p>
    <w:p>
      <w:pPr>
        <w:adjustRightInd w:val="0"/>
        <w:snapToGrid w:val="0"/>
        <w:spacing w:line="460" w:lineRule="exact"/>
        <w:ind w:firstLine="411" w:firstLineChars="196"/>
        <w:rPr>
          <w:rFonts w:hint="eastAsia" w:ascii="宋体" w:hAnsi="宋体" w:cs="宋体"/>
          <w:bCs/>
          <w:szCs w:val="21"/>
          <w:highlight w:val="none"/>
        </w:rPr>
      </w:pPr>
      <w:r>
        <w:rPr>
          <w:rFonts w:hint="eastAsia" w:ascii="宋体" w:hAnsi="宋体" w:cs="宋体"/>
          <w:bCs/>
          <w:szCs w:val="21"/>
          <w:highlight w:val="none"/>
          <w:lang w:val="en-US" w:eastAsia="zh-CN"/>
        </w:rPr>
        <w:t>10</w:t>
      </w:r>
      <w:r>
        <w:rPr>
          <w:rFonts w:hint="eastAsia" w:ascii="宋体" w:hAnsi="宋体" w:cs="宋体"/>
          <w:bCs/>
          <w:szCs w:val="21"/>
          <w:highlight w:val="none"/>
        </w:rPr>
        <w:t>.1.</w:t>
      </w:r>
      <w:r>
        <w:rPr>
          <w:rFonts w:hint="eastAsia" w:ascii="宋体" w:hAnsi="宋体" w:cs="宋体"/>
          <w:bCs/>
          <w:szCs w:val="21"/>
          <w:highlight w:val="none"/>
          <w:lang w:val="en-US" w:eastAsia="zh-CN"/>
        </w:rPr>
        <w:t>5</w:t>
      </w:r>
      <w:r>
        <w:rPr>
          <w:rFonts w:hint="eastAsia" w:ascii="宋体" w:hAnsi="宋体" w:cs="宋体"/>
          <w:bCs/>
          <w:szCs w:val="21"/>
          <w:highlight w:val="none"/>
        </w:rPr>
        <w:t>总价金额与按单价汇总金额不一致的，以单价金额计算结果为准；</w:t>
      </w:r>
    </w:p>
    <w:p>
      <w:pPr>
        <w:adjustRightInd w:val="0"/>
        <w:snapToGrid w:val="0"/>
        <w:spacing w:line="460" w:lineRule="exact"/>
        <w:ind w:firstLine="411" w:firstLineChars="196"/>
        <w:rPr>
          <w:rFonts w:hint="eastAsia" w:ascii="宋体" w:hAnsi="宋体" w:cs="宋体"/>
          <w:bCs/>
          <w:szCs w:val="21"/>
          <w:highlight w:val="cyan"/>
        </w:rPr>
      </w:pPr>
      <w:r>
        <w:rPr>
          <w:rFonts w:hint="eastAsia" w:ascii="宋体" w:hAnsi="宋体" w:cs="宋体"/>
          <w:bCs/>
          <w:szCs w:val="21"/>
          <w:highlight w:val="none"/>
        </w:rPr>
        <w:t>同时出现两种以上不一致的，按照前款规定的顺序修正。修正后的报价按照财政部令第87号第五十一条第二款的规定通过“义乌市阳光招标采购平台”经投标人确认后产生约束力，投标人不确认的，其投标无效。</w:t>
      </w:r>
    </w:p>
    <w:p>
      <w:pPr>
        <w:adjustRightInd w:val="0"/>
        <w:snapToGrid w:val="0"/>
        <w:spacing w:line="460" w:lineRule="exact"/>
        <w:ind w:firstLine="413" w:firstLineChars="196"/>
        <w:rPr>
          <w:rFonts w:ascii="宋体" w:cs="宋体"/>
          <w:b/>
          <w:szCs w:val="21"/>
        </w:rPr>
      </w:pPr>
      <w:r>
        <w:rPr>
          <w:rFonts w:ascii="宋体" w:hAnsi="宋体" w:cs="宋体"/>
          <w:b/>
          <w:szCs w:val="21"/>
        </w:rPr>
        <w:t>1</w:t>
      </w:r>
      <w:r>
        <w:rPr>
          <w:rFonts w:hint="eastAsia" w:ascii="宋体" w:hAnsi="宋体" w:cs="宋体"/>
          <w:b/>
          <w:szCs w:val="21"/>
          <w:lang w:val="en-US" w:eastAsia="zh-CN"/>
        </w:rPr>
        <w:t>1</w:t>
      </w:r>
      <w:r>
        <w:rPr>
          <w:rFonts w:hint="eastAsia" w:ascii="宋体" w:hAnsi="宋体" w:cs="宋体"/>
          <w:b/>
          <w:szCs w:val="21"/>
        </w:rPr>
        <w:t>、投标文件的评审、比较和否决</w:t>
      </w:r>
    </w:p>
    <w:p>
      <w:pPr>
        <w:adjustRightInd w:val="0"/>
        <w:snapToGrid w:val="0"/>
        <w:spacing w:line="460" w:lineRule="exact"/>
        <w:ind w:firstLine="420" w:firstLineChars="200"/>
        <w:rPr>
          <w:rFonts w:ascii="宋体" w:cs="宋体"/>
          <w:szCs w:val="21"/>
        </w:rPr>
      </w:pPr>
      <w:r>
        <w:rPr>
          <w:rFonts w:ascii="宋体" w:hAnsi="宋体" w:cs="宋体"/>
          <w:szCs w:val="21"/>
        </w:rPr>
        <w:t>1</w:t>
      </w:r>
      <w:r>
        <w:rPr>
          <w:rFonts w:hint="eastAsia" w:ascii="宋体" w:hAnsi="宋体" w:cs="宋体"/>
          <w:szCs w:val="21"/>
          <w:lang w:val="en-US" w:eastAsia="zh-CN"/>
        </w:rPr>
        <w:t>1</w:t>
      </w:r>
      <w:r>
        <w:rPr>
          <w:rFonts w:ascii="宋体" w:hAnsi="宋体" w:cs="宋体"/>
          <w:szCs w:val="21"/>
        </w:rPr>
        <w:t>.1</w:t>
      </w:r>
      <w:r>
        <w:rPr>
          <w:rFonts w:hint="eastAsia" w:ascii="宋体" w:hAnsi="宋体" w:cs="宋体"/>
          <w:szCs w:val="21"/>
        </w:rPr>
        <w:t>评标小组将按照本须知规定，仅对在实质上响应招标文件要求的投标文件进行评估和比较。</w:t>
      </w:r>
    </w:p>
    <w:p>
      <w:pPr>
        <w:adjustRightInd w:val="0"/>
        <w:snapToGrid w:val="0"/>
        <w:spacing w:line="460" w:lineRule="exact"/>
        <w:ind w:firstLine="420" w:firstLineChars="200"/>
        <w:rPr>
          <w:rFonts w:ascii="宋体" w:cs="宋体"/>
          <w:szCs w:val="21"/>
        </w:rPr>
      </w:pPr>
      <w:r>
        <w:rPr>
          <w:rFonts w:ascii="宋体" w:hAnsi="宋体" w:cs="宋体"/>
          <w:szCs w:val="21"/>
        </w:rPr>
        <w:t>1</w:t>
      </w:r>
      <w:r>
        <w:rPr>
          <w:rFonts w:hint="eastAsia" w:ascii="宋体" w:hAnsi="宋体" w:cs="宋体"/>
          <w:szCs w:val="21"/>
          <w:lang w:val="en-US" w:eastAsia="zh-CN"/>
        </w:rPr>
        <w:t>1</w:t>
      </w:r>
      <w:r>
        <w:rPr>
          <w:rFonts w:ascii="宋体" w:hAnsi="宋体" w:cs="宋体"/>
          <w:szCs w:val="21"/>
        </w:rPr>
        <w:t>.2</w:t>
      </w:r>
      <w:r>
        <w:rPr>
          <w:rFonts w:hint="eastAsia" w:ascii="宋体" w:hAnsi="宋体" w:cs="宋体"/>
          <w:szCs w:val="21"/>
        </w:rPr>
        <w:t>在评审过程后，评标小组可以以书面形式要求投标人就投标文件中含义不明确的内容进行书面说明并提供相关材料。</w:t>
      </w:r>
    </w:p>
    <w:p>
      <w:pPr>
        <w:adjustRightInd w:val="0"/>
        <w:snapToGrid w:val="0"/>
        <w:spacing w:line="460" w:lineRule="exact"/>
        <w:ind w:firstLine="420" w:firstLineChars="200"/>
        <w:rPr>
          <w:rFonts w:ascii="宋体" w:cs="宋体"/>
          <w:szCs w:val="21"/>
        </w:rPr>
      </w:pPr>
      <w:r>
        <w:rPr>
          <w:rFonts w:ascii="宋体" w:hAnsi="宋体" w:cs="宋体"/>
          <w:szCs w:val="21"/>
        </w:rPr>
        <w:t>1</w:t>
      </w:r>
      <w:r>
        <w:rPr>
          <w:rFonts w:hint="eastAsia" w:ascii="宋体" w:hAnsi="宋体" w:cs="宋体"/>
          <w:szCs w:val="21"/>
          <w:lang w:val="en-US" w:eastAsia="zh-CN"/>
        </w:rPr>
        <w:t>1</w:t>
      </w:r>
      <w:r>
        <w:rPr>
          <w:rFonts w:ascii="宋体" w:hAnsi="宋体" w:cs="宋体"/>
          <w:szCs w:val="21"/>
        </w:rPr>
        <w:t>.3</w:t>
      </w:r>
      <w:r>
        <w:rPr>
          <w:rFonts w:hint="eastAsia" w:ascii="宋体" w:hAnsi="宋体" w:cs="宋体"/>
          <w:szCs w:val="21"/>
        </w:rPr>
        <w:t>评标小组在作出任何一项无效标决定前，都应当严格遵循以下程序：</w:t>
      </w:r>
    </w:p>
    <w:p>
      <w:pPr>
        <w:adjustRightInd w:val="0"/>
        <w:snapToGrid w:val="0"/>
        <w:spacing w:line="460" w:lineRule="exact"/>
        <w:ind w:firstLine="413" w:firstLineChars="196"/>
        <w:rPr>
          <w:rFonts w:ascii="宋体" w:cs="宋体"/>
          <w:b/>
          <w:szCs w:val="21"/>
        </w:rPr>
      </w:pPr>
      <w:r>
        <w:rPr>
          <w:rFonts w:ascii="宋体" w:hAnsi="宋体" w:cs="宋体"/>
          <w:b/>
          <w:szCs w:val="21"/>
        </w:rPr>
        <w:t>1</w:t>
      </w:r>
      <w:r>
        <w:rPr>
          <w:rFonts w:hint="eastAsia" w:ascii="宋体" w:hAnsi="宋体" w:cs="宋体"/>
          <w:b/>
          <w:szCs w:val="21"/>
          <w:lang w:val="en-US" w:eastAsia="zh-CN"/>
        </w:rPr>
        <w:t>1</w:t>
      </w:r>
      <w:r>
        <w:rPr>
          <w:rFonts w:ascii="宋体" w:hAnsi="宋体" w:cs="宋体"/>
          <w:b/>
          <w:szCs w:val="21"/>
        </w:rPr>
        <w:t>.3.1</w:t>
      </w:r>
      <w:r>
        <w:rPr>
          <w:rFonts w:hint="eastAsia" w:ascii="宋体" w:hAnsi="宋体" w:cs="宋体"/>
          <w:b/>
          <w:szCs w:val="21"/>
        </w:rPr>
        <w:t>要求当事投标人作相应的答辩；</w:t>
      </w:r>
    </w:p>
    <w:p>
      <w:pPr>
        <w:adjustRightInd w:val="0"/>
        <w:snapToGrid w:val="0"/>
        <w:spacing w:line="460" w:lineRule="exact"/>
        <w:ind w:firstLine="413" w:firstLineChars="196"/>
        <w:rPr>
          <w:rFonts w:ascii="宋体" w:cs="宋体"/>
          <w:b/>
          <w:szCs w:val="21"/>
        </w:rPr>
      </w:pPr>
      <w:r>
        <w:rPr>
          <w:rFonts w:ascii="宋体" w:hAnsi="宋体" w:cs="宋体"/>
          <w:b/>
          <w:szCs w:val="21"/>
        </w:rPr>
        <w:t>1</w:t>
      </w:r>
      <w:r>
        <w:rPr>
          <w:rFonts w:hint="eastAsia" w:ascii="宋体" w:hAnsi="宋体" w:cs="宋体"/>
          <w:b/>
          <w:szCs w:val="21"/>
          <w:lang w:val="en-US" w:eastAsia="zh-CN"/>
        </w:rPr>
        <w:t>1</w:t>
      </w:r>
      <w:r>
        <w:rPr>
          <w:rFonts w:ascii="宋体" w:hAnsi="宋体" w:cs="宋体"/>
          <w:b/>
          <w:szCs w:val="21"/>
        </w:rPr>
        <w:t>.3.2</w:t>
      </w:r>
      <w:r>
        <w:rPr>
          <w:rFonts w:hint="eastAsia" w:ascii="宋体" w:hAnsi="宋体" w:cs="宋体"/>
          <w:b/>
          <w:szCs w:val="21"/>
        </w:rPr>
        <w:t>将答辩记录送当事投标人法定代表人或其授权委托的全权代表签字确认；</w:t>
      </w:r>
    </w:p>
    <w:p>
      <w:pPr>
        <w:adjustRightInd w:val="0"/>
        <w:snapToGrid w:val="0"/>
        <w:spacing w:line="460" w:lineRule="exact"/>
        <w:ind w:firstLine="413" w:firstLineChars="196"/>
        <w:rPr>
          <w:rFonts w:ascii="宋体" w:cs="宋体"/>
          <w:b/>
          <w:szCs w:val="21"/>
        </w:rPr>
      </w:pPr>
      <w:r>
        <w:rPr>
          <w:rFonts w:ascii="宋体" w:hAnsi="宋体" w:cs="宋体"/>
          <w:b/>
          <w:szCs w:val="21"/>
        </w:rPr>
        <w:t>1</w:t>
      </w:r>
      <w:r>
        <w:rPr>
          <w:rFonts w:hint="eastAsia" w:ascii="宋体" w:hAnsi="宋体" w:cs="宋体"/>
          <w:b/>
          <w:szCs w:val="21"/>
          <w:lang w:val="en-US" w:eastAsia="zh-CN"/>
        </w:rPr>
        <w:t>1</w:t>
      </w:r>
      <w:r>
        <w:rPr>
          <w:rFonts w:ascii="宋体" w:hAnsi="宋体" w:cs="宋体"/>
          <w:b/>
          <w:szCs w:val="21"/>
        </w:rPr>
        <w:t>.3.3</w:t>
      </w:r>
      <w:r>
        <w:rPr>
          <w:rFonts w:hint="eastAsia" w:ascii="宋体" w:hAnsi="宋体" w:cs="宋体"/>
          <w:b/>
          <w:szCs w:val="21"/>
        </w:rPr>
        <w:t>在充分讨论的基础上集体表决；</w:t>
      </w:r>
    </w:p>
    <w:p>
      <w:pPr>
        <w:adjustRightInd w:val="0"/>
        <w:snapToGrid w:val="0"/>
        <w:spacing w:line="460" w:lineRule="exact"/>
        <w:ind w:firstLine="413" w:firstLineChars="196"/>
        <w:rPr>
          <w:rFonts w:ascii="宋体" w:cs="宋体"/>
          <w:b/>
          <w:color w:val="FF0000"/>
          <w:szCs w:val="21"/>
        </w:rPr>
      </w:pPr>
      <w:r>
        <w:rPr>
          <w:rFonts w:ascii="宋体" w:hAnsi="宋体" w:cs="宋体"/>
          <w:b/>
          <w:szCs w:val="21"/>
        </w:rPr>
        <w:t>1</w:t>
      </w:r>
      <w:r>
        <w:rPr>
          <w:rFonts w:hint="eastAsia" w:ascii="宋体" w:hAnsi="宋体" w:cs="宋体"/>
          <w:b/>
          <w:szCs w:val="21"/>
          <w:lang w:val="en-US" w:eastAsia="zh-CN"/>
        </w:rPr>
        <w:t>1</w:t>
      </w:r>
      <w:r>
        <w:rPr>
          <w:rFonts w:ascii="宋体" w:hAnsi="宋体" w:cs="宋体"/>
          <w:b/>
          <w:szCs w:val="21"/>
        </w:rPr>
        <w:t>.3.4</w:t>
      </w:r>
      <w:r>
        <w:rPr>
          <w:rFonts w:hint="eastAsia" w:ascii="宋体" w:hAnsi="宋体" w:cs="宋体"/>
          <w:b/>
          <w:szCs w:val="21"/>
        </w:rPr>
        <w:t>若表决通过无效标决定，告知当事投标人，并在评标报告中详细载明废标理由、依据、答辩的情况和集体表决的情况（同意废标和不同意废标的评标小组成员均应当注明）。</w:t>
      </w:r>
    </w:p>
    <w:p>
      <w:pPr>
        <w:pStyle w:val="17"/>
        <w:spacing w:line="460" w:lineRule="exact"/>
        <w:ind w:firstLine="420" w:firstLineChars="200"/>
        <w:rPr>
          <w:rFonts w:hAnsi="宋体" w:cs="宋体"/>
        </w:rPr>
      </w:pPr>
      <w:r>
        <w:rPr>
          <w:rFonts w:hAnsi="宋体" w:cs="宋体"/>
        </w:rPr>
        <w:t>1</w:t>
      </w:r>
      <w:r>
        <w:rPr>
          <w:rFonts w:hint="eastAsia" w:hAnsi="宋体" w:cs="宋体"/>
          <w:lang w:val="en-US" w:eastAsia="zh-CN"/>
        </w:rPr>
        <w:t>1</w:t>
      </w:r>
      <w:r>
        <w:rPr>
          <w:rFonts w:hAnsi="宋体" w:cs="宋体"/>
        </w:rPr>
        <w:t>.4</w:t>
      </w:r>
      <w:r>
        <w:rPr>
          <w:rFonts w:hint="eastAsia" w:hAnsi="宋体" w:cs="宋体"/>
        </w:rPr>
        <w:t>评标小组经评审，认为所有投标都不符合招标文件要求时，可以否决所有投标。所有投标被否决后，采购人应当依法重新招标。</w:t>
      </w:r>
    </w:p>
    <w:p>
      <w:pPr>
        <w:pStyle w:val="17"/>
        <w:spacing w:line="460" w:lineRule="exact"/>
        <w:ind w:firstLine="406" w:firstLineChars="200"/>
        <w:rPr>
          <w:rFonts w:hAnsi="宋体" w:cs="宋体"/>
          <w:b/>
          <w:spacing w:val="-4"/>
        </w:rPr>
      </w:pPr>
      <w:r>
        <w:rPr>
          <w:rFonts w:hAnsi="宋体" w:cs="宋体"/>
          <w:b/>
          <w:spacing w:val="-4"/>
        </w:rPr>
        <w:t>1</w:t>
      </w:r>
      <w:r>
        <w:rPr>
          <w:rFonts w:hint="eastAsia" w:hAnsi="宋体" w:cs="宋体"/>
          <w:b/>
          <w:spacing w:val="-4"/>
          <w:lang w:val="en-US" w:eastAsia="zh-CN"/>
        </w:rPr>
        <w:t>2</w:t>
      </w:r>
      <w:r>
        <w:rPr>
          <w:rFonts w:hint="eastAsia" w:hAnsi="宋体" w:cs="宋体"/>
          <w:b/>
          <w:spacing w:val="-4"/>
        </w:rPr>
        <w:t>、评标办法</w:t>
      </w:r>
    </w:p>
    <w:p>
      <w:pPr>
        <w:adjustRightInd w:val="0"/>
        <w:snapToGrid w:val="0"/>
        <w:spacing w:line="440" w:lineRule="exact"/>
        <w:ind w:firstLine="422" w:firstLineChars="200"/>
        <w:rPr>
          <w:rFonts w:ascii="宋体" w:cs="宋体"/>
          <w:b/>
          <w:szCs w:val="21"/>
        </w:rPr>
      </w:pPr>
      <w:r>
        <w:rPr>
          <w:rFonts w:ascii="宋体" w:hAnsi="宋体" w:cs="宋体"/>
          <w:b/>
          <w:szCs w:val="21"/>
        </w:rPr>
        <w:t>1</w:t>
      </w:r>
      <w:r>
        <w:rPr>
          <w:rFonts w:hint="eastAsia" w:ascii="宋体" w:hAnsi="宋体" w:cs="宋体"/>
          <w:b/>
          <w:szCs w:val="21"/>
          <w:lang w:val="en-US" w:eastAsia="zh-CN"/>
        </w:rPr>
        <w:t>2</w:t>
      </w:r>
      <w:r>
        <w:rPr>
          <w:rFonts w:ascii="宋体" w:hAnsi="宋体" w:cs="宋体"/>
          <w:b/>
          <w:szCs w:val="21"/>
        </w:rPr>
        <w:t>.1</w:t>
      </w:r>
      <w:r>
        <w:rPr>
          <w:rFonts w:hint="eastAsia" w:ascii="宋体" w:hAnsi="宋体" w:cs="宋体"/>
          <w:b/>
          <w:szCs w:val="21"/>
        </w:rPr>
        <w:t>采用</w:t>
      </w:r>
      <w:r>
        <w:rPr>
          <w:rFonts w:hint="eastAsia" w:ascii="宋体" w:hAnsi="宋体" w:cs="宋体"/>
          <w:b/>
          <w:szCs w:val="21"/>
          <w:lang w:val="en-US" w:eastAsia="zh-CN"/>
        </w:rPr>
        <w:t>综合评分</w:t>
      </w:r>
      <w:r>
        <w:rPr>
          <w:rFonts w:hint="eastAsia" w:ascii="宋体" w:hAnsi="宋体" w:cs="宋体"/>
          <w:b/>
          <w:szCs w:val="21"/>
        </w:rPr>
        <w:t>法（具体评标办法见后）。</w:t>
      </w:r>
    </w:p>
    <w:p>
      <w:pPr>
        <w:adjustRightInd w:val="0"/>
        <w:snapToGrid w:val="0"/>
        <w:spacing w:line="460" w:lineRule="exact"/>
        <w:ind w:firstLine="422" w:firstLineChars="200"/>
        <w:rPr>
          <w:rFonts w:ascii="宋体" w:cs="宋体"/>
          <w:b/>
          <w:szCs w:val="21"/>
        </w:rPr>
      </w:pPr>
      <w:r>
        <w:rPr>
          <w:rFonts w:ascii="宋体" w:hAnsi="宋体" w:cs="宋体"/>
          <w:b/>
          <w:szCs w:val="21"/>
        </w:rPr>
        <w:t>1</w:t>
      </w:r>
      <w:r>
        <w:rPr>
          <w:rFonts w:hint="eastAsia" w:ascii="宋体" w:hAnsi="宋体" w:cs="宋体"/>
          <w:b/>
          <w:szCs w:val="21"/>
          <w:lang w:val="en-US" w:eastAsia="zh-CN"/>
        </w:rPr>
        <w:t>3</w:t>
      </w:r>
      <w:r>
        <w:rPr>
          <w:rFonts w:hint="eastAsia" w:ascii="宋体" w:hAnsi="宋体" w:cs="宋体"/>
          <w:b/>
          <w:szCs w:val="21"/>
        </w:rPr>
        <w:t>、决标</w:t>
      </w:r>
    </w:p>
    <w:p>
      <w:pPr>
        <w:adjustRightInd w:val="0"/>
        <w:snapToGrid w:val="0"/>
        <w:spacing w:line="460" w:lineRule="exact"/>
        <w:ind w:firstLine="573"/>
        <w:rPr>
          <w:rFonts w:hint="eastAsia" w:ascii="宋体" w:hAnsi="宋体" w:cs="宋体"/>
          <w:sz w:val="24"/>
        </w:rPr>
      </w:pPr>
      <w:r>
        <w:rPr>
          <w:rFonts w:hint="eastAsia" w:ascii="宋体" w:hAnsi="宋体" w:cs="宋体"/>
          <w:szCs w:val="21"/>
        </w:rPr>
        <w:t>采购人也可以授权评标小组直接确定中标人</w:t>
      </w:r>
      <w:r>
        <w:rPr>
          <w:rFonts w:hint="eastAsia" w:ascii="宋体" w:hAnsi="宋体" w:cs="宋体"/>
          <w:sz w:val="24"/>
        </w:rPr>
        <w:t>。</w:t>
      </w:r>
      <w:bookmarkStart w:id="44" w:name="_Toc226973003"/>
      <w:bookmarkStart w:id="45" w:name="_Toc4305"/>
      <w:bookmarkStart w:id="46" w:name="_Toc274303254"/>
      <w:bookmarkStart w:id="47" w:name="_Toc263090376"/>
      <w:bookmarkStart w:id="48" w:name="_Toc261519848"/>
      <w:bookmarkStart w:id="49" w:name="_Toc362250706"/>
    </w:p>
    <w:p>
      <w:pPr>
        <w:adjustRightInd w:val="0"/>
        <w:snapToGrid w:val="0"/>
        <w:spacing w:line="460" w:lineRule="exact"/>
        <w:ind w:firstLine="422" w:firstLineChars="200"/>
        <w:outlineLvl w:val="1"/>
        <w:rPr>
          <w:rFonts w:ascii="宋体" w:hAnsi="宋体" w:cs="宋体"/>
          <w:b/>
          <w:bCs/>
          <w:szCs w:val="21"/>
        </w:rPr>
      </w:pPr>
      <w:bookmarkStart w:id="50" w:name="_Toc7867"/>
      <w:r>
        <w:rPr>
          <w:rFonts w:hint="eastAsia" w:ascii="宋体" w:hAnsi="宋体" w:cs="宋体"/>
          <w:b/>
          <w:bCs/>
          <w:szCs w:val="21"/>
        </w:rPr>
        <w:t>三、定标</w:t>
      </w:r>
      <w:bookmarkEnd w:id="44"/>
      <w:bookmarkEnd w:id="45"/>
      <w:bookmarkEnd w:id="46"/>
      <w:bookmarkEnd w:id="47"/>
      <w:bookmarkEnd w:id="48"/>
      <w:bookmarkEnd w:id="49"/>
      <w:bookmarkEnd w:id="50"/>
    </w:p>
    <w:p>
      <w:pPr>
        <w:spacing w:line="460" w:lineRule="exact"/>
        <w:ind w:firstLine="422" w:firstLineChars="200"/>
        <w:rPr>
          <w:rFonts w:hint="eastAsia" w:ascii="宋体" w:hAnsi="宋体" w:cs="宋体"/>
          <w:b/>
          <w:bCs/>
          <w:szCs w:val="21"/>
        </w:rPr>
      </w:pPr>
      <w:r>
        <w:rPr>
          <w:rFonts w:hint="eastAsia" w:ascii="宋体" w:hAnsi="宋体" w:cs="宋体"/>
          <w:b/>
          <w:bCs/>
          <w:szCs w:val="21"/>
        </w:rPr>
        <w:t>1</w:t>
      </w:r>
      <w:r>
        <w:rPr>
          <w:rFonts w:hint="eastAsia" w:ascii="宋体" w:hAnsi="宋体" w:cs="宋体"/>
          <w:b/>
          <w:bCs/>
          <w:szCs w:val="21"/>
          <w:lang w:val="en-US" w:eastAsia="zh-CN"/>
        </w:rPr>
        <w:t>4</w:t>
      </w:r>
      <w:r>
        <w:rPr>
          <w:rFonts w:hint="eastAsia" w:ascii="宋体" w:hAnsi="宋体" w:cs="宋体"/>
          <w:b/>
          <w:bCs/>
          <w:szCs w:val="21"/>
        </w:rPr>
        <w:t>、中标通知</w:t>
      </w:r>
    </w:p>
    <w:p>
      <w:pPr>
        <w:spacing w:line="460" w:lineRule="exact"/>
        <w:ind w:firstLine="420" w:firstLineChars="200"/>
        <w:rPr>
          <w:rFonts w:hint="eastAsia" w:ascii="宋体" w:hAnsi="宋体" w:cs="宋体"/>
          <w:szCs w:val="21"/>
        </w:rPr>
      </w:pPr>
      <w:r>
        <w:rPr>
          <w:rFonts w:hint="eastAsia" w:ascii="宋体" w:hAnsi="宋体" w:cs="宋体"/>
          <w:szCs w:val="21"/>
        </w:rPr>
        <w:t>1</w:t>
      </w:r>
      <w:r>
        <w:rPr>
          <w:rFonts w:hint="eastAsia" w:ascii="宋体" w:hAnsi="宋体" w:cs="宋体"/>
          <w:szCs w:val="21"/>
          <w:lang w:val="en-US" w:eastAsia="zh-CN"/>
        </w:rPr>
        <w:t>4</w:t>
      </w:r>
      <w:r>
        <w:rPr>
          <w:rFonts w:hint="eastAsia" w:ascii="宋体" w:hAnsi="宋体" w:cs="宋体"/>
          <w:szCs w:val="21"/>
        </w:rPr>
        <w:t>.1评标结束后，评标结果公告1个工作日，发布评标结果公告的媒体为：义乌市阳光招标采购平台(www.ywygzc.com)、义乌产权交易网（www.ywcq.com）。</w:t>
      </w:r>
    </w:p>
    <w:p>
      <w:pPr>
        <w:spacing w:line="460" w:lineRule="exact"/>
        <w:ind w:firstLine="420" w:firstLineChars="200"/>
        <w:rPr>
          <w:rFonts w:hint="eastAsia"/>
          <w:highlight w:val="none"/>
        </w:rPr>
      </w:pPr>
      <w:r>
        <w:rPr>
          <w:rFonts w:hint="eastAsia" w:ascii="宋体" w:hAnsi="宋体" w:cs="宋体"/>
          <w:highlight w:val="none"/>
        </w:rPr>
        <w:t>1</w:t>
      </w:r>
      <w:r>
        <w:rPr>
          <w:rFonts w:hint="eastAsia" w:ascii="宋体" w:hAnsi="宋体" w:cs="宋体"/>
          <w:highlight w:val="none"/>
          <w:lang w:val="en-US" w:eastAsia="zh-CN"/>
        </w:rPr>
        <w:t>4</w:t>
      </w:r>
      <w:r>
        <w:rPr>
          <w:rFonts w:hint="eastAsia" w:ascii="宋体" w:hAnsi="宋体" w:cs="宋体"/>
          <w:highlight w:val="none"/>
        </w:rPr>
        <w:t>.2</w:t>
      </w:r>
      <w:r>
        <w:rPr>
          <w:rFonts w:hint="eastAsia" w:hAnsi="宋体" w:cs="宋体"/>
          <w:highlight w:val="none"/>
        </w:rPr>
        <w:t>公告期内，如无有效异议，公告期结束，由采购人和义乌产权交易所有限公司共同签发《中标通知书》，中标人凭有效证明到义乌产权交易所有限公司领取《中标通知书》。《中标通知书》一经发出即发生法律效力。</w:t>
      </w:r>
    </w:p>
    <w:p>
      <w:pPr>
        <w:spacing w:line="460" w:lineRule="exact"/>
        <w:ind w:firstLine="420" w:firstLineChars="200"/>
        <w:rPr>
          <w:rFonts w:hint="eastAsia" w:ascii="宋体" w:hAnsi="宋体" w:cs="宋体"/>
          <w:szCs w:val="21"/>
          <w:highlight w:val="none"/>
        </w:rPr>
      </w:pPr>
      <w:r>
        <w:rPr>
          <w:rFonts w:hint="eastAsia" w:ascii="宋体" w:hAnsi="宋体" w:cs="宋体"/>
          <w:szCs w:val="21"/>
          <w:highlight w:val="none"/>
        </w:rPr>
        <w:t>1</w:t>
      </w:r>
      <w:r>
        <w:rPr>
          <w:rFonts w:hint="eastAsia" w:ascii="宋体" w:hAnsi="宋体" w:cs="宋体"/>
          <w:szCs w:val="21"/>
          <w:highlight w:val="none"/>
          <w:lang w:val="en-US" w:eastAsia="zh-CN"/>
        </w:rPr>
        <w:t>4</w:t>
      </w:r>
      <w:r>
        <w:rPr>
          <w:rFonts w:hint="eastAsia" w:ascii="宋体" w:hAnsi="宋体" w:cs="宋体"/>
          <w:szCs w:val="21"/>
          <w:highlight w:val="none"/>
        </w:rPr>
        <w:t>.3开标过程中，投标人对开标有异议的，应当在“义乌市阳光招标采购平台”上及时提出，评标委员应对异常情况制作相关记录。投标人若对开评标结果提出质疑的，质疑材料可加盖单位公章后以扫描件形式通过邮箱（ywcqztb001@ywcq.com）送达。</w:t>
      </w:r>
    </w:p>
    <w:p>
      <w:pPr>
        <w:spacing w:line="460" w:lineRule="exact"/>
        <w:ind w:firstLine="420" w:firstLineChars="200"/>
        <w:rPr>
          <w:rFonts w:hint="eastAsia" w:ascii="宋体" w:hAnsi="宋体" w:cs="宋体"/>
          <w:szCs w:val="21"/>
        </w:rPr>
      </w:pPr>
      <w:r>
        <w:rPr>
          <w:rFonts w:hint="eastAsia" w:ascii="宋体" w:hAnsi="宋体" w:cs="宋体"/>
          <w:szCs w:val="21"/>
        </w:rPr>
        <w:t>1</w:t>
      </w:r>
      <w:r>
        <w:rPr>
          <w:rFonts w:hint="eastAsia" w:ascii="宋体" w:hAnsi="宋体" w:cs="宋体"/>
          <w:szCs w:val="21"/>
          <w:lang w:val="en-US" w:eastAsia="zh-CN"/>
        </w:rPr>
        <w:t>4</w:t>
      </w:r>
      <w:r>
        <w:rPr>
          <w:rFonts w:hint="eastAsia" w:ascii="宋体" w:hAnsi="宋体" w:cs="宋体"/>
          <w:szCs w:val="21"/>
        </w:rPr>
        <w:t>.4质疑投诉的相关规定</w:t>
      </w:r>
    </w:p>
    <w:p>
      <w:pPr>
        <w:spacing w:line="360" w:lineRule="auto"/>
        <w:ind w:firstLine="420" w:firstLineChars="200"/>
        <w:rPr>
          <w:rFonts w:hint="eastAsia" w:ascii="宋体" w:hAnsi="宋体" w:cs="宋体"/>
          <w:szCs w:val="21"/>
        </w:rPr>
      </w:pPr>
      <w:r>
        <w:rPr>
          <w:rFonts w:hint="eastAsia" w:ascii="宋体" w:hAnsi="宋体" w:cs="宋体"/>
          <w:szCs w:val="21"/>
        </w:rPr>
        <w:t>（一）供应商认为采购文件、采购过程和中标、成交结果使自己的权益受到损害的，可以在知道或者应知其权益受到损害之日起7个工作日内，以书面形式向采购人提出质疑。</w:t>
      </w:r>
    </w:p>
    <w:p>
      <w:pPr>
        <w:spacing w:line="360" w:lineRule="auto"/>
        <w:ind w:firstLine="420" w:firstLineChars="200"/>
        <w:rPr>
          <w:rFonts w:hint="eastAsia" w:ascii="宋体" w:hAnsi="宋体" w:cs="宋体"/>
          <w:szCs w:val="21"/>
        </w:rPr>
      </w:pPr>
      <w:r>
        <w:rPr>
          <w:rFonts w:hint="eastAsia" w:ascii="宋体" w:hAnsi="宋体" w:cs="宋体"/>
          <w:szCs w:val="21"/>
        </w:rPr>
        <w:t>前款所称的供应商应知其权益受到损害之日，是指：</w:t>
      </w:r>
    </w:p>
    <w:p>
      <w:pPr>
        <w:spacing w:line="360" w:lineRule="auto"/>
        <w:ind w:firstLine="420" w:firstLineChars="200"/>
        <w:rPr>
          <w:rFonts w:hint="eastAsia" w:ascii="宋体" w:hAnsi="宋体" w:cs="宋体"/>
          <w:szCs w:val="21"/>
        </w:rPr>
      </w:pPr>
      <w:r>
        <w:rPr>
          <w:rFonts w:hint="eastAsia" w:ascii="宋体" w:hAnsi="宋体" w:cs="宋体"/>
          <w:szCs w:val="21"/>
        </w:rPr>
        <w:t>1.对可以质疑的采购文件提出质疑的，为收到采购文件之日或者采购文件公告期限届满之日；</w:t>
      </w:r>
    </w:p>
    <w:p>
      <w:pPr>
        <w:spacing w:line="360" w:lineRule="auto"/>
        <w:ind w:firstLine="420" w:firstLineChars="200"/>
        <w:rPr>
          <w:rFonts w:hint="eastAsia" w:ascii="宋体" w:hAnsi="宋体" w:cs="宋体"/>
          <w:szCs w:val="21"/>
        </w:rPr>
      </w:pPr>
      <w:r>
        <w:rPr>
          <w:rFonts w:hint="eastAsia" w:ascii="宋体" w:hAnsi="宋体" w:cs="宋体"/>
          <w:szCs w:val="21"/>
        </w:rPr>
        <w:t>2.对采购过程提出质疑的，为各采购程序环节结束之日；</w:t>
      </w:r>
    </w:p>
    <w:p>
      <w:pPr>
        <w:spacing w:line="360" w:lineRule="auto"/>
        <w:ind w:firstLine="420" w:firstLineChars="200"/>
        <w:rPr>
          <w:rFonts w:hint="eastAsia" w:ascii="宋体" w:hAnsi="宋体" w:cs="宋体"/>
          <w:szCs w:val="21"/>
        </w:rPr>
      </w:pPr>
      <w:r>
        <w:rPr>
          <w:rFonts w:hint="eastAsia" w:ascii="宋体" w:hAnsi="宋体" w:cs="宋体"/>
          <w:szCs w:val="21"/>
        </w:rPr>
        <w:t>3.对中标或者成交结果提出质疑的，为中标或者成交结果公告期限届满之日。</w:t>
      </w:r>
    </w:p>
    <w:p>
      <w:pPr>
        <w:spacing w:line="360" w:lineRule="auto"/>
        <w:ind w:firstLine="420" w:firstLineChars="200"/>
        <w:rPr>
          <w:rFonts w:hint="eastAsia" w:ascii="宋体" w:hAnsi="宋体" w:cs="宋体"/>
          <w:szCs w:val="21"/>
        </w:rPr>
      </w:pPr>
      <w:r>
        <w:rPr>
          <w:rFonts w:hint="eastAsia" w:ascii="宋体" w:hAnsi="宋体" w:cs="宋体"/>
          <w:szCs w:val="21"/>
        </w:rPr>
        <w:t>采购人应当按规定在收到质疑后3个工作日内作出书面答复，但答复的内容不得涉及商业秘密。质疑供应商对采购人、采购代理机构的答复不满意或者采购人、采购代理机构未在规定的时间内作出答复的，可以在答复期满后10个工作日内向国企采购监督管理部门投诉。质疑投诉递交的资料需为书面材料。质疑投诉书面材料需法人代表人或授权代表签字并加盖公章。</w:t>
      </w:r>
    </w:p>
    <w:p>
      <w:pPr>
        <w:spacing w:line="360" w:lineRule="auto"/>
        <w:ind w:firstLine="420" w:firstLineChars="200"/>
        <w:rPr>
          <w:rFonts w:hint="eastAsia" w:ascii="宋体" w:hAnsi="宋体" w:cs="宋体"/>
          <w:szCs w:val="21"/>
        </w:rPr>
      </w:pPr>
      <w:r>
        <w:rPr>
          <w:rFonts w:hint="eastAsia" w:ascii="宋体" w:hAnsi="宋体" w:cs="宋体"/>
          <w:szCs w:val="21"/>
        </w:rPr>
        <w:t>质疑投诉属于以下情况之一的，将不予受理：1.质疑投诉人不是所投诉项目的参与者，或者与质疑投诉项目无任何利害关系。2.质疑投诉事项不具体，且未提供有效线索，难以查证。3.未提供书面质疑或者质疑未加盖公章的；投诉人为法人或者其他组织，其投诉书未经法定代表人或者主要负责人签字并加盖公章。4.已超过招标文件规定质疑投诉提出期限的事项。5.投诉事项已作出处理决定，并且投诉人没有提出新的证据。6.质疑投诉的事项已经进入行政复议或者行政诉讼程序的；投诉事项应先提出质疑而没有提出质疑的。7.不符合《政府采购质疑和投诉办法》（财政部令第94号）、《义乌市国企采购管理办法（试行）》（义政办发[2018]97号）和《关于印发&lt;浙江省政府采购供应商质疑处理办法&gt;的通知》（浙财采监[2012]18号）等有关规定的质疑投诉。</w:t>
      </w:r>
    </w:p>
    <w:p>
      <w:pPr>
        <w:pStyle w:val="17"/>
        <w:tabs>
          <w:tab w:val="left" w:pos="900"/>
        </w:tabs>
        <w:spacing w:line="360" w:lineRule="auto"/>
        <w:ind w:firstLine="422" w:firstLineChars="200"/>
        <w:rPr>
          <w:rFonts w:hint="eastAsia" w:hAnsi="宋体" w:cs="宋体"/>
          <w:b/>
        </w:rPr>
      </w:pPr>
      <w:r>
        <w:rPr>
          <w:rFonts w:hint="eastAsia" w:hAnsi="宋体" w:cs="宋体"/>
          <w:b/>
        </w:rPr>
        <w:t>1</w:t>
      </w:r>
      <w:r>
        <w:rPr>
          <w:rFonts w:hint="eastAsia" w:hAnsi="宋体" w:cs="宋体"/>
          <w:b/>
          <w:lang w:val="en-US" w:eastAsia="zh-CN"/>
        </w:rPr>
        <w:t>5</w:t>
      </w:r>
      <w:r>
        <w:rPr>
          <w:rFonts w:hint="eastAsia" w:hAnsi="宋体" w:cs="宋体"/>
          <w:b/>
        </w:rPr>
        <w:t>、合同签订</w:t>
      </w:r>
    </w:p>
    <w:p>
      <w:pPr>
        <w:spacing w:line="360" w:lineRule="auto"/>
        <w:ind w:firstLine="420" w:firstLineChars="200"/>
        <w:rPr>
          <w:rFonts w:hint="eastAsia" w:ascii="宋体" w:hAnsi="宋体" w:cs="宋体"/>
          <w:szCs w:val="21"/>
        </w:rPr>
      </w:pPr>
      <w:r>
        <w:rPr>
          <w:rFonts w:hint="eastAsia" w:ascii="宋体" w:hAnsi="宋体" w:cs="宋体"/>
          <w:szCs w:val="21"/>
        </w:rPr>
        <w:t>1</w:t>
      </w:r>
      <w:r>
        <w:rPr>
          <w:rFonts w:hint="eastAsia" w:ascii="宋体" w:hAnsi="宋体" w:cs="宋体"/>
          <w:szCs w:val="21"/>
          <w:lang w:val="en-US" w:eastAsia="zh-CN"/>
        </w:rPr>
        <w:t>5</w:t>
      </w:r>
      <w:r>
        <w:rPr>
          <w:rFonts w:hint="eastAsia" w:ascii="宋体" w:hAnsi="宋体" w:cs="宋体"/>
          <w:szCs w:val="21"/>
        </w:rPr>
        <w:t>.1中标人自接到《中标通知书》后应在三十天内到采购人处与采购人签订双方合同。</w:t>
      </w:r>
    </w:p>
    <w:p>
      <w:pPr>
        <w:spacing w:line="360" w:lineRule="auto"/>
        <w:ind w:firstLine="420" w:firstLineChars="200"/>
        <w:rPr>
          <w:rFonts w:hint="eastAsia" w:ascii="宋体" w:hAnsi="宋体" w:cs="宋体"/>
          <w:szCs w:val="21"/>
        </w:rPr>
      </w:pPr>
      <w:r>
        <w:rPr>
          <w:rFonts w:hint="eastAsia" w:ascii="宋体" w:hAnsi="宋体" w:cs="宋体"/>
          <w:szCs w:val="21"/>
        </w:rPr>
        <w:t>1</w:t>
      </w:r>
      <w:r>
        <w:rPr>
          <w:rFonts w:hint="eastAsia" w:ascii="宋体" w:hAnsi="宋体" w:cs="宋体"/>
          <w:szCs w:val="21"/>
          <w:lang w:val="en-US" w:eastAsia="zh-CN"/>
        </w:rPr>
        <w:t>5</w:t>
      </w:r>
      <w:r>
        <w:rPr>
          <w:rFonts w:hint="eastAsia" w:ascii="宋体" w:hAnsi="宋体" w:cs="宋体"/>
          <w:szCs w:val="21"/>
        </w:rPr>
        <w:t>.2招标文件、中标人的投标文件、评标过程中投标人在询标时作出的承诺及其澄清文件等，均为签订合同的依据。</w:t>
      </w:r>
    </w:p>
    <w:p>
      <w:pPr>
        <w:spacing w:line="360" w:lineRule="auto"/>
        <w:ind w:firstLine="420" w:firstLineChars="200"/>
        <w:rPr>
          <w:rFonts w:hint="eastAsia" w:ascii="宋体" w:hAnsi="宋体" w:cs="宋体"/>
          <w:szCs w:val="21"/>
        </w:rPr>
      </w:pPr>
      <w:r>
        <w:rPr>
          <w:rFonts w:hint="eastAsia" w:ascii="宋体" w:hAnsi="宋体" w:cs="宋体"/>
          <w:szCs w:val="21"/>
        </w:rPr>
        <w:t>1</w:t>
      </w:r>
      <w:r>
        <w:rPr>
          <w:rFonts w:hint="eastAsia" w:ascii="宋体" w:hAnsi="宋体" w:cs="宋体"/>
          <w:szCs w:val="21"/>
          <w:lang w:val="en-US" w:eastAsia="zh-CN"/>
        </w:rPr>
        <w:t>5</w:t>
      </w:r>
      <w:r>
        <w:rPr>
          <w:rFonts w:hint="eastAsia" w:ascii="宋体" w:hAnsi="宋体" w:cs="宋体"/>
          <w:szCs w:val="21"/>
        </w:rPr>
        <w:t>.3采购人与中标（成交）供应商应当在中标（成交）通知书发出之日起30日内，按照采购文件确定的合同文本以及采购标的、规格型号、采购金额、采购数量、技术和服务要求等事项签订采购合同。</w:t>
      </w:r>
    </w:p>
    <w:p>
      <w:pPr>
        <w:spacing w:line="360" w:lineRule="auto"/>
        <w:ind w:firstLine="420" w:firstLineChars="200"/>
        <w:rPr>
          <w:rFonts w:hint="eastAsia" w:ascii="宋体" w:hAnsi="宋体" w:cs="宋体"/>
          <w:szCs w:val="21"/>
        </w:rPr>
      </w:pPr>
      <w:r>
        <w:rPr>
          <w:rFonts w:hint="eastAsia" w:ascii="宋体" w:hAnsi="宋体" w:cs="宋体"/>
          <w:szCs w:val="21"/>
        </w:rPr>
        <w:t>采购人不得向中标（成交）供应商提出超出采购文件以外的任何要求作为签订合同的条件，不得与中标（成交）供应商订立背离采购文件确定的合同文本以及采购标的、规格型号、采购金额、采购数量、技术和服务要求等实质性内容的协议。</w:t>
      </w:r>
    </w:p>
    <w:p>
      <w:pPr>
        <w:spacing w:line="360" w:lineRule="auto"/>
        <w:ind w:firstLine="420" w:firstLineChars="200"/>
        <w:rPr>
          <w:rFonts w:hint="eastAsia" w:ascii="宋体" w:hAnsi="宋体" w:cs="宋体"/>
          <w:szCs w:val="21"/>
        </w:rPr>
      </w:pPr>
      <w:r>
        <w:rPr>
          <w:rFonts w:hint="eastAsia" w:ascii="宋体" w:hAnsi="宋体" w:cs="宋体"/>
          <w:szCs w:val="21"/>
        </w:rPr>
        <w:t>1</w:t>
      </w:r>
      <w:r>
        <w:rPr>
          <w:rFonts w:hint="eastAsia" w:ascii="宋体" w:hAnsi="宋体" w:cs="宋体"/>
          <w:szCs w:val="21"/>
          <w:lang w:val="en-US" w:eastAsia="zh-CN"/>
        </w:rPr>
        <w:t>5</w:t>
      </w:r>
      <w:r>
        <w:rPr>
          <w:rFonts w:hint="eastAsia" w:ascii="宋体" w:hAnsi="宋体" w:cs="宋体"/>
          <w:szCs w:val="21"/>
        </w:rPr>
        <w:t>.4除不可抗力等因素外，中标（成交）通知书发出后，采购人改变中标（成交）结果，或者中标（成交）供应商拒绝签订采购合同的，应当承担相应的法律责任。</w:t>
      </w:r>
    </w:p>
    <w:p>
      <w:pPr>
        <w:spacing w:line="360" w:lineRule="auto"/>
        <w:ind w:firstLine="420" w:firstLineChars="200"/>
        <w:rPr>
          <w:rFonts w:hint="eastAsia" w:ascii="宋体" w:hAnsi="宋体" w:cs="宋体"/>
          <w:szCs w:val="21"/>
        </w:rPr>
      </w:pPr>
      <w:r>
        <w:rPr>
          <w:rFonts w:hint="eastAsia" w:ascii="宋体" w:hAnsi="宋体" w:cs="宋体"/>
          <w:szCs w:val="21"/>
        </w:rPr>
        <w:t>1</w:t>
      </w:r>
      <w:r>
        <w:rPr>
          <w:rFonts w:hint="eastAsia" w:ascii="宋体" w:hAnsi="宋体" w:cs="宋体"/>
          <w:szCs w:val="21"/>
          <w:lang w:val="en-US" w:eastAsia="zh-CN"/>
        </w:rPr>
        <w:t>5</w:t>
      </w:r>
      <w:r>
        <w:rPr>
          <w:rFonts w:hint="eastAsia" w:ascii="宋体" w:hAnsi="宋体" w:cs="宋体"/>
          <w:szCs w:val="21"/>
        </w:rPr>
        <w:t>.5中标（成交）供应商拒绝签订采购合同的，采购人应重新开展采购活动。拒绝签订采购合同的中标（成交）供应商不得参加对该项目重新开展的采购活动。</w:t>
      </w:r>
    </w:p>
    <w:p>
      <w:pPr>
        <w:spacing w:line="360" w:lineRule="auto"/>
        <w:ind w:firstLine="420" w:firstLineChars="200"/>
        <w:rPr>
          <w:rFonts w:hint="eastAsia" w:ascii="宋体" w:hAnsi="宋体" w:cs="宋体"/>
          <w:szCs w:val="21"/>
        </w:rPr>
      </w:pPr>
      <w:r>
        <w:rPr>
          <w:rFonts w:hint="eastAsia" w:ascii="宋体" w:hAnsi="宋体" w:cs="宋体"/>
          <w:szCs w:val="21"/>
        </w:rPr>
        <w:t>1</w:t>
      </w:r>
      <w:r>
        <w:rPr>
          <w:rFonts w:hint="eastAsia" w:ascii="宋体" w:hAnsi="宋体" w:cs="宋体"/>
          <w:szCs w:val="21"/>
          <w:lang w:val="en-US" w:eastAsia="zh-CN"/>
        </w:rPr>
        <w:t>5</w:t>
      </w:r>
      <w:r>
        <w:rPr>
          <w:rFonts w:hint="eastAsia" w:ascii="宋体" w:hAnsi="宋体" w:cs="宋体"/>
          <w:szCs w:val="21"/>
        </w:rPr>
        <w:t>.6中标人不遵守招标文件和投标文件的要约及承诺而擅自修改报价，或在接到《中标通知书》后借故拖延、拒签合同而造成超过规定时间的，取消该投标人的中标资格。在此情况下，采购人和招标代理机构重新招标，对受影响的投标人不承担任何责任。</w:t>
      </w:r>
    </w:p>
    <w:p>
      <w:pPr>
        <w:spacing w:line="360" w:lineRule="auto"/>
        <w:ind w:firstLine="420" w:firstLineChars="200"/>
        <w:rPr>
          <w:rFonts w:hint="eastAsia" w:ascii="宋体" w:hAnsi="宋体" w:cs="宋体"/>
          <w:szCs w:val="21"/>
        </w:rPr>
      </w:pPr>
      <w:r>
        <w:rPr>
          <w:rFonts w:hint="eastAsia" w:ascii="宋体" w:hAnsi="宋体" w:cs="宋体"/>
          <w:szCs w:val="21"/>
        </w:rPr>
        <w:t>1</w:t>
      </w:r>
      <w:r>
        <w:rPr>
          <w:rFonts w:hint="eastAsia" w:ascii="宋体" w:hAnsi="宋体" w:cs="宋体"/>
          <w:szCs w:val="21"/>
          <w:lang w:val="en-US" w:eastAsia="zh-CN"/>
        </w:rPr>
        <w:t>5</w:t>
      </w:r>
      <w:r>
        <w:rPr>
          <w:rFonts w:hint="eastAsia" w:ascii="宋体" w:hAnsi="宋体" w:cs="宋体"/>
          <w:szCs w:val="21"/>
        </w:rPr>
        <w:t>.7采购人变更数量的权利</w:t>
      </w:r>
    </w:p>
    <w:p>
      <w:pPr>
        <w:spacing w:line="360" w:lineRule="auto"/>
        <w:ind w:firstLine="420" w:firstLineChars="200"/>
        <w:rPr>
          <w:rFonts w:hint="eastAsia" w:ascii="宋体" w:hAnsi="宋体" w:cs="宋体"/>
          <w:szCs w:val="21"/>
        </w:rPr>
      </w:pPr>
      <w:r>
        <w:rPr>
          <w:rFonts w:hint="eastAsia" w:ascii="宋体" w:hAnsi="宋体" w:cs="宋体"/>
          <w:szCs w:val="21"/>
        </w:rPr>
        <w:t>采购人在授予合同时有权对“技术要求及采购货物一览表”中规定的货物数量和服务予以增加或减少，但必须符合法律法规的相关规定。</w:t>
      </w:r>
    </w:p>
    <w:p>
      <w:pPr>
        <w:spacing w:line="420" w:lineRule="exact"/>
        <w:ind w:firstLine="480" w:firstLineChars="200"/>
        <w:rPr>
          <w:sz w:val="24"/>
        </w:rPr>
      </w:pPr>
    </w:p>
    <w:p>
      <w:pPr>
        <w:pStyle w:val="3"/>
        <w:numPr>
          <w:ilvl w:val="0"/>
          <w:numId w:val="0"/>
        </w:numPr>
        <w:spacing w:line="360" w:lineRule="auto"/>
        <w:jc w:val="center"/>
        <w:rPr>
          <w:rFonts w:hAnsi="宋体"/>
          <w:sz w:val="36"/>
        </w:rPr>
      </w:pPr>
      <w:r>
        <w:rPr>
          <w:rFonts w:hint="eastAsia" w:hAnsi="宋体"/>
          <w:sz w:val="36"/>
        </w:rPr>
        <w:br w:type="page"/>
      </w:r>
      <w:bookmarkStart w:id="51" w:name="_Toc2004"/>
      <w:r>
        <w:rPr>
          <w:rFonts w:hint="eastAsia" w:hAnsi="宋体"/>
          <w:sz w:val="36"/>
        </w:rPr>
        <w:t>第五章</w:t>
      </w:r>
      <w:r>
        <w:rPr>
          <w:rFonts w:hAnsi="宋体"/>
          <w:sz w:val="36"/>
        </w:rPr>
        <w:t xml:space="preserve">  </w:t>
      </w:r>
      <w:r>
        <w:rPr>
          <w:rFonts w:hint="eastAsia" w:hAnsi="宋体"/>
          <w:sz w:val="36"/>
        </w:rPr>
        <w:t>投标文件的有效性</w:t>
      </w:r>
      <w:bookmarkEnd w:id="42"/>
      <w:bookmarkEnd w:id="51"/>
    </w:p>
    <w:p>
      <w:pPr>
        <w:pStyle w:val="17"/>
        <w:spacing w:line="440" w:lineRule="exact"/>
        <w:ind w:firstLine="413" w:firstLineChars="196"/>
        <w:rPr>
          <w:rFonts w:ascii="新宋体" w:hAnsi="新宋体" w:eastAsia="新宋体"/>
          <w:b/>
        </w:rPr>
      </w:pPr>
      <w:r>
        <w:rPr>
          <w:rFonts w:hint="eastAsia" w:ascii="新宋体" w:hAnsi="新宋体" w:eastAsia="新宋体"/>
          <w:b/>
        </w:rPr>
        <w:t>1.</w:t>
      </w:r>
      <w:r>
        <w:rPr>
          <w:rFonts w:ascii="新宋体" w:hAnsi="新宋体" w:eastAsia="新宋体"/>
          <w:b/>
        </w:rPr>
        <w:t>有下列情形之一的，</w:t>
      </w:r>
      <w:r>
        <w:rPr>
          <w:rFonts w:hint="eastAsia" w:ascii="新宋体" w:hAnsi="新宋体" w:eastAsia="新宋体"/>
          <w:b/>
        </w:rPr>
        <w:t>招标方</w:t>
      </w:r>
      <w:r>
        <w:rPr>
          <w:rFonts w:ascii="新宋体" w:hAnsi="新宋体" w:eastAsia="新宋体"/>
          <w:b/>
        </w:rPr>
        <w:t>将不予受理投标文件：</w:t>
      </w:r>
    </w:p>
    <w:p>
      <w:pPr>
        <w:adjustRightInd w:val="0"/>
        <w:snapToGrid w:val="0"/>
        <w:spacing w:line="440" w:lineRule="exact"/>
        <w:ind w:firstLine="420" w:firstLineChars="200"/>
        <w:rPr>
          <w:rFonts w:hint="eastAsia" w:ascii="新宋体" w:hAnsi="新宋体" w:eastAsia="新宋体"/>
          <w:szCs w:val="21"/>
        </w:rPr>
      </w:pPr>
      <w:r>
        <w:rPr>
          <w:rFonts w:hint="eastAsia" w:ascii="新宋体" w:hAnsi="新宋体" w:eastAsia="新宋体"/>
          <w:szCs w:val="21"/>
        </w:rPr>
        <w:t>1.1逾期上传电子档投标文件至“义乌市阳光招标采购平台”平台的；</w:t>
      </w:r>
    </w:p>
    <w:p>
      <w:pPr>
        <w:adjustRightInd w:val="0"/>
        <w:snapToGrid w:val="0"/>
        <w:spacing w:line="440" w:lineRule="exact"/>
        <w:ind w:firstLine="420" w:firstLineChars="200"/>
        <w:rPr>
          <w:rFonts w:hint="eastAsia" w:ascii="新宋体" w:hAnsi="新宋体" w:eastAsia="新宋体"/>
          <w:szCs w:val="21"/>
        </w:rPr>
      </w:pPr>
      <w:r>
        <w:rPr>
          <w:rFonts w:hint="eastAsia" w:ascii="新宋体" w:hAnsi="新宋体" w:eastAsia="新宋体"/>
          <w:szCs w:val="21"/>
        </w:rPr>
        <w:t>1.2电子投标文件在规定时间内解密未成功的；</w:t>
      </w:r>
    </w:p>
    <w:p>
      <w:pPr>
        <w:adjustRightInd w:val="0"/>
        <w:snapToGrid w:val="0"/>
        <w:spacing w:line="440" w:lineRule="exact"/>
        <w:ind w:firstLine="422" w:firstLineChars="200"/>
        <w:rPr>
          <w:rFonts w:hint="eastAsia" w:ascii="新宋体" w:hAnsi="新宋体" w:eastAsia="新宋体"/>
          <w:b/>
          <w:szCs w:val="21"/>
        </w:rPr>
      </w:pPr>
      <w:r>
        <w:rPr>
          <w:rFonts w:hint="eastAsia" w:ascii="新宋体" w:hAnsi="新宋体" w:eastAsia="新宋体"/>
          <w:b/>
          <w:szCs w:val="21"/>
          <w:shd w:val="pct10" w:color="auto" w:fill="FFFFFF"/>
        </w:rPr>
        <w:t>2.投标文件在资格或商务技术评审中出现下列情形之一的，由评标委员会审核后按无效投标文件处理：</w:t>
      </w:r>
    </w:p>
    <w:p>
      <w:pPr>
        <w:tabs>
          <w:tab w:val="left" w:pos="5325"/>
        </w:tabs>
        <w:adjustRightInd w:val="0"/>
        <w:snapToGrid w:val="0"/>
        <w:spacing w:line="440" w:lineRule="exact"/>
        <w:ind w:firstLine="420" w:firstLineChars="200"/>
        <w:rPr>
          <w:rFonts w:hint="eastAsia" w:ascii="新宋体" w:hAnsi="新宋体" w:eastAsia="新宋体"/>
          <w:szCs w:val="21"/>
        </w:rPr>
      </w:pPr>
      <w:r>
        <w:rPr>
          <w:rFonts w:hint="eastAsia" w:ascii="新宋体" w:hAnsi="新宋体" w:eastAsia="新宋体"/>
          <w:szCs w:val="21"/>
        </w:rPr>
        <w:t>2.1资格响应文件或商务技术响应文件中包含商务报价的。</w:t>
      </w:r>
    </w:p>
    <w:p>
      <w:pPr>
        <w:tabs>
          <w:tab w:val="left" w:pos="5325"/>
        </w:tabs>
        <w:adjustRightInd w:val="0"/>
        <w:snapToGrid w:val="0"/>
        <w:spacing w:line="440" w:lineRule="exact"/>
        <w:ind w:firstLine="420" w:firstLineChars="200"/>
        <w:rPr>
          <w:rFonts w:hint="eastAsia" w:ascii="新宋体" w:hAnsi="新宋体" w:eastAsia="新宋体"/>
          <w:szCs w:val="21"/>
        </w:rPr>
      </w:pPr>
      <w:r>
        <w:rPr>
          <w:rFonts w:hint="eastAsia" w:ascii="新宋体" w:hAnsi="新宋体" w:eastAsia="新宋体"/>
          <w:szCs w:val="21"/>
        </w:rPr>
        <w:t>2.2招标文件关于投标文件组成内容商务技术响应文件要求中打“</w:t>
      </w:r>
      <w:r>
        <w:rPr>
          <w:rFonts w:ascii="新宋体" w:hAnsi="新宋体" w:eastAsia="新宋体"/>
          <w:szCs w:val="21"/>
        </w:rPr>
        <w:t>★</w:t>
      </w:r>
      <w:r>
        <w:rPr>
          <w:rFonts w:hint="eastAsia" w:ascii="新宋体" w:hAnsi="新宋体" w:eastAsia="新宋体"/>
          <w:szCs w:val="21"/>
        </w:rPr>
        <w:t>”的内容，投标人的投标文件内容未提供完整的，或关键字迹模糊、无法辨认的，或未按其规定的格式及要求填写、签字、盖章，或提供的投标文件内容不符合招标文件中有关打★号的条款的规定。</w:t>
      </w:r>
    </w:p>
    <w:p>
      <w:pPr>
        <w:tabs>
          <w:tab w:val="left" w:pos="5325"/>
        </w:tabs>
        <w:adjustRightInd w:val="0"/>
        <w:snapToGrid w:val="0"/>
        <w:spacing w:line="440" w:lineRule="exact"/>
        <w:ind w:firstLine="420" w:firstLineChars="200"/>
        <w:rPr>
          <w:rFonts w:hint="eastAsia" w:ascii="新宋体" w:hAnsi="新宋体" w:eastAsia="新宋体"/>
          <w:szCs w:val="21"/>
        </w:rPr>
      </w:pPr>
      <w:r>
        <w:rPr>
          <w:rFonts w:hint="eastAsia" w:ascii="新宋体" w:hAnsi="新宋体" w:eastAsia="新宋体"/>
          <w:szCs w:val="21"/>
        </w:rPr>
        <w:t>2.3投标人的投标资格不符合招标文件的资格要求规定。</w:t>
      </w:r>
    </w:p>
    <w:p>
      <w:pPr>
        <w:tabs>
          <w:tab w:val="left" w:pos="5325"/>
        </w:tabs>
        <w:adjustRightInd w:val="0"/>
        <w:snapToGrid w:val="0"/>
        <w:spacing w:line="440" w:lineRule="exact"/>
        <w:ind w:firstLine="420" w:firstLineChars="200"/>
        <w:rPr>
          <w:rFonts w:hint="eastAsia" w:ascii="新宋体" w:hAnsi="新宋体" w:eastAsia="新宋体"/>
          <w:szCs w:val="21"/>
        </w:rPr>
      </w:pPr>
      <w:r>
        <w:rPr>
          <w:rFonts w:hint="eastAsia" w:ascii="新宋体" w:hAnsi="新宋体" w:eastAsia="新宋体"/>
          <w:szCs w:val="21"/>
        </w:rPr>
        <w:t>2.4投标人递交两份或多份内容不同的投标文件，且未声明哪一个有效，但按招标文件规定提交备选方案的除外。</w:t>
      </w:r>
    </w:p>
    <w:p>
      <w:pPr>
        <w:adjustRightInd w:val="0"/>
        <w:snapToGrid w:val="0"/>
        <w:spacing w:line="440" w:lineRule="exact"/>
        <w:ind w:firstLine="420" w:firstLineChars="200"/>
        <w:rPr>
          <w:rFonts w:hint="eastAsia" w:ascii="新宋体" w:hAnsi="新宋体" w:eastAsia="新宋体"/>
          <w:szCs w:val="21"/>
        </w:rPr>
      </w:pPr>
      <w:r>
        <w:rPr>
          <w:rFonts w:hint="eastAsia" w:ascii="新宋体" w:hAnsi="新宋体" w:eastAsia="新宋体"/>
          <w:szCs w:val="21"/>
        </w:rPr>
        <w:t>2.5投标人所投产品的数量不符合招标文件规定的。</w:t>
      </w:r>
    </w:p>
    <w:p>
      <w:pPr>
        <w:spacing w:line="440" w:lineRule="exact"/>
        <w:ind w:firstLine="420" w:firstLineChars="200"/>
        <w:rPr>
          <w:rFonts w:hint="eastAsia" w:ascii="新宋体" w:hAnsi="新宋体" w:eastAsia="新宋体"/>
          <w:kern w:val="0"/>
          <w:szCs w:val="21"/>
        </w:rPr>
      </w:pPr>
      <w:r>
        <w:rPr>
          <w:rFonts w:hint="eastAsia" w:ascii="新宋体" w:hAnsi="新宋体" w:eastAsia="新宋体"/>
          <w:kern w:val="0"/>
          <w:szCs w:val="21"/>
        </w:rPr>
        <w:t>2.6投标人借用或冒用他人名义或证件，或投标人涂改证件，或投标人伪造或编造投标资料的。</w:t>
      </w:r>
    </w:p>
    <w:p>
      <w:pPr>
        <w:spacing w:line="440" w:lineRule="exact"/>
        <w:ind w:firstLine="420" w:firstLineChars="200"/>
        <w:rPr>
          <w:rFonts w:hint="eastAsia" w:ascii="新宋体" w:hAnsi="新宋体" w:eastAsia="新宋体"/>
          <w:kern w:val="0"/>
          <w:szCs w:val="21"/>
        </w:rPr>
      </w:pPr>
      <w:r>
        <w:rPr>
          <w:rFonts w:hint="eastAsia" w:ascii="新宋体" w:hAnsi="新宋体" w:eastAsia="新宋体"/>
          <w:kern w:val="0"/>
          <w:szCs w:val="21"/>
        </w:rPr>
        <w:t>2.7投标中不同投标人的投标文件出现雷同或相似（包括部分雷同或相似），对所有雷同或相似投标人按无效标处理，招标方将保留进一步追究责任的权利；或投标人串标的。</w:t>
      </w:r>
    </w:p>
    <w:p>
      <w:pPr>
        <w:spacing w:line="440" w:lineRule="exact"/>
        <w:ind w:firstLine="420" w:firstLineChars="200"/>
        <w:rPr>
          <w:rFonts w:hint="eastAsia" w:ascii="新宋体" w:hAnsi="新宋体" w:eastAsia="新宋体"/>
          <w:kern w:val="0"/>
          <w:szCs w:val="21"/>
        </w:rPr>
      </w:pPr>
      <w:r>
        <w:rPr>
          <w:rFonts w:hint="eastAsia" w:ascii="新宋体" w:hAnsi="新宋体" w:eastAsia="新宋体"/>
          <w:kern w:val="0"/>
          <w:szCs w:val="21"/>
        </w:rPr>
        <w:t>2.8其</w:t>
      </w:r>
      <w:r>
        <w:rPr>
          <w:rFonts w:hint="eastAsia" w:ascii="新宋体" w:hAnsi="新宋体" w:eastAsia="新宋体"/>
          <w:szCs w:val="21"/>
        </w:rPr>
        <w:t>它对本招标文件中打★号的条款未完全响应的。</w:t>
      </w:r>
    </w:p>
    <w:p>
      <w:pPr>
        <w:spacing w:line="440" w:lineRule="exact"/>
        <w:ind w:firstLine="420" w:firstLineChars="200"/>
        <w:rPr>
          <w:rFonts w:ascii="新宋体" w:hAnsi="新宋体" w:eastAsia="新宋体"/>
          <w:szCs w:val="21"/>
        </w:rPr>
      </w:pPr>
      <w:r>
        <w:rPr>
          <w:rFonts w:hint="eastAsia" w:ascii="新宋体" w:hAnsi="新宋体" w:eastAsia="新宋体"/>
          <w:kern w:val="0"/>
          <w:szCs w:val="21"/>
        </w:rPr>
        <w:t>2.9经评标委员会认定，投标文件附有采购人不能接</w:t>
      </w:r>
      <w:r>
        <w:rPr>
          <w:rFonts w:hint="eastAsia" w:ascii="新宋体" w:hAnsi="新宋体" w:eastAsia="新宋体"/>
          <w:szCs w:val="21"/>
        </w:rPr>
        <w:t>受的条件。</w:t>
      </w:r>
    </w:p>
    <w:p>
      <w:pPr>
        <w:spacing w:line="440" w:lineRule="exact"/>
        <w:ind w:firstLine="420" w:firstLineChars="200"/>
        <w:rPr>
          <w:rFonts w:ascii="新宋体" w:hAnsi="新宋体" w:eastAsia="新宋体"/>
          <w:szCs w:val="21"/>
        </w:rPr>
      </w:pPr>
      <w:r>
        <w:rPr>
          <w:rFonts w:hint="eastAsia" w:ascii="新宋体" w:hAnsi="新宋体" w:eastAsia="新宋体"/>
          <w:szCs w:val="21"/>
        </w:rPr>
        <w:t>2.1</w:t>
      </w:r>
      <w:r>
        <w:rPr>
          <w:rFonts w:hint="eastAsia" w:ascii="新宋体" w:hAnsi="新宋体" w:eastAsia="新宋体"/>
          <w:szCs w:val="21"/>
          <w:lang w:val="en-US" w:eastAsia="zh-CN"/>
        </w:rPr>
        <w:t>0</w:t>
      </w:r>
      <w:r>
        <w:rPr>
          <w:rFonts w:hint="eastAsia" w:ascii="新宋体" w:hAnsi="新宋体" w:eastAsia="新宋体"/>
          <w:szCs w:val="21"/>
        </w:rPr>
        <w:t>评标委员会要求投标人对其投标文件作出</w:t>
      </w:r>
      <w:r>
        <w:rPr>
          <w:rFonts w:hint="eastAsia" w:ascii="新宋体" w:hAnsi="新宋体" w:eastAsia="新宋体"/>
          <w:b/>
          <w:szCs w:val="21"/>
        </w:rPr>
        <w:t>澄清或说明，</w:t>
      </w:r>
      <w:r>
        <w:rPr>
          <w:rFonts w:hint="eastAsia" w:ascii="新宋体" w:hAnsi="新宋体" w:eastAsia="新宋体"/>
          <w:szCs w:val="21"/>
        </w:rPr>
        <w:t>如果投标人代表拒绝</w:t>
      </w:r>
      <w:r>
        <w:rPr>
          <w:rFonts w:hint="eastAsia" w:ascii="新宋体" w:hAnsi="新宋体" w:eastAsia="新宋体"/>
          <w:b/>
          <w:szCs w:val="21"/>
        </w:rPr>
        <w:t>澄清或说明的，或者拒绝签字的</w:t>
      </w:r>
      <w:r>
        <w:rPr>
          <w:rFonts w:hint="eastAsia" w:ascii="新宋体" w:hAnsi="新宋体" w:eastAsia="新宋体"/>
          <w:szCs w:val="21"/>
        </w:rPr>
        <w:t>。</w:t>
      </w:r>
    </w:p>
    <w:p>
      <w:pPr>
        <w:adjustRightInd w:val="0"/>
        <w:snapToGrid w:val="0"/>
        <w:spacing w:line="440" w:lineRule="exact"/>
        <w:ind w:firstLine="422" w:firstLineChars="200"/>
        <w:rPr>
          <w:rFonts w:hint="eastAsia" w:ascii="新宋体" w:hAnsi="新宋体" w:eastAsia="新宋体"/>
          <w:b/>
          <w:szCs w:val="21"/>
        </w:rPr>
      </w:pPr>
      <w:r>
        <w:rPr>
          <w:rFonts w:hint="eastAsia" w:ascii="新宋体" w:hAnsi="新宋体" w:eastAsia="新宋体"/>
          <w:b/>
          <w:szCs w:val="21"/>
          <w:shd w:val="pct10" w:color="auto" w:fill="FFFFFF"/>
        </w:rPr>
        <w:t>3.投标文件在投标报价评审出现下列情形之一的，由评标委员会审核后按无效投标文件处理：</w:t>
      </w:r>
    </w:p>
    <w:p>
      <w:pPr>
        <w:adjustRightInd w:val="0"/>
        <w:snapToGrid w:val="0"/>
        <w:spacing w:line="440" w:lineRule="exact"/>
        <w:ind w:firstLine="420" w:firstLineChars="200"/>
        <w:rPr>
          <w:rFonts w:hint="eastAsia" w:ascii="新宋体" w:hAnsi="新宋体" w:eastAsia="新宋体"/>
          <w:kern w:val="0"/>
          <w:szCs w:val="21"/>
        </w:rPr>
      </w:pPr>
      <w:r>
        <w:rPr>
          <w:rFonts w:hint="eastAsia" w:ascii="新宋体" w:hAnsi="新宋体" w:eastAsia="新宋体"/>
          <w:szCs w:val="21"/>
        </w:rPr>
        <w:t>3.1招标文件关于投标文件组成内容报价响应文件要求中打“</w:t>
      </w:r>
      <w:r>
        <w:rPr>
          <w:rFonts w:ascii="新宋体" w:hAnsi="新宋体" w:eastAsia="新宋体"/>
          <w:szCs w:val="21"/>
        </w:rPr>
        <w:t>★</w:t>
      </w:r>
      <w:r>
        <w:rPr>
          <w:rFonts w:hint="eastAsia" w:ascii="新宋体" w:hAnsi="新宋体" w:eastAsia="新宋体"/>
          <w:szCs w:val="21"/>
        </w:rPr>
        <w:t>”的</w:t>
      </w:r>
      <w:r>
        <w:rPr>
          <w:rFonts w:hint="eastAsia" w:ascii="新宋体" w:hAnsi="新宋体" w:eastAsia="新宋体"/>
          <w:kern w:val="0"/>
          <w:szCs w:val="21"/>
        </w:rPr>
        <w:t>内容，投标人的投标文件内容未提供完整，或关键字迹模糊、无法辨认的，或未按其规定的格式及要求填写、签字、盖章，或提供的投标文件内容不符合招标文件的中有关打★号的条款的规定。</w:t>
      </w:r>
    </w:p>
    <w:p>
      <w:pPr>
        <w:adjustRightInd w:val="0"/>
        <w:snapToGrid w:val="0"/>
        <w:spacing w:line="440" w:lineRule="exact"/>
        <w:ind w:firstLine="420" w:firstLineChars="200"/>
        <w:rPr>
          <w:rFonts w:hint="eastAsia" w:ascii="新宋体" w:hAnsi="新宋体" w:eastAsia="新宋体"/>
          <w:kern w:val="0"/>
          <w:szCs w:val="21"/>
        </w:rPr>
      </w:pPr>
      <w:r>
        <w:rPr>
          <w:rFonts w:hint="eastAsia" w:ascii="新宋体" w:hAnsi="新宋体" w:eastAsia="新宋体"/>
          <w:kern w:val="0"/>
          <w:szCs w:val="21"/>
        </w:rPr>
        <w:t>3.2</w:t>
      </w:r>
      <w:r>
        <w:rPr>
          <w:rFonts w:hint="eastAsia" w:ascii="新宋体" w:hAnsi="新宋体" w:eastAsia="新宋体"/>
          <w:color w:val="auto"/>
          <w:kern w:val="0"/>
          <w:szCs w:val="21"/>
          <w:highlight w:val="none"/>
          <w:lang w:val="en-US" w:eastAsia="zh-CN"/>
        </w:rPr>
        <w:t>投标下浮率高于100%或低于0%</w:t>
      </w:r>
      <w:r>
        <w:rPr>
          <w:rFonts w:hint="eastAsia" w:ascii="新宋体" w:hAnsi="新宋体" w:eastAsia="新宋体"/>
          <w:kern w:val="0"/>
          <w:szCs w:val="21"/>
        </w:rPr>
        <w:t>。</w:t>
      </w:r>
    </w:p>
    <w:p>
      <w:pPr>
        <w:adjustRightInd w:val="0"/>
        <w:snapToGrid w:val="0"/>
        <w:spacing w:line="440" w:lineRule="exact"/>
        <w:ind w:firstLine="420" w:firstLineChars="200"/>
        <w:rPr>
          <w:rFonts w:hint="eastAsia" w:ascii="新宋体" w:hAnsi="新宋体" w:eastAsia="新宋体"/>
          <w:szCs w:val="21"/>
        </w:rPr>
      </w:pPr>
      <w:r>
        <w:rPr>
          <w:rFonts w:hint="eastAsia" w:ascii="新宋体" w:hAnsi="新宋体" w:eastAsia="新宋体"/>
          <w:szCs w:val="21"/>
        </w:rPr>
        <w:t>3.3投标人的所投产品的数量不符合招标文件规定的。</w:t>
      </w:r>
    </w:p>
    <w:p>
      <w:pPr>
        <w:adjustRightInd w:val="0"/>
        <w:snapToGrid w:val="0"/>
        <w:spacing w:line="440" w:lineRule="exact"/>
        <w:ind w:firstLine="420" w:firstLineChars="200"/>
        <w:rPr>
          <w:rFonts w:hint="eastAsia" w:ascii="新宋体" w:hAnsi="新宋体" w:eastAsia="新宋体"/>
          <w:szCs w:val="21"/>
        </w:rPr>
      </w:pPr>
      <w:r>
        <w:rPr>
          <w:rFonts w:hint="eastAsia" w:ascii="新宋体" w:hAnsi="新宋体" w:eastAsia="新宋体"/>
          <w:szCs w:val="21"/>
        </w:rPr>
        <w:t>3.4投标人的投标报价未明确的，或者对同一采购项目提供两个或两个以上报价且未声明哪一个有效的</w:t>
      </w:r>
      <w:r>
        <w:rPr>
          <w:rFonts w:hint="eastAsia" w:ascii="新宋体" w:hAnsi="新宋体" w:eastAsia="新宋体"/>
          <w:szCs w:val="21"/>
          <w:highlight w:val="none"/>
        </w:rPr>
        <w:t>。</w:t>
      </w:r>
    </w:p>
    <w:p>
      <w:pPr>
        <w:adjustRightInd w:val="0"/>
        <w:snapToGrid w:val="0"/>
        <w:spacing w:line="440" w:lineRule="exact"/>
        <w:ind w:firstLine="420" w:firstLineChars="200"/>
        <w:rPr>
          <w:rFonts w:hint="eastAsia" w:ascii="新宋体" w:hAnsi="新宋体" w:eastAsia="新宋体"/>
          <w:szCs w:val="21"/>
        </w:rPr>
      </w:pPr>
      <w:r>
        <w:rPr>
          <w:rFonts w:hint="eastAsia" w:ascii="新宋体" w:hAnsi="新宋体" w:eastAsia="新宋体"/>
          <w:szCs w:val="21"/>
        </w:rPr>
        <w:t>3.5经评标委员会审议认为投标文件附有采购人不能接受的条件。评标委员会认为投标人的报价明显低于其他通过符合性审查投标人的报价，有可能影响服务质量或者不能诚信履约的，要求其在评标系统合理的时间内提供书面说明，必要时提交相关证明材料；投标人不能证明其报价合理性的。</w:t>
      </w:r>
    </w:p>
    <w:p>
      <w:pPr>
        <w:adjustRightInd w:val="0"/>
        <w:snapToGrid w:val="0"/>
        <w:spacing w:line="440" w:lineRule="exact"/>
        <w:ind w:firstLine="420" w:firstLineChars="200"/>
        <w:rPr>
          <w:rFonts w:hint="eastAsia" w:ascii="新宋体" w:hAnsi="新宋体" w:eastAsia="新宋体"/>
          <w:szCs w:val="21"/>
        </w:rPr>
      </w:pPr>
      <w:r>
        <w:rPr>
          <w:rFonts w:hint="eastAsia" w:ascii="新宋体" w:hAnsi="新宋体" w:eastAsia="新宋体"/>
          <w:szCs w:val="21"/>
        </w:rPr>
        <w:t>3.6其它对本招标文件中打★号的条款未完全响应的。</w:t>
      </w:r>
    </w:p>
    <w:p>
      <w:pPr>
        <w:adjustRightInd w:val="0"/>
        <w:snapToGrid w:val="0"/>
        <w:spacing w:line="440" w:lineRule="exact"/>
        <w:ind w:firstLine="420" w:firstLineChars="200"/>
        <w:rPr>
          <w:rFonts w:hint="eastAsia" w:ascii="新宋体" w:hAnsi="新宋体" w:eastAsia="新宋体"/>
          <w:szCs w:val="21"/>
        </w:rPr>
      </w:pPr>
      <w:r>
        <w:rPr>
          <w:rFonts w:hint="eastAsia" w:ascii="新宋体" w:hAnsi="新宋体" w:eastAsia="新宋体"/>
          <w:szCs w:val="21"/>
        </w:rPr>
        <w:t>3.7当投标人由于报价计算错误，投标人拒绝接受按招标文件的规定进行的修正处理（或投标人代表拒绝签名确认）。</w:t>
      </w:r>
    </w:p>
    <w:p>
      <w:pPr>
        <w:adjustRightInd w:val="0"/>
        <w:snapToGrid w:val="0"/>
        <w:spacing w:line="440" w:lineRule="exact"/>
        <w:ind w:firstLine="422" w:firstLineChars="200"/>
        <w:rPr>
          <w:rFonts w:hint="eastAsia" w:ascii="新宋体" w:hAnsi="新宋体" w:eastAsia="新宋体"/>
          <w:b/>
          <w:bCs/>
          <w:szCs w:val="21"/>
        </w:rPr>
      </w:pPr>
      <w:r>
        <w:rPr>
          <w:rFonts w:hint="eastAsia" w:ascii="新宋体" w:hAnsi="新宋体" w:eastAsia="新宋体"/>
          <w:b/>
          <w:bCs/>
          <w:szCs w:val="21"/>
        </w:rPr>
        <w:t>4</w:t>
      </w:r>
      <w:r>
        <w:rPr>
          <w:rFonts w:hint="eastAsia" w:ascii="新宋体" w:hAnsi="新宋体" w:eastAsia="新宋体"/>
          <w:b/>
          <w:bCs/>
          <w:szCs w:val="21"/>
          <w:lang w:val="en-US" w:eastAsia="zh-CN"/>
        </w:rPr>
        <w:t>.</w:t>
      </w:r>
      <w:r>
        <w:rPr>
          <w:rFonts w:hint="eastAsia" w:ascii="新宋体" w:hAnsi="新宋体" w:eastAsia="新宋体"/>
          <w:b/>
          <w:bCs/>
          <w:szCs w:val="21"/>
        </w:rPr>
        <w:t>在资格审查及评审过程中，符合中华人民共和国财政部令第87号《政府采购货物和服务招标投标管理办法》第三十七条情形之一的，视为投标人串通投标，其投标无效，并移送采购监管部门：</w:t>
      </w:r>
    </w:p>
    <w:p>
      <w:pPr>
        <w:adjustRightInd w:val="0"/>
        <w:snapToGrid w:val="0"/>
        <w:spacing w:line="440" w:lineRule="exact"/>
        <w:ind w:firstLine="420" w:firstLineChars="200"/>
        <w:rPr>
          <w:rFonts w:hint="eastAsia" w:ascii="新宋体" w:hAnsi="新宋体" w:eastAsia="新宋体"/>
          <w:szCs w:val="21"/>
        </w:rPr>
      </w:pPr>
      <w:r>
        <w:rPr>
          <w:rFonts w:hint="eastAsia" w:ascii="新宋体" w:hAnsi="新宋体" w:eastAsia="新宋体"/>
          <w:szCs w:val="21"/>
        </w:rPr>
        <w:t>（1）不同投标人的投标文件由同一单位或者个人编制；</w:t>
      </w:r>
    </w:p>
    <w:p>
      <w:pPr>
        <w:adjustRightInd w:val="0"/>
        <w:snapToGrid w:val="0"/>
        <w:spacing w:line="440" w:lineRule="exact"/>
        <w:ind w:firstLine="420" w:firstLineChars="200"/>
        <w:rPr>
          <w:rFonts w:hint="eastAsia" w:ascii="新宋体" w:hAnsi="新宋体" w:eastAsia="新宋体"/>
          <w:szCs w:val="21"/>
        </w:rPr>
      </w:pPr>
      <w:r>
        <w:rPr>
          <w:rFonts w:hint="eastAsia" w:ascii="新宋体" w:hAnsi="新宋体" w:eastAsia="新宋体"/>
          <w:szCs w:val="21"/>
        </w:rPr>
        <w:t>（2）不同投标人委托同一单位或者个人办理投标事宜；</w:t>
      </w:r>
    </w:p>
    <w:p>
      <w:pPr>
        <w:adjustRightInd w:val="0"/>
        <w:snapToGrid w:val="0"/>
        <w:spacing w:line="440" w:lineRule="exact"/>
        <w:ind w:firstLine="420" w:firstLineChars="200"/>
        <w:rPr>
          <w:rFonts w:hint="eastAsia" w:ascii="新宋体" w:hAnsi="新宋体" w:eastAsia="新宋体"/>
          <w:szCs w:val="21"/>
        </w:rPr>
      </w:pPr>
      <w:r>
        <w:rPr>
          <w:rFonts w:hint="eastAsia" w:ascii="新宋体" w:hAnsi="新宋体" w:eastAsia="新宋体"/>
          <w:szCs w:val="21"/>
        </w:rPr>
        <w:t>（3）不同投标人的投标文件载明的项目管理成员或者联系人员为同一人；</w:t>
      </w:r>
    </w:p>
    <w:p>
      <w:pPr>
        <w:adjustRightInd w:val="0"/>
        <w:snapToGrid w:val="0"/>
        <w:spacing w:line="440" w:lineRule="exact"/>
        <w:ind w:firstLine="420" w:firstLineChars="200"/>
        <w:rPr>
          <w:rFonts w:hint="eastAsia" w:ascii="新宋体" w:hAnsi="新宋体" w:eastAsia="新宋体"/>
          <w:szCs w:val="21"/>
        </w:rPr>
      </w:pPr>
      <w:r>
        <w:rPr>
          <w:rFonts w:hint="eastAsia" w:ascii="新宋体" w:hAnsi="新宋体" w:eastAsia="新宋体"/>
          <w:szCs w:val="21"/>
        </w:rPr>
        <w:t>（4）不同投标人的投标文件异常一致或者投标报价呈规律性差异；</w:t>
      </w:r>
    </w:p>
    <w:p>
      <w:pPr>
        <w:adjustRightInd w:val="0"/>
        <w:snapToGrid w:val="0"/>
        <w:spacing w:line="440" w:lineRule="exact"/>
        <w:ind w:firstLine="420" w:firstLineChars="200"/>
        <w:rPr>
          <w:rFonts w:hint="eastAsia" w:ascii="新宋体" w:hAnsi="新宋体" w:eastAsia="新宋体"/>
          <w:szCs w:val="21"/>
        </w:rPr>
      </w:pPr>
      <w:r>
        <w:rPr>
          <w:rFonts w:hint="eastAsia" w:ascii="新宋体" w:hAnsi="新宋体" w:eastAsia="新宋体"/>
          <w:szCs w:val="21"/>
        </w:rPr>
        <w:t>（5）不同投标人的投标文件相互混装。</w:t>
      </w:r>
    </w:p>
    <w:p>
      <w:pPr>
        <w:keepNext w:val="0"/>
        <w:keepLines w:val="0"/>
        <w:pageBreakBefore w:val="0"/>
        <w:widowControl w:val="0"/>
        <w:kinsoku/>
        <w:wordWrap/>
        <w:overflowPunct/>
        <w:topLinePunct w:val="0"/>
        <w:autoSpaceDE/>
        <w:autoSpaceDN/>
        <w:bidi w:val="0"/>
        <w:spacing w:line="360" w:lineRule="auto"/>
        <w:ind w:firstLine="422" w:firstLineChars="200"/>
        <w:textAlignment w:val="auto"/>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5.同一个标段（包）的供应商存在下列情形之一的，其投标（响应）文件无效：</w:t>
      </w:r>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5.1不同供应商制作电子投标（响应）文件的计算机网卡 mAc 地址相同的。</w:t>
      </w:r>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5.2不同供应商制作电子投标（响应）文件的计算机硬盘序列号相同的。</w:t>
      </w:r>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eastAsia" w:ascii="新宋体" w:hAnsi="新宋体" w:eastAsia="新宋体" w:cs="Times New Roman"/>
          <w:b/>
          <w:bCs/>
          <w:color w:val="auto"/>
          <w:szCs w:val="21"/>
          <w:highlight w:val="none"/>
        </w:rPr>
      </w:pPr>
      <w:r>
        <w:rPr>
          <w:rFonts w:hint="eastAsia" w:ascii="宋体" w:hAnsi="宋体" w:eastAsia="宋体" w:cs="宋体"/>
          <w:color w:val="auto"/>
          <w:szCs w:val="21"/>
          <w:highlight w:val="none"/>
        </w:rPr>
        <w:t>5.3不同供应商的投标（响应）文件的内容存在两处以上细节错误一致，且无法合理解释的。</w:t>
      </w:r>
    </w:p>
    <w:p>
      <w:pPr>
        <w:keepNext w:val="0"/>
        <w:keepLines w:val="0"/>
        <w:pageBreakBefore w:val="0"/>
        <w:widowControl w:val="0"/>
        <w:kinsoku/>
        <w:wordWrap/>
        <w:overflowPunct/>
        <w:topLinePunct w:val="0"/>
        <w:autoSpaceDE/>
        <w:autoSpaceDN/>
        <w:bidi w:val="0"/>
        <w:adjustRightInd w:val="0"/>
        <w:snapToGrid w:val="0"/>
        <w:spacing w:line="360" w:lineRule="auto"/>
        <w:ind w:firstLine="422" w:firstLineChars="200"/>
        <w:textAlignment w:val="auto"/>
        <w:rPr>
          <w:rFonts w:hint="eastAsia" w:ascii="新宋体" w:hAnsi="新宋体" w:eastAsia="新宋体" w:cs="Times New Roman"/>
          <w:b/>
          <w:bCs/>
          <w:color w:val="auto"/>
          <w:szCs w:val="21"/>
          <w:highlight w:val="none"/>
        </w:rPr>
      </w:pPr>
      <w:r>
        <w:rPr>
          <w:rFonts w:hint="eastAsia" w:ascii="新宋体" w:hAnsi="新宋体" w:eastAsia="新宋体" w:cs="Times New Roman"/>
          <w:b/>
          <w:bCs/>
          <w:color w:val="auto"/>
          <w:szCs w:val="21"/>
          <w:highlight w:val="none"/>
          <w:lang w:val="en-US" w:eastAsia="zh-CN"/>
        </w:rPr>
        <w:t>6</w:t>
      </w:r>
      <w:r>
        <w:rPr>
          <w:rFonts w:hint="eastAsia" w:ascii="新宋体" w:hAnsi="新宋体" w:eastAsia="新宋体" w:cs="Times New Roman"/>
          <w:b/>
          <w:bCs/>
          <w:color w:val="auto"/>
          <w:szCs w:val="21"/>
          <w:highlight w:val="none"/>
        </w:rPr>
        <w:t>.其他违反法律法规的情况。</w:t>
      </w:r>
    </w:p>
    <w:p>
      <w:pPr>
        <w:keepNext w:val="0"/>
        <w:keepLines w:val="0"/>
        <w:pageBreakBefore w:val="0"/>
        <w:widowControl w:val="0"/>
        <w:kinsoku/>
        <w:wordWrap/>
        <w:overflowPunct/>
        <w:topLinePunct w:val="0"/>
        <w:autoSpaceDE/>
        <w:autoSpaceDN/>
        <w:bidi w:val="0"/>
        <w:spacing w:line="360" w:lineRule="auto"/>
        <w:ind w:firstLine="422" w:firstLineChars="200"/>
        <w:textAlignment w:val="auto"/>
        <w:rPr>
          <w:rFonts w:hint="eastAsia" w:ascii="宋体" w:hAnsi="宋体" w:cs="宋体"/>
          <w:b/>
          <w:bCs/>
          <w:color w:val="auto"/>
          <w:kern w:val="0"/>
          <w:szCs w:val="21"/>
          <w:highlight w:val="none"/>
        </w:rPr>
      </w:pPr>
      <w:r>
        <w:rPr>
          <w:rFonts w:hint="eastAsia" w:ascii="新宋体" w:hAnsi="新宋体" w:eastAsia="新宋体"/>
          <w:b/>
          <w:color w:val="auto"/>
          <w:kern w:val="0"/>
          <w:szCs w:val="21"/>
          <w:highlight w:val="none"/>
          <w:lang w:val="en-US" w:eastAsia="zh-CN"/>
        </w:rPr>
        <w:t>7</w:t>
      </w:r>
      <w:r>
        <w:rPr>
          <w:rFonts w:hint="eastAsia" w:ascii="新宋体" w:hAnsi="新宋体" w:eastAsia="新宋体"/>
          <w:b/>
          <w:color w:val="auto"/>
          <w:kern w:val="0"/>
          <w:szCs w:val="21"/>
          <w:highlight w:val="none"/>
        </w:rPr>
        <w:t>.评标过程中，非上述所罗列的情况，不得以无效标处理</w:t>
      </w:r>
      <w:r>
        <w:rPr>
          <w:rFonts w:hint="eastAsia" w:ascii="宋体" w:hAnsi="宋体" w:cs="宋体"/>
          <w:b/>
          <w:bCs/>
          <w:color w:val="auto"/>
          <w:kern w:val="0"/>
          <w:szCs w:val="21"/>
          <w:highlight w:val="none"/>
        </w:rPr>
        <w:t>。</w:t>
      </w:r>
    </w:p>
    <w:p>
      <w:pPr>
        <w:keepNext w:val="0"/>
        <w:keepLines w:val="0"/>
        <w:pageBreakBefore w:val="0"/>
        <w:widowControl w:val="0"/>
        <w:kinsoku/>
        <w:wordWrap/>
        <w:overflowPunct/>
        <w:topLinePunct w:val="0"/>
        <w:autoSpaceDE/>
        <w:autoSpaceDN/>
        <w:bidi w:val="0"/>
        <w:spacing w:line="360" w:lineRule="auto"/>
        <w:ind w:firstLine="422" w:firstLineChars="200"/>
        <w:jc w:val="center"/>
        <w:textAlignment w:val="auto"/>
        <w:outlineLvl w:val="0"/>
        <w:rPr>
          <w:rFonts w:ascii="宋体" w:hAnsi="宋体" w:cs="宋体"/>
          <w:sz w:val="21"/>
          <w:szCs w:val="21"/>
        </w:rPr>
      </w:pPr>
      <w:r>
        <w:rPr>
          <w:rFonts w:hint="eastAsia" w:ascii="宋体" w:hAnsi="宋体" w:cs="宋体"/>
          <w:b/>
          <w:bCs/>
          <w:color w:val="auto"/>
          <w:kern w:val="0"/>
          <w:szCs w:val="21"/>
          <w:highlight w:val="none"/>
        </w:rPr>
        <w:br w:type="page"/>
      </w:r>
      <w:bookmarkStart w:id="52" w:name="_Toc1342"/>
      <w:bookmarkStart w:id="53" w:name="_Toc295815145"/>
      <w:bookmarkStart w:id="54" w:name="_Toc362250710"/>
      <w:bookmarkStart w:id="55" w:name="_Toc358884475"/>
      <w:bookmarkStart w:id="56" w:name="_Toc323024194"/>
      <w:bookmarkStart w:id="57" w:name="_Toc269969080"/>
      <w:bookmarkStart w:id="58" w:name="_Toc330474791"/>
      <w:r>
        <w:rPr>
          <w:rFonts w:hint="eastAsia"/>
          <w:b/>
          <w:bCs/>
          <w:sz w:val="36"/>
        </w:rPr>
        <w:t>第六章</w:t>
      </w:r>
      <w:r>
        <w:rPr>
          <w:b/>
          <w:bCs/>
          <w:sz w:val="36"/>
        </w:rPr>
        <w:t xml:space="preserve">  </w:t>
      </w:r>
      <w:r>
        <w:rPr>
          <w:rFonts w:hint="eastAsia"/>
          <w:b/>
          <w:bCs/>
          <w:sz w:val="36"/>
        </w:rPr>
        <w:t>评标办法</w:t>
      </w:r>
      <w:bookmarkEnd w:id="52"/>
    </w:p>
    <w:p>
      <w:pPr>
        <w:pStyle w:val="58"/>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cs="宋体"/>
          <w:sz w:val="21"/>
          <w:szCs w:val="21"/>
        </w:rPr>
      </w:pPr>
      <w:r>
        <w:rPr>
          <w:rFonts w:hint="eastAsia" w:ascii="宋体" w:hAnsi="宋体" w:cs="宋体"/>
          <w:sz w:val="21"/>
          <w:szCs w:val="21"/>
        </w:rPr>
        <w:t>根据《中华人民共和国招标投标法》的有关规定，遵循“公开、公平、公正”的原则，结合本次招标的特点，特制定本评标细则。</w:t>
      </w:r>
    </w:p>
    <w:p>
      <w:pPr>
        <w:pStyle w:val="58"/>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outlineLvl w:val="1"/>
        <w:rPr>
          <w:rFonts w:hint="eastAsia" w:ascii="宋体" w:hAnsi="宋体" w:cs="宋体"/>
          <w:b/>
          <w:bCs/>
          <w:szCs w:val="21"/>
        </w:rPr>
      </w:pPr>
      <w:bookmarkStart w:id="59" w:name="_Toc9740"/>
      <w:r>
        <w:rPr>
          <w:rFonts w:hint="eastAsia" w:ascii="宋体" w:hAnsi="宋体" w:cs="宋体"/>
          <w:b/>
          <w:bCs/>
          <w:sz w:val="21"/>
          <w:szCs w:val="21"/>
        </w:rPr>
        <w:t>一、评审程序</w:t>
      </w:r>
      <w:bookmarkEnd w:id="59"/>
    </w:p>
    <w:p>
      <w:pPr>
        <w:pStyle w:val="17"/>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hAnsi="宋体" w:cs="宋体"/>
        </w:rPr>
      </w:pPr>
      <w:r>
        <w:rPr>
          <w:rFonts w:hint="eastAsia" w:hAnsi="宋体" w:cs="宋体"/>
        </w:rPr>
        <w:t xml:space="preserve">评标委员会以开标、评标、询标情况为基本依据，按照招标文件的规定，对各投标人的投标文件分资格、商务技术、投标报价三个部分按以下程序进行分析、评议： </w:t>
      </w:r>
    </w:p>
    <w:p>
      <w:pPr>
        <w:pStyle w:val="17"/>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hAnsi="宋体" w:cs="宋体"/>
        </w:rPr>
      </w:pPr>
      <w:r>
        <w:rPr>
          <w:rFonts w:hint="eastAsia" w:hAnsi="宋体" w:cs="宋体"/>
        </w:rPr>
        <w:t>（一）对所有投标人的资格响应文件进行审查，并以开标当日为准，对投标人“信用中国”网站（www.creditchina.gov.cn）、中国政府采购网（www.ccgp.gov.cn）信用记录情况进行查询。</w:t>
      </w:r>
    </w:p>
    <w:p>
      <w:pPr>
        <w:pStyle w:val="17"/>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hAnsi="宋体" w:cs="宋体"/>
        </w:rPr>
      </w:pPr>
      <w:r>
        <w:rPr>
          <w:rFonts w:hint="eastAsia" w:hAnsi="宋体" w:cs="宋体"/>
        </w:rPr>
        <w:t>（二）对通过资格性审查合格的投标标人的商务技术响应文件进行符合性审查；</w:t>
      </w:r>
    </w:p>
    <w:p>
      <w:pPr>
        <w:pStyle w:val="17"/>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hAnsi="宋体" w:cs="宋体"/>
        </w:rPr>
      </w:pPr>
      <w:r>
        <w:rPr>
          <w:rFonts w:hint="eastAsia" w:hAnsi="宋体" w:cs="宋体"/>
        </w:rPr>
        <w:t>（三）对通过符合性审查有效的投标人的商务技术响应文件进行技术评分（详见三、评分细则）；</w:t>
      </w:r>
    </w:p>
    <w:p>
      <w:pPr>
        <w:pStyle w:val="17"/>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hAnsi="宋体" w:cs="宋体"/>
        </w:rPr>
      </w:pPr>
      <w:r>
        <w:rPr>
          <w:rFonts w:hint="eastAsia" w:hAnsi="宋体" w:cs="宋体"/>
        </w:rPr>
        <w:t>（四）上述投标人的评分结束后，评标委员会对上述投标人的报价文件进行评审；评标委员会认为投标人的报价明显低于其他通过符合性审查投标人的报价，有可能影响服务质量或者不能诚信履约的，应当要求其在评标现场合理的时间内提供书面说明，必要时提交相关证明材料；投标人不能证明其报价合理性的，评标委员会应当将其作为无效投标处理。</w:t>
      </w:r>
    </w:p>
    <w:p>
      <w:pPr>
        <w:pStyle w:val="17"/>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hAnsi="宋体" w:cs="宋体"/>
        </w:rPr>
      </w:pPr>
      <w:r>
        <w:rPr>
          <w:rFonts w:hint="eastAsia" w:hAnsi="宋体" w:cs="宋体"/>
        </w:rPr>
        <w:t>（五）对通过报价评审有效的投标人，由“义乌市阳光招标采购平台”平台计算出其报价分及总得分，并由评标委员会进行确认；</w:t>
      </w:r>
    </w:p>
    <w:p>
      <w:pPr>
        <w:pStyle w:val="17"/>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hAnsi="宋体" w:cs="宋体"/>
        </w:rPr>
      </w:pPr>
      <w:r>
        <w:rPr>
          <w:rFonts w:hint="eastAsia" w:hAnsi="宋体" w:cs="宋体"/>
        </w:rPr>
        <w:t>（六）确定中标人</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cs="宋体"/>
          <w:szCs w:val="21"/>
        </w:rPr>
      </w:pPr>
      <w:r>
        <w:rPr>
          <w:rFonts w:hint="eastAsia" w:ascii="宋体" w:hAnsi="宋体" w:cs="宋体"/>
          <w:szCs w:val="21"/>
        </w:rPr>
        <w:t>1.首先，评标委员会按综合得分从高到低顺序进行排列；得分相同的，按投标报价由低到高顺序排列；得分且投标报价相同的，按技术分从高到低顺序排列；技术分相同，投标报价也相同的由采购人代表采用随机抽取程序随机确定。</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cs="宋体"/>
          <w:szCs w:val="21"/>
        </w:rPr>
      </w:pPr>
      <w:r>
        <w:rPr>
          <w:rFonts w:hint="eastAsia" w:ascii="宋体" w:hAnsi="宋体" w:cs="宋体"/>
          <w:szCs w:val="21"/>
        </w:rPr>
        <w:t>2.其次，评标委员会直接确定排名第一的投标人为中标单位。</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cs="宋体"/>
          <w:szCs w:val="21"/>
        </w:rPr>
      </w:pPr>
      <w:r>
        <w:rPr>
          <w:rFonts w:hint="eastAsia" w:ascii="宋体" w:hAnsi="宋体" w:cs="宋体"/>
          <w:szCs w:val="21"/>
        </w:rPr>
        <w:t>（七）完成评标报告</w:t>
      </w:r>
    </w:p>
    <w:p>
      <w:pPr>
        <w:pStyle w:val="17"/>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hAnsi="宋体" w:cs="宋体"/>
        </w:rPr>
      </w:pPr>
      <w:r>
        <w:rPr>
          <w:rFonts w:hint="eastAsia" w:hAnsi="宋体" w:cs="宋体"/>
        </w:rPr>
        <w:t xml:space="preserve">评标委员会根据评审相关情况作出评标报告。 </w:t>
      </w:r>
    </w:p>
    <w:p>
      <w:pPr>
        <w:pStyle w:val="17"/>
        <w:keepNext w:val="0"/>
        <w:keepLines w:val="0"/>
        <w:pageBreakBefore w:val="0"/>
        <w:widowControl w:val="0"/>
        <w:kinsoku/>
        <w:wordWrap/>
        <w:overflowPunct/>
        <w:topLinePunct w:val="0"/>
        <w:autoSpaceDE/>
        <w:autoSpaceDN/>
        <w:bidi w:val="0"/>
        <w:adjustRightInd/>
        <w:snapToGrid/>
        <w:spacing w:line="360" w:lineRule="auto"/>
        <w:ind w:firstLine="422" w:firstLineChars="200"/>
        <w:jc w:val="left"/>
        <w:textAlignment w:val="auto"/>
        <w:outlineLvl w:val="1"/>
        <w:rPr>
          <w:rFonts w:hint="eastAsia" w:hAnsi="宋体" w:cs="宋体"/>
          <w:b/>
          <w:bCs/>
        </w:rPr>
      </w:pPr>
      <w:bookmarkStart w:id="60" w:name="_Toc28402"/>
      <w:r>
        <w:rPr>
          <w:rFonts w:hint="eastAsia" w:hAnsi="宋体" w:cs="宋体"/>
          <w:b/>
          <w:bCs/>
        </w:rPr>
        <w:t>二、确定的中标人放弃中标等情况的处理</w:t>
      </w:r>
      <w:bookmarkEnd w:id="60"/>
    </w:p>
    <w:p>
      <w:pPr>
        <w:pStyle w:val="17"/>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hAnsi="宋体" w:cs="宋体"/>
        </w:rPr>
      </w:pPr>
      <w:r>
        <w:rPr>
          <w:rFonts w:hint="eastAsia" w:hAnsi="宋体" w:cs="宋体"/>
        </w:rPr>
        <w:t>1.当确定的中标人放弃中标，因不可抗力提出不能履行合同或者质疑投诉成立取消中标人资格的，均不再确定其余投标人作为中标人。</w:t>
      </w:r>
    </w:p>
    <w:p>
      <w:pPr>
        <w:pStyle w:val="17"/>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hAnsi="宋体" w:cs="宋体"/>
        </w:rPr>
      </w:pPr>
      <w:r>
        <w:rPr>
          <w:rFonts w:hint="eastAsia" w:hAnsi="宋体" w:cs="宋体"/>
        </w:rPr>
        <w:t>2.因中标人原因导致定标后无法签订合同的，中标人应按本文件服务费规定支付招标服务费。</w:t>
      </w:r>
    </w:p>
    <w:p>
      <w:pPr>
        <w:pStyle w:val="53"/>
        <w:rPr>
          <w:rFonts w:hint="eastAsia" w:hAnsi="宋体" w:cs="宋体"/>
        </w:rPr>
      </w:pPr>
    </w:p>
    <w:p>
      <w:pPr>
        <w:pStyle w:val="17"/>
        <w:numPr>
          <w:ilvl w:val="0"/>
          <w:numId w:val="8"/>
        </w:numPr>
        <w:spacing w:line="360" w:lineRule="exact"/>
        <w:ind w:firstLine="420" w:firstLineChars="0"/>
        <w:outlineLvl w:val="1"/>
        <w:rPr>
          <w:rFonts w:hint="eastAsia" w:hAnsi="宋体" w:cs="宋体"/>
          <w:b/>
          <w:bCs/>
        </w:rPr>
      </w:pPr>
      <w:bookmarkStart w:id="61" w:name="_Toc28418"/>
      <w:r>
        <w:rPr>
          <w:rFonts w:hint="eastAsia" w:hAnsi="宋体" w:cs="宋体"/>
          <w:b/>
          <w:bCs/>
        </w:rPr>
        <w:t>评分细则</w:t>
      </w:r>
      <w:bookmarkEnd w:id="61"/>
    </w:p>
    <w:tbl>
      <w:tblPr>
        <w:tblStyle w:val="3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1"/>
        <w:gridCol w:w="1967"/>
        <w:gridCol w:w="1009"/>
        <w:gridCol w:w="58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11" w:type="dxa"/>
            <w:noWrap w:val="0"/>
            <w:vAlign w:val="center"/>
          </w:tcPr>
          <w:p>
            <w:pPr>
              <w:pStyle w:val="80"/>
              <w:widowControl/>
              <w:jc w:val="center"/>
              <w:rPr>
                <w:rFonts w:ascii="Times New Roman" w:hAnsi="Times New Roman"/>
                <w:b/>
                <w:color w:val="auto"/>
                <w:sz w:val="24"/>
                <w:szCs w:val="24"/>
                <w:highlight w:val="none"/>
                <w:lang w:val="zh-CN"/>
              </w:rPr>
            </w:pPr>
            <w:r>
              <w:rPr>
                <w:rFonts w:hint="eastAsia" w:ascii="宋体" w:hAnsi="宋体" w:eastAsia="宋体" w:cs="宋体"/>
                <w:b/>
                <w:bCs/>
                <w:color w:val="auto"/>
                <w:sz w:val="21"/>
                <w:szCs w:val="21"/>
                <w:highlight w:val="none"/>
              </w:rPr>
              <w:t>序号</w:t>
            </w:r>
          </w:p>
        </w:tc>
        <w:tc>
          <w:tcPr>
            <w:tcW w:w="1967" w:type="dxa"/>
            <w:noWrap w:val="0"/>
            <w:vAlign w:val="center"/>
          </w:tcPr>
          <w:p>
            <w:pPr>
              <w:pStyle w:val="80"/>
              <w:widowControl/>
              <w:jc w:val="center"/>
              <w:rPr>
                <w:rFonts w:ascii="Times New Roman" w:hAnsi="Times New Roman"/>
                <w:b/>
                <w:color w:val="auto"/>
                <w:sz w:val="24"/>
                <w:szCs w:val="24"/>
                <w:highlight w:val="none"/>
                <w:lang w:val="zh-CN"/>
              </w:rPr>
            </w:pPr>
            <w:r>
              <w:rPr>
                <w:rFonts w:hint="eastAsia" w:ascii="宋体" w:hAnsi="宋体" w:eastAsia="宋体" w:cs="宋体"/>
                <w:b/>
                <w:bCs/>
                <w:color w:val="auto"/>
                <w:sz w:val="21"/>
                <w:szCs w:val="21"/>
                <w:highlight w:val="none"/>
              </w:rPr>
              <w:t>评分内容</w:t>
            </w:r>
          </w:p>
        </w:tc>
        <w:tc>
          <w:tcPr>
            <w:tcW w:w="1009" w:type="dxa"/>
            <w:noWrap w:val="0"/>
            <w:vAlign w:val="center"/>
          </w:tcPr>
          <w:p>
            <w:pPr>
              <w:pStyle w:val="80"/>
              <w:widowControl/>
              <w:jc w:val="center"/>
              <w:rPr>
                <w:rFonts w:ascii="Times New Roman" w:hAnsi="Times New Roman"/>
                <w:b/>
                <w:color w:val="auto"/>
                <w:sz w:val="24"/>
                <w:szCs w:val="24"/>
                <w:highlight w:val="none"/>
                <w:lang w:val="zh-CN"/>
              </w:rPr>
            </w:pPr>
            <w:r>
              <w:rPr>
                <w:rFonts w:hint="eastAsia" w:ascii="宋体" w:hAnsi="宋体" w:eastAsia="宋体" w:cs="宋体"/>
                <w:b/>
                <w:bCs/>
                <w:color w:val="auto"/>
                <w:sz w:val="21"/>
                <w:szCs w:val="21"/>
                <w:highlight w:val="none"/>
              </w:rPr>
              <w:t>分数</w:t>
            </w:r>
          </w:p>
        </w:tc>
        <w:tc>
          <w:tcPr>
            <w:tcW w:w="5840" w:type="dxa"/>
            <w:noWrap w:val="0"/>
            <w:vAlign w:val="center"/>
          </w:tcPr>
          <w:p>
            <w:pPr>
              <w:pStyle w:val="80"/>
              <w:widowControl/>
              <w:jc w:val="center"/>
              <w:rPr>
                <w:rFonts w:ascii="Times New Roman" w:hAnsi="Times New Roman"/>
                <w:b/>
                <w:color w:val="auto"/>
                <w:sz w:val="24"/>
                <w:szCs w:val="24"/>
                <w:highlight w:val="none"/>
                <w:lang w:val="zh-CN"/>
              </w:rPr>
            </w:pPr>
            <w:r>
              <w:rPr>
                <w:rFonts w:hint="eastAsia" w:ascii="宋体" w:hAnsi="宋体" w:eastAsia="宋体" w:cs="宋体"/>
                <w:b/>
                <w:bCs/>
                <w:color w:val="auto"/>
                <w:sz w:val="21"/>
                <w:szCs w:val="21"/>
                <w:highlight w:val="none"/>
              </w:rPr>
              <w:t>评分标准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11" w:type="dxa"/>
            <w:noWrap w:val="0"/>
            <w:vAlign w:val="center"/>
          </w:tcPr>
          <w:p>
            <w:pPr>
              <w:pStyle w:val="17"/>
              <w:jc w:val="center"/>
              <w:rPr>
                <w:rFonts w:hint="eastAsia" w:ascii="宋体" w:hAnsi="宋体" w:cs="宋体"/>
                <w:b/>
                <w:color w:val="auto"/>
                <w:szCs w:val="21"/>
                <w:highlight w:val="none"/>
              </w:rPr>
            </w:pPr>
            <w:r>
              <w:rPr>
                <w:rFonts w:hint="eastAsia" w:ascii="宋体" w:hAnsi="宋体" w:eastAsia="宋体" w:cs="宋体"/>
                <w:color w:val="auto"/>
                <w:sz w:val="21"/>
                <w:szCs w:val="21"/>
                <w:highlight w:val="none"/>
              </w:rPr>
              <w:t>一</w:t>
            </w:r>
          </w:p>
        </w:tc>
        <w:tc>
          <w:tcPr>
            <w:tcW w:w="1967" w:type="dxa"/>
            <w:noWrap w:val="0"/>
            <w:vAlign w:val="center"/>
          </w:tcPr>
          <w:p>
            <w:pPr>
              <w:pStyle w:val="17"/>
              <w:jc w:val="center"/>
              <w:rPr>
                <w:rFonts w:hint="eastAsia" w:ascii="宋体" w:hAnsi="宋体" w:cs="宋体"/>
                <w:b/>
                <w:color w:val="auto"/>
                <w:szCs w:val="21"/>
                <w:highlight w:val="none"/>
              </w:rPr>
            </w:pPr>
            <w:r>
              <w:rPr>
                <w:rFonts w:hint="eastAsia" w:ascii="宋体" w:hAnsi="宋体" w:eastAsia="宋体" w:cs="宋体"/>
                <w:color w:val="auto"/>
                <w:sz w:val="21"/>
                <w:szCs w:val="21"/>
                <w:highlight w:val="none"/>
              </w:rPr>
              <w:t>技术分</w:t>
            </w:r>
          </w:p>
        </w:tc>
        <w:tc>
          <w:tcPr>
            <w:tcW w:w="1009" w:type="dxa"/>
            <w:noWrap w:val="0"/>
            <w:vAlign w:val="center"/>
          </w:tcPr>
          <w:p>
            <w:pPr>
              <w:pStyle w:val="17"/>
              <w:jc w:val="center"/>
              <w:rPr>
                <w:rFonts w:hint="default" w:ascii="宋体" w:hAnsi="宋体" w:cs="宋体"/>
                <w:b/>
                <w:bCs/>
                <w:color w:val="auto"/>
                <w:szCs w:val="21"/>
                <w:highlight w:val="none"/>
                <w:lang w:val="en-US"/>
              </w:rPr>
            </w:pPr>
            <w:r>
              <w:rPr>
                <w:rFonts w:hint="eastAsia" w:ascii="宋体" w:hAnsi="宋体" w:eastAsia="宋体" w:cs="宋体"/>
                <w:color w:val="auto"/>
                <w:sz w:val="21"/>
                <w:szCs w:val="21"/>
                <w:highlight w:val="none"/>
                <w:lang w:val="en-US" w:eastAsia="zh-CN"/>
              </w:rPr>
              <w:t>60</w:t>
            </w:r>
          </w:p>
        </w:tc>
        <w:tc>
          <w:tcPr>
            <w:tcW w:w="5840" w:type="dxa"/>
            <w:noWrap w:val="0"/>
            <w:vAlign w:val="center"/>
          </w:tcPr>
          <w:p>
            <w:pPr>
              <w:rPr>
                <w:rFonts w:hint="eastAsia" w:ascii="宋体" w:hAnsi="宋体" w:cs="宋体"/>
                <w:b/>
                <w:color w:val="auto"/>
                <w:szCs w:val="21"/>
                <w:highlight w:val="none"/>
              </w:rPr>
            </w:pPr>
            <w:r>
              <w:rPr>
                <w:rFonts w:hint="eastAsia" w:ascii="宋体" w:hAnsi="宋体" w:eastAsia="宋体" w:cs="宋体"/>
                <w:color w:val="auto"/>
                <w:sz w:val="21"/>
                <w:szCs w:val="21"/>
                <w:highlight w:val="none"/>
              </w:rPr>
              <w:t>评标委员会根据评分细则，对各投标人的技术文件进行书面审核和评论后，由各成员独立给分，打分时保留小数1位，每人一份评分表，并签名。在统计得分时，如果发现某一单项评分超过评分细则规定的分值范围，则该张评分表无效。投标人技术分的最终得分为评标委员会组成员的有效评分的算术平均值。计算结果保留小数2位</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第三位四舍五入</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11" w:type="dxa"/>
            <w:vMerge w:val="restart"/>
            <w:noWrap w:val="0"/>
            <w:vAlign w:val="center"/>
          </w:tcPr>
          <w:p>
            <w:pPr>
              <w:adjustRightInd w:val="0"/>
              <w:snapToGrid w:val="0"/>
              <w:spacing w:line="300" w:lineRule="exact"/>
              <w:jc w:val="center"/>
              <w:rPr>
                <w:rFonts w:hint="eastAsia" w:ascii="宋体" w:hAnsi="宋体" w:cs="宋体"/>
                <w:bCs/>
                <w:color w:val="auto"/>
                <w:sz w:val="24"/>
                <w:highlight w:val="none"/>
              </w:rPr>
            </w:pPr>
            <w:r>
              <w:rPr>
                <w:rFonts w:hint="eastAsia" w:ascii="宋体" w:hAnsi="宋体" w:cs="宋体"/>
                <w:color w:val="auto"/>
                <w:szCs w:val="21"/>
                <w:highlight w:val="none"/>
              </w:rPr>
              <w:t>1</w:t>
            </w:r>
          </w:p>
        </w:tc>
        <w:tc>
          <w:tcPr>
            <w:tcW w:w="1967" w:type="dxa"/>
            <w:vMerge w:val="restart"/>
            <w:noWrap w:val="0"/>
            <w:vAlign w:val="center"/>
          </w:tcPr>
          <w:p>
            <w:pPr>
              <w:adjustRightInd w:val="0"/>
              <w:snapToGrid w:val="0"/>
              <w:spacing w:line="300" w:lineRule="exact"/>
              <w:jc w:val="center"/>
              <w:rPr>
                <w:rFonts w:hint="eastAsia" w:ascii="宋体" w:hAnsi="宋体" w:cs="宋体"/>
                <w:color w:val="auto"/>
                <w:szCs w:val="21"/>
                <w:highlight w:val="none"/>
              </w:rPr>
            </w:pPr>
            <w:r>
              <w:rPr>
                <w:rFonts w:hint="eastAsia" w:ascii="宋体" w:hAnsi="宋体" w:cs="宋体"/>
                <w:color w:val="auto"/>
                <w:szCs w:val="21"/>
                <w:highlight w:val="none"/>
              </w:rPr>
              <w:t>物业管理服务理念、组织架构及管理制度情况</w:t>
            </w:r>
          </w:p>
          <w:p>
            <w:pPr>
              <w:adjustRightInd w:val="0"/>
              <w:snapToGrid w:val="0"/>
              <w:spacing w:line="300" w:lineRule="exact"/>
              <w:ind w:firstLine="210" w:firstLineChars="100"/>
              <w:jc w:val="center"/>
              <w:rPr>
                <w:rFonts w:hint="eastAsia" w:ascii="宋体" w:hAnsi="宋体" w:cs="宋体"/>
                <w:bCs/>
                <w:color w:val="auto"/>
                <w:sz w:val="24"/>
                <w:highlight w:val="none"/>
              </w:rPr>
            </w:pPr>
            <w:r>
              <w:rPr>
                <w:rFonts w:hint="eastAsia" w:ascii="宋体" w:hAnsi="宋体" w:cs="宋体"/>
                <w:color w:val="auto"/>
                <w:szCs w:val="21"/>
                <w:highlight w:val="none"/>
              </w:rPr>
              <w:t>（1</w:t>
            </w:r>
            <w:r>
              <w:rPr>
                <w:rFonts w:hint="eastAsia" w:ascii="宋体" w:hAnsi="宋体" w:cs="宋体"/>
                <w:color w:val="auto"/>
                <w:szCs w:val="21"/>
                <w:highlight w:val="none"/>
                <w:lang w:val="en-US" w:eastAsia="zh-CN"/>
              </w:rPr>
              <w:t>2</w:t>
            </w:r>
            <w:r>
              <w:rPr>
                <w:rFonts w:hint="eastAsia" w:ascii="宋体" w:hAnsi="宋体" w:cs="宋体"/>
                <w:color w:val="auto"/>
                <w:szCs w:val="21"/>
                <w:highlight w:val="none"/>
              </w:rPr>
              <w:t>分）</w:t>
            </w:r>
          </w:p>
        </w:tc>
        <w:tc>
          <w:tcPr>
            <w:tcW w:w="1009" w:type="dxa"/>
            <w:noWrap w:val="0"/>
            <w:vAlign w:val="center"/>
          </w:tcPr>
          <w:p>
            <w:pPr>
              <w:adjustRightInd w:val="0"/>
              <w:snapToGrid w:val="0"/>
              <w:spacing w:line="300" w:lineRule="exact"/>
              <w:jc w:val="center"/>
              <w:rPr>
                <w:rFonts w:hint="eastAsia" w:ascii="宋体" w:hAnsi="宋体" w:cs="宋体"/>
                <w:bCs/>
                <w:color w:val="auto"/>
                <w:sz w:val="24"/>
                <w:highlight w:val="none"/>
              </w:rPr>
            </w:pPr>
            <w:r>
              <w:rPr>
                <w:rFonts w:hint="eastAsia" w:ascii="宋体" w:hAnsi="宋体" w:cs="宋体"/>
                <w:bCs/>
                <w:color w:val="auto"/>
                <w:szCs w:val="21"/>
                <w:highlight w:val="none"/>
              </w:rPr>
              <w:t>0-</w:t>
            </w:r>
            <w:r>
              <w:rPr>
                <w:rFonts w:hint="eastAsia" w:ascii="宋体" w:hAnsi="宋体" w:cs="宋体"/>
                <w:bCs/>
                <w:color w:val="auto"/>
                <w:szCs w:val="21"/>
                <w:highlight w:val="none"/>
                <w:lang w:val="en-US" w:eastAsia="zh-CN"/>
              </w:rPr>
              <w:t>4</w:t>
            </w:r>
            <w:r>
              <w:rPr>
                <w:rFonts w:hint="eastAsia" w:ascii="宋体" w:hAnsi="宋体" w:cs="宋体"/>
                <w:color w:val="auto"/>
                <w:szCs w:val="21"/>
                <w:highlight w:val="none"/>
              </w:rPr>
              <w:t>分</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主</w:t>
            </w:r>
            <w:r>
              <w:rPr>
                <w:rFonts w:hint="eastAsia" w:ascii="宋体" w:hAnsi="宋体" w:eastAsia="宋体" w:cs="宋体"/>
                <w:color w:val="auto"/>
                <w:sz w:val="21"/>
                <w:szCs w:val="21"/>
                <w:highlight w:val="none"/>
              </w:rPr>
              <w:t>观分）</w:t>
            </w:r>
          </w:p>
        </w:tc>
        <w:tc>
          <w:tcPr>
            <w:tcW w:w="5840" w:type="dxa"/>
            <w:noWrap w:val="0"/>
            <w:vAlign w:val="center"/>
          </w:tcPr>
          <w:p>
            <w:pPr>
              <w:adjustRightInd w:val="0"/>
              <w:snapToGrid w:val="0"/>
              <w:spacing w:line="300" w:lineRule="exact"/>
              <w:rPr>
                <w:rFonts w:hint="eastAsia" w:ascii="宋体" w:hAnsi="宋体" w:cs="宋体"/>
                <w:color w:val="auto"/>
                <w:sz w:val="24"/>
                <w:highlight w:val="none"/>
              </w:rPr>
            </w:pPr>
            <w:r>
              <w:rPr>
                <w:rFonts w:hint="eastAsia" w:ascii="宋体" w:hAnsi="宋体" w:cs="宋体"/>
                <w:color w:val="auto"/>
                <w:szCs w:val="21"/>
                <w:highlight w:val="none"/>
              </w:rPr>
              <w:t>根据本项目物业使用特点提出合理的物业管理服务理念，提出服务定位、目标，投标人的管理模式能够切合实际，且安全可行，保密性、安全性、文明服务的计划。计划完整</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kern w:val="0"/>
                <w:sz w:val="21"/>
                <w:szCs w:val="21"/>
                <w:highlight w:val="none"/>
                <w:lang w:val="en-US" w:eastAsia="zh-CN" w:bidi="ar"/>
              </w:rPr>
              <w:t>0分，0.5分，1分，1.5分，2分</w:t>
            </w:r>
            <w:r>
              <w:rPr>
                <w:rFonts w:hint="eastAsia" w:ascii="宋体" w:hAnsi="宋体" w:eastAsia="宋体" w:cs="宋体"/>
                <w:color w:val="auto"/>
                <w:sz w:val="21"/>
                <w:szCs w:val="21"/>
                <w:highlight w:val="none"/>
                <w:lang w:eastAsia="zh-CN"/>
              </w:rPr>
              <w:t>）</w:t>
            </w:r>
            <w:r>
              <w:rPr>
                <w:rFonts w:hint="eastAsia" w:ascii="宋体" w:hAnsi="宋体" w:cs="宋体"/>
                <w:color w:val="auto"/>
                <w:szCs w:val="21"/>
                <w:highlight w:val="none"/>
              </w:rPr>
              <w:t>、合理性</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kern w:val="0"/>
                <w:sz w:val="21"/>
                <w:szCs w:val="21"/>
                <w:highlight w:val="none"/>
                <w:lang w:val="en-US" w:eastAsia="zh-CN" w:bidi="ar"/>
              </w:rPr>
              <w:t>0分，0.5分，1分，1.5分，2分</w:t>
            </w:r>
            <w:r>
              <w:rPr>
                <w:rFonts w:hint="eastAsia" w:ascii="宋体" w:hAnsi="宋体" w:eastAsia="宋体" w:cs="宋体"/>
                <w:color w:val="auto"/>
                <w:sz w:val="21"/>
                <w:szCs w:val="21"/>
                <w:highlight w:val="none"/>
                <w:lang w:eastAsia="zh-CN"/>
              </w:rPr>
              <w:t>）</w:t>
            </w:r>
            <w:r>
              <w:rPr>
                <w:rFonts w:hint="eastAsia" w:ascii="宋体" w:hAnsi="宋体" w:cs="宋体"/>
                <w:bCs/>
                <w:color w:val="auto"/>
                <w:szCs w:val="21"/>
                <w:highlight w:val="none"/>
                <w:lang w:val="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11" w:type="dxa"/>
            <w:vMerge w:val="continue"/>
            <w:noWrap w:val="0"/>
            <w:vAlign w:val="center"/>
          </w:tcPr>
          <w:p>
            <w:pPr>
              <w:adjustRightInd w:val="0"/>
              <w:snapToGrid w:val="0"/>
              <w:spacing w:line="300" w:lineRule="exact"/>
              <w:jc w:val="center"/>
              <w:rPr>
                <w:rFonts w:hint="eastAsia" w:ascii="宋体" w:hAnsi="宋体" w:cs="宋体"/>
                <w:bCs/>
                <w:color w:val="auto"/>
                <w:sz w:val="24"/>
                <w:highlight w:val="none"/>
              </w:rPr>
            </w:pPr>
          </w:p>
        </w:tc>
        <w:tc>
          <w:tcPr>
            <w:tcW w:w="1967" w:type="dxa"/>
            <w:vMerge w:val="continue"/>
            <w:noWrap w:val="0"/>
            <w:vAlign w:val="center"/>
          </w:tcPr>
          <w:p>
            <w:pPr>
              <w:adjustRightInd w:val="0"/>
              <w:snapToGrid w:val="0"/>
              <w:spacing w:line="300" w:lineRule="exact"/>
              <w:jc w:val="center"/>
              <w:rPr>
                <w:rFonts w:hint="eastAsia" w:ascii="宋体" w:hAnsi="宋体" w:cs="宋体"/>
                <w:bCs/>
                <w:color w:val="auto"/>
                <w:sz w:val="24"/>
                <w:highlight w:val="none"/>
              </w:rPr>
            </w:pPr>
          </w:p>
        </w:tc>
        <w:tc>
          <w:tcPr>
            <w:tcW w:w="1009" w:type="dxa"/>
            <w:noWrap w:val="0"/>
            <w:vAlign w:val="center"/>
          </w:tcPr>
          <w:p>
            <w:pPr>
              <w:adjustRightInd w:val="0"/>
              <w:snapToGrid w:val="0"/>
              <w:spacing w:line="300" w:lineRule="exact"/>
              <w:jc w:val="center"/>
              <w:rPr>
                <w:rFonts w:hint="eastAsia" w:ascii="宋体" w:hAnsi="宋体" w:cs="宋体"/>
                <w:bCs/>
                <w:color w:val="auto"/>
                <w:sz w:val="24"/>
                <w:highlight w:val="none"/>
              </w:rPr>
            </w:pPr>
            <w:r>
              <w:rPr>
                <w:rFonts w:hint="eastAsia" w:ascii="宋体" w:hAnsi="宋体" w:cs="宋体"/>
                <w:bCs/>
                <w:color w:val="auto"/>
                <w:szCs w:val="21"/>
                <w:highlight w:val="none"/>
              </w:rPr>
              <w:t>0-</w:t>
            </w:r>
            <w:r>
              <w:rPr>
                <w:rFonts w:hint="eastAsia" w:ascii="宋体" w:hAnsi="宋体" w:cs="宋体"/>
                <w:bCs/>
                <w:color w:val="auto"/>
                <w:szCs w:val="21"/>
                <w:highlight w:val="none"/>
                <w:lang w:val="en-US" w:eastAsia="zh-CN"/>
              </w:rPr>
              <w:t>4</w:t>
            </w:r>
            <w:r>
              <w:rPr>
                <w:rFonts w:hint="eastAsia" w:ascii="宋体" w:hAnsi="宋体" w:cs="宋体"/>
                <w:color w:val="auto"/>
                <w:szCs w:val="21"/>
                <w:highlight w:val="none"/>
              </w:rPr>
              <w:t>分</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主</w:t>
            </w:r>
            <w:r>
              <w:rPr>
                <w:rFonts w:hint="eastAsia" w:ascii="宋体" w:hAnsi="宋体" w:eastAsia="宋体" w:cs="宋体"/>
                <w:color w:val="auto"/>
                <w:sz w:val="21"/>
                <w:szCs w:val="21"/>
                <w:highlight w:val="none"/>
              </w:rPr>
              <w:t>观分）</w:t>
            </w:r>
          </w:p>
        </w:tc>
        <w:tc>
          <w:tcPr>
            <w:tcW w:w="5840" w:type="dxa"/>
            <w:noWrap w:val="0"/>
            <w:vAlign w:val="center"/>
          </w:tcPr>
          <w:p>
            <w:pPr>
              <w:adjustRightInd w:val="0"/>
              <w:snapToGrid w:val="0"/>
              <w:spacing w:line="300" w:lineRule="exact"/>
              <w:rPr>
                <w:rFonts w:hint="eastAsia" w:ascii="宋体" w:hAnsi="宋体" w:cs="宋体"/>
                <w:b/>
                <w:color w:val="auto"/>
                <w:sz w:val="24"/>
                <w:highlight w:val="none"/>
              </w:rPr>
            </w:pPr>
            <w:r>
              <w:rPr>
                <w:rFonts w:hint="eastAsia" w:ascii="宋体" w:hAnsi="宋体" w:cs="宋体"/>
                <w:color w:val="auto"/>
                <w:szCs w:val="21"/>
                <w:highlight w:val="none"/>
              </w:rPr>
              <w:t>有比较完善的组织架构，清晰简练地列出主要管理流程，包括对运作流程图、激励机制、监督机制、自我约束机制、信息反馈渠道及处理机制，管理指标承诺达到物业管理标准。内容完整</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kern w:val="0"/>
                <w:sz w:val="21"/>
                <w:szCs w:val="21"/>
                <w:highlight w:val="none"/>
                <w:lang w:val="en-US" w:eastAsia="zh-CN" w:bidi="ar"/>
              </w:rPr>
              <w:t>0分，0.5分，1分，1.5分，2分</w:t>
            </w:r>
            <w:r>
              <w:rPr>
                <w:rFonts w:hint="eastAsia" w:ascii="宋体" w:hAnsi="宋体" w:eastAsia="宋体" w:cs="宋体"/>
                <w:color w:val="auto"/>
                <w:sz w:val="21"/>
                <w:szCs w:val="21"/>
                <w:highlight w:val="none"/>
                <w:lang w:eastAsia="zh-CN"/>
              </w:rPr>
              <w:t>）</w:t>
            </w:r>
            <w:r>
              <w:rPr>
                <w:rFonts w:hint="eastAsia" w:ascii="宋体" w:hAnsi="宋体" w:cs="宋体"/>
                <w:color w:val="auto"/>
                <w:szCs w:val="21"/>
                <w:highlight w:val="none"/>
              </w:rPr>
              <w:t>、合理性</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kern w:val="0"/>
                <w:sz w:val="21"/>
                <w:szCs w:val="21"/>
                <w:highlight w:val="none"/>
                <w:lang w:val="en-US" w:eastAsia="zh-CN" w:bidi="ar"/>
              </w:rPr>
              <w:t>0分，0.5分，1分，1.5分，2分</w:t>
            </w:r>
            <w:r>
              <w:rPr>
                <w:rFonts w:hint="eastAsia" w:ascii="宋体" w:hAnsi="宋体" w:eastAsia="宋体" w:cs="宋体"/>
                <w:color w:val="auto"/>
                <w:sz w:val="21"/>
                <w:szCs w:val="21"/>
                <w:highlight w:val="none"/>
                <w:lang w:eastAsia="zh-CN"/>
              </w:rPr>
              <w:t>）</w:t>
            </w:r>
            <w:r>
              <w:rPr>
                <w:rFonts w:hint="eastAsia" w:ascii="宋体" w:hAnsi="宋体" w:cs="宋体"/>
                <w:bCs/>
                <w:color w:val="auto"/>
                <w:szCs w:val="21"/>
                <w:highlight w:val="none"/>
                <w:lang w:val="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9" w:hRule="atLeast"/>
          <w:jc w:val="center"/>
        </w:trPr>
        <w:tc>
          <w:tcPr>
            <w:tcW w:w="711" w:type="dxa"/>
            <w:vMerge w:val="continue"/>
            <w:noWrap w:val="0"/>
            <w:vAlign w:val="center"/>
          </w:tcPr>
          <w:p>
            <w:pPr>
              <w:adjustRightInd w:val="0"/>
              <w:snapToGrid w:val="0"/>
              <w:spacing w:line="300" w:lineRule="exact"/>
              <w:jc w:val="center"/>
              <w:rPr>
                <w:rFonts w:hint="eastAsia" w:ascii="宋体" w:hAnsi="宋体" w:cs="宋体"/>
                <w:bCs/>
                <w:color w:val="auto"/>
                <w:sz w:val="24"/>
                <w:highlight w:val="none"/>
              </w:rPr>
            </w:pPr>
          </w:p>
        </w:tc>
        <w:tc>
          <w:tcPr>
            <w:tcW w:w="1967" w:type="dxa"/>
            <w:vMerge w:val="continue"/>
            <w:noWrap w:val="0"/>
            <w:vAlign w:val="center"/>
          </w:tcPr>
          <w:p>
            <w:pPr>
              <w:adjustRightInd w:val="0"/>
              <w:snapToGrid w:val="0"/>
              <w:spacing w:line="300" w:lineRule="exact"/>
              <w:jc w:val="center"/>
              <w:rPr>
                <w:rFonts w:hint="eastAsia" w:ascii="宋体" w:hAnsi="宋体" w:cs="宋体"/>
                <w:bCs/>
                <w:color w:val="auto"/>
                <w:sz w:val="24"/>
                <w:highlight w:val="none"/>
              </w:rPr>
            </w:pPr>
          </w:p>
        </w:tc>
        <w:tc>
          <w:tcPr>
            <w:tcW w:w="1009" w:type="dxa"/>
            <w:noWrap w:val="0"/>
            <w:vAlign w:val="center"/>
          </w:tcPr>
          <w:p>
            <w:pPr>
              <w:adjustRightInd w:val="0"/>
              <w:snapToGrid w:val="0"/>
              <w:spacing w:line="300" w:lineRule="exact"/>
              <w:jc w:val="center"/>
              <w:rPr>
                <w:rFonts w:hint="eastAsia" w:ascii="宋体" w:hAnsi="宋体" w:cs="宋体"/>
                <w:bCs/>
                <w:color w:val="auto"/>
                <w:sz w:val="24"/>
                <w:highlight w:val="none"/>
              </w:rPr>
            </w:pPr>
            <w:r>
              <w:rPr>
                <w:rFonts w:hint="eastAsia" w:ascii="宋体" w:hAnsi="宋体" w:cs="宋体"/>
                <w:bCs/>
                <w:color w:val="auto"/>
                <w:szCs w:val="21"/>
                <w:highlight w:val="none"/>
              </w:rPr>
              <w:t>0-</w:t>
            </w:r>
            <w:r>
              <w:rPr>
                <w:rFonts w:hint="eastAsia" w:ascii="宋体" w:hAnsi="宋体" w:cs="宋体"/>
                <w:bCs/>
                <w:color w:val="auto"/>
                <w:szCs w:val="21"/>
                <w:highlight w:val="none"/>
                <w:lang w:val="en-US" w:eastAsia="zh-CN"/>
              </w:rPr>
              <w:t>4</w:t>
            </w:r>
            <w:r>
              <w:rPr>
                <w:rFonts w:hint="eastAsia" w:ascii="宋体" w:hAnsi="宋体" w:cs="宋体"/>
                <w:color w:val="auto"/>
                <w:szCs w:val="21"/>
                <w:highlight w:val="none"/>
              </w:rPr>
              <w:t>分</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主</w:t>
            </w:r>
            <w:r>
              <w:rPr>
                <w:rFonts w:hint="eastAsia" w:ascii="宋体" w:hAnsi="宋体" w:eastAsia="宋体" w:cs="宋体"/>
                <w:color w:val="auto"/>
                <w:sz w:val="21"/>
                <w:szCs w:val="21"/>
                <w:highlight w:val="none"/>
              </w:rPr>
              <w:t>观分）</w:t>
            </w:r>
          </w:p>
        </w:tc>
        <w:tc>
          <w:tcPr>
            <w:tcW w:w="5840" w:type="dxa"/>
            <w:noWrap w:val="0"/>
            <w:vAlign w:val="center"/>
          </w:tcPr>
          <w:p>
            <w:pPr>
              <w:adjustRightInd w:val="0"/>
              <w:snapToGrid w:val="0"/>
              <w:spacing w:line="300" w:lineRule="exact"/>
              <w:rPr>
                <w:rFonts w:hint="eastAsia" w:ascii="宋体" w:hAnsi="宋体" w:cs="宋体"/>
                <w:b/>
                <w:color w:val="auto"/>
                <w:sz w:val="24"/>
                <w:highlight w:val="none"/>
              </w:rPr>
            </w:pPr>
            <w:r>
              <w:rPr>
                <w:rFonts w:hint="eastAsia" w:ascii="宋体" w:hAnsi="宋体" w:cs="宋体"/>
                <w:color w:val="auto"/>
                <w:szCs w:val="21"/>
                <w:highlight w:val="none"/>
              </w:rPr>
              <w:t>投标方案是否充分考虑业主的日常用途和需求，对本次物管服务内容的目标是否有较深入</w:t>
            </w:r>
            <w:r>
              <w:rPr>
                <w:rFonts w:hint="eastAsia" w:ascii="宋体" w:hAnsi="宋体" w:cs="宋体"/>
                <w:color w:val="auto"/>
                <w:szCs w:val="21"/>
                <w:highlight w:val="none"/>
                <w:lang w:eastAsia="zh-CN"/>
              </w:rPr>
              <w:t>的</w:t>
            </w:r>
            <w:r>
              <w:rPr>
                <w:rFonts w:hint="eastAsia" w:ascii="宋体" w:hAnsi="宋体" w:cs="宋体"/>
                <w:color w:val="auto"/>
                <w:szCs w:val="21"/>
                <w:highlight w:val="none"/>
              </w:rPr>
              <w:t>理解和渗透，符合招标文件要求。内容完整</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kern w:val="0"/>
                <w:sz w:val="21"/>
                <w:szCs w:val="21"/>
                <w:highlight w:val="none"/>
                <w:lang w:val="en-US" w:eastAsia="zh-CN" w:bidi="ar"/>
              </w:rPr>
              <w:t>0分，0.5分，1分，1.5分，2分</w:t>
            </w:r>
            <w:r>
              <w:rPr>
                <w:rFonts w:hint="eastAsia" w:ascii="宋体" w:hAnsi="宋体" w:eastAsia="宋体" w:cs="宋体"/>
                <w:color w:val="auto"/>
                <w:sz w:val="21"/>
                <w:szCs w:val="21"/>
                <w:highlight w:val="none"/>
                <w:lang w:eastAsia="zh-CN"/>
              </w:rPr>
              <w:t>）</w:t>
            </w:r>
            <w:r>
              <w:rPr>
                <w:rFonts w:hint="eastAsia" w:ascii="宋体" w:hAnsi="宋体" w:cs="宋体"/>
                <w:color w:val="auto"/>
                <w:szCs w:val="21"/>
                <w:highlight w:val="none"/>
              </w:rPr>
              <w:t>、合理性</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kern w:val="0"/>
                <w:sz w:val="21"/>
                <w:szCs w:val="21"/>
                <w:highlight w:val="none"/>
                <w:lang w:val="en-US" w:eastAsia="zh-CN" w:bidi="ar"/>
              </w:rPr>
              <w:t>0分，0.5分，1分，1.5分，2分</w:t>
            </w:r>
            <w:r>
              <w:rPr>
                <w:rFonts w:hint="eastAsia" w:ascii="宋体" w:hAnsi="宋体" w:eastAsia="宋体" w:cs="宋体"/>
                <w:color w:val="auto"/>
                <w:sz w:val="21"/>
                <w:szCs w:val="21"/>
                <w:highlight w:val="none"/>
                <w:lang w:eastAsia="zh-CN"/>
              </w:rPr>
              <w:t>）</w:t>
            </w:r>
            <w:r>
              <w:rPr>
                <w:rFonts w:hint="eastAsia" w:ascii="宋体" w:hAnsi="宋体" w:cs="宋体"/>
                <w:bCs/>
                <w:color w:val="auto"/>
                <w:szCs w:val="21"/>
                <w:highlight w:val="none"/>
                <w:lang w:val="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9" w:hRule="atLeast"/>
          <w:jc w:val="center"/>
        </w:trPr>
        <w:tc>
          <w:tcPr>
            <w:tcW w:w="711" w:type="dxa"/>
            <w:vMerge w:val="restart"/>
            <w:noWrap w:val="0"/>
            <w:vAlign w:val="center"/>
          </w:tcPr>
          <w:p>
            <w:pPr>
              <w:adjustRightInd w:val="0"/>
              <w:snapToGrid w:val="0"/>
              <w:spacing w:line="300" w:lineRule="exact"/>
              <w:jc w:val="center"/>
              <w:rPr>
                <w:rFonts w:hint="eastAsia" w:ascii="宋体" w:hAnsi="宋体" w:cs="宋体"/>
                <w:color w:val="auto"/>
                <w:sz w:val="24"/>
                <w:highlight w:val="none"/>
              </w:rPr>
            </w:pPr>
            <w:r>
              <w:rPr>
                <w:rFonts w:hint="eastAsia" w:ascii="宋体" w:hAnsi="宋体" w:cs="宋体"/>
                <w:color w:val="auto"/>
                <w:szCs w:val="21"/>
                <w:highlight w:val="none"/>
              </w:rPr>
              <w:t>2</w:t>
            </w:r>
          </w:p>
        </w:tc>
        <w:tc>
          <w:tcPr>
            <w:tcW w:w="1967" w:type="dxa"/>
            <w:vMerge w:val="restart"/>
            <w:noWrap w:val="0"/>
            <w:vAlign w:val="center"/>
          </w:tcPr>
          <w:p>
            <w:pPr>
              <w:adjustRightInd w:val="0"/>
              <w:snapToGrid w:val="0"/>
              <w:spacing w:line="300" w:lineRule="exact"/>
              <w:jc w:val="center"/>
              <w:rPr>
                <w:rFonts w:hint="eastAsia" w:ascii="宋体" w:hAnsi="宋体" w:cs="宋体"/>
                <w:color w:val="auto"/>
                <w:szCs w:val="21"/>
                <w:highlight w:val="none"/>
              </w:rPr>
            </w:pPr>
            <w:r>
              <w:rPr>
                <w:rFonts w:hint="eastAsia" w:ascii="宋体" w:hAnsi="宋体" w:cs="宋体"/>
                <w:color w:val="auto"/>
                <w:szCs w:val="21"/>
                <w:highlight w:val="none"/>
              </w:rPr>
              <w:t>物业管理与服务方案</w:t>
            </w:r>
          </w:p>
          <w:p>
            <w:pPr>
              <w:adjustRightInd w:val="0"/>
              <w:snapToGrid w:val="0"/>
              <w:spacing w:line="300" w:lineRule="exact"/>
              <w:jc w:val="center"/>
              <w:rPr>
                <w:rFonts w:hint="eastAsia" w:ascii="宋体" w:hAnsi="宋体" w:cs="宋体"/>
                <w:color w:val="auto"/>
                <w:sz w:val="24"/>
                <w:highlight w:val="none"/>
              </w:rPr>
            </w:pP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20</w:t>
            </w:r>
            <w:r>
              <w:rPr>
                <w:rFonts w:hint="eastAsia" w:ascii="宋体" w:hAnsi="宋体" w:cs="宋体"/>
                <w:color w:val="auto"/>
                <w:szCs w:val="21"/>
                <w:highlight w:val="none"/>
              </w:rPr>
              <w:t>分）</w:t>
            </w:r>
          </w:p>
        </w:tc>
        <w:tc>
          <w:tcPr>
            <w:tcW w:w="1009" w:type="dxa"/>
            <w:noWrap w:val="0"/>
            <w:vAlign w:val="center"/>
          </w:tcPr>
          <w:p>
            <w:pPr>
              <w:adjustRightInd w:val="0"/>
              <w:snapToGrid w:val="0"/>
              <w:spacing w:line="300" w:lineRule="exact"/>
              <w:jc w:val="center"/>
              <w:rPr>
                <w:rFonts w:hint="eastAsia" w:ascii="宋体" w:hAnsi="宋体" w:cs="宋体"/>
                <w:color w:val="auto"/>
                <w:sz w:val="24"/>
                <w:highlight w:val="none"/>
              </w:rPr>
            </w:pPr>
            <w:r>
              <w:rPr>
                <w:rFonts w:hint="eastAsia" w:ascii="宋体" w:hAnsi="宋体" w:cs="宋体"/>
                <w:bCs/>
                <w:color w:val="auto"/>
                <w:szCs w:val="21"/>
                <w:highlight w:val="none"/>
              </w:rPr>
              <w:t>0-</w:t>
            </w:r>
            <w:r>
              <w:rPr>
                <w:rFonts w:hint="eastAsia" w:ascii="宋体" w:hAnsi="宋体" w:cs="宋体"/>
                <w:bCs/>
                <w:color w:val="auto"/>
                <w:szCs w:val="21"/>
                <w:highlight w:val="none"/>
                <w:lang w:val="en-US" w:eastAsia="zh-CN"/>
              </w:rPr>
              <w:t>4</w:t>
            </w:r>
            <w:r>
              <w:rPr>
                <w:rFonts w:hint="eastAsia" w:ascii="宋体" w:hAnsi="宋体" w:cs="宋体"/>
                <w:bCs/>
                <w:color w:val="auto"/>
                <w:szCs w:val="21"/>
                <w:highlight w:val="none"/>
              </w:rPr>
              <w:t>分</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主</w:t>
            </w:r>
            <w:r>
              <w:rPr>
                <w:rFonts w:hint="eastAsia" w:ascii="宋体" w:hAnsi="宋体" w:eastAsia="宋体" w:cs="宋体"/>
                <w:color w:val="auto"/>
                <w:sz w:val="21"/>
                <w:szCs w:val="21"/>
                <w:highlight w:val="none"/>
              </w:rPr>
              <w:t>观分）</w:t>
            </w:r>
          </w:p>
        </w:tc>
        <w:tc>
          <w:tcPr>
            <w:tcW w:w="5840" w:type="dxa"/>
            <w:noWrap w:val="0"/>
            <w:vAlign w:val="center"/>
          </w:tcPr>
          <w:p>
            <w:pPr>
              <w:spacing w:before="50" w:after="50" w:line="300" w:lineRule="exact"/>
              <w:rPr>
                <w:rFonts w:hint="eastAsia" w:ascii="宋体" w:hAnsi="宋体" w:cs="宋体"/>
                <w:color w:val="auto"/>
                <w:sz w:val="24"/>
                <w:highlight w:val="none"/>
              </w:rPr>
            </w:pPr>
            <w:bookmarkStart w:id="62" w:name="OLE_LINK11"/>
            <w:r>
              <w:rPr>
                <w:rFonts w:hint="eastAsia" w:ascii="宋体" w:hAnsi="宋体" w:cs="宋体"/>
                <w:color w:val="auto"/>
                <w:szCs w:val="21"/>
                <w:highlight w:val="none"/>
              </w:rPr>
              <w:t>物业管理区域内环境卫生管理方案。包括公共部位、道路、停车场等公共场地的日常保洁保养以及垃圾、废弃物清理及垃圾分类方案等。方案完整</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kern w:val="0"/>
                <w:sz w:val="21"/>
                <w:szCs w:val="21"/>
                <w:highlight w:val="none"/>
                <w:lang w:val="en-US" w:eastAsia="zh-CN" w:bidi="ar"/>
              </w:rPr>
              <w:t>0分，0.5分，1分，1.5分，2分</w:t>
            </w:r>
            <w:r>
              <w:rPr>
                <w:rFonts w:hint="eastAsia" w:ascii="宋体" w:hAnsi="宋体" w:eastAsia="宋体" w:cs="宋体"/>
                <w:color w:val="auto"/>
                <w:sz w:val="21"/>
                <w:szCs w:val="21"/>
                <w:highlight w:val="none"/>
                <w:lang w:eastAsia="zh-CN"/>
              </w:rPr>
              <w:t>）</w:t>
            </w:r>
            <w:r>
              <w:rPr>
                <w:rFonts w:hint="eastAsia" w:ascii="宋体" w:hAnsi="宋体" w:cs="宋体"/>
                <w:color w:val="auto"/>
                <w:szCs w:val="21"/>
                <w:highlight w:val="none"/>
              </w:rPr>
              <w:t>、合理性</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kern w:val="0"/>
                <w:sz w:val="21"/>
                <w:szCs w:val="21"/>
                <w:highlight w:val="none"/>
                <w:lang w:val="en-US" w:eastAsia="zh-CN" w:bidi="ar"/>
              </w:rPr>
              <w:t>0分，0.5分，1分，1.5分，2分</w:t>
            </w:r>
            <w:r>
              <w:rPr>
                <w:rFonts w:hint="eastAsia" w:ascii="宋体" w:hAnsi="宋体" w:eastAsia="宋体" w:cs="宋体"/>
                <w:color w:val="auto"/>
                <w:sz w:val="21"/>
                <w:szCs w:val="21"/>
                <w:highlight w:val="none"/>
                <w:lang w:eastAsia="zh-CN"/>
              </w:rPr>
              <w:t>）</w:t>
            </w:r>
            <w:bookmarkEnd w:id="62"/>
            <w:r>
              <w:rPr>
                <w:rFonts w:hint="eastAsia" w:ascii="宋体" w:hAnsi="宋体" w:cs="宋体"/>
                <w:bCs/>
                <w:color w:val="auto"/>
                <w:szCs w:val="21"/>
                <w:highlight w:val="none"/>
                <w:lang w:val="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14" w:hRule="atLeast"/>
          <w:jc w:val="center"/>
        </w:trPr>
        <w:tc>
          <w:tcPr>
            <w:tcW w:w="711" w:type="dxa"/>
            <w:vMerge w:val="continue"/>
            <w:noWrap w:val="0"/>
            <w:vAlign w:val="center"/>
          </w:tcPr>
          <w:p>
            <w:pPr>
              <w:adjustRightInd w:val="0"/>
              <w:snapToGrid w:val="0"/>
              <w:spacing w:line="300" w:lineRule="exact"/>
              <w:jc w:val="center"/>
              <w:rPr>
                <w:rFonts w:hint="eastAsia" w:ascii="宋体" w:hAnsi="宋体" w:cs="宋体"/>
                <w:color w:val="auto"/>
                <w:sz w:val="24"/>
                <w:highlight w:val="none"/>
              </w:rPr>
            </w:pPr>
          </w:p>
        </w:tc>
        <w:tc>
          <w:tcPr>
            <w:tcW w:w="1967" w:type="dxa"/>
            <w:vMerge w:val="continue"/>
            <w:noWrap w:val="0"/>
            <w:vAlign w:val="center"/>
          </w:tcPr>
          <w:p>
            <w:pPr>
              <w:adjustRightInd w:val="0"/>
              <w:snapToGrid w:val="0"/>
              <w:spacing w:line="300" w:lineRule="exact"/>
              <w:jc w:val="center"/>
              <w:rPr>
                <w:rFonts w:hint="eastAsia" w:ascii="宋体" w:hAnsi="宋体" w:cs="宋体"/>
                <w:color w:val="auto"/>
                <w:sz w:val="24"/>
                <w:highlight w:val="none"/>
              </w:rPr>
            </w:pPr>
          </w:p>
        </w:tc>
        <w:tc>
          <w:tcPr>
            <w:tcW w:w="1009" w:type="dxa"/>
            <w:noWrap w:val="0"/>
            <w:vAlign w:val="center"/>
          </w:tcPr>
          <w:p>
            <w:pPr>
              <w:adjustRightInd w:val="0"/>
              <w:snapToGrid w:val="0"/>
              <w:spacing w:line="300" w:lineRule="exact"/>
              <w:jc w:val="center"/>
              <w:rPr>
                <w:rFonts w:hint="eastAsia" w:ascii="宋体" w:hAnsi="宋体" w:cs="宋体"/>
                <w:color w:val="auto"/>
                <w:sz w:val="24"/>
                <w:highlight w:val="none"/>
              </w:rPr>
            </w:pPr>
            <w:r>
              <w:rPr>
                <w:rFonts w:hint="eastAsia" w:ascii="宋体" w:hAnsi="宋体" w:cs="宋体"/>
                <w:bCs/>
                <w:color w:val="auto"/>
                <w:szCs w:val="21"/>
                <w:highlight w:val="none"/>
              </w:rPr>
              <w:t>0-</w:t>
            </w:r>
            <w:r>
              <w:rPr>
                <w:rFonts w:hint="eastAsia" w:ascii="宋体" w:hAnsi="宋体" w:cs="宋体"/>
                <w:bCs/>
                <w:color w:val="auto"/>
                <w:szCs w:val="21"/>
                <w:highlight w:val="none"/>
                <w:lang w:val="en-US" w:eastAsia="zh-CN"/>
              </w:rPr>
              <w:t>8</w:t>
            </w:r>
            <w:r>
              <w:rPr>
                <w:rFonts w:hint="eastAsia" w:ascii="宋体" w:hAnsi="宋体" w:cs="宋体"/>
                <w:bCs/>
                <w:color w:val="auto"/>
                <w:szCs w:val="21"/>
                <w:highlight w:val="none"/>
              </w:rPr>
              <w:t>分</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主</w:t>
            </w:r>
            <w:r>
              <w:rPr>
                <w:rFonts w:hint="eastAsia" w:ascii="宋体" w:hAnsi="宋体" w:eastAsia="宋体" w:cs="宋体"/>
                <w:color w:val="auto"/>
                <w:sz w:val="21"/>
                <w:szCs w:val="21"/>
                <w:highlight w:val="none"/>
              </w:rPr>
              <w:t>观分）</w:t>
            </w:r>
          </w:p>
        </w:tc>
        <w:tc>
          <w:tcPr>
            <w:tcW w:w="5840" w:type="dxa"/>
            <w:noWrap w:val="0"/>
            <w:vAlign w:val="center"/>
          </w:tcPr>
          <w:p>
            <w:pPr>
              <w:widowControl/>
              <w:spacing w:line="300" w:lineRule="exact"/>
              <w:textAlignment w:val="center"/>
              <w:rPr>
                <w:rFonts w:hint="eastAsia" w:ascii="宋体" w:hAnsi="宋体" w:cs="宋体"/>
                <w:color w:val="auto"/>
                <w:sz w:val="24"/>
                <w:highlight w:val="none"/>
              </w:rPr>
            </w:pPr>
            <w:bookmarkStart w:id="63" w:name="OLE_LINK12"/>
            <w:r>
              <w:rPr>
                <w:rFonts w:hint="eastAsia" w:ascii="宋体" w:hAnsi="宋体" w:cs="宋体"/>
                <w:color w:val="auto"/>
                <w:kern w:val="0"/>
                <w:szCs w:val="21"/>
                <w:highlight w:val="none"/>
                <w:lang w:bidi="ar"/>
              </w:rPr>
              <w:t>物业管理区域内保安服务及治安管理方案和消防、监控设施维护方案。包括门卫、守护</w:t>
            </w:r>
            <w:r>
              <w:rPr>
                <w:rFonts w:hint="eastAsia" w:ascii="宋体" w:hAnsi="宋体" w:cs="宋体"/>
                <w:color w:val="auto"/>
                <w:kern w:val="0"/>
                <w:szCs w:val="21"/>
                <w:highlight w:val="none"/>
                <w:lang w:val="en-US" w:eastAsia="zh-CN" w:bidi="ar"/>
              </w:rPr>
              <w:t>、巡更打卡</w:t>
            </w:r>
            <w:r>
              <w:rPr>
                <w:rFonts w:hint="eastAsia" w:ascii="宋体" w:hAnsi="宋体" w:cs="宋体"/>
                <w:color w:val="auto"/>
                <w:kern w:val="0"/>
                <w:szCs w:val="21"/>
                <w:highlight w:val="none"/>
                <w:lang w:bidi="ar"/>
              </w:rPr>
              <w:t>和巡逻</w:t>
            </w:r>
            <w:r>
              <w:rPr>
                <w:rStyle w:val="81"/>
                <w:rFonts w:hint="default"/>
                <w:color w:val="auto"/>
                <w:highlight w:val="none"/>
                <w:lang w:bidi="ar"/>
              </w:rPr>
              <w:t>方案</w:t>
            </w:r>
            <w:r>
              <w:rPr>
                <w:rFonts w:hint="eastAsia" w:ascii="宋体" w:hAnsi="宋体" w:cs="宋体"/>
                <w:color w:val="auto"/>
                <w:szCs w:val="21"/>
                <w:highlight w:val="none"/>
              </w:rPr>
              <w:t>完整、合理性</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kern w:val="0"/>
                <w:sz w:val="21"/>
                <w:szCs w:val="21"/>
                <w:highlight w:val="none"/>
                <w:lang w:val="en-US" w:eastAsia="zh-CN" w:bidi="ar"/>
              </w:rPr>
              <w:t>0分，0.5分，1分，1.5分，2分</w:t>
            </w:r>
            <w:r>
              <w:rPr>
                <w:rFonts w:hint="eastAsia" w:ascii="宋体" w:hAnsi="宋体" w:eastAsia="宋体" w:cs="宋体"/>
                <w:color w:val="auto"/>
                <w:sz w:val="21"/>
                <w:szCs w:val="21"/>
                <w:highlight w:val="none"/>
                <w:lang w:eastAsia="zh-CN"/>
              </w:rPr>
              <w:t>）</w:t>
            </w:r>
            <w:r>
              <w:rPr>
                <w:rFonts w:hint="eastAsia" w:ascii="宋体" w:hAnsi="宋体" w:cs="宋体"/>
                <w:color w:val="auto"/>
                <w:kern w:val="0"/>
                <w:szCs w:val="21"/>
                <w:highlight w:val="none"/>
                <w:lang w:bidi="ar"/>
              </w:rPr>
              <w:t>；</w:t>
            </w:r>
            <w:r>
              <w:rPr>
                <w:rStyle w:val="81"/>
                <w:rFonts w:hint="default"/>
                <w:color w:val="auto"/>
                <w:highlight w:val="none"/>
                <w:lang w:bidi="ar"/>
              </w:rPr>
              <w:t>处理治安及其他突发事件方案</w:t>
            </w:r>
            <w:r>
              <w:rPr>
                <w:rFonts w:hint="eastAsia" w:ascii="宋体" w:hAnsi="宋体" w:cs="宋体"/>
                <w:color w:val="auto"/>
                <w:szCs w:val="21"/>
                <w:highlight w:val="none"/>
              </w:rPr>
              <w:t>完整、合理性</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kern w:val="0"/>
                <w:sz w:val="21"/>
                <w:szCs w:val="21"/>
                <w:highlight w:val="none"/>
                <w:lang w:val="en-US" w:eastAsia="zh-CN" w:bidi="ar"/>
              </w:rPr>
              <w:t>0分，0.5分，1分，1.5分，2分</w:t>
            </w:r>
            <w:r>
              <w:rPr>
                <w:rFonts w:hint="eastAsia" w:ascii="宋体" w:hAnsi="宋体" w:eastAsia="宋体" w:cs="宋体"/>
                <w:color w:val="auto"/>
                <w:sz w:val="21"/>
                <w:szCs w:val="21"/>
                <w:highlight w:val="none"/>
                <w:lang w:eastAsia="zh-CN"/>
              </w:rPr>
              <w:t>）</w:t>
            </w:r>
            <w:r>
              <w:rPr>
                <w:rStyle w:val="81"/>
                <w:rFonts w:hint="default"/>
                <w:color w:val="auto"/>
                <w:highlight w:val="none"/>
                <w:lang w:bidi="ar"/>
              </w:rPr>
              <w:t>；负责道路交通管理、机动车和非机动车停放管理方案</w:t>
            </w:r>
            <w:r>
              <w:rPr>
                <w:rFonts w:hint="eastAsia" w:ascii="宋体" w:hAnsi="宋体" w:cs="宋体"/>
                <w:color w:val="auto"/>
                <w:szCs w:val="21"/>
                <w:highlight w:val="none"/>
              </w:rPr>
              <w:t>完整、合理性</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kern w:val="0"/>
                <w:sz w:val="21"/>
                <w:szCs w:val="21"/>
                <w:highlight w:val="none"/>
                <w:lang w:val="en-US" w:eastAsia="zh-CN" w:bidi="ar"/>
              </w:rPr>
              <w:t>0分，0.5分，1分，1.5分，2分</w:t>
            </w:r>
            <w:r>
              <w:rPr>
                <w:rFonts w:hint="eastAsia" w:ascii="宋体" w:hAnsi="宋体" w:eastAsia="宋体" w:cs="宋体"/>
                <w:color w:val="auto"/>
                <w:sz w:val="21"/>
                <w:szCs w:val="21"/>
                <w:highlight w:val="none"/>
                <w:lang w:eastAsia="zh-CN"/>
              </w:rPr>
              <w:t>）</w:t>
            </w:r>
            <w:r>
              <w:rPr>
                <w:rStyle w:val="81"/>
                <w:rFonts w:hint="default"/>
                <w:color w:val="auto"/>
                <w:highlight w:val="none"/>
                <w:lang w:bidi="ar"/>
              </w:rPr>
              <w:t>；负责防盗、防火报警监控设备运行管理等方案</w:t>
            </w:r>
            <w:r>
              <w:rPr>
                <w:rFonts w:hint="eastAsia" w:ascii="宋体" w:hAnsi="宋体" w:cs="宋体"/>
                <w:color w:val="auto"/>
                <w:szCs w:val="21"/>
                <w:highlight w:val="none"/>
              </w:rPr>
              <w:t>完整、合理性</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kern w:val="0"/>
                <w:sz w:val="21"/>
                <w:szCs w:val="21"/>
                <w:highlight w:val="none"/>
                <w:lang w:val="en-US" w:eastAsia="zh-CN" w:bidi="ar"/>
              </w:rPr>
              <w:t>0分，0.5分，1分，1.5分，2分</w:t>
            </w:r>
            <w:r>
              <w:rPr>
                <w:rFonts w:hint="eastAsia" w:ascii="宋体" w:hAnsi="宋体" w:eastAsia="宋体" w:cs="宋体"/>
                <w:color w:val="auto"/>
                <w:sz w:val="21"/>
                <w:szCs w:val="21"/>
                <w:highlight w:val="none"/>
                <w:lang w:eastAsia="zh-CN"/>
              </w:rPr>
              <w:t>）</w:t>
            </w:r>
            <w:bookmarkEnd w:id="63"/>
            <w:r>
              <w:rPr>
                <w:rFonts w:hint="eastAsia" w:ascii="宋体" w:hAnsi="宋体" w:cs="宋体"/>
                <w:bCs/>
                <w:color w:val="auto"/>
                <w:szCs w:val="21"/>
                <w:highlight w:val="none"/>
                <w:lang w:val="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jc w:val="center"/>
        </w:trPr>
        <w:tc>
          <w:tcPr>
            <w:tcW w:w="711" w:type="dxa"/>
            <w:vMerge w:val="continue"/>
            <w:noWrap w:val="0"/>
            <w:vAlign w:val="center"/>
          </w:tcPr>
          <w:p>
            <w:pPr>
              <w:adjustRightInd w:val="0"/>
              <w:snapToGrid w:val="0"/>
              <w:spacing w:line="300" w:lineRule="exact"/>
              <w:jc w:val="center"/>
              <w:rPr>
                <w:rFonts w:hint="eastAsia" w:ascii="宋体" w:hAnsi="宋体" w:cs="宋体"/>
                <w:color w:val="auto"/>
                <w:sz w:val="24"/>
                <w:highlight w:val="none"/>
              </w:rPr>
            </w:pPr>
          </w:p>
        </w:tc>
        <w:tc>
          <w:tcPr>
            <w:tcW w:w="1967" w:type="dxa"/>
            <w:vMerge w:val="continue"/>
            <w:noWrap w:val="0"/>
            <w:vAlign w:val="center"/>
          </w:tcPr>
          <w:p>
            <w:pPr>
              <w:adjustRightInd w:val="0"/>
              <w:snapToGrid w:val="0"/>
              <w:spacing w:line="300" w:lineRule="exact"/>
              <w:jc w:val="center"/>
              <w:rPr>
                <w:rFonts w:hint="eastAsia" w:ascii="宋体" w:hAnsi="宋体" w:cs="宋体"/>
                <w:color w:val="auto"/>
                <w:sz w:val="24"/>
                <w:highlight w:val="none"/>
              </w:rPr>
            </w:pPr>
          </w:p>
        </w:tc>
        <w:tc>
          <w:tcPr>
            <w:tcW w:w="1009" w:type="dxa"/>
            <w:noWrap w:val="0"/>
            <w:vAlign w:val="center"/>
          </w:tcPr>
          <w:p>
            <w:pPr>
              <w:adjustRightInd w:val="0"/>
              <w:snapToGrid w:val="0"/>
              <w:spacing w:line="300" w:lineRule="exact"/>
              <w:jc w:val="center"/>
              <w:rPr>
                <w:rFonts w:hint="eastAsia" w:ascii="宋体" w:hAnsi="宋体" w:cs="宋体"/>
                <w:bCs/>
                <w:color w:val="auto"/>
                <w:sz w:val="24"/>
                <w:highlight w:val="none"/>
              </w:rPr>
            </w:pPr>
            <w:r>
              <w:rPr>
                <w:rFonts w:hint="eastAsia" w:ascii="宋体" w:hAnsi="宋体" w:cs="宋体"/>
                <w:bCs/>
                <w:color w:val="auto"/>
                <w:szCs w:val="21"/>
                <w:highlight w:val="none"/>
              </w:rPr>
              <w:t>0-</w:t>
            </w:r>
            <w:r>
              <w:rPr>
                <w:rFonts w:hint="eastAsia" w:ascii="宋体" w:hAnsi="宋体" w:cs="宋体"/>
                <w:bCs/>
                <w:color w:val="auto"/>
                <w:szCs w:val="21"/>
                <w:highlight w:val="none"/>
                <w:lang w:val="en-US" w:eastAsia="zh-CN"/>
              </w:rPr>
              <w:t>4</w:t>
            </w:r>
            <w:r>
              <w:rPr>
                <w:rFonts w:hint="eastAsia" w:ascii="宋体" w:hAnsi="宋体" w:cs="宋体"/>
                <w:bCs/>
                <w:color w:val="auto"/>
                <w:szCs w:val="21"/>
                <w:highlight w:val="none"/>
              </w:rPr>
              <w:t>分</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主</w:t>
            </w:r>
            <w:r>
              <w:rPr>
                <w:rFonts w:hint="eastAsia" w:ascii="宋体" w:hAnsi="宋体" w:eastAsia="宋体" w:cs="宋体"/>
                <w:color w:val="auto"/>
                <w:sz w:val="21"/>
                <w:szCs w:val="21"/>
                <w:highlight w:val="none"/>
              </w:rPr>
              <w:t>观分）</w:t>
            </w:r>
          </w:p>
        </w:tc>
        <w:tc>
          <w:tcPr>
            <w:tcW w:w="5840" w:type="dxa"/>
            <w:noWrap w:val="0"/>
            <w:vAlign w:val="center"/>
          </w:tcPr>
          <w:p>
            <w:pPr>
              <w:widowControl/>
              <w:spacing w:line="300" w:lineRule="exact"/>
              <w:textAlignment w:val="center"/>
              <w:rPr>
                <w:rFonts w:hint="eastAsia" w:ascii="宋体" w:hAnsi="宋体" w:cs="宋体"/>
                <w:color w:val="auto"/>
                <w:sz w:val="24"/>
                <w:highlight w:val="none"/>
              </w:rPr>
            </w:pPr>
            <w:r>
              <w:rPr>
                <w:rFonts w:hint="eastAsia" w:ascii="宋体" w:hAnsi="宋体" w:cs="宋体"/>
                <w:color w:val="auto"/>
                <w:kern w:val="0"/>
                <w:szCs w:val="21"/>
                <w:highlight w:val="none"/>
                <w:lang w:bidi="ar"/>
              </w:rPr>
              <w:t>物业管理区域内公共维修方案，包括供电设备维护方案、给排水系统维护方案、弱电系统设施维护方案、房屋日常管理及维修养护方案、石材日常养护方案等。方案</w:t>
            </w:r>
            <w:r>
              <w:rPr>
                <w:rFonts w:hint="eastAsia" w:ascii="宋体" w:hAnsi="宋体" w:cs="宋体"/>
                <w:color w:val="auto"/>
                <w:szCs w:val="21"/>
                <w:highlight w:val="none"/>
              </w:rPr>
              <w:t>完整</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kern w:val="0"/>
                <w:sz w:val="21"/>
                <w:szCs w:val="21"/>
                <w:highlight w:val="none"/>
                <w:lang w:val="en-US" w:eastAsia="zh-CN" w:bidi="ar"/>
              </w:rPr>
              <w:t>0分，0.5分，1分，1.5分，2分</w:t>
            </w:r>
            <w:r>
              <w:rPr>
                <w:rFonts w:hint="eastAsia" w:ascii="宋体" w:hAnsi="宋体" w:eastAsia="宋体" w:cs="宋体"/>
                <w:color w:val="auto"/>
                <w:sz w:val="21"/>
                <w:szCs w:val="21"/>
                <w:highlight w:val="none"/>
                <w:lang w:eastAsia="zh-CN"/>
              </w:rPr>
              <w:t>）</w:t>
            </w:r>
            <w:r>
              <w:rPr>
                <w:rFonts w:hint="eastAsia" w:ascii="宋体" w:hAnsi="宋体" w:cs="宋体"/>
                <w:color w:val="auto"/>
                <w:szCs w:val="21"/>
                <w:highlight w:val="none"/>
              </w:rPr>
              <w:t>、合理性</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kern w:val="0"/>
                <w:sz w:val="21"/>
                <w:szCs w:val="21"/>
                <w:highlight w:val="none"/>
                <w:lang w:val="en-US" w:eastAsia="zh-CN" w:bidi="ar"/>
              </w:rPr>
              <w:t>0分，0.5分，1分，1.5分，2分</w:t>
            </w:r>
            <w:r>
              <w:rPr>
                <w:rFonts w:hint="eastAsia" w:ascii="宋体" w:hAnsi="宋体" w:eastAsia="宋体" w:cs="宋体"/>
                <w:color w:val="auto"/>
                <w:sz w:val="21"/>
                <w:szCs w:val="21"/>
                <w:highlight w:val="none"/>
                <w:lang w:eastAsia="zh-CN"/>
              </w:rPr>
              <w:t>）</w:t>
            </w:r>
            <w:r>
              <w:rPr>
                <w:rFonts w:hint="eastAsia" w:ascii="宋体" w:hAnsi="宋体" w:cs="宋体"/>
                <w:bCs/>
                <w:color w:val="auto"/>
                <w:szCs w:val="21"/>
                <w:highlight w:val="none"/>
                <w:lang w:val="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9" w:hRule="atLeast"/>
          <w:jc w:val="center"/>
        </w:trPr>
        <w:tc>
          <w:tcPr>
            <w:tcW w:w="711" w:type="dxa"/>
            <w:vMerge w:val="continue"/>
            <w:noWrap w:val="0"/>
            <w:vAlign w:val="center"/>
          </w:tcPr>
          <w:p>
            <w:pPr>
              <w:adjustRightInd w:val="0"/>
              <w:snapToGrid w:val="0"/>
              <w:spacing w:line="300" w:lineRule="exact"/>
              <w:jc w:val="center"/>
              <w:rPr>
                <w:rFonts w:hint="eastAsia" w:ascii="宋体" w:hAnsi="宋体" w:cs="宋体"/>
                <w:color w:val="auto"/>
                <w:sz w:val="24"/>
                <w:highlight w:val="none"/>
              </w:rPr>
            </w:pPr>
          </w:p>
        </w:tc>
        <w:tc>
          <w:tcPr>
            <w:tcW w:w="1967" w:type="dxa"/>
            <w:vMerge w:val="continue"/>
            <w:noWrap w:val="0"/>
            <w:vAlign w:val="center"/>
          </w:tcPr>
          <w:p>
            <w:pPr>
              <w:adjustRightInd w:val="0"/>
              <w:snapToGrid w:val="0"/>
              <w:spacing w:line="300" w:lineRule="exact"/>
              <w:jc w:val="center"/>
              <w:rPr>
                <w:rFonts w:hint="eastAsia" w:ascii="宋体" w:hAnsi="宋体" w:cs="宋体"/>
                <w:color w:val="auto"/>
                <w:sz w:val="24"/>
                <w:highlight w:val="none"/>
              </w:rPr>
            </w:pPr>
          </w:p>
        </w:tc>
        <w:tc>
          <w:tcPr>
            <w:tcW w:w="1009" w:type="dxa"/>
            <w:noWrap w:val="0"/>
            <w:vAlign w:val="center"/>
          </w:tcPr>
          <w:p>
            <w:pPr>
              <w:adjustRightInd w:val="0"/>
              <w:snapToGrid w:val="0"/>
              <w:spacing w:line="300" w:lineRule="exact"/>
              <w:jc w:val="center"/>
              <w:rPr>
                <w:rFonts w:hint="eastAsia" w:ascii="宋体" w:hAnsi="宋体" w:cs="宋体"/>
                <w:color w:val="auto"/>
                <w:sz w:val="24"/>
                <w:highlight w:val="none"/>
              </w:rPr>
            </w:pPr>
            <w:r>
              <w:rPr>
                <w:rFonts w:hint="eastAsia" w:ascii="宋体" w:hAnsi="宋体"/>
                <w:bCs/>
                <w:color w:val="auto"/>
                <w:szCs w:val="21"/>
                <w:highlight w:val="none"/>
              </w:rPr>
              <w:t>0-</w:t>
            </w:r>
            <w:r>
              <w:rPr>
                <w:rFonts w:hint="eastAsia" w:ascii="宋体" w:hAnsi="宋体"/>
                <w:bCs/>
                <w:color w:val="auto"/>
                <w:szCs w:val="21"/>
                <w:highlight w:val="none"/>
                <w:lang w:val="en-US" w:eastAsia="zh-CN"/>
              </w:rPr>
              <w:t>4</w:t>
            </w:r>
            <w:r>
              <w:rPr>
                <w:rFonts w:hint="eastAsia" w:ascii="宋体" w:hAnsi="宋体"/>
                <w:bCs/>
                <w:color w:val="auto"/>
                <w:szCs w:val="21"/>
                <w:highlight w:val="none"/>
              </w:rPr>
              <w:t>分</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主</w:t>
            </w:r>
            <w:r>
              <w:rPr>
                <w:rFonts w:hint="eastAsia" w:ascii="宋体" w:hAnsi="宋体" w:eastAsia="宋体" w:cs="宋体"/>
                <w:color w:val="auto"/>
                <w:sz w:val="21"/>
                <w:szCs w:val="21"/>
                <w:highlight w:val="none"/>
              </w:rPr>
              <w:t>观分）</w:t>
            </w:r>
          </w:p>
        </w:tc>
        <w:tc>
          <w:tcPr>
            <w:tcW w:w="5840" w:type="dxa"/>
            <w:noWrap w:val="0"/>
            <w:vAlign w:val="center"/>
          </w:tcPr>
          <w:p>
            <w:pPr>
              <w:widowControl/>
              <w:spacing w:line="300" w:lineRule="exact"/>
              <w:textAlignment w:val="center"/>
              <w:rPr>
                <w:rFonts w:hint="eastAsia" w:ascii="宋体" w:hAnsi="宋体" w:cs="宋体"/>
                <w:color w:val="auto"/>
                <w:sz w:val="24"/>
                <w:highlight w:val="none"/>
              </w:rPr>
            </w:pPr>
            <w:bookmarkStart w:id="64" w:name="OLE_LINK14"/>
            <w:r>
              <w:rPr>
                <w:rFonts w:hint="eastAsia" w:ascii="宋体" w:hAnsi="宋体" w:cs="宋体"/>
                <w:bCs/>
                <w:color w:val="auto"/>
                <w:szCs w:val="21"/>
                <w:highlight w:val="none"/>
                <w:lang w:val="zh-CN"/>
              </w:rPr>
              <w:t>根据</w:t>
            </w:r>
            <w:r>
              <w:rPr>
                <w:rFonts w:hint="eastAsia" w:ascii="宋体" w:hAnsi="宋体" w:cs="宋体"/>
                <w:bCs/>
                <w:color w:val="auto"/>
                <w:szCs w:val="21"/>
                <w:highlight w:val="none"/>
                <w:lang w:val="en-US" w:eastAsia="zh-CN"/>
              </w:rPr>
              <w:t>采购方</w:t>
            </w:r>
            <w:r>
              <w:rPr>
                <w:rFonts w:hint="eastAsia" w:ascii="宋体" w:hAnsi="宋体" w:cs="宋体"/>
                <w:bCs/>
                <w:color w:val="auto"/>
                <w:szCs w:val="21"/>
                <w:highlight w:val="none"/>
                <w:lang w:val="zh-CN"/>
              </w:rPr>
              <w:t>的需</w:t>
            </w:r>
            <w:r>
              <w:rPr>
                <w:rFonts w:hint="eastAsia" w:ascii="宋体" w:hAnsi="宋体" w:cs="宋体"/>
                <w:bCs/>
                <w:color w:val="auto"/>
                <w:szCs w:val="21"/>
                <w:highlight w:val="none"/>
                <w:lang w:val="en-US" w:eastAsia="zh-CN"/>
              </w:rPr>
              <w:t>求</w:t>
            </w:r>
            <w:r>
              <w:rPr>
                <w:rFonts w:hint="eastAsia" w:ascii="宋体" w:hAnsi="宋体" w:cs="宋体"/>
                <w:bCs/>
                <w:color w:val="auto"/>
                <w:szCs w:val="21"/>
                <w:highlight w:val="none"/>
                <w:lang w:val="zh-CN"/>
              </w:rPr>
              <w:t>，每年提供临时的迎宾接待服务，重大活动接待经验，制定完备的接待服务工作流程、细则及服务工作计划并严格执行。方案完整</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kern w:val="0"/>
                <w:sz w:val="21"/>
                <w:szCs w:val="21"/>
                <w:highlight w:val="none"/>
                <w:lang w:val="en-US" w:eastAsia="zh-CN" w:bidi="ar"/>
              </w:rPr>
              <w:t>0分，0.5分，1分，1.5分，2分</w:t>
            </w:r>
            <w:r>
              <w:rPr>
                <w:rFonts w:hint="eastAsia" w:ascii="宋体" w:hAnsi="宋体" w:eastAsia="宋体" w:cs="宋体"/>
                <w:color w:val="auto"/>
                <w:sz w:val="21"/>
                <w:szCs w:val="21"/>
                <w:highlight w:val="none"/>
                <w:lang w:eastAsia="zh-CN"/>
              </w:rPr>
              <w:t>）</w:t>
            </w:r>
            <w:r>
              <w:rPr>
                <w:rFonts w:hint="eastAsia" w:ascii="宋体" w:hAnsi="宋体" w:cs="宋体"/>
                <w:bCs/>
                <w:color w:val="auto"/>
                <w:szCs w:val="21"/>
                <w:highlight w:val="none"/>
                <w:lang w:val="zh-CN"/>
              </w:rPr>
              <w:t>、合理性进行打分</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kern w:val="0"/>
                <w:sz w:val="21"/>
                <w:szCs w:val="21"/>
                <w:highlight w:val="none"/>
                <w:lang w:val="en-US" w:eastAsia="zh-CN" w:bidi="ar"/>
              </w:rPr>
              <w:t>0分，0.5分，1分，1.5分，2分</w:t>
            </w:r>
            <w:r>
              <w:rPr>
                <w:rFonts w:hint="eastAsia" w:ascii="宋体" w:hAnsi="宋体" w:eastAsia="宋体" w:cs="宋体"/>
                <w:color w:val="auto"/>
                <w:sz w:val="21"/>
                <w:szCs w:val="21"/>
                <w:highlight w:val="none"/>
                <w:lang w:eastAsia="zh-CN"/>
              </w:rPr>
              <w:t>）</w:t>
            </w:r>
            <w:bookmarkEnd w:id="64"/>
            <w:r>
              <w:rPr>
                <w:rFonts w:hint="eastAsia" w:ascii="宋体" w:hAnsi="宋体" w:cs="宋体"/>
                <w:bCs/>
                <w:color w:val="auto"/>
                <w:szCs w:val="21"/>
                <w:highlight w:val="none"/>
                <w:lang w:val="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6" w:hRule="atLeast"/>
          <w:jc w:val="center"/>
        </w:trPr>
        <w:tc>
          <w:tcPr>
            <w:tcW w:w="711" w:type="dxa"/>
            <w:noWrap w:val="0"/>
            <w:vAlign w:val="center"/>
          </w:tcPr>
          <w:p>
            <w:pPr>
              <w:adjustRightInd w:val="0"/>
              <w:snapToGrid w:val="0"/>
              <w:spacing w:line="300" w:lineRule="exact"/>
              <w:jc w:val="center"/>
              <w:rPr>
                <w:rFonts w:hint="eastAsia" w:ascii="宋体" w:hAnsi="宋体" w:cs="宋体"/>
                <w:color w:val="auto"/>
                <w:sz w:val="24"/>
                <w:highlight w:val="none"/>
              </w:rPr>
            </w:pPr>
            <w:r>
              <w:rPr>
                <w:rFonts w:hint="eastAsia" w:ascii="宋体" w:hAnsi="宋体" w:cs="宋体"/>
                <w:color w:val="auto"/>
                <w:szCs w:val="21"/>
                <w:highlight w:val="none"/>
              </w:rPr>
              <w:t>3</w:t>
            </w:r>
          </w:p>
        </w:tc>
        <w:tc>
          <w:tcPr>
            <w:tcW w:w="1967" w:type="dxa"/>
            <w:noWrap w:val="0"/>
            <w:vAlign w:val="center"/>
          </w:tcPr>
          <w:p>
            <w:pPr>
              <w:adjustRightInd w:val="0"/>
              <w:snapToGrid w:val="0"/>
              <w:spacing w:line="300" w:lineRule="exact"/>
              <w:jc w:val="center"/>
              <w:rPr>
                <w:rFonts w:hint="eastAsia" w:ascii="宋体" w:hAnsi="宋体" w:cs="宋体"/>
                <w:color w:val="auto"/>
                <w:szCs w:val="21"/>
                <w:highlight w:val="none"/>
              </w:rPr>
            </w:pPr>
            <w:r>
              <w:rPr>
                <w:rFonts w:hint="eastAsia" w:ascii="宋体" w:hAnsi="宋体" w:cs="宋体"/>
                <w:color w:val="auto"/>
                <w:szCs w:val="21"/>
                <w:highlight w:val="none"/>
              </w:rPr>
              <w:t>组织实施方案</w:t>
            </w:r>
          </w:p>
          <w:p>
            <w:pPr>
              <w:adjustRightInd w:val="0"/>
              <w:snapToGrid w:val="0"/>
              <w:spacing w:line="300" w:lineRule="exact"/>
              <w:jc w:val="center"/>
              <w:rPr>
                <w:rFonts w:hint="eastAsia" w:ascii="宋体" w:hAnsi="宋体" w:cs="宋体"/>
                <w:color w:val="auto"/>
                <w:sz w:val="24"/>
                <w:highlight w:val="none"/>
              </w:rPr>
            </w:pP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4</w:t>
            </w:r>
            <w:r>
              <w:rPr>
                <w:rFonts w:hint="eastAsia" w:ascii="宋体" w:hAnsi="宋体" w:cs="宋体"/>
                <w:color w:val="auto"/>
                <w:szCs w:val="21"/>
                <w:highlight w:val="none"/>
              </w:rPr>
              <w:t>分）</w:t>
            </w:r>
          </w:p>
        </w:tc>
        <w:tc>
          <w:tcPr>
            <w:tcW w:w="1009" w:type="dxa"/>
            <w:noWrap w:val="0"/>
            <w:vAlign w:val="center"/>
          </w:tcPr>
          <w:p>
            <w:pPr>
              <w:adjustRightInd w:val="0"/>
              <w:snapToGrid w:val="0"/>
              <w:spacing w:line="300" w:lineRule="exact"/>
              <w:jc w:val="center"/>
              <w:rPr>
                <w:rFonts w:hint="eastAsia" w:ascii="宋体" w:hAnsi="宋体" w:cs="宋体"/>
                <w:color w:val="auto"/>
                <w:sz w:val="24"/>
                <w:highlight w:val="none"/>
              </w:rPr>
            </w:pPr>
            <w:r>
              <w:rPr>
                <w:rFonts w:hint="eastAsia" w:ascii="宋体" w:hAnsi="宋体" w:cs="宋体"/>
                <w:bCs/>
                <w:color w:val="auto"/>
                <w:szCs w:val="21"/>
                <w:highlight w:val="none"/>
              </w:rPr>
              <w:t>0-</w:t>
            </w:r>
            <w:r>
              <w:rPr>
                <w:rFonts w:hint="eastAsia" w:ascii="宋体" w:hAnsi="宋体" w:cs="宋体"/>
                <w:bCs/>
                <w:color w:val="auto"/>
                <w:szCs w:val="21"/>
                <w:highlight w:val="none"/>
                <w:lang w:val="en-US" w:eastAsia="zh-CN"/>
              </w:rPr>
              <w:t>4</w:t>
            </w:r>
            <w:r>
              <w:rPr>
                <w:rFonts w:hint="eastAsia" w:ascii="宋体" w:hAnsi="宋体" w:cs="宋体"/>
                <w:bCs/>
                <w:color w:val="auto"/>
                <w:szCs w:val="21"/>
                <w:highlight w:val="none"/>
              </w:rPr>
              <w:t>分</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主</w:t>
            </w:r>
            <w:r>
              <w:rPr>
                <w:rFonts w:hint="eastAsia" w:ascii="宋体" w:hAnsi="宋体" w:eastAsia="宋体" w:cs="宋体"/>
                <w:color w:val="auto"/>
                <w:sz w:val="21"/>
                <w:szCs w:val="21"/>
                <w:highlight w:val="none"/>
              </w:rPr>
              <w:t>观分）</w:t>
            </w:r>
          </w:p>
        </w:tc>
        <w:tc>
          <w:tcPr>
            <w:tcW w:w="5840" w:type="dxa"/>
            <w:noWrap w:val="0"/>
            <w:vAlign w:val="center"/>
          </w:tcPr>
          <w:p>
            <w:pPr>
              <w:adjustRightInd w:val="0"/>
              <w:snapToGrid w:val="0"/>
              <w:spacing w:line="300" w:lineRule="exact"/>
              <w:rPr>
                <w:rFonts w:hint="eastAsia" w:ascii="宋体" w:hAnsi="宋体" w:eastAsia="宋体" w:cs="宋体"/>
                <w:color w:val="auto"/>
                <w:sz w:val="24"/>
                <w:highlight w:val="none"/>
                <w:lang w:eastAsia="zh-CN"/>
              </w:rPr>
            </w:pPr>
            <w:r>
              <w:rPr>
                <w:rFonts w:hint="eastAsia" w:ascii="宋体" w:hAnsi="宋体" w:cs="宋体"/>
                <w:color w:val="auto"/>
                <w:szCs w:val="21"/>
                <w:highlight w:val="none"/>
              </w:rPr>
              <w:t>组织实施方案的科学性、合理性、规范性、可操作性等，</w:t>
            </w:r>
            <w:r>
              <w:rPr>
                <w:rFonts w:hint="eastAsia" w:ascii="宋体" w:hAnsi="宋体" w:cs="宋体"/>
                <w:color w:val="auto"/>
                <w:szCs w:val="21"/>
                <w:highlight w:val="none"/>
                <w:lang w:val="zh-CN"/>
              </w:rPr>
              <w:t>包括</w:t>
            </w:r>
            <w:r>
              <w:rPr>
                <w:rFonts w:hint="eastAsia" w:ascii="宋体" w:hAnsi="宋体" w:cs="宋体"/>
                <w:color w:val="auto"/>
                <w:szCs w:val="21"/>
                <w:highlight w:val="none"/>
              </w:rPr>
              <w:t>项目管理机构及管理制度编制、工作职能组织运行图，阐述项目经理（物业经理）的管理职责、内部管理的职责分工、日常管理制度和考核办法目录</w:t>
            </w:r>
            <w:r>
              <w:rPr>
                <w:rFonts w:hint="eastAsia" w:ascii="宋体" w:hAnsi="宋体" w:cs="宋体"/>
                <w:color w:val="auto"/>
                <w:szCs w:val="21"/>
                <w:highlight w:val="none"/>
                <w:lang w:val="zh-CN"/>
              </w:rPr>
              <w:t>、管理和协调方法、关键步骤的思路和要点</w:t>
            </w:r>
            <w:r>
              <w:rPr>
                <w:rFonts w:hint="eastAsia" w:ascii="宋体" w:hAnsi="宋体" w:cs="宋体"/>
                <w:color w:val="auto"/>
                <w:szCs w:val="21"/>
                <w:highlight w:val="none"/>
              </w:rPr>
              <w:t>等，方案完整</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kern w:val="0"/>
                <w:sz w:val="21"/>
                <w:szCs w:val="21"/>
                <w:highlight w:val="none"/>
                <w:lang w:val="en-US" w:eastAsia="zh-CN" w:bidi="ar"/>
              </w:rPr>
              <w:t>0分，0.5分，1分，1.5分，2分</w:t>
            </w:r>
            <w:r>
              <w:rPr>
                <w:rFonts w:hint="eastAsia" w:ascii="宋体" w:hAnsi="宋体" w:eastAsia="宋体" w:cs="宋体"/>
                <w:color w:val="auto"/>
                <w:sz w:val="21"/>
                <w:szCs w:val="21"/>
                <w:highlight w:val="none"/>
                <w:lang w:eastAsia="zh-CN"/>
              </w:rPr>
              <w:t>）</w:t>
            </w:r>
            <w:r>
              <w:rPr>
                <w:rFonts w:hint="eastAsia" w:ascii="宋体" w:hAnsi="宋体" w:cs="宋体"/>
                <w:color w:val="auto"/>
                <w:szCs w:val="21"/>
                <w:highlight w:val="none"/>
              </w:rPr>
              <w:t>、合理性</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kern w:val="0"/>
                <w:sz w:val="21"/>
                <w:szCs w:val="21"/>
                <w:highlight w:val="none"/>
                <w:lang w:val="en-US" w:eastAsia="zh-CN" w:bidi="ar"/>
              </w:rPr>
              <w:t>0分，0.5分，1分，1.5分，2分</w:t>
            </w:r>
            <w:r>
              <w:rPr>
                <w:rFonts w:hint="eastAsia" w:ascii="宋体" w:hAnsi="宋体" w:eastAsia="宋体" w:cs="宋体"/>
                <w:color w:val="auto"/>
                <w:sz w:val="21"/>
                <w:szCs w:val="21"/>
                <w:highlight w:val="none"/>
                <w:lang w:eastAsia="zh-CN"/>
              </w:rPr>
              <w:t>）</w:t>
            </w:r>
            <w:r>
              <w:rPr>
                <w:rFonts w:hint="eastAsia" w:ascii="宋体" w:hAnsi="宋体" w:cs="宋体"/>
                <w:bCs/>
                <w:color w:val="auto"/>
                <w:szCs w:val="21"/>
                <w:highlight w:val="none"/>
                <w:lang w:val="zh-CN"/>
              </w:rPr>
              <w:t>。</w:t>
            </w:r>
            <w:r>
              <w:rPr>
                <w:rFonts w:hint="eastAsia"/>
                <w:color w:val="auto"/>
                <w:szCs w:val="21"/>
                <w:highlight w:val="none"/>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3" w:hRule="atLeast"/>
          <w:jc w:val="center"/>
        </w:trPr>
        <w:tc>
          <w:tcPr>
            <w:tcW w:w="711" w:type="dxa"/>
            <w:vMerge w:val="restart"/>
            <w:noWrap w:val="0"/>
            <w:vAlign w:val="center"/>
          </w:tcPr>
          <w:p>
            <w:pPr>
              <w:adjustRightInd w:val="0"/>
              <w:snapToGrid w:val="0"/>
              <w:spacing w:line="300" w:lineRule="exact"/>
              <w:jc w:val="center"/>
              <w:rPr>
                <w:rFonts w:hint="eastAsia" w:ascii="宋体" w:hAnsi="宋体" w:cs="宋体"/>
                <w:color w:val="auto"/>
                <w:sz w:val="24"/>
                <w:highlight w:val="none"/>
              </w:rPr>
            </w:pPr>
            <w:r>
              <w:rPr>
                <w:rFonts w:hint="eastAsia" w:ascii="宋体" w:hAnsi="宋体" w:cs="宋体"/>
                <w:color w:val="auto"/>
                <w:szCs w:val="21"/>
                <w:highlight w:val="none"/>
                <w:lang w:val="en-US" w:eastAsia="zh-CN"/>
              </w:rPr>
              <w:t>4</w:t>
            </w:r>
          </w:p>
        </w:tc>
        <w:tc>
          <w:tcPr>
            <w:tcW w:w="1967" w:type="dxa"/>
            <w:vMerge w:val="restart"/>
            <w:noWrap w:val="0"/>
            <w:vAlign w:val="center"/>
          </w:tcPr>
          <w:p>
            <w:pPr>
              <w:adjustRightInd w:val="0"/>
              <w:snapToGrid w:val="0"/>
              <w:spacing w:line="300" w:lineRule="exact"/>
              <w:jc w:val="center"/>
              <w:rPr>
                <w:rFonts w:hint="eastAsia" w:ascii="宋体" w:hAnsi="宋体" w:eastAsia="宋体"/>
                <w:color w:val="auto"/>
                <w:szCs w:val="21"/>
                <w:highlight w:val="none"/>
                <w:lang w:val="en-US" w:eastAsia="zh-CN"/>
              </w:rPr>
            </w:pPr>
            <w:r>
              <w:rPr>
                <w:rFonts w:hint="eastAsia" w:ascii="宋体" w:hAnsi="宋体"/>
                <w:color w:val="auto"/>
                <w:szCs w:val="21"/>
                <w:highlight w:val="none"/>
              </w:rPr>
              <w:t>项目实施主要人员</w:t>
            </w:r>
            <w:r>
              <w:rPr>
                <w:rFonts w:hint="eastAsia" w:ascii="宋体" w:hAnsi="宋体"/>
                <w:color w:val="auto"/>
                <w:szCs w:val="21"/>
                <w:highlight w:val="none"/>
                <w:lang w:val="en-US" w:eastAsia="zh-CN"/>
              </w:rPr>
              <w:t>投入</w:t>
            </w:r>
          </w:p>
          <w:p>
            <w:pPr>
              <w:adjustRightInd w:val="0"/>
              <w:snapToGrid w:val="0"/>
              <w:spacing w:line="300" w:lineRule="exact"/>
              <w:jc w:val="center"/>
              <w:rPr>
                <w:rFonts w:hint="eastAsia" w:ascii="宋体" w:hAnsi="宋体" w:cs="宋体"/>
                <w:color w:val="auto"/>
                <w:sz w:val="24"/>
                <w:highlight w:val="none"/>
              </w:rPr>
            </w:pPr>
            <w:r>
              <w:rPr>
                <w:rFonts w:hint="eastAsia" w:ascii="宋体" w:hAnsi="宋体"/>
                <w:color w:val="auto"/>
                <w:szCs w:val="21"/>
                <w:highlight w:val="none"/>
              </w:rPr>
              <w:t>（</w:t>
            </w:r>
            <w:r>
              <w:rPr>
                <w:rFonts w:hint="eastAsia" w:ascii="宋体" w:hAnsi="宋体"/>
                <w:color w:val="auto"/>
                <w:szCs w:val="21"/>
                <w:highlight w:val="none"/>
                <w:lang w:val="en-US" w:eastAsia="zh-CN"/>
              </w:rPr>
              <w:t>8</w:t>
            </w:r>
            <w:r>
              <w:rPr>
                <w:rFonts w:hint="eastAsia" w:ascii="宋体" w:hAnsi="宋体"/>
                <w:color w:val="auto"/>
                <w:szCs w:val="21"/>
                <w:highlight w:val="none"/>
              </w:rPr>
              <w:t>分）</w:t>
            </w:r>
          </w:p>
        </w:tc>
        <w:tc>
          <w:tcPr>
            <w:tcW w:w="1009" w:type="dxa"/>
            <w:noWrap w:val="0"/>
            <w:vAlign w:val="center"/>
          </w:tcPr>
          <w:p>
            <w:pPr>
              <w:adjustRightInd w:val="0"/>
              <w:snapToGrid w:val="0"/>
              <w:spacing w:line="300" w:lineRule="exact"/>
              <w:jc w:val="center"/>
              <w:rPr>
                <w:rFonts w:hint="eastAsia" w:ascii="宋体" w:hAnsi="宋体" w:cs="宋体"/>
                <w:color w:val="auto"/>
                <w:sz w:val="24"/>
                <w:highlight w:val="none"/>
              </w:rPr>
            </w:pPr>
            <w:r>
              <w:rPr>
                <w:rFonts w:hint="eastAsia" w:ascii="宋体" w:hAnsi="宋体" w:cs="宋体"/>
                <w:bCs/>
                <w:color w:val="auto"/>
                <w:szCs w:val="21"/>
                <w:highlight w:val="none"/>
              </w:rPr>
              <w:t>0-</w:t>
            </w:r>
            <w:r>
              <w:rPr>
                <w:rFonts w:hint="eastAsia" w:ascii="宋体" w:hAnsi="宋体" w:cs="宋体"/>
                <w:bCs/>
                <w:color w:val="auto"/>
                <w:szCs w:val="21"/>
                <w:highlight w:val="none"/>
                <w:lang w:val="en-US" w:eastAsia="zh-CN"/>
              </w:rPr>
              <w:t>4</w:t>
            </w:r>
            <w:r>
              <w:rPr>
                <w:rFonts w:hint="eastAsia" w:ascii="宋体" w:hAnsi="宋体" w:cs="宋体"/>
                <w:bCs/>
                <w:color w:val="auto"/>
                <w:szCs w:val="21"/>
                <w:highlight w:val="none"/>
              </w:rPr>
              <w:t>分</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客</w:t>
            </w:r>
            <w:r>
              <w:rPr>
                <w:rFonts w:hint="eastAsia" w:ascii="宋体" w:hAnsi="宋体" w:eastAsia="宋体" w:cs="宋体"/>
                <w:color w:val="auto"/>
                <w:sz w:val="21"/>
                <w:szCs w:val="21"/>
                <w:highlight w:val="none"/>
              </w:rPr>
              <w:t>观分）</w:t>
            </w:r>
          </w:p>
        </w:tc>
        <w:tc>
          <w:tcPr>
            <w:tcW w:w="5840" w:type="dxa"/>
            <w:noWrap w:val="0"/>
            <w:vAlign w:val="center"/>
          </w:tcPr>
          <w:p>
            <w:pPr>
              <w:adjustRightInd w:val="0"/>
              <w:snapToGrid w:val="0"/>
              <w:spacing w:line="300" w:lineRule="exact"/>
              <w:rPr>
                <w:rFonts w:hint="eastAsia" w:ascii="宋体" w:hAnsi="宋体"/>
                <w:color w:val="auto"/>
                <w:szCs w:val="21"/>
                <w:highlight w:val="none"/>
                <w:lang w:val="zh-CN"/>
              </w:rPr>
            </w:pPr>
            <w:r>
              <w:rPr>
                <w:rFonts w:hint="eastAsia" w:ascii="宋体" w:hAnsi="宋体"/>
                <w:color w:val="auto"/>
                <w:szCs w:val="21"/>
                <w:highlight w:val="none"/>
                <w:lang w:val="zh-CN"/>
              </w:rPr>
              <w:t>①拟担任本项目负责人年龄</w:t>
            </w:r>
            <w:r>
              <w:rPr>
                <w:rFonts w:hint="eastAsia" w:ascii="宋体" w:hAnsi="宋体"/>
                <w:color w:val="auto"/>
                <w:szCs w:val="21"/>
                <w:highlight w:val="none"/>
                <w:lang w:val="en-US" w:eastAsia="zh-CN"/>
              </w:rPr>
              <w:t>45</w:t>
            </w:r>
            <w:r>
              <w:rPr>
                <w:rFonts w:hint="eastAsia" w:ascii="宋体" w:hAnsi="宋体"/>
                <w:color w:val="auto"/>
                <w:szCs w:val="21"/>
                <w:highlight w:val="none"/>
                <w:lang w:val="zh-CN"/>
              </w:rPr>
              <w:t>周岁以下，大专及以上学历，持有物业经理上岗证，全部符合得2分，否则不得分。</w:t>
            </w:r>
          </w:p>
          <w:p>
            <w:pPr>
              <w:adjustRightInd w:val="0"/>
              <w:snapToGrid w:val="0"/>
              <w:spacing w:line="300" w:lineRule="exact"/>
              <w:rPr>
                <w:rFonts w:hint="eastAsia" w:ascii="宋体" w:hAnsi="宋体"/>
                <w:color w:val="auto"/>
                <w:szCs w:val="21"/>
                <w:highlight w:val="none"/>
                <w:lang w:val="zh-CN"/>
              </w:rPr>
            </w:pPr>
            <w:r>
              <w:rPr>
                <w:rFonts w:hint="eastAsia" w:ascii="宋体" w:hAnsi="宋体"/>
                <w:color w:val="auto"/>
                <w:szCs w:val="21"/>
                <w:highlight w:val="none"/>
                <w:lang w:val="zh-CN"/>
              </w:rPr>
              <w:t>注：需提供项目负责人的身份证复印件、学历证书（或学籍证明）、执业资格证书、社保缴纳证明（202</w:t>
            </w:r>
            <w:r>
              <w:rPr>
                <w:rFonts w:hint="eastAsia" w:ascii="宋体" w:hAnsi="宋体"/>
                <w:color w:val="auto"/>
                <w:szCs w:val="21"/>
                <w:highlight w:val="none"/>
                <w:lang w:val="en-US" w:eastAsia="zh-CN"/>
              </w:rPr>
              <w:t>5</w:t>
            </w:r>
            <w:r>
              <w:rPr>
                <w:rFonts w:hint="eastAsia" w:ascii="宋体" w:hAnsi="宋体"/>
                <w:color w:val="auto"/>
                <w:szCs w:val="21"/>
                <w:highlight w:val="none"/>
                <w:lang w:val="zh-CN"/>
              </w:rPr>
              <w:t>年</w:t>
            </w:r>
            <w:r>
              <w:rPr>
                <w:rFonts w:hint="eastAsia" w:ascii="宋体" w:hAnsi="宋体"/>
                <w:color w:val="auto"/>
                <w:szCs w:val="21"/>
                <w:highlight w:val="none"/>
                <w:lang w:val="en-US" w:eastAsia="zh-CN"/>
              </w:rPr>
              <w:t>6</w:t>
            </w:r>
            <w:r>
              <w:rPr>
                <w:rFonts w:hint="eastAsia" w:ascii="宋体" w:hAnsi="宋体"/>
                <w:color w:val="auto"/>
                <w:szCs w:val="21"/>
                <w:highlight w:val="none"/>
                <w:lang w:val="zh-CN"/>
              </w:rPr>
              <w:t>月（</w:t>
            </w:r>
            <w:r>
              <w:rPr>
                <w:rFonts w:hint="eastAsia" w:ascii="宋体" w:hAnsi="宋体"/>
                <w:color w:val="auto"/>
                <w:szCs w:val="21"/>
                <w:highlight w:val="none"/>
                <w:lang w:val="en-US" w:eastAsia="zh-CN"/>
              </w:rPr>
              <w:t>含</w:t>
            </w:r>
            <w:r>
              <w:rPr>
                <w:rFonts w:hint="eastAsia" w:ascii="宋体" w:hAnsi="宋体"/>
                <w:color w:val="auto"/>
                <w:szCs w:val="21"/>
                <w:highlight w:val="none"/>
                <w:lang w:val="zh-CN"/>
              </w:rPr>
              <w:t>）-2025年</w:t>
            </w:r>
            <w:r>
              <w:rPr>
                <w:rFonts w:hint="eastAsia" w:ascii="宋体" w:hAnsi="宋体"/>
                <w:color w:val="auto"/>
                <w:szCs w:val="21"/>
                <w:highlight w:val="none"/>
                <w:lang w:val="en-US" w:eastAsia="zh-CN"/>
              </w:rPr>
              <w:t>8</w:t>
            </w:r>
            <w:r>
              <w:rPr>
                <w:rFonts w:hint="eastAsia" w:ascii="宋体" w:hAnsi="宋体"/>
                <w:color w:val="auto"/>
                <w:szCs w:val="21"/>
                <w:highlight w:val="none"/>
                <w:lang w:val="zh-CN"/>
              </w:rPr>
              <w:t>月（</w:t>
            </w:r>
            <w:r>
              <w:rPr>
                <w:rFonts w:hint="eastAsia" w:ascii="宋体" w:hAnsi="宋体"/>
                <w:color w:val="auto"/>
                <w:szCs w:val="21"/>
                <w:highlight w:val="none"/>
                <w:lang w:val="en-US" w:eastAsia="zh-CN"/>
              </w:rPr>
              <w:t>含</w:t>
            </w:r>
            <w:r>
              <w:rPr>
                <w:rFonts w:hint="eastAsia" w:ascii="宋体" w:hAnsi="宋体"/>
                <w:color w:val="auto"/>
                <w:szCs w:val="21"/>
                <w:highlight w:val="none"/>
                <w:lang w:val="zh-CN"/>
              </w:rPr>
              <w:t>）连续三个月）等佐证材料，以上材料须提供复印件加盖公章，否则不得分。</w:t>
            </w:r>
          </w:p>
          <w:p>
            <w:pPr>
              <w:keepNext w:val="0"/>
              <w:keepLines w:val="0"/>
              <w:widowControl/>
              <w:suppressLineNumbers w:val="0"/>
              <w:jc w:val="left"/>
              <w:rPr>
                <w:rFonts w:hint="eastAsia" w:ascii="宋体" w:hAnsi="宋体"/>
                <w:color w:val="auto"/>
                <w:szCs w:val="21"/>
                <w:highlight w:val="none"/>
                <w:lang w:val="zh-CN"/>
              </w:rPr>
            </w:pPr>
            <w:r>
              <w:rPr>
                <w:rFonts w:hint="eastAsia" w:ascii="宋体" w:hAnsi="宋体"/>
                <w:color w:val="auto"/>
                <w:szCs w:val="21"/>
                <w:highlight w:val="none"/>
                <w:lang w:val="zh-CN"/>
              </w:rPr>
              <w:t>②拟担任的项目负责人要求具备两年类似项目管理经验，符合得2分，否则不得分。</w:t>
            </w:r>
          </w:p>
          <w:p>
            <w:pPr>
              <w:keepNext w:val="0"/>
              <w:keepLines w:val="0"/>
              <w:widowControl/>
              <w:suppressLineNumbers w:val="0"/>
              <w:jc w:val="left"/>
              <w:rPr>
                <w:rFonts w:hint="eastAsia"/>
                <w:color w:val="auto"/>
                <w:highlight w:val="none"/>
                <w:lang w:val="en-US" w:eastAsia="zh-CN"/>
              </w:rPr>
            </w:pPr>
            <w:r>
              <w:rPr>
                <w:rFonts w:hint="eastAsia" w:ascii="宋体" w:hAnsi="宋体"/>
                <w:color w:val="auto"/>
                <w:szCs w:val="21"/>
                <w:highlight w:val="none"/>
                <w:lang w:val="zh-CN"/>
              </w:rPr>
              <w:t>注：</w:t>
            </w:r>
            <w:r>
              <w:rPr>
                <w:rFonts w:hint="eastAsia" w:ascii="宋体" w:hAnsi="宋体" w:eastAsia="宋体" w:cs="Times New Roman"/>
                <w:color w:val="auto"/>
                <w:szCs w:val="21"/>
                <w:highlight w:val="none"/>
                <w:lang w:val="en-US" w:eastAsia="zh-CN"/>
              </w:rPr>
              <w:t>需提供管理项目业绩合同，合同中未注明物业经理，需业主开具证明材料，否则不得分。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3" w:hRule="atLeast"/>
          <w:jc w:val="center"/>
        </w:trPr>
        <w:tc>
          <w:tcPr>
            <w:tcW w:w="711" w:type="dxa"/>
            <w:vMerge w:val="continue"/>
            <w:noWrap w:val="0"/>
            <w:vAlign w:val="center"/>
          </w:tcPr>
          <w:p>
            <w:pPr>
              <w:adjustRightInd w:val="0"/>
              <w:snapToGrid w:val="0"/>
              <w:spacing w:line="300" w:lineRule="exact"/>
              <w:jc w:val="center"/>
              <w:rPr>
                <w:rFonts w:hint="eastAsia" w:ascii="宋体" w:hAnsi="宋体" w:cs="宋体"/>
                <w:color w:val="auto"/>
                <w:szCs w:val="21"/>
                <w:highlight w:val="none"/>
                <w:lang w:val="en-US" w:eastAsia="zh-CN"/>
              </w:rPr>
            </w:pPr>
            <w:r>
              <w:rPr>
                <w:rFonts w:hint="eastAsia" w:ascii="宋体" w:hAnsi="宋体" w:cs="宋体"/>
                <w:color w:val="auto"/>
                <w:szCs w:val="21"/>
                <w:highlight w:val="none"/>
                <w:lang w:val="en-US" w:eastAsia="zh-CN"/>
              </w:rPr>
              <w:t xml:space="preserve"> </w:t>
            </w:r>
          </w:p>
        </w:tc>
        <w:tc>
          <w:tcPr>
            <w:tcW w:w="1967" w:type="dxa"/>
            <w:vMerge w:val="continue"/>
            <w:noWrap w:val="0"/>
            <w:vAlign w:val="center"/>
          </w:tcPr>
          <w:p>
            <w:pPr>
              <w:adjustRightInd w:val="0"/>
              <w:snapToGrid w:val="0"/>
              <w:spacing w:line="300" w:lineRule="exact"/>
              <w:jc w:val="center"/>
              <w:rPr>
                <w:rFonts w:hint="eastAsia" w:ascii="宋体" w:hAnsi="宋体"/>
                <w:color w:val="auto"/>
                <w:szCs w:val="21"/>
                <w:highlight w:val="none"/>
              </w:rPr>
            </w:pPr>
          </w:p>
        </w:tc>
        <w:tc>
          <w:tcPr>
            <w:tcW w:w="1009" w:type="dxa"/>
            <w:noWrap w:val="0"/>
            <w:vAlign w:val="center"/>
          </w:tcPr>
          <w:p>
            <w:pPr>
              <w:adjustRightInd w:val="0"/>
              <w:snapToGrid w:val="0"/>
              <w:spacing w:line="300" w:lineRule="exact"/>
              <w:jc w:val="center"/>
              <w:rPr>
                <w:rFonts w:hint="eastAsia" w:ascii="宋体" w:hAnsi="宋体"/>
                <w:bCs/>
                <w:color w:val="auto"/>
                <w:szCs w:val="21"/>
                <w:highlight w:val="none"/>
              </w:rPr>
            </w:pPr>
            <w:r>
              <w:rPr>
                <w:rFonts w:hint="eastAsia" w:ascii="宋体" w:hAnsi="宋体" w:cs="宋体"/>
                <w:bCs/>
                <w:color w:val="auto"/>
                <w:szCs w:val="21"/>
                <w:highlight w:val="none"/>
              </w:rPr>
              <w:t>0-</w:t>
            </w:r>
            <w:r>
              <w:rPr>
                <w:rFonts w:hint="eastAsia" w:ascii="宋体" w:hAnsi="宋体" w:cs="宋体"/>
                <w:bCs/>
                <w:color w:val="auto"/>
                <w:szCs w:val="21"/>
                <w:highlight w:val="none"/>
                <w:lang w:val="en-US" w:eastAsia="zh-CN"/>
              </w:rPr>
              <w:t>4</w:t>
            </w:r>
            <w:r>
              <w:rPr>
                <w:rFonts w:hint="eastAsia" w:ascii="宋体" w:hAnsi="宋体" w:cs="宋体"/>
                <w:bCs/>
                <w:color w:val="auto"/>
                <w:szCs w:val="21"/>
                <w:highlight w:val="none"/>
              </w:rPr>
              <w:t>分</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主</w:t>
            </w:r>
            <w:r>
              <w:rPr>
                <w:rFonts w:hint="eastAsia" w:ascii="宋体" w:hAnsi="宋体" w:eastAsia="宋体" w:cs="宋体"/>
                <w:color w:val="auto"/>
                <w:sz w:val="21"/>
                <w:szCs w:val="21"/>
                <w:highlight w:val="none"/>
              </w:rPr>
              <w:t>观分）</w:t>
            </w:r>
          </w:p>
        </w:tc>
        <w:tc>
          <w:tcPr>
            <w:tcW w:w="5840" w:type="dxa"/>
            <w:noWrap w:val="0"/>
            <w:vAlign w:val="center"/>
          </w:tcPr>
          <w:p>
            <w:pPr>
              <w:pStyle w:val="2"/>
              <w:jc w:val="left"/>
              <w:rPr>
                <w:rFonts w:hint="eastAsia" w:ascii="宋体" w:hAnsi="宋体" w:eastAsia="宋体" w:cs="Times New Roman"/>
                <w:b w:val="0"/>
                <w:color w:val="auto"/>
                <w:kern w:val="2"/>
                <w:sz w:val="21"/>
                <w:szCs w:val="21"/>
                <w:highlight w:val="none"/>
                <w:lang w:val="en-US" w:eastAsia="zh-CN" w:bidi="ar-SA"/>
              </w:rPr>
            </w:pPr>
            <w:bookmarkStart w:id="65" w:name="OLE_LINK16"/>
            <w:r>
              <w:rPr>
                <w:rFonts w:hint="eastAsia" w:ascii="宋体" w:hAnsi="宋体" w:eastAsia="宋体" w:cs="Times New Roman"/>
                <w:b w:val="0"/>
                <w:color w:val="auto"/>
                <w:kern w:val="2"/>
                <w:sz w:val="21"/>
                <w:szCs w:val="21"/>
                <w:highlight w:val="none"/>
                <w:lang w:val="en-US" w:eastAsia="zh-CN" w:bidi="ar-SA"/>
              </w:rPr>
              <w:t>能提供详细的工作方案，方案中体现现代化、信息化手段的支持程度和组织架构、岗位职责、培训体系、考核办法、激励机制、监督机制、从业人员培训计划、人员流失控制措施方案等详细说明。方案完整</w:t>
            </w:r>
            <w:r>
              <w:rPr>
                <w:rFonts w:hint="eastAsia" w:ascii="宋体" w:hAnsi="宋体" w:eastAsia="宋体" w:cs="宋体"/>
                <w:b w:val="0"/>
                <w:bCs/>
                <w:color w:val="auto"/>
                <w:sz w:val="21"/>
                <w:szCs w:val="21"/>
                <w:highlight w:val="none"/>
                <w:lang w:eastAsia="zh-CN"/>
              </w:rPr>
              <w:t>（</w:t>
            </w:r>
            <w:r>
              <w:rPr>
                <w:rFonts w:hint="eastAsia" w:ascii="宋体" w:hAnsi="宋体" w:eastAsia="宋体" w:cs="宋体"/>
                <w:b w:val="0"/>
                <w:bCs/>
                <w:color w:val="auto"/>
                <w:kern w:val="0"/>
                <w:sz w:val="21"/>
                <w:szCs w:val="21"/>
                <w:highlight w:val="none"/>
                <w:lang w:val="en-US" w:eastAsia="zh-CN" w:bidi="ar"/>
              </w:rPr>
              <w:t>0分，0.5分，1分，1.5分，2分</w:t>
            </w:r>
            <w:r>
              <w:rPr>
                <w:rFonts w:hint="eastAsia" w:ascii="宋体" w:hAnsi="宋体" w:eastAsia="宋体" w:cs="宋体"/>
                <w:b w:val="0"/>
                <w:bCs/>
                <w:color w:val="auto"/>
                <w:sz w:val="21"/>
                <w:szCs w:val="21"/>
                <w:highlight w:val="none"/>
                <w:lang w:eastAsia="zh-CN"/>
              </w:rPr>
              <w:t>）</w:t>
            </w:r>
            <w:r>
              <w:rPr>
                <w:rFonts w:hint="eastAsia" w:ascii="宋体" w:hAnsi="宋体" w:eastAsia="宋体" w:cs="Times New Roman"/>
                <w:b w:val="0"/>
                <w:bCs/>
                <w:color w:val="auto"/>
                <w:kern w:val="2"/>
                <w:sz w:val="21"/>
                <w:szCs w:val="21"/>
                <w:highlight w:val="none"/>
                <w:lang w:val="en-US" w:eastAsia="zh-CN" w:bidi="ar-SA"/>
              </w:rPr>
              <w:t>、合理性</w:t>
            </w:r>
            <w:r>
              <w:rPr>
                <w:rFonts w:hint="eastAsia" w:ascii="宋体" w:hAnsi="宋体" w:eastAsia="宋体" w:cs="宋体"/>
                <w:b w:val="0"/>
                <w:bCs/>
                <w:color w:val="auto"/>
                <w:sz w:val="21"/>
                <w:szCs w:val="21"/>
                <w:highlight w:val="none"/>
                <w:lang w:eastAsia="zh-CN"/>
              </w:rPr>
              <w:t>（</w:t>
            </w:r>
            <w:r>
              <w:rPr>
                <w:rFonts w:hint="eastAsia" w:ascii="宋体" w:hAnsi="宋体" w:eastAsia="宋体" w:cs="宋体"/>
                <w:b w:val="0"/>
                <w:bCs/>
                <w:color w:val="auto"/>
                <w:kern w:val="0"/>
                <w:sz w:val="21"/>
                <w:szCs w:val="21"/>
                <w:highlight w:val="none"/>
                <w:lang w:val="en-US" w:eastAsia="zh-CN" w:bidi="ar"/>
              </w:rPr>
              <w:t>0分，0.5分，1分，1.5分，2分</w:t>
            </w:r>
            <w:r>
              <w:rPr>
                <w:rFonts w:hint="eastAsia" w:ascii="宋体" w:hAnsi="宋体" w:eastAsia="宋体" w:cs="宋体"/>
                <w:b w:val="0"/>
                <w:bCs/>
                <w:color w:val="auto"/>
                <w:sz w:val="21"/>
                <w:szCs w:val="21"/>
                <w:highlight w:val="none"/>
                <w:lang w:eastAsia="zh-CN"/>
              </w:rPr>
              <w:t>）</w:t>
            </w:r>
            <w:bookmarkEnd w:id="65"/>
            <w:r>
              <w:rPr>
                <w:rFonts w:hint="eastAsia" w:ascii="宋体" w:hAnsi="宋体" w:eastAsia="宋体" w:cs="Times New Roman"/>
                <w:b w:val="0"/>
                <w:color w:val="auto"/>
                <w:kern w:val="2"/>
                <w:sz w:val="21"/>
                <w:szCs w:val="21"/>
                <w:highlight w:val="none"/>
                <w:lang w:val="en-US" w:eastAsia="zh-CN" w:bidi="ar-S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3" w:hRule="atLeast"/>
          <w:jc w:val="center"/>
        </w:trPr>
        <w:tc>
          <w:tcPr>
            <w:tcW w:w="711" w:type="dxa"/>
            <w:noWrap w:val="0"/>
            <w:vAlign w:val="center"/>
          </w:tcPr>
          <w:p>
            <w:pPr>
              <w:adjustRightInd w:val="0"/>
              <w:snapToGrid w:val="0"/>
              <w:spacing w:line="300" w:lineRule="exact"/>
              <w:jc w:val="center"/>
              <w:rPr>
                <w:rFonts w:hint="eastAsia" w:ascii="宋体" w:hAnsi="宋体" w:eastAsia="宋体" w:cs="宋体"/>
                <w:color w:val="auto"/>
                <w:sz w:val="24"/>
                <w:highlight w:val="none"/>
                <w:lang w:val="en-US" w:eastAsia="zh-CN"/>
              </w:rPr>
            </w:pPr>
            <w:r>
              <w:rPr>
                <w:rFonts w:hint="eastAsia" w:ascii="宋体" w:hAnsi="宋体" w:cs="宋体"/>
                <w:color w:val="auto"/>
                <w:szCs w:val="21"/>
                <w:highlight w:val="none"/>
                <w:lang w:val="en-US" w:eastAsia="zh-CN"/>
              </w:rPr>
              <w:t>5</w:t>
            </w:r>
          </w:p>
        </w:tc>
        <w:tc>
          <w:tcPr>
            <w:tcW w:w="1967" w:type="dxa"/>
            <w:noWrap w:val="0"/>
            <w:vAlign w:val="center"/>
          </w:tcPr>
          <w:p>
            <w:pPr>
              <w:adjustRightInd w:val="0"/>
              <w:snapToGrid w:val="0"/>
              <w:spacing w:line="300" w:lineRule="exact"/>
              <w:jc w:val="center"/>
              <w:rPr>
                <w:rFonts w:hint="eastAsia" w:ascii="宋体" w:hAnsi="宋体" w:cs="宋体"/>
                <w:color w:val="auto"/>
                <w:szCs w:val="21"/>
                <w:highlight w:val="none"/>
              </w:rPr>
            </w:pPr>
            <w:r>
              <w:rPr>
                <w:rFonts w:hint="eastAsia" w:ascii="宋体" w:hAnsi="宋体" w:cs="宋体"/>
                <w:color w:val="auto"/>
                <w:szCs w:val="21"/>
                <w:highlight w:val="none"/>
              </w:rPr>
              <w:t>服务保障方案</w:t>
            </w:r>
          </w:p>
          <w:p>
            <w:pPr>
              <w:adjustRightInd w:val="0"/>
              <w:snapToGrid w:val="0"/>
              <w:spacing w:line="300" w:lineRule="exact"/>
              <w:jc w:val="center"/>
              <w:rPr>
                <w:rFonts w:hint="eastAsia" w:ascii="宋体" w:hAnsi="宋体" w:eastAsia="宋体" w:cs="宋体"/>
                <w:color w:val="auto"/>
                <w:sz w:val="24"/>
                <w:highlight w:val="none"/>
                <w:lang w:val="en-US" w:eastAsia="zh-CN"/>
              </w:rPr>
            </w:pPr>
            <w:r>
              <w:rPr>
                <w:rFonts w:hint="eastAsia" w:ascii="宋体" w:hAnsi="宋体" w:cs="宋体"/>
                <w:color w:val="auto"/>
                <w:szCs w:val="21"/>
                <w:highlight w:val="none"/>
                <w:lang w:val="en-US" w:eastAsia="zh-CN"/>
              </w:rPr>
              <w:t>（4</w:t>
            </w:r>
            <w:r>
              <w:rPr>
                <w:rFonts w:hint="eastAsia" w:ascii="宋体" w:hAnsi="宋体" w:cs="宋体"/>
                <w:color w:val="auto"/>
                <w:szCs w:val="21"/>
                <w:highlight w:val="none"/>
              </w:rPr>
              <w:t>分</w:t>
            </w:r>
            <w:r>
              <w:rPr>
                <w:rFonts w:hint="eastAsia" w:ascii="宋体" w:hAnsi="宋体" w:cs="宋体"/>
                <w:color w:val="auto"/>
                <w:szCs w:val="21"/>
                <w:highlight w:val="none"/>
                <w:lang w:eastAsia="zh-CN"/>
              </w:rPr>
              <w:t>）</w:t>
            </w:r>
          </w:p>
        </w:tc>
        <w:tc>
          <w:tcPr>
            <w:tcW w:w="1009" w:type="dxa"/>
            <w:noWrap w:val="0"/>
            <w:vAlign w:val="center"/>
          </w:tcPr>
          <w:p>
            <w:pPr>
              <w:adjustRightInd w:val="0"/>
              <w:snapToGrid w:val="0"/>
              <w:spacing w:line="300" w:lineRule="exact"/>
              <w:jc w:val="center"/>
              <w:rPr>
                <w:rFonts w:hint="default" w:ascii="宋体" w:hAnsi="宋体" w:eastAsia="宋体" w:cs="宋体"/>
                <w:color w:val="auto"/>
                <w:sz w:val="24"/>
                <w:highlight w:val="none"/>
                <w:lang w:val="en-US" w:eastAsia="zh-CN"/>
              </w:rPr>
            </w:pPr>
            <w:r>
              <w:rPr>
                <w:rFonts w:hint="eastAsia" w:ascii="宋体" w:hAnsi="宋体" w:cs="宋体"/>
                <w:bCs/>
                <w:color w:val="auto"/>
                <w:szCs w:val="21"/>
                <w:highlight w:val="none"/>
              </w:rPr>
              <w:t>0-</w:t>
            </w:r>
            <w:r>
              <w:rPr>
                <w:rFonts w:hint="eastAsia" w:ascii="宋体" w:hAnsi="宋体" w:cs="宋体"/>
                <w:bCs/>
                <w:color w:val="auto"/>
                <w:szCs w:val="21"/>
                <w:highlight w:val="none"/>
                <w:lang w:val="en-US" w:eastAsia="zh-CN"/>
              </w:rPr>
              <w:t>4</w:t>
            </w:r>
            <w:r>
              <w:rPr>
                <w:rFonts w:hint="eastAsia" w:ascii="宋体" w:hAnsi="宋体" w:cs="宋体"/>
                <w:bCs/>
                <w:color w:val="auto"/>
                <w:szCs w:val="21"/>
                <w:highlight w:val="none"/>
              </w:rPr>
              <w:t>分</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主</w:t>
            </w:r>
            <w:r>
              <w:rPr>
                <w:rFonts w:hint="eastAsia" w:ascii="宋体" w:hAnsi="宋体" w:eastAsia="宋体" w:cs="宋体"/>
                <w:color w:val="auto"/>
                <w:sz w:val="21"/>
                <w:szCs w:val="21"/>
                <w:highlight w:val="none"/>
              </w:rPr>
              <w:t>观分）</w:t>
            </w:r>
          </w:p>
        </w:tc>
        <w:tc>
          <w:tcPr>
            <w:tcW w:w="5840" w:type="dxa"/>
            <w:noWrap w:val="0"/>
            <w:vAlign w:val="center"/>
          </w:tcPr>
          <w:p>
            <w:pPr>
              <w:adjustRightInd w:val="0"/>
              <w:snapToGrid w:val="0"/>
              <w:spacing w:line="300" w:lineRule="exact"/>
              <w:rPr>
                <w:rFonts w:hint="eastAsia" w:ascii="宋体" w:hAnsi="宋体" w:cs="宋体"/>
                <w:color w:val="auto"/>
                <w:sz w:val="24"/>
                <w:highlight w:val="none"/>
              </w:rPr>
            </w:pPr>
            <w:r>
              <w:rPr>
                <w:rFonts w:hint="eastAsia" w:ascii="宋体" w:hAnsi="宋体" w:cs="宋体"/>
                <w:color w:val="auto"/>
                <w:szCs w:val="21"/>
                <w:highlight w:val="none"/>
              </w:rPr>
              <w:t>多维度的服务质量保障体系（包括但不限于人员力量保障，规章制度保障，应急保障等）。根据</w:t>
            </w:r>
            <w:r>
              <w:rPr>
                <w:rFonts w:hint="eastAsia" w:ascii="宋体" w:hAnsi="宋体" w:cs="宋体"/>
                <w:color w:val="auto"/>
                <w:szCs w:val="21"/>
                <w:highlight w:val="none"/>
                <w:lang w:val="zh-CN"/>
              </w:rPr>
              <w:t>方案的</w:t>
            </w:r>
            <w:r>
              <w:rPr>
                <w:rFonts w:hint="eastAsia" w:ascii="宋体" w:hAnsi="宋体" w:cs="宋体"/>
                <w:color w:val="auto"/>
                <w:szCs w:val="21"/>
                <w:highlight w:val="none"/>
              </w:rPr>
              <w:t>完整</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kern w:val="0"/>
                <w:sz w:val="21"/>
                <w:szCs w:val="21"/>
                <w:highlight w:val="none"/>
                <w:lang w:val="en-US" w:eastAsia="zh-CN" w:bidi="ar"/>
              </w:rPr>
              <w:t>0分，0.5分，1分，1.5分，2分</w:t>
            </w:r>
            <w:r>
              <w:rPr>
                <w:rFonts w:hint="eastAsia" w:ascii="宋体" w:hAnsi="宋体" w:eastAsia="宋体" w:cs="宋体"/>
                <w:color w:val="auto"/>
                <w:sz w:val="21"/>
                <w:szCs w:val="21"/>
                <w:highlight w:val="none"/>
                <w:lang w:eastAsia="zh-CN"/>
              </w:rPr>
              <w:t>）</w:t>
            </w:r>
            <w:r>
              <w:rPr>
                <w:rFonts w:hint="eastAsia" w:ascii="宋体" w:hAnsi="宋体" w:cs="宋体"/>
                <w:color w:val="auto"/>
                <w:szCs w:val="21"/>
                <w:highlight w:val="none"/>
              </w:rPr>
              <w:t>、合理性</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kern w:val="0"/>
                <w:sz w:val="21"/>
                <w:szCs w:val="21"/>
                <w:highlight w:val="none"/>
                <w:lang w:val="en-US" w:eastAsia="zh-CN" w:bidi="ar"/>
              </w:rPr>
              <w:t>0分，0.5分，1分，1.5分，2分</w:t>
            </w:r>
            <w:r>
              <w:rPr>
                <w:rFonts w:hint="eastAsia" w:ascii="宋体" w:hAnsi="宋体" w:eastAsia="宋体" w:cs="宋体"/>
                <w:color w:val="auto"/>
                <w:sz w:val="21"/>
                <w:szCs w:val="21"/>
                <w:highlight w:val="none"/>
                <w:lang w:eastAsia="zh-CN"/>
              </w:rPr>
              <w:t>）</w:t>
            </w:r>
            <w:r>
              <w:rPr>
                <w:rFonts w:hint="eastAsia" w:ascii="宋体" w:hAnsi="宋体" w:cs="宋体"/>
                <w:bCs/>
                <w:color w:val="auto"/>
                <w:szCs w:val="21"/>
                <w:highlight w:val="none"/>
                <w:lang w:val="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0" w:hRule="atLeast"/>
          <w:jc w:val="center"/>
        </w:trPr>
        <w:tc>
          <w:tcPr>
            <w:tcW w:w="711" w:type="dxa"/>
            <w:noWrap w:val="0"/>
            <w:vAlign w:val="center"/>
          </w:tcPr>
          <w:p>
            <w:pPr>
              <w:adjustRightInd w:val="0"/>
              <w:snapToGrid w:val="0"/>
              <w:spacing w:line="300" w:lineRule="exact"/>
              <w:jc w:val="center"/>
              <w:rPr>
                <w:rFonts w:hint="eastAsia" w:ascii="宋体" w:hAnsi="宋体" w:cs="宋体"/>
                <w:color w:val="auto"/>
                <w:szCs w:val="21"/>
                <w:highlight w:val="none"/>
                <w:lang w:val="en-US" w:eastAsia="zh-CN"/>
              </w:rPr>
            </w:pPr>
            <w:r>
              <w:rPr>
                <w:rFonts w:hint="eastAsia" w:ascii="宋体" w:hAnsi="宋体" w:cs="宋体"/>
                <w:color w:val="auto"/>
                <w:szCs w:val="21"/>
                <w:highlight w:val="none"/>
                <w:lang w:val="en-US" w:eastAsia="zh-CN"/>
              </w:rPr>
              <w:t>6</w:t>
            </w:r>
          </w:p>
        </w:tc>
        <w:tc>
          <w:tcPr>
            <w:tcW w:w="1967" w:type="dxa"/>
            <w:noWrap w:val="0"/>
            <w:vAlign w:val="center"/>
          </w:tcPr>
          <w:p>
            <w:pPr>
              <w:adjustRightInd w:val="0"/>
              <w:snapToGrid w:val="0"/>
              <w:spacing w:line="300" w:lineRule="exact"/>
              <w:jc w:val="center"/>
              <w:rPr>
                <w:rFonts w:hint="eastAsia" w:ascii="宋体" w:hAnsi="宋体" w:cs="宋体"/>
                <w:color w:val="auto"/>
                <w:szCs w:val="21"/>
                <w:highlight w:val="none"/>
                <w:lang w:val="en-US" w:eastAsia="zh-CN"/>
              </w:rPr>
            </w:pPr>
            <w:r>
              <w:rPr>
                <w:rFonts w:hint="eastAsia" w:ascii="宋体" w:hAnsi="宋体" w:cs="宋体"/>
                <w:color w:val="auto"/>
                <w:szCs w:val="21"/>
                <w:highlight w:val="none"/>
              </w:rPr>
              <w:t>保洁机械配置情况</w:t>
            </w:r>
            <w:r>
              <w:rPr>
                <w:rFonts w:hint="eastAsia" w:ascii="宋体" w:hAnsi="宋体" w:cs="宋体"/>
                <w:color w:val="auto"/>
                <w:szCs w:val="21"/>
                <w:highlight w:val="none"/>
                <w:lang w:eastAsia="zh-CN"/>
              </w:rPr>
              <w:t>（</w:t>
            </w:r>
            <w:r>
              <w:rPr>
                <w:rFonts w:hint="eastAsia" w:ascii="宋体" w:hAnsi="宋体" w:cs="宋体"/>
                <w:color w:val="auto"/>
                <w:szCs w:val="21"/>
                <w:highlight w:val="none"/>
                <w:lang w:val="en-US" w:eastAsia="zh-CN"/>
              </w:rPr>
              <w:t>4</w:t>
            </w:r>
            <w:r>
              <w:rPr>
                <w:rFonts w:hint="eastAsia" w:ascii="宋体" w:hAnsi="宋体" w:cs="宋体"/>
                <w:color w:val="auto"/>
                <w:szCs w:val="21"/>
                <w:highlight w:val="none"/>
              </w:rPr>
              <w:t>分</w:t>
            </w:r>
            <w:r>
              <w:rPr>
                <w:rFonts w:hint="eastAsia" w:ascii="宋体" w:hAnsi="宋体" w:cs="宋体"/>
                <w:color w:val="auto"/>
                <w:szCs w:val="21"/>
                <w:highlight w:val="none"/>
                <w:lang w:eastAsia="zh-CN"/>
              </w:rPr>
              <w:t>）</w:t>
            </w:r>
          </w:p>
        </w:tc>
        <w:tc>
          <w:tcPr>
            <w:tcW w:w="1009" w:type="dxa"/>
            <w:noWrap w:val="0"/>
            <w:vAlign w:val="center"/>
          </w:tcPr>
          <w:p>
            <w:pPr>
              <w:adjustRightInd w:val="0"/>
              <w:snapToGrid w:val="0"/>
              <w:spacing w:line="300" w:lineRule="exact"/>
              <w:jc w:val="center"/>
              <w:rPr>
                <w:rFonts w:hint="eastAsia" w:ascii="宋体" w:hAnsi="宋体" w:cs="宋体"/>
                <w:bCs/>
                <w:color w:val="auto"/>
                <w:szCs w:val="21"/>
                <w:highlight w:val="none"/>
              </w:rPr>
            </w:pPr>
            <w:r>
              <w:rPr>
                <w:rFonts w:hint="eastAsia" w:ascii="宋体" w:hAnsi="宋体" w:cs="宋体"/>
                <w:bCs/>
                <w:color w:val="auto"/>
                <w:szCs w:val="21"/>
                <w:highlight w:val="none"/>
              </w:rPr>
              <w:t>0-</w:t>
            </w:r>
            <w:r>
              <w:rPr>
                <w:rFonts w:hint="eastAsia" w:ascii="宋体" w:hAnsi="宋体" w:cs="宋体"/>
                <w:bCs/>
                <w:color w:val="auto"/>
                <w:szCs w:val="21"/>
                <w:highlight w:val="none"/>
                <w:lang w:val="en-US" w:eastAsia="zh-CN"/>
              </w:rPr>
              <w:t>4</w:t>
            </w:r>
            <w:r>
              <w:rPr>
                <w:rFonts w:hint="eastAsia" w:ascii="宋体" w:hAnsi="宋体" w:cs="宋体"/>
                <w:bCs/>
                <w:color w:val="auto"/>
                <w:szCs w:val="21"/>
                <w:highlight w:val="none"/>
              </w:rPr>
              <w:t>分</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主</w:t>
            </w:r>
            <w:r>
              <w:rPr>
                <w:rFonts w:hint="eastAsia" w:ascii="宋体" w:hAnsi="宋体" w:eastAsia="宋体" w:cs="宋体"/>
                <w:color w:val="auto"/>
                <w:sz w:val="21"/>
                <w:szCs w:val="21"/>
                <w:highlight w:val="none"/>
              </w:rPr>
              <w:t>观分）</w:t>
            </w:r>
          </w:p>
        </w:tc>
        <w:tc>
          <w:tcPr>
            <w:tcW w:w="5840" w:type="dxa"/>
            <w:noWrap w:val="0"/>
            <w:vAlign w:val="center"/>
          </w:tcPr>
          <w:p>
            <w:pPr>
              <w:adjustRightInd w:val="0"/>
              <w:snapToGrid w:val="0"/>
              <w:spacing w:line="300" w:lineRule="exact"/>
              <w:jc w:val="left"/>
              <w:rPr>
                <w:rFonts w:hint="eastAsia" w:ascii="宋体" w:hAnsi="宋体" w:cs="宋体"/>
                <w:color w:val="auto"/>
                <w:szCs w:val="21"/>
                <w:highlight w:val="none"/>
              </w:rPr>
            </w:pPr>
            <w:bookmarkStart w:id="66" w:name="OLE_LINK18"/>
            <w:r>
              <w:rPr>
                <w:rFonts w:hint="eastAsia" w:ascii="宋体" w:hAnsi="宋体" w:cs="宋体"/>
                <w:color w:val="auto"/>
                <w:szCs w:val="21"/>
                <w:highlight w:val="none"/>
              </w:rPr>
              <w:t>能够投入保洁机械设备，提供设备清单，根据设备配置情况完整</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kern w:val="0"/>
                <w:sz w:val="21"/>
                <w:szCs w:val="21"/>
                <w:highlight w:val="none"/>
                <w:lang w:val="en-US" w:eastAsia="zh-CN" w:bidi="ar"/>
              </w:rPr>
              <w:t>0分，0.5分，1分，1.5分，2分</w:t>
            </w:r>
            <w:r>
              <w:rPr>
                <w:rFonts w:hint="eastAsia" w:ascii="宋体" w:hAnsi="宋体" w:eastAsia="宋体" w:cs="宋体"/>
                <w:color w:val="auto"/>
                <w:sz w:val="21"/>
                <w:szCs w:val="21"/>
                <w:highlight w:val="none"/>
                <w:lang w:eastAsia="zh-CN"/>
              </w:rPr>
              <w:t>）</w:t>
            </w:r>
            <w:r>
              <w:rPr>
                <w:rFonts w:hint="eastAsia" w:ascii="宋体" w:hAnsi="宋体" w:cs="宋体"/>
                <w:color w:val="auto"/>
                <w:szCs w:val="21"/>
                <w:highlight w:val="none"/>
              </w:rPr>
              <w:t>、合理性</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kern w:val="0"/>
                <w:sz w:val="21"/>
                <w:szCs w:val="21"/>
                <w:highlight w:val="none"/>
                <w:lang w:val="en-US" w:eastAsia="zh-CN" w:bidi="ar"/>
              </w:rPr>
              <w:t>0分，0.5分，1分，1.5分，2分</w:t>
            </w:r>
            <w:r>
              <w:rPr>
                <w:rFonts w:hint="eastAsia" w:ascii="宋体" w:hAnsi="宋体" w:eastAsia="宋体" w:cs="宋体"/>
                <w:color w:val="auto"/>
                <w:sz w:val="21"/>
                <w:szCs w:val="21"/>
                <w:highlight w:val="none"/>
                <w:lang w:eastAsia="zh-CN"/>
              </w:rPr>
              <w:t>）</w:t>
            </w:r>
            <w:r>
              <w:rPr>
                <w:rFonts w:hint="eastAsia" w:ascii="宋体" w:hAnsi="宋体" w:cs="宋体"/>
                <w:color w:val="auto"/>
                <w:szCs w:val="21"/>
                <w:highlight w:val="none"/>
              </w:rPr>
              <w:t>，不能提供的本项不得分</w:t>
            </w:r>
            <w:bookmarkEnd w:id="66"/>
            <w:r>
              <w:rPr>
                <w:rFonts w:hint="eastAsia" w:ascii="宋体" w:hAnsi="宋体" w:cs="宋体"/>
                <w:color w:val="auto"/>
                <w:szCs w:val="21"/>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3" w:hRule="atLeast"/>
          <w:jc w:val="center"/>
        </w:trPr>
        <w:tc>
          <w:tcPr>
            <w:tcW w:w="711" w:type="dxa"/>
            <w:noWrap w:val="0"/>
            <w:vAlign w:val="center"/>
          </w:tcPr>
          <w:p>
            <w:pPr>
              <w:adjustRightInd w:val="0"/>
              <w:snapToGrid w:val="0"/>
              <w:spacing w:line="300" w:lineRule="exact"/>
              <w:jc w:val="center"/>
              <w:rPr>
                <w:rFonts w:hint="eastAsia" w:ascii="宋体" w:hAnsi="宋体" w:cs="宋体"/>
                <w:color w:val="auto"/>
                <w:szCs w:val="21"/>
                <w:highlight w:val="none"/>
                <w:lang w:val="en-US" w:eastAsia="zh-CN"/>
              </w:rPr>
            </w:pPr>
            <w:r>
              <w:rPr>
                <w:rFonts w:hint="eastAsia" w:ascii="宋体" w:hAnsi="宋体" w:cs="宋体"/>
                <w:color w:val="auto"/>
                <w:szCs w:val="21"/>
                <w:highlight w:val="none"/>
                <w:lang w:val="en-US" w:eastAsia="zh-CN"/>
              </w:rPr>
              <w:t>7</w:t>
            </w:r>
          </w:p>
        </w:tc>
        <w:tc>
          <w:tcPr>
            <w:tcW w:w="1967" w:type="dxa"/>
            <w:noWrap w:val="0"/>
            <w:vAlign w:val="center"/>
          </w:tcPr>
          <w:p>
            <w:pPr>
              <w:adjustRightInd w:val="0"/>
              <w:snapToGrid w:val="0"/>
              <w:spacing w:line="340" w:lineRule="exact"/>
              <w:jc w:val="center"/>
              <w:rPr>
                <w:rFonts w:hint="eastAsia" w:ascii="宋体" w:hAnsi="宋体" w:cs="宋体"/>
                <w:color w:val="auto"/>
                <w:szCs w:val="21"/>
                <w:highlight w:val="none"/>
              </w:rPr>
            </w:pPr>
            <w:r>
              <w:rPr>
                <w:rFonts w:hint="eastAsia" w:ascii="宋体" w:hAnsi="宋体" w:cs="宋体"/>
                <w:color w:val="auto"/>
                <w:szCs w:val="21"/>
                <w:highlight w:val="none"/>
              </w:rPr>
              <w:t>合理化建议</w:t>
            </w:r>
          </w:p>
          <w:p>
            <w:pPr>
              <w:adjustRightInd w:val="0"/>
              <w:snapToGrid w:val="0"/>
              <w:spacing w:line="340" w:lineRule="exact"/>
              <w:jc w:val="center"/>
              <w:rPr>
                <w:rFonts w:hint="eastAsia" w:ascii="宋体" w:hAnsi="宋体" w:cs="宋体"/>
                <w:color w:val="auto"/>
                <w:szCs w:val="21"/>
                <w:highlight w:val="none"/>
                <w:lang w:val="en-US" w:eastAsia="zh-CN"/>
              </w:rPr>
            </w:pP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4</w:t>
            </w:r>
            <w:r>
              <w:rPr>
                <w:rFonts w:hint="eastAsia" w:ascii="宋体" w:hAnsi="宋体" w:cs="宋体"/>
                <w:color w:val="auto"/>
                <w:szCs w:val="21"/>
                <w:highlight w:val="none"/>
              </w:rPr>
              <w:t>分）</w:t>
            </w:r>
          </w:p>
        </w:tc>
        <w:tc>
          <w:tcPr>
            <w:tcW w:w="1009" w:type="dxa"/>
            <w:noWrap w:val="0"/>
            <w:vAlign w:val="center"/>
          </w:tcPr>
          <w:p>
            <w:pPr>
              <w:adjustRightInd w:val="0"/>
              <w:snapToGrid w:val="0"/>
              <w:spacing w:line="340" w:lineRule="exact"/>
              <w:jc w:val="center"/>
              <w:rPr>
                <w:rFonts w:hint="eastAsia" w:ascii="宋体" w:hAnsi="宋体" w:cs="宋体"/>
                <w:bCs/>
                <w:color w:val="auto"/>
                <w:szCs w:val="21"/>
                <w:highlight w:val="none"/>
              </w:rPr>
            </w:pPr>
            <w:r>
              <w:rPr>
                <w:rFonts w:hint="eastAsia" w:ascii="宋体" w:hAnsi="宋体" w:cs="宋体"/>
                <w:bCs/>
                <w:color w:val="auto"/>
                <w:szCs w:val="21"/>
                <w:highlight w:val="none"/>
                <w:lang w:val="zh-CN"/>
              </w:rPr>
              <w:t>0-</w:t>
            </w:r>
            <w:r>
              <w:rPr>
                <w:rFonts w:hint="eastAsia" w:ascii="宋体" w:hAnsi="宋体" w:cs="宋体"/>
                <w:bCs/>
                <w:color w:val="auto"/>
                <w:szCs w:val="21"/>
                <w:highlight w:val="none"/>
                <w:lang w:val="en-US" w:eastAsia="zh-CN"/>
              </w:rPr>
              <w:t>4</w:t>
            </w:r>
            <w:r>
              <w:rPr>
                <w:rFonts w:hint="eastAsia" w:ascii="宋体" w:hAnsi="宋体" w:cs="宋体"/>
                <w:bCs/>
                <w:color w:val="auto"/>
                <w:szCs w:val="21"/>
                <w:highlight w:val="none"/>
                <w:lang w:val="zh-CN"/>
              </w:rPr>
              <w:t>分</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主</w:t>
            </w:r>
            <w:r>
              <w:rPr>
                <w:rFonts w:hint="eastAsia" w:ascii="宋体" w:hAnsi="宋体" w:eastAsia="宋体" w:cs="宋体"/>
                <w:color w:val="auto"/>
                <w:sz w:val="21"/>
                <w:szCs w:val="21"/>
                <w:highlight w:val="none"/>
              </w:rPr>
              <w:t>观分）</w:t>
            </w:r>
          </w:p>
        </w:tc>
        <w:tc>
          <w:tcPr>
            <w:tcW w:w="5840" w:type="dxa"/>
            <w:noWrap w:val="0"/>
            <w:vAlign w:val="center"/>
          </w:tcPr>
          <w:p>
            <w:pPr>
              <w:adjustRightInd w:val="0"/>
              <w:snapToGrid w:val="0"/>
              <w:spacing w:line="340" w:lineRule="exact"/>
              <w:rPr>
                <w:rFonts w:hint="eastAsia" w:ascii="宋体" w:hAnsi="宋体" w:cs="宋体"/>
                <w:color w:val="auto"/>
                <w:szCs w:val="21"/>
                <w:highlight w:val="none"/>
              </w:rPr>
            </w:pPr>
            <w:bookmarkStart w:id="67" w:name="OLE_LINK19"/>
            <w:r>
              <w:rPr>
                <w:rFonts w:hint="eastAsia" w:ascii="宋体" w:hAnsi="宋体" w:cs="宋体"/>
                <w:color w:val="auto"/>
                <w:szCs w:val="21"/>
                <w:highlight w:val="none"/>
              </w:rPr>
              <w:t>根据投标人经验，从成本控制、人员管理、出入口管理等方面提出针对类似项目物业服务管理的合理化建议，</w:t>
            </w:r>
            <w:r>
              <w:rPr>
                <w:rFonts w:hint="eastAsia" w:ascii="宋体" w:hAnsi="宋体" w:cs="宋体"/>
                <w:color w:val="auto"/>
                <w:szCs w:val="21"/>
                <w:highlight w:val="none"/>
                <w:lang w:val="en-US" w:eastAsia="zh-CN"/>
              </w:rPr>
              <w:t>建议</w:t>
            </w:r>
            <w:r>
              <w:rPr>
                <w:rFonts w:hint="eastAsia" w:ascii="宋体" w:hAnsi="宋体" w:cs="宋体"/>
                <w:color w:val="auto"/>
                <w:szCs w:val="21"/>
                <w:highlight w:val="none"/>
                <w:lang w:val="zh-CN"/>
              </w:rPr>
              <w:t>的</w:t>
            </w:r>
            <w:r>
              <w:rPr>
                <w:rFonts w:hint="eastAsia" w:ascii="宋体" w:hAnsi="宋体" w:cs="宋体"/>
                <w:color w:val="auto"/>
                <w:szCs w:val="21"/>
                <w:highlight w:val="none"/>
              </w:rPr>
              <w:t>完整</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kern w:val="0"/>
                <w:sz w:val="21"/>
                <w:szCs w:val="21"/>
                <w:highlight w:val="none"/>
                <w:lang w:val="en-US" w:eastAsia="zh-CN" w:bidi="ar"/>
              </w:rPr>
              <w:t>0分，0.5分，1分，1.5分，2分</w:t>
            </w:r>
            <w:r>
              <w:rPr>
                <w:rFonts w:hint="eastAsia" w:ascii="宋体" w:hAnsi="宋体" w:eastAsia="宋体" w:cs="宋体"/>
                <w:color w:val="auto"/>
                <w:sz w:val="21"/>
                <w:szCs w:val="21"/>
                <w:highlight w:val="none"/>
                <w:lang w:eastAsia="zh-CN"/>
              </w:rPr>
              <w:t>）</w:t>
            </w:r>
            <w:r>
              <w:rPr>
                <w:rFonts w:hint="eastAsia" w:ascii="宋体" w:hAnsi="宋体" w:cs="宋体"/>
                <w:color w:val="auto"/>
                <w:szCs w:val="21"/>
                <w:highlight w:val="none"/>
              </w:rPr>
              <w:t>、合理性</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kern w:val="0"/>
                <w:sz w:val="21"/>
                <w:szCs w:val="21"/>
                <w:highlight w:val="none"/>
                <w:lang w:val="en-US" w:eastAsia="zh-CN" w:bidi="ar"/>
              </w:rPr>
              <w:t>0分，0.5分，1分，1.5分，2分</w:t>
            </w:r>
            <w:r>
              <w:rPr>
                <w:rFonts w:hint="eastAsia" w:ascii="宋体" w:hAnsi="宋体" w:eastAsia="宋体" w:cs="宋体"/>
                <w:color w:val="auto"/>
                <w:sz w:val="21"/>
                <w:szCs w:val="21"/>
                <w:highlight w:val="none"/>
                <w:lang w:eastAsia="zh-CN"/>
              </w:rPr>
              <w:t>）</w:t>
            </w:r>
            <w:bookmarkEnd w:id="6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98" w:hRule="atLeast"/>
          <w:jc w:val="center"/>
        </w:trPr>
        <w:tc>
          <w:tcPr>
            <w:tcW w:w="711" w:type="dxa"/>
            <w:noWrap w:val="0"/>
            <w:vAlign w:val="center"/>
          </w:tcPr>
          <w:p>
            <w:pPr>
              <w:adjustRightInd w:val="0"/>
              <w:snapToGrid w:val="0"/>
              <w:spacing w:line="300" w:lineRule="exact"/>
              <w:jc w:val="center"/>
              <w:rPr>
                <w:rFonts w:hint="eastAsia" w:ascii="宋体" w:hAnsi="宋体" w:cs="宋体"/>
                <w:color w:val="auto"/>
                <w:szCs w:val="21"/>
                <w:highlight w:val="none"/>
                <w:lang w:val="en-US" w:eastAsia="zh-CN"/>
              </w:rPr>
            </w:pPr>
            <w:r>
              <w:rPr>
                <w:rFonts w:hint="eastAsia" w:ascii="宋体" w:hAnsi="宋体" w:cs="宋体"/>
                <w:color w:val="auto"/>
                <w:szCs w:val="21"/>
                <w:highlight w:val="none"/>
                <w:lang w:val="en-US" w:eastAsia="zh-CN"/>
              </w:rPr>
              <w:t>8</w:t>
            </w:r>
          </w:p>
        </w:tc>
        <w:tc>
          <w:tcPr>
            <w:tcW w:w="1967" w:type="dxa"/>
            <w:noWrap w:val="0"/>
            <w:vAlign w:val="center"/>
          </w:tcPr>
          <w:p>
            <w:pPr>
              <w:adjustRightInd w:val="0"/>
              <w:snapToGrid w:val="0"/>
              <w:spacing w:line="300" w:lineRule="exact"/>
              <w:jc w:val="center"/>
              <w:rPr>
                <w:rFonts w:ascii="宋体" w:hAnsi="宋体"/>
                <w:color w:val="auto"/>
                <w:szCs w:val="21"/>
                <w:highlight w:val="none"/>
              </w:rPr>
            </w:pPr>
            <w:r>
              <w:rPr>
                <w:rFonts w:hint="eastAsia" w:ascii="宋体" w:hAnsi="宋体"/>
                <w:color w:val="auto"/>
                <w:szCs w:val="21"/>
                <w:highlight w:val="none"/>
              </w:rPr>
              <w:t>智能化管理</w:t>
            </w:r>
          </w:p>
          <w:p>
            <w:pPr>
              <w:adjustRightInd w:val="0"/>
              <w:snapToGrid w:val="0"/>
              <w:spacing w:line="300" w:lineRule="exact"/>
              <w:jc w:val="center"/>
              <w:rPr>
                <w:rFonts w:hint="eastAsia" w:ascii="宋体" w:hAnsi="宋体" w:cs="宋体"/>
                <w:color w:val="auto"/>
                <w:szCs w:val="21"/>
                <w:highlight w:val="none"/>
              </w:rPr>
            </w:pPr>
            <w:r>
              <w:rPr>
                <w:rFonts w:hint="eastAsia" w:ascii="宋体" w:hAnsi="宋体"/>
                <w:color w:val="auto"/>
                <w:szCs w:val="21"/>
                <w:highlight w:val="none"/>
              </w:rPr>
              <w:t>（</w:t>
            </w:r>
            <w:r>
              <w:rPr>
                <w:rFonts w:hint="eastAsia" w:ascii="宋体" w:hAnsi="宋体"/>
                <w:color w:val="auto"/>
                <w:szCs w:val="21"/>
                <w:highlight w:val="none"/>
                <w:lang w:val="en-US" w:eastAsia="zh-CN"/>
              </w:rPr>
              <w:t>4</w:t>
            </w:r>
            <w:r>
              <w:rPr>
                <w:rFonts w:hint="eastAsia" w:ascii="宋体" w:hAnsi="宋体"/>
                <w:color w:val="auto"/>
                <w:szCs w:val="21"/>
                <w:highlight w:val="none"/>
              </w:rPr>
              <w:t>分）</w:t>
            </w:r>
          </w:p>
        </w:tc>
        <w:tc>
          <w:tcPr>
            <w:tcW w:w="1009" w:type="dxa"/>
            <w:noWrap w:val="0"/>
            <w:vAlign w:val="center"/>
          </w:tcPr>
          <w:p>
            <w:pPr>
              <w:adjustRightInd w:val="0"/>
              <w:snapToGrid w:val="0"/>
              <w:spacing w:line="300" w:lineRule="exact"/>
              <w:jc w:val="center"/>
              <w:rPr>
                <w:rFonts w:hint="eastAsia" w:ascii="宋体" w:hAnsi="宋体" w:cs="宋体"/>
                <w:bCs/>
                <w:color w:val="auto"/>
                <w:szCs w:val="21"/>
                <w:highlight w:val="none"/>
                <w:lang w:val="zh-CN"/>
              </w:rPr>
            </w:pPr>
            <w:r>
              <w:rPr>
                <w:rFonts w:hint="eastAsia" w:ascii="宋体" w:hAnsi="宋体"/>
                <w:bCs/>
                <w:color w:val="auto"/>
                <w:szCs w:val="21"/>
                <w:highlight w:val="none"/>
              </w:rPr>
              <w:t>0-</w:t>
            </w:r>
            <w:r>
              <w:rPr>
                <w:rFonts w:hint="eastAsia" w:ascii="宋体" w:hAnsi="宋体"/>
                <w:bCs/>
                <w:color w:val="auto"/>
                <w:szCs w:val="21"/>
                <w:highlight w:val="none"/>
                <w:lang w:val="en-US" w:eastAsia="zh-CN"/>
              </w:rPr>
              <w:t>4</w:t>
            </w:r>
            <w:r>
              <w:rPr>
                <w:rFonts w:hint="eastAsia" w:ascii="宋体" w:hAnsi="宋体"/>
                <w:bCs/>
                <w:color w:val="auto"/>
                <w:szCs w:val="21"/>
                <w:highlight w:val="none"/>
              </w:rPr>
              <w:t>分</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主</w:t>
            </w:r>
            <w:r>
              <w:rPr>
                <w:rFonts w:hint="eastAsia" w:ascii="宋体" w:hAnsi="宋体" w:eastAsia="宋体" w:cs="宋体"/>
                <w:color w:val="auto"/>
                <w:sz w:val="21"/>
                <w:szCs w:val="21"/>
                <w:highlight w:val="none"/>
              </w:rPr>
              <w:t>观分）</w:t>
            </w:r>
          </w:p>
        </w:tc>
        <w:tc>
          <w:tcPr>
            <w:tcW w:w="5840" w:type="dxa"/>
            <w:noWrap w:val="0"/>
            <w:vAlign w:val="center"/>
          </w:tcPr>
          <w:p>
            <w:pPr>
              <w:pStyle w:val="17"/>
              <w:jc w:val="left"/>
              <w:rPr>
                <w:rFonts w:hint="eastAsia" w:ascii="宋体" w:hAnsi="宋体" w:cs="宋体"/>
                <w:color w:val="auto"/>
                <w:szCs w:val="21"/>
                <w:highlight w:val="none"/>
              </w:rPr>
            </w:pPr>
            <w:bookmarkStart w:id="68" w:name="OLE_LINK31"/>
            <w:bookmarkStart w:id="69" w:name="OLE_LINK20"/>
            <w:r>
              <w:rPr>
                <w:rFonts w:hint="eastAsia"/>
                <w:color w:val="auto"/>
                <w:highlight w:val="none"/>
              </w:rPr>
              <w:t>提供访客智能通行、智能停车、智能监控、设施设备智能维保及巡查方案</w:t>
            </w:r>
            <w:r>
              <w:rPr>
                <w:rFonts w:hint="eastAsia" w:ascii="宋体" w:hAnsi="宋体" w:cs="宋体"/>
                <w:color w:val="auto"/>
                <w:szCs w:val="21"/>
                <w:highlight w:val="none"/>
              </w:rPr>
              <w:t>完整、合理性</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kern w:val="0"/>
                <w:sz w:val="21"/>
                <w:szCs w:val="21"/>
                <w:highlight w:val="none"/>
                <w:lang w:val="en-US" w:eastAsia="zh-CN" w:bidi="ar"/>
              </w:rPr>
              <w:t>0分，0.5分，1分，1.5分，2分</w:t>
            </w:r>
            <w:r>
              <w:rPr>
                <w:rFonts w:hint="eastAsia" w:ascii="宋体" w:hAnsi="宋体" w:eastAsia="宋体" w:cs="宋体"/>
                <w:color w:val="auto"/>
                <w:sz w:val="21"/>
                <w:szCs w:val="21"/>
                <w:highlight w:val="none"/>
                <w:lang w:eastAsia="zh-CN"/>
              </w:rPr>
              <w:t>）</w:t>
            </w:r>
            <w:r>
              <w:rPr>
                <w:rFonts w:hint="eastAsia"/>
                <w:color w:val="auto"/>
                <w:highlight w:val="none"/>
              </w:rPr>
              <w:t>，提供线上报修、投诉、建议、送水、家政、洗衣、购物等生活服务、一站式商务办公智慧化管理服务</w:t>
            </w:r>
            <w:r>
              <w:rPr>
                <w:rStyle w:val="81"/>
                <w:rFonts w:hint="default"/>
                <w:color w:val="auto"/>
                <w:highlight w:val="none"/>
                <w:lang w:bidi="ar"/>
              </w:rPr>
              <w:t>方案</w:t>
            </w:r>
            <w:r>
              <w:rPr>
                <w:rFonts w:hint="eastAsia" w:ascii="宋体" w:hAnsi="宋体" w:cs="宋体"/>
                <w:color w:val="auto"/>
                <w:szCs w:val="21"/>
                <w:highlight w:val="none"/>
              </w:rPr>
              <w:t>完整、合理性</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kern w:val="0"/>
                <w:sz w:val="21"/>
                <w:szCs w:val="21"/>
                <w:highlight w:val="none"/>
                <w:lang w:val="en-US" w:eastAsia="zh-CN" w:bidi="ar"/>
              </w:rPr>
              <w:t>0分，0.5分，1分，1.5分，2分</w:t>
            </w:r>
            <w:r>
              <w:rPr>
                <w:rFonts w:hint="eastAsia" w:ascii="宋体" w:hAnsi="宋体" w:eastAsia="宋体" w:cs="宋体"/>
                <w:color w:val="auto"/>
                <w:sz w:val="21"/>
                <w:szCs w:val="21"/>
                <w:highlight w:val="none"/>
                <w:lang w:eastAsia="zh-CN"/>
              </w:rPr>
              <w:t>）</w:t>
            </w:r>
            <w:bookmarkEnd w:id="68"/>
            <w:r>
              <w:rPr>
                <w:rFonts w:hint="eastAsia"/>
                <w:color w:val="auto"/>
                <w:highlight w:val="none"/>
              </w:rPr>
              <w:t>。</w:t>
            </w:r>
            <w:bookmarkEnd w:id="6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98" w:hRule="atLeast"/>
          <w:jc w:val="center"/>
        </w:trPr>
        <w:tc>
          <w:tcPr>
            <w:tcW w:w="711" w:type="dxa"/>
            <w:noWrap w:val="0"/>
            <w:vAlign w:val="center"/>
          </w:tcPr>
          <w:p>
            <w:pPr>
              <w:pStyle w:val="17"/>
              <w:jc w:val="center"/>
              <w:rPr>
                <w:rFonts w:hint="eastAsia" w:ascii="宋体" w:hAnsi="宋体" w:cs="宋体"/>
                <w:color w:val="auto"/>
                <w:szCs w:val="21"/>
                <w:highlight w:val="none"/>
                <w:lang w:val="en-US" w:eastAsia="zh-CN"/>
              </w:rPr>
            </w:pPr>
            <w:r>
              <w:rPr>
                <w:rFonts w:hint="eastAsia" w:ascii="宋体" w:hAnsi="宋体" w:eastAsia="宋体" w:cs="宋体"/>
                <w:color w:val="auto"/>
                <w:sz w:val="21"/>
                <w:szCs w:val="21"/>
                <w:highlight w:val="none"/>
              </w:rPr>
              <w:t>二</w:t>
            </w:r>
          </w:p>
        </w:tc>
        <w:tc>
          <w:tcPr>
            <w:tcW w:w="1967" w:type="dxa"/>
            <w:noWrap w:val="0"/>
            <w:vAlign w:val="center"/>
          </w:tcPr>
          <w:p>
            <w:pPr>
              <w:jc w:val="center"/>
              <w:rPr>
                <w:rFonts w:hint="eastAsia" w:ascii="宋体" w:hAnsi="宋体"/>
                <w:color w:val="auto"/>
                <w:szCs w:val="21"/>
                <w:highlight w:val="none"/>
                <w:lang w:val="en-US" w:eastAsia="zh-CN"/>
              </w:rPr>
            </w:pPr>
            <w:r>
              <w:rPr>
                <w:rFonts w:hint="eastAsia" w:ascii="宋体" w:hAnsi="宋体" w:eastAsia="宋体" w:cs="宋体"/>
                <w:color w:val="auto"/>
                <w:sz w:val="21"/>
                <w:szCs w:val="21"/>
                <w:highlight w:val="none"/>
              </w:rPr>
              <w:t>报价分</w:t>
            </w:r>
          </w:p>
        </w:tc>
        <w:tc>
          <w:tcPr>
            <w:tcW w:w="1009" w:type="dxa"/>
            <w:noWrap w:val="0"/>
            <w:vAlign w:val="center"/>
          </w:tcPr>
          <w:p>
            <w:pPr>
              <w:jc w:val="center"/>
              <w:rPr>
                <w:rFonts w:hint="default" w:ascii="宋体" w:hAnsi="宋体"/>
                <w:bCs/>
                <w:color w:val="auto"/>
                <w:szCs w:val="21"/>
                <w:highlight w:val="none"/>
                <w:lang w:val="en-US" w:eastAsia="zh-CN"/>
              </w:rPr>
            </w:pPr>
            <w:r>
              <w:rPr>
                <w:rFonts w:hint="eastAsia" w:ascii="宋体" w:hAnsi="宋体" w:eastAsia="宋体" w:cs="宋体"/>
                <w:color w:val="auto"/>
                <w:sz w:val="21"/>
                <w:szCs w:val="21"/>
                <w:highlight w:val="none"/>
                <w:lang w:val="en-US" w:eastAsia="zh-CN"/>
              </w:rPr>
              <w:t>40</w:t>
            </w:r>
          </w:p>
        </w:tc>
        <w:tc>
          <w:tcPr>
            <w:tcW w:w="5840" w:type="dxa"/>
            <w:noWrap w:val="0"/>
            <w:vAlign w:val="center"/>
          </w:tcPr>
          <w:p>
            <w:pPr>
              <w:autoSpaceDE w:val="0"/>
              <w:autoSpaceDN w:val="0"/>
              <w:adjustRightInd w:val="0"/>
              <w:spacing w:line="360" w:lineRule="auto"/>
              <w:jc w:val="left"/>
              <w:rPr>
                <w:rFonts w:hint="eastAsia" w:ascii="宋体" w:hAnsi="宋体" w:cs="宋体"/>
                <w:bCs/>
                <w:color w:val="auto"/>
                <w:kern w:val="0"/>
                <w:szCs w:val="21"/>
                <w:highlight w:val="none"/>
                <w:lang w:bidi="ar"/>
              </w:rPr>
            </w:pPr>
            <w:r>
              <w:rPr>
                <w:rFonts w:hint="eastAsia" w:ascii="宋体" w:hAnsi="宋体" w:cs="宋体"/>
                <w:bCs/>
                <w:color w:val="auto"/>
                <w:kern w:val="0"/>
                <w:szCs w:val="21"/>
                <w:highlight w:val="none"/>
                <w:lang w:bidi="ar"/>
              </w:rPr>
              <w:t>评标价=1-投标</w:t>
            </w:r>
            <w:r>
              <w:rPr>
                <w:rFonts w:hint="eastAsia" w:ascii="宋体" w:hAnsi="宋体" w:cs="宋体"/>
                <w:bCs/>
                <w:color w:val="auto"/>
                <w:kern w:val="0"/>
                <w:szCs w:val="21"/>
                <w:highlight w:val="none"/>
                <w:lang w:val="en-US" w:eastAsia="zh-CN" w:bidi="ar"/>
              </w:rPr>
              <w:t>下浮</w:t>
            </w:r>
            <w:r>
              <w:rPr>
                <w:rFonts w:hint="eastAsia" w:ascii="宋体" w:hAnsi="宋体" w:cs="宋体"/>
                <w:bCs/>
                <w:color w:val="auto"/>
                <w:kern w:val="0"/>
                <w:szCs w:val="21"/>
                <w:highlight w:val="none"/>
                <w:lang w:bidi="ar"/>
              </w:rPr>
              <w:t>率</w:t>
            </w:r>
          </w:p>
          <w:p>
            <w:pPr>
              <w:autoSpaceDE w:val="0"/>
              <w:autoSpaceDN w:val="0"/>
              <w:adjustRightInd w:val="0"/>
              <w:spacing w:line="360" w:lineRule="auto"/>
              <w:jc w:val="left"/>
              <w:rPr>
                <w:rFonts w:hint="eastAsia" w:ascii="宋体" w:hAnsi="宋体" w:cs="宋体"/>
                <w:bCs/>
                <w:color w:val="auto"/>
                <w:szCs w:val="21"/>
                <w:highlight w:val="none"/>
              </w:rPr>
            </w:pPr>
            <w:r>
              <w:rPr>
                <w:rFonts w:hint="eastAsia" w:ascii="宋体" w:hAnsi="宋体" w:cs="宋体"/>
                <w:bCs/>
                <w:color w:val="auto"/>
                <w:kern w:val="0"/>
                <w:szCs w:val="21"/>
                <w:highlight w:val="none"/>
                <w:lang w:bidi="ar"/>
              </w:rPr>
              <w:t>1、以符合招标文件要求且评标价最低的为评标基准价，其报价得分为满分。</w:t>
            </w:r>
          </w:p>
          <w:p>
            <w:pPr>
              <w:autoSpaceDE w:val="0"/>
              <w:autoSpaceDN w:val="0"/>
              <w:adjustRightInd w:val="0"/>
              <w:spacing w:line="360" w:lineRule="auto"/>
              <w:jc w:val="left"/>
              <w:rPr>
                <w:rFonts w:hint="eastAsia" w:ascii="宋体" w:hAnsi="宋体" w:cs="宋体"/>
                <w:bCs/>
                <w:color w:val="auto"/>
                <w:szCs w:val="21"/>
                <w:highlight w:val="none"/>
              </w:rPr>
            </w:pPr>
            <w:r>
              <w:rPr>
                <w:rFonts w:hint="eastAsia" w:ascii="宋体" w:hAnsi="宋体" w:cs="宋体"/>
                <w:bCs/>
                <w:color w:val="auto"/>
                <w:kern w:val="0"/>
                <w:szCs w:val="21"/>
                <w:highlight w:val="none"/>
                <w:lang w:bidi="ar"/>
              </w:rPr>
              <w:t>2、其他投标人的报价分统一按照下列公式计算：</w:t>
            </w:r>
          </w:p>
          <w:p>
            <w:pPr>
              <w:adjustRightInd w:val="0"/>
              <w:rPr>
                <w:rFonts w:hint="eastAsia"/>
                <w:color w:val="auto"/>
                <w:highlight w:val="none"/>
                <w:lang w:val="en-US" w:eastAsia="zh-CN"/>
              </w:rPr>
            </w:pPr>
            <w:r>
              <w:rPr>
                <w:rFonts w:hint="eastAsia" w:ascii="宋体" w:hAnsi="宋体" w:cs="宋体"/>
                <w:bCs/>
                <w:color w:val="auto"/>
                <w:kern w:val="0"/>
                <w:szCs w:val="21"/>
                <w:highlight w:val="none"/>
                <w:lang w:bidi="ar"/>
              </w:rPr>
              <w:t>报价分＝（评标基准价／</w:t>
            </w:r>
            <w:r>
              <w:rPr>
                <w:rFonts w:hint="eastAsia" w:ascii="宋体" w:hAnsi="宋体" w:cs="宋体"/>
                <w:bCs/>
                <w:color w:val="auto"/>
                <w:kern w:val="0"/>
                <w:szCs w:val="21"/>
                <w:highlight w:val="none"/>
                <w:lang w:val="en-US" w:eastAsia="zh-CN" w:bidi="ar"/>
              </w:rPr>
              <w:t>评标</w:t>
            </w:r>
            <w:r>
              <w:rPr>
                <w:rFonts w:hint="eastAsia" w:ascii="宋体" w:hAnsi="宋体" w:cs="宋体"/>
                <w:bCs/>
                <w:color w:val="auto"/>
                <w:kern w:val="0"/>
                <w:szCs w:val="21"/>
                <w:highlight w:val="none"/>
                <w:lang w:bidi="ar"/>
              </w:rPr>
              <w:t>价）×</w:t>
            </w:r>
            <w:r>
              <w:rPr>
                <w:rFonts w:hint="eastAsia" w:ascii="宋体" w:hAnsi="宋体" w:cs="宋体"/>
                <w:bCs/>
                <w:color w:val="auto"/>
                <w:kern w:val="0"/>
                <w:szCs w:val="21"/>
                <w:highlight w:val="none"/>
                <w:lang w:val="en-US" w:eastAsia="zh-CN" w:bidi="ar"/>
              </w:rPr>
              <w:t>4</w:t>
            </w:r>
            <w:r>
              <w:rPr>
                <w:rFonts w:hint="eastAsia" w:ascii="宋体" w:hAnsi="宋体" w:cs="宋体"/>
                <w:bCs/>
                <w:color w:val="auto"/>
                <w:kern w:val="0"/>
                <w:szCs w:val="21"/>
                <w:highlight w:val="none"/>
                <w:lang w:bidi="ar"/>
              </w:rPr>
              <w:t>0，计算结果保留2位小数（第三位小数四舍五入）</w:t>
            </w:r>
            <w:r>
              <w:rPr>
                <w:rFonts w:hint="eastAsia" w:ascii="宋体" w:hAnsi="宋体" w:eastAsia="宋体" w:cs="宋体"/>
                <w:bCs/>
                <w:color w:val="auto"/>
                <w:sz w:val="21"/>
                <w:szCs w:val="21"/>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8" w:hRule="atLeast"/>
          <w:jc w:val="center"/>
        </w:trPr>
        <w:tc>
          <w:tcPr>
            <w:tcW w:w="711" w:type="dxa"/>
            <w:noWrap w:val="0"/>
            <w:vAlign w:val="center"/>
          </w:tcPr>
          <w:p>
            <w:pPr>
              <w:pStyle w:val="17"/>
              <w:jc w:val="center"/>
              <w:rPr>
                <w:rFonts w:hint="eastAsia" w:ascii="宋体" w:hAnsi="宋体" w:cs="宋体"/>
                <w:color w:val="auto"/>
                <w:szCs w:val="21"/>
                <w:highlight w:val="none"/>
                <w:lang w:val="en-US" w:eastAsia="zh-CN"/>
              </w:rPr>
            </w:pPr>
            <w:r>
              <w:rPr>
                <w:rFonts w:hint="eastAsia" w:ascii="宋体" w:hAnsi="宋体" w:eastAsia="宋体" w:cs="宋体"/>
                <w:color w:val="auto"/>
                <w:sz w:val="21"/>
                <w:szCs w:val="21"/>
                <w:highlight w:val="none"/>
              </w:rPr>
              <w:t>三</w:t>
            </w:r>
          </w:p>
        </w:tc>
        <w:tc>
          <w:tcPr>
            <w:tcW w:w="1967" w:type="dxa"/>
            <w:noWrap w:val="0"/>
            <w:vAlign w:val="center"/>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综合</w:t>
            </w:r>
          </w:p>
          <w:p>
            <w:pPr>
              <w:jc w:val="center"/>
              <w:rPr>
                <w:rFonts w:hint="eastAsia" w:ascii="宋体" w:hAnsi="宋体"/>
                <w:color w:val="auto"/>
                <w:szCs w:val="21"/>
                <w:highlight w:val="none"/>
                <w:lang w:val="en-US" w:eastAsia="zh-CN"/>
              </w:rPr>
            </w:pPr>
            <w:r>
              <w:rPr>
                <w:rFonts w:hint="eastAsia" w:ascii="宋体" w:hAnsi="宋体" w:eastAsia="宋体" w:cs="宋体"/>
                <w:color w:val="auto"/>
                <w:sz w:val="21"/>
                <w:szCs w:val="21"/>
                <w:highlight w:val="none"/>
              </w:rPr>
              <w:t>得分</w:t>
            </w:r>
          </w:p>
        </w:tc>
        <w:tc>
          <w:tcPr>
            <w:tcW w:w="1009" w:type="dxa"/>
            <w:noWrap w:val="0"/>
            <w:vAlign w:val="center"/>
          </w:tcPr>
          <w:p>
            <w:pPr>
              <w:jc w:val="center"/>
              <w:rPr>
                <w:rFonts w:hint="eastAsia" w:ascii="宋体" w:hAnsi="宋体"/>
                <w:bCs/>
                <w:color w:val="auto"/>
                <w:szCs w:val="21"/>
                <w:highlight w:val="none"/>
                <w:lang w:val="en-US" w:eastAsia="zh-CN"/>
              </w:rPr>
            </w:pPr>
            <w:r>
              <w:rPr>
                <w:rFonts w:hint="eastAsia" w:ascii="宋体" w:hAnsi="宋体" w:eastAsia="宋体" w:cs="宋体"/>
                <w:color w:val="auto"/>
                <w:sz w:val="21"/>
                <w:szCs w:val="21"/>
                <w:highlight w:val="none"/>
              </w:rPr>
              <w:t>100</w:t>
            </w:r>
          </w:p>
        </w:tc>
        <w:tc>
          <w:tcPr>
            <w:tcW w:w="5840" w:type="dxa"/>
            <w:noWrap w:val="0"/>
            <w:vAlign w:val="center"/>
          </w:tcPr>
          <w:p>
            <w:pPr>
              <w:rPr>
                <w:rFonts w:hint="eastAsia"/>
                <w:color w:val="auto"/>
                <w:highlight w:val="none"/>
                <w:lang w:val="en-US" w:eastAsia="zh-CN"/>
              </w:rPr>
            </w:pPr>
            <w:r>
              <w:rPr>
                <w:rFonts w:hint="eastAsia" w:ascii="宋体" w:hAnsi="宋体" w:eastAsia="宋体" w:cs="宋体"/>
                <w:color w:val="auto"/>
                <w:sz w:val="21"/>
                <w:szCs w:val="21"/>
                <w:highlight w:val="none"/>
              </w:rPr>
              <w:t>投标人综合得分=技术分+商务报价分</w:t>
            </w:r>
          </w:p>
        </w:tc>
      </w:tr>
    </w:tbl>
    <w:p>
      <w:pPr>
        <w:spacing w:line="360" w:lineRule="auto"/>
        <w:rPr>
          <w:rFonts w:hint="eastAsia" w:ascii="宋体" w:hAnsi="宋体" w:cs="宋体"/>
          <w:b/>
          <w:bCs/>
        </w:rPr>
      </w:pPr>
    </w:p>
    <w:p>
      <w:pPr>
        <w:spacing w:line="360" w:lineRule="auto"/>
        <w:rPr>
          <w:rFonts w:ascii="Verdana" w:hAnsi="Verdana" w:cs="Arial"/>
          <w:b/>
          <w:kern w:val="0"/>
          <w:szCs w:val="21"/>
        </w:rPr>
      </w:pPr>
      <w:r>
        <w:rPr>
          <w:rFonts w:hint="eastAsia" w:ascii="宋体" w:hAnsi="宋体" w:cs="宋体"/>
          <w:b/>
          <w:bCs/>
        </w:rPr>
        <w:t>以上评分内容仅限对未打“★”条款进行评分。</w:t>
      </w:r>
      <w:bookmarkEnd w:id="53"/>
      <w:bookmarkEnd w:id="54"/>
      <w:bookmarkEnd w:id="55"/>
      <w:bookmarkEnd w:id="56"/>
      <w:bookmarkEnd w:id="57"/>
      <w:bookmarkEnd w:id="58"/>
    </w:p>
    <w:p>
      <w:pPr>
        <w:pStyle w:val="3"/>
        <w:numPr>
          <w:ilvl w:val="0"/>
          <w:numId w:val="0"/>
        </w:numPr>
        <w:spacing w:before="0" w:after="0" w:line="240" w:lineRule="auto"/>
        <w:jc w:val="center"/>
        <w:rPr>
          <w:rFonts w:ascii="Verdana" w:hAnsi="Verdana" w:cs="Arial"/>
          <w:b w:val="0"/>
          <w:kern w:val="0"/>
          <w:szCs w:val="21"/>
        </w:rPr>
      </w:pPr>
      <w:r>
        <w:rPr>
          <w:rFonts w:hint="eastAsia" w:ascii="宋体" w:hAnsi="宋体"/>
          <w:sz w:val="36"/>
          <w:szCs w:val="36"/>
        </w:rPr>
        <w:br w:type="page"/>
      </w:r>
      <w:bookmarkStart w:id="70" w:name="_Toc2173"/>
      <w:r>
        <w:rPr>
          <w:rFonts w:hint="eastAsia" w:ascii="宋体" w:hAnsi="宋体"/>
          <w:sz w:val="36"/>
          <w:szCs w:val="36"/>
        </w:rPr>
        <w:t>第七章</w:t>
      </w:r>
      <w:r>
        <w:rPr>
          <w:rFonts w:ascii="宋体" w:hAnsi="宋体"/>
          <w:sz w:val="36"/>
          <w:szCs w:val="36"/>
        </w:rPr>
        <w:t xml:space="preserve">  合同主要条款</w:t>
      </w:r>
      <w:bookmarkEnd w:id="70"/>
    </w:p>
    <w:p>
      <w:pPr>
        <w:widowControl/>
        <w:spacing w:line="360" w:lineRule="auto"/>
        <w:ind w:firstLine="422" w:firstLineChars="200"/>
        <w:jc w:val="center"/>
        <w:rPr>
          <w:rFonts w:ascii="Verdana" w:hAnsi="Verdana" w:cs="Arial"/>
          <w:b/>
          <w:kern w:val="0"/>
          <w:szCs w:val="21"/>
        </w:rPr>
      </w:pPr>
      <w:r>
        <w:rPr>
          <w:rFonts w:hint="eastAsia" w:ascii="Verdana" w:hAnsi="Verdana" w:cs="Arial"/>
          <w:b/>
          <w:kern w:val="0"/>
          <w:szCs w:val="21"/>
        </w:rPr>
        <w:t>义乌市国企采购合同（样本）</w:t>
      </w:r>
    </w:p>
    <w:p>
      <w:pPr>
        <w:pageBreakBefore w:val="0"/>
        <w:widowControl/>
        <w:kinsoku/>
        <w:wordWrap/>
        <w:topLinePunct w:val="0"/>
        <w:bidi w:val="0"/>
        <w:spacing w:line="480" w:lineRule="exact"/>
        <w:ind w:firstLine="480"/>
        <w:jc w:val="left"/>
        <w:textAlignment w:val="auto"/>
        <w:rPr>
          <w:rFonts w:hint="eastAsia" w:ascii="宋体" w:hAnsi="宋体" w:eastAsia="宋体" w:cs="宋体"/>
          <w:color w:val="000000"/>
          <w:kern w:val="0"/>
          <w:sz w:val="21"/>
          <w:szCs w:val="21"/>
          <w:highlight w:val="none"/>
          <w:u w:val="single"/>
        </w:rPr>
      </w:pPr>
      <w:r>
        <w:rPr>
          <w:rFonts w:hint="eastAsia" w:ascii="宋体" w:hAnsi="宋体" w:eastAsia="宋体" w:cs="宋体"/>
          <w:color w:val="000000"/>
          <w:kern w:val="0"/>
          <w:sz w:val="21"/>
          <w:szCs w:val="21"/>
          <w:highlight w:val="none"/>
        </w:rPr>
        <w:t>甲方：</w:t>
      </w:r>
      <w:r>
        <w:rPr>
          <w:rFonts w:hint="eastAsia" w:ascii="宋体" w:hAnsi="宋体" w:eastAsia="宋体" w:cs="宋体"/>
          <w:color w:val="000000"/>
          <w:kern w:val="0"/>
          <w:sz w:val="21"/>
          <w:szCs w:val="21"/>
          <w:highlight w:val="none"/>
          <w:u w:val="single"/>
        </w:rPr>
        <w:t xml:space="preserve">                                 </w:t>
      </w:r>
    </w:p>
    <w:p>
      <w:pPr>
        <w:pageBreakBefore w:val="0"/>
        <w:widowControl/>
        <w:kinsoku/>
        <w:wordWrap/>
        <w:topLinePunct w:val="0"/>
        <w:bidi w:val="0"/>
        <w:spacing w:line="480" w:lineRule="exact"/>
        <w:ind w:firstLine="480"/>
        <w:jc w:val="left"/>
        <w:textAlignment w:val="auto"/>
        <w:rPr>
          <w:rFonts w:hint="eastAsia" w:ascii="宋体" w:hAnsi="宋体" w:eastAsia="宋体" w:cs="宋体"/>
          <w:color w:val="000000"/>
          <w:kern w:val="0"/>
          <w:sz w:val="21"/>
          <w:szCs w:val="21"/>
          <w:highlight w:val="none"/>
          <w:u w:val="single"/>
        </w:rPr>
      </w:pPr>
      <w:r>
        <w:rPr>
          <w:rFonts w:hint="eastAsia" w:ascii="宋体" w:hAnsi="宋体" w:eastAsia="宋体" w:cs="宋体"/>
          <w:color w:val="000000"/>
          <w:kern w:val="0"/>
          <w:sz w:val="21"/>
          <w:szCs w:val="21"/>
          <w:highlight w:val="none"/>
        </w:rPr>
        <w:t>乙方：</w:t>
      </w:r>
      <w:r>
        <w:rPr>
          <w:rFonts w:hint="eastAsia" w:ascii="宋体" w:hAnsi="宋体" w:eastAsia="宋体" w:cs="宋体"/>
          <w:color w:val="000000"/>
          <w:kern w:val="0"/>
          <w:sz w:val="21"/>
          <w:szCs w:val="21"/>
          <w:highlight w:val="none"/>
          <w:u w:val="single"/>
        </w:rPr>
        <w:t xml:space="preserve">                                 </w:t>
      </w:r>
    </w:p>
    <w:p>
      <w:pPr>
        <w:pageBreakBefore w:val="0"/>
        <w:widowControl/>
        <w:kinsoku/>
        <w:wordWrap/>
        <w:topLinePunct w:val="0"/>
        <w:bidi w:val="0"/>
        <w:spacing w:line="480" w:lineRule="exact"/>
        <w:ind w:firstLine="48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000000"/>
          <w:kern w:val="0"/>
          <w:sz w:val="21"/>
          <w:szCs w:val="21"/>
          <w:highlight w:val="none"/>
        </w:rPr>
        <w:t>甲、乙双方根据</w:t>
      </w:r>
      <w:r>
        <w:rPr>
          <w:rFonts w:hint="eastAsia" w:ascii="宋体" w:hAnsi="宋体" w:eastAsia="宋体" w:cs="宋体"/>
          <w:color w:val="000000"/>
          <w:kern w:val="0"/>
          <w:sz w:val="21"/>
          <w:szCs w:val="21"/>
          <w:highlight w:val="none"/>
          <w:u w:val="single"/>
        </w:rPr>
        <w:t xml:space="preserve">     </w:t>
      </w:r>
      <w:r>
        <w:rPr>
          <w:rFonts w:hint="eastAsia" w:ascii="宋体" w:hAnsi="宋体" w:eastAsia="宋体" w:cs="宋体"/>
          <w:color w:val="000000"/>
          <w:kern w:val="0"/>
          <w:sz w:val="21"/>
          <w:szCs w:val="21"/>
          <w:highlight w:val="none"/>
        </w:rPr>
        <w:t>年</w:t>
      </w:r>
      <w:r>
        <w:rPr>
          <w:rFonts w:hint="eastAsia" w:ascii="宋体" w:hAnsi="宋体" w:eastAsia="宋体" w:cs="宋体"/>
          <w:color w:val="000000"/>
          <w:kern w:val="0"/>
          <w:sz w:val="21"/>
          <w:szCs w:val="21"/>
          <w:highlight w:val="none"/>
          <w:u w:val="single"/>
        </w:rPr>
        <w:t xml:space="preserve">     </w:t>
      </w:r>
      <w:r>
        <w:rPr>
          <w:rFonts w:hint="eastAsia" w:ascii="宋体" w:hAnsi="宋体" w:eastAsia="宋体" w:cs="宋体"/>
          <w:color w:val="000000"/>
          <w:kern w:val="0"/>
          <w:sz w:val="21"/>
          <w:szCs w:val="21"/>
          <w:highlight w:val="none"/>
        </w:rPr>
        <w:t>月</w:t>
      </w:r>
      <w:r>
        <w:rPr>
          <w:rFonts w:hint="eastAsia" w:ascii="宋体" w:hAnsi="宋体" w:eastAsia="宋体" w:cs="宋体"/>
          <w:color w:val="000000"/>
          <w:kern w:val="0"/>
          <w:sz w:val="21"/>
          <w:szCs w:val="21"/>
          <w:highlight w:val="none"/>
          <w:u w:val="single"/>
        </w:rPr>
        <w:t xml:space="preserve">     </w:t>
      </w:r>
      <w:r>
        <w:rPr>
          <w:rFonts w:hint="eastAsia" w:ascii="宋体" w:hAnsi="宋体" w:eastAsia="宋体" w:cs="宋体"/>
          <w:color w:val="000000"/>
          <w:kern w:val="0"/>
          <w:sz w:val="21"/>
          <w:szCs w:val="21"/>
          <w:highlight w:val="none"/>
        </w:rPr>
        <w:t>日浙江省义乌市国企采购</w:t>
      </w:r>
      <w:r>
        <w:rPr>
          <w:rFonts w:hint="eastAsia" w:ascii="宋体" w:hAnsi="宋体" w:eastAsia="宋体" w:cs="宋体"/>
          <w:color w:val="000000"/>
          <w:kern w:val="0"/>
          <w:sz w:val="21"/>
          <w:szCs w:val="21"/>
          <w:highlight w:val="none"/>
          <w:u w:val="single"/>
        </w:rPr>
        <w:t xml:space="preserve">          </w:t>
      </w:r>
      <w:r>
        <w:rPr>
          <w:rFonts w:hint="eastAsia" w:ascii="宋体" w:hAnsi="宋体" w:eastAsia="宋体" w:cs="宋体"/>
          <w:color w:val="000000"/>
          <w:kern w:val="0"/>
          <w:sz w:val="21"/>
          <w:szCs w:val="21"/>
          <w:highlight w:val="none"/>
        </w:rPr>
        <w:t>项目成交结果和投标文件的要求，依据《中华人民共和国民法典》并经双</w:t>
      </w:r>
      <w:r>
        <w:rPr>
          <w:rFonts w:hint="eastAsia" w:ascii="宋体" w:hAnsi="宋体" w:eastAsia="宋体" w:cs="宋体"/>
          <w:color w:val="auto"/>
          <w:kern w:val="0"/>
          <w:sz w:val="21"/>
          <w:szCs w:val="21"/>
          <w:highlight w:val="none"/>
        </w:rPr>
        <w:t>方协调一致，订立本采购合同。</w:t>
      </w:r>
    </w:p>
    <w:p>
      <w:pPr>
        <w:pageBreakBefore w:val="0"/>
        <w:widowControl/>
        <w:kinsoku/>
        <w:wordWrap/>
        <w:topLinePunct w:val="0"/>
        <w:bidi w:val="0"/>
        <w:spacing w:line="480" w:lineRule="exact"/>
        <w:ind w:firstLine="48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一、合同文件组成：招标文件及其补充文件、询标承诺、询疑答复、投标响应文件、双方来函。合同文件组成的所有内容是构成合同不可分割的部分，与合同具有同等法律效力。</w:t>
      </w:r>
    </w:p>
    <w:p>
      <w:pPr>
        <w:pageBreakBefore w:val="0"/>
        <w:kinsoku/>
        <w:wordWrap/>
        <w:overflowPunct/>
        <w:topLinePunct w:val="0"/>
        <w:autoSpaceDE/>
        <w:autoSpaceDN/>
        <w:bidi w:val="0"/>
        <w:spacing w:before="156" w:beforeLines="50" w:after="156" w:afterLines="50" w:line="360" w:lineRule="auto"/>
        <w:ind w:firstLine="420" w:firstLineChars="200"/>
        <w:rPr>
          <w:rFonts w:hint="eastAsia" w:ascii="宋体" w:hAnsi="宋体" w:eastAsia="宋体" w:cs="宋体"/>
          <w:color w:val="auto"/>
          <w:szCs w:val="21"/>
          <w:highlight w:val="none"/>
          <w:shd w:val="clear" w:color="FFFFFF" w:fill="D9D9D9"/>
          <w:lang w:val="en-US" w:eastAsia="zh-CN"/>
        </w:rPr>
      </w:pPr>
      <w:r>
        <w:rPr>
          <w:rFonts w:hint="eastAsia" w:ascii="宋体" w:hAnsi="宋体" w:eastAsia="宋体" w:cs="宋体"/>
          <w:color w:val="auto"/>
          <w:kern w:val="0"/>
          <w:sz w:val="21"/>
          <w:szCs w:val="21"/>
          <w:highlight w:val="none"/>
        </w:rPr>
        <w:t>二、</w:t>
      </w:r>
      <w:r>
        <w:rPr>
          <w:rFonts w:hint="eastAsia" w:ascii="宋体" w:hAnsi="宋体" w:eastAsia="宋体" w:cs="宋体"/>
          <w:color w:val="auto"/>
          <w:kern w:val="0"/>
          <w:sz w:val="21"/>
          <w:szCs w:val="21"/>
          <w:highlight w:val="none"/>
          <w:lang w:eastAsia="zh-CN"/>
        </w:rPr>
        <w:t>第一年</w:t>
      </w:r>
      <w:r>
        <w:rPr>
          <w:rFonts w:hint="eastAsia" w:ascii="宋体" w:hAnsi="宋体" w:eastAsia="宋体" w:cs="宋体"/>
          <w:color w:val="auto"/>
          <w:kern w:val="0"/>
          <w:sz w:val="21"/>
          <w:szCs w:val="21"/>
          <w:highlight w:val="none"/>
        </w:rPr>
        <w:t>承包合同</w:t>
      </w:r>
      <w:r>
        <w:rPr>
          <w:rFonts w:hint="eastAsia" w:ascii="宋体" w:hAnsi="宋体" w:eastAsia="宋体" w:cs="宋体"/>
          <w:color w:val="auto"/>
          <w:kern w:val="0"/>
          <w:sz w:val="21"/>
          <w:szCs w:val="21"/>
          <w:highlight w:val="none"/>
          <w:lang w:eastAsia="zh-CN"/>
        </w:rPr>
        <w:t>最高含税</w:t>
      </w:r>
      <w:r>
        <w:rPr>
          <w:rFonts w:hint="eastAsia" w:ascii="宋体" w:hAnsi="宋体" w:eastAsia="宋体" w:cs="宋体"/>
          <w:color w:val="auto"/>
          <w:kern w:val="0"/>
          <w:sz w:val="21"/>
          <w:szCs w:val="21"/>
          <w:highlight w:val="none"/>
        </w:rPr>
        <w:t>金额：大写</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rPr>
        <w:t>元整（小写：</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rPr>
        <w:t>）</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eastAsia="zh-CN"/>
        </w:rPr>
        <w:t>不含税金额：</w:t>
      </w:r>
      <w:r>
        <w:rPr>
          <w:rFonts w:hint="eastAsia" w:ascii="宋体" w:hAnsi="宋体" w:eastAsia="宋体" w:cs="宋体"/>
          <w:color w:val="auto"/>
          <w:kern w:val="0"/>
          <w:sz w:val="21"/>
          <w:szCs w:val="21"/>
          <w:highlight w:val="none"/>
        </w:rPr>
        <w:t>大写</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rPr>
        <w:t>元整（小写：</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rPr>
        <w:t>）</w:t>
      </w:r>
      <w:r>
        <w:rPr>
          <w:rFonts w:hint="eastAsia" w:ascii="宋体" w:hAnsi="宋体" w:eastAsia="宋体" w:cs="宋体"/>
          <w:color w:val="auto"/>
          <w:kern w:val="0"/>
          <w:sz w:val="21"/>
          <w:szCs w:val="21"/>
          <w:highlight w:val="none"/>
          <w:lang w:eastAsia="zh-CN"/>
        </w:rPr>
        <w:t>。</w:t>
      </w:r>
      <w:r>
        <w:rPr>
          <w:rFonts w:hint="eastAsia" w:ascii="宋体" w:hAnsi="宋体" w:eastAsia="宋体" w:cs="宋体"/>
          <w:color w:val="auto"/>
          <w:kern w:val="0"/>
          <w:sz w:val="21"/>
          <w:szCs w:val="21"/>
          <w:highlight w:val="none"/>
        </w:rPr>
        <w:t>合同总价中须</w:t>
      </w:r>
      <w:r>
        <w:rPr>
          <w:rFonts w:hint="eastAsia" w:ascii="宋体" w:hAnsi="宋体" w:eastAsia="宋体" w:cs="宋体"/>
          <w:color w:val="auto"/>
          <w:sz w:val="21"/>
          <w:szCs w:val="21"/>
          <w:highlight w:val="none"/>
        </w:rPr>
        <w:t>包括职工工资、福利（包括加班费、职工夏季高温津贴等）、服装费、社会保险费用（包括养老、工伤、失业、医疗、生育等）；保洁设施、</w:t>
      </w:r>
      <w:r>
        <w:rPr>
          <w:rFonts w:hint="eastAsia" w:ascii="宋体" w:hAnsi="宋体" w:eastAsia="宋体" w:cs="宋体"/>
          <w:color w:val="auto"/>
          <w:sz w:val="21"/>
          <w:szCs w:val="21"/>
          <w:highlight w:val="none"/>
          <w:lang w:val="en-US" w:eastAsia="zh-CN"/>
        </w:rPr>
        <w:t>物业管理所需低值</w:t>
      </w:r>
      <w:r>
        <w:rPr>
          <w:rFonts w:hint="eastAsia" w:ascii="宋体" w:hAnsi="宋体" w:eastAsia="宋体" w:cs="宋体"/>
          <w:color w:val="auto"/>
          <w:sz w:val="21"/>
          <w:szCs w:val="21"/>
          <w:highlight w:val="none"/>
        </w:rPr>
        <w:t>用品（包括塑料袋、除臭香球、除臭剂等保洁耗材、</w:t>
      </w:r>
      <w:r>
        <w:rPr>
          <w:rFonts w:hint="eastAsia" w:ascii="宋体" w:hAnsi="宋体" w:eastAsia="宋体" w:cs="宋体"/>
          <w:color w:val="auto"/>
          <w:sz w:val="21"/>
          <w:szCs w:val="21"/>
          <w:highlight w:val="none"/>
          <w:lang w:val="en-US" w:eastAsia="zh-CN"/>
        </w:rPr>
        <w:t>公共</w:t>
      </w:r>
      <w:r>
        <w:rPr>
          <w:rFonts w:hint="eastAsia" w:ascii="宋体" w:hAnsi="宋体" w:eastAsia="宋体" w:cs="宋体"/>
          <w:color w:val="auto"/>
          <w:sz w:val="21"/>
          <w:szCs w:val="21"/>
          <w:highlight w:val="none"/>
        </w:rPr>
        <w:t>卫生间擦手纸、卷纸、洗手液等卫生间耗材）；办公支出费用；单项维修（</w:t>
      </w:r>
      <w:r>
        <w:rPr>
          <w:rFonts w:hint="eastAsia" w:ascii="宋体" w:hAnsi="宋体" w:eastAsia="宋体" w:cs="宋体"/>
          <w:b/>
          <w:bCs/>
          <w:color w:val="auto"/>
          <w:sz w:val="21"/>
          <w:szCs w:val="21"/>
          <w:highlight w:val="none"/>
        </w:rPr>
        <w:t>含</w:t>
      </w:r>
      <w:r>
        <w:rPr>
          <w:rFonts w:hint="eastAsia" w:ascii="宋体" w:hAnsi="宋体" w:eastAsia="宋体" w:cs="宋体"/>
          <w:b/>
          <w:bCs/>
          <w:color w:val="auto"/>
          <w:sz w:val="21"/>
          <w:szCs w:val="21"/>
          <w:highlight w:val="none"/>
          <w:lang w:val="en-US" w:eastAsia="zh-CN"/>
        </w:rPr>
        <w:t>宿舍</w:t>
      </w:r>
      <w:r>
        <w:rPr>
          <w:rFonts w:hint="eastAsia" w:ascii="宋体" w:hAnsi="宋体" w:eastAsia="宋体" w:cs="宋体"/>
          <w:b/>
          <w:bCs/>
          <w:color w:val="auto"/>
          <w:sz w:val="21"/>
          <w:szCs w:val="21"/>
          <w:highlight w:val="none"/>
        </w:rPr>
        <w:t>楼室内维修项目</w:t>
      </w:r>
      <w:r>
        <w:rPr>
          <w:rFonts w:hint="eastAsia" w:ascii="宋体" w:hAnsi="宋体" w:eastAsia="宋体" w:cs="宋体"/>
          <w:color w:val="auto"/>
          <w:sz w:val="21"/>
          <w:szCs w:val="21"/>
          <w:highlight w:val="none"/>
        </w:rPr>
        <w:t>）总价不超过500元（含500元）以下的日常维修；生活水箱清洗及水质检测费用、</w:t>
      </w:r>
      <w:r>
        <w:rPr>
          <w:rFonts w:hint="eastAsia" w:ascii="宋体" w:hAnsi="宋体" w:cs="宋体"/>
          <w:b/>
          <w:bCs/>
          <w:color w:val="auto"/>
          <w:sz w:val="21"/>
          <w:szCs w:val="21"/>
          <w:highlight w:val="none"/>
          <w:lang w:val="en-US" w:eastAsia="zh-CN" w:bidi="ar"/>
        </w:rPr>
        <w:t>厂房及办公楼玻璃幕墙清洗、</w:t>
      </w:r>
      <w:r>
        <w:rPr>
          <w:rFonts w:hint="default" w:ascii="宋体" w:hAnsi="宋体" w:eastAsia="宋体" w:cs="宋体"/>
          <w:color w:val="auto"/>
          <w:sz w:val="21"/>
          <w:szCs w:val="21"/>
          <w:highlight w:val="none"/>
          <w:lang w:val="en-US" w:eastAsia="zh-CN"/>
        </w:rPr>
        <w:t>外墙清洗</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rPr>
        <w:t>生活垃圾清运费用、化粪池清掏、四害消杀</w:t>
      </w:r>
      <w:r>
        <w:rPr>
          <w:rFonts w:hint="eastAsia" w:ascii="宋体" w:hAnsi="宋体" w:eastAsia="宋体" w:cs="宋体"/>
          <w:color w:val="auto"/>
          <w:sz w:val="21"/>
          <w:szCs w:val="21"/>
          <w:highlight w:val="none"/>
          <w:lang w:val="en-US" w:eastAsia="zh-CN"/>
        </w:rPr>
        <w:t>及白蚁防治</w:t>
      </w:r>
      <w:r>
        <w:rPr>
          <w:rFonts w:hint="eastAsia" w:ascii="宋体" w:hAnsi="宋体" w:eastAsia="宋体" w:cs="宋体"/>
          <w:color w:val="auto"/>
          <w:sz w:val="21"/>
          <w:szCs w:val="21"/>
          <w:highlight w:val="none"/>
        </w:rPr>
        <w:t>费用；绿化养护费；</w:t>
      </w:r>
      <w:r>
        <w:rPr>
          <w:rFonts w:hint="default" w:ascii="宋体" w:hAnsi="宋体" w:eastAsia="宋体" w:cs="宋体"/>
          <w:color w:val="auto"/>
          <w:sz w:val="21"/>
          <w:szCs w:val="21"/>
          <w:highlight w:val="none"/>
          <w:lang w:val="en-US" w:eastAsia="zh-CN"/>
        </w:rPr>
        <w:t>消防维保</w:t>
      </w:r>
      <w:r>
        <w:rPr>
          <w:rFonts w:hint="eastAsia" w:ascii="宋体" w:hAnsi="宋体" w:eastAsia="宋体" w:cs="宋体"/>
          <w:color w:val="auto"/>
          <w:sz w:val="21"/>
          <w:szCs w:val="21"/>
          <w:highlight w:val="none"/>
          <w:lang w:val="en-US" w:eastAsia="zh-CN"/>
        </w:rPr>
        <w:t>费用；</w:t>
      </w:r>
      <w:r>
        <w:rPr>
          <w:rFonts w:hint="eastAsia" w:ascii="宋体" w:hAnsi="宋体" w:eastAsia="宋体" w:cs="宋体"/>
          <w:color w:val="auto"/>
          <w:sz w:val="21"/>
          <w:szCs w:val="21"/>
          <w:highlight w:val="none"/>
        </w:rPr>
        <w:t>代收房租、物业费、水电费及停车费（收取的费用归义乌市</w:t>
      </w:r>
      <w:r>
        <w:rPr>
          <w:rFonts w:hint="eastAsia" w:ascii="宋体" w:hAnsi="宋体" w:eastAsia="宋体" w:cs="宋体"/>
          <w:color w:val="auto"/>
          <w:sz w:val="21"/>
          <w:szCs w:val="21"/>
          <w:highlight w:val="none"/>
          <w:lang w:eastAsia="zh-CN"/>
        </w:rPr>
        <w:t>聚合双圆数字科技</w:t>
      </w:r>
      <w:r>
        <w:rPr>
          <w:rFonts w:hint="eastAsia" w:ascii="宋体" w:hAnsi="宋体" w:eastAsia="宋体" w:cs="宋体"/>
          <w:color w:val="auto"/>
          <w:sz w:val="21"/>
          <w:szCs w:val="21"/>
          <w:highlight w:val="none"/>
        </w:rPr>
        <w:t>有限公司</w:t>
      </w:r>
      <w:r>
        <w:rPr>
          <w:rFonts w:hint="eastAsia" w:ascii="宋体" w:hAnsi="宋体" w:eastAsia="宋体" w:cs="宋体"/>
          <w:color w:val="auto"/>
          <w:sz w:val="21"/>
          <w:szCs w:val="21"/>
          <w:highlight w:val="none"/>
          <w:lang w:eastAsia="zh-CN"/>
        </w:rPr>
        <w:t>所有</w:t>
      </w:r>
      <w:r>
        <w:rPr>
          <w:rFonts w:hint="eastAsia" w:ascii="宋体" w:hAnsi="宋体" w:eastAsia="宋体" w:cs="宋体"/>
          <w:color w:val="auto"/>
          <w:sz w:val="21"/>
          <w:szCs w:val="21"/>
          <w:highlight w:val="none"/>
        </w:rPr>
        <w:t>）</w:t>
      </w:r>
      <w:r>
        <w:rPr>
          <w:rFonts w:hint="eastAsia" w:ascii="宋体" w:hAnsi="宋体" w:eastAsia="宋体" w:cs="宋体"/>
          <w:b w:val="0"/>
          <w:color w:val="auto"/>
          <w:sz w:val="21"/>
          <w:szCs w:val="21"/>
          <w:highlight w:val="none"/>
          <w:lang w:val="en-US" w:bidi="ar"/>
        </w:rPr>
        <w:t>以及配合开展创建、创优</w:t>
      </w:r>
      <w:r>
        <w:rPr>
          <w:rFonts w:hint="eastAsia" w:ascii="宋体" w:hAnsi="宋体" w:eastAsia="宋体" w:cs="宋体"/>
          <w:b w:val="0"/>
          <w:color w:val="auto"/>
          <w:sz w:val="21"/>
          <w:szCs w:val="21"/>
          <w:highlight w:val="none"/>
          <w:lang w:val="en-US" w:eastAsia="zh-CN" w:bidi="ar"/>
        </w:rPr>
        <w:t>、节假日</w:t>
      </w:r>
      <w:r>
        <w:rPr>
          <w:rFonts w:hint="eastAsia" w:ascii="宋体" w:hAnsi="宋体" w:eastAsia="宋体" w:cs="宋体"/>
          <w:b w:val="0"/>
          <w:color w:val="auto"/>
          <w:sz w:val="21"/>
          <w:szCs w:val="21"/>
          <w:highlight w:val="none"/>
          <w:lang w:val="en-US" w:bidi="ar"/>
        </w:rPr>
        <w:t>等活动过程中产生的费用。</w:t>
      </w:r>
      <w:r>
        <w:rPr>
          <w:rFonts w:hint="eastAsia" w:ascii="宋体" w:hAnsi="宋体" w:eastAsia="宋体" w:cs="宋体"/>
          <w:color w:val="auto"/>
          <w:sz w:val="21"/>
          <w:szCs w:val="21"/>
          <w:highlight w:val="none"/>
        </w:rPr>
        <w:t>利润、税金、政策性文件规定及合同包含的所有风险、责任等各项应有费用，如有漏项，视同已包含在其总项目中，合同总价不作调整。</w:t>
      </w:r>
    </w:p>
    <w:p>
      <w:pPr>
        <w:pStyle w:val="17"/>
        <w:pageBreakBefore w:val="0"/>
        <w:kinsoku/>
        <w:wordWrap/>
        <w:topLinePunct w:val="0"/>
        <w:bidi w:val="0"/>
        <w:spacing w:line="480" w:lineRule="exact"/>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附详细价格清单</w:t>
      </w:r>
    </w:p>
    <w:tbl>
      <w:tblPr>
        <w:tblStyle w:val="33"/>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240"/>
        <w:gridCol w:w="1440"/>
        <w:gridCol w:w="50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3240" w:type="dxa"/>
            <w:noWrap w:val="0"/>
            <w:vAlign w:val="center"/>
          </w:tcPr>
          <w:p>
            <w:pPr>
              <w:pStyle w:val="17"/>
              <w:pageBreakBefore w:val="0"/>
              <w:kinsoku/>
              <w:wordWrap/>
              <w:topLinePunct w:val="0"/>
              <w:bidi w:val="0"/>
              <w:spacing w:line="480" w:lineRule="exact"/>
              <w:jc w:val="center"/>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项目名称</w:t>
            </w:r>
          </w:p>
        </w:tc>
        <w:tc>
          <w:tcPr>
            <w:tcW w:w="1440" w:type="dxa"/>
            <w:noWrap w:val="0"/>
            <w:vAlign w:val="center"/>
          </w:tcPr>
          <w:p>
            <w:pPr>
              <w:pStyle w:val="17"/>
              <w:pageBreakBefore w:val="0"/>
              <w:kinsoku/>
              <w:wordWrap/>
              <w:topLinePunct w:val="0"/>
              <w:bidi w:val="0"/>
              <w:spacing w:line="480" w:lineRule="exact"/>
              <w:jc w:val="center"/>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承包期</w:t>
            </w:r>
          </w:p>
        </w:tc>
        <w:tc>
          <w:tcPr>
            <w:tcW w:w="5040" w:type="dxa"/>
            <w:noWrap w:val="0"/>
            <w:vAlign w:val="center"/>
          </w:tcPr>
          <w:p>
            <w:pPr>
              <w:pStyle w:val="17"/>
              <w:pageBreakBefore w:val="0"/>
              <w:kinsoku/>
              <w:wordWrap/>
              <w:topLinePunct w:val="0"/>
              <w:bidi w:val="0"/>
              <w:spacing w:line="480" w:lineRule="exact"/>
              <w:jc w:val="center"/>
              <w:textAlignment w:val="auto"/>
              <w:rPr>
                <w:rFonts w:hint="eastAsia" w:ascii="宋体" w:hAnsi="宋体" w:eastAsia="宋体" w:cs="宋体"/>
                <w:b/>
                <w:bCs/>
                <w:color w:val="auto"/>
                <w:sz w:val="21"/>
                <w:szCs w:val="21"/>
                <w:highlight w:val="none"/>
              </w:rPr>
            </w:pPr>
            <w:r>
              <w:rPr>
                <w:rFonts w:hint="eastAsia"/>
                <w:b/>
                <w:bCs/>
                <w:color w:val="auto"/>
                <w:highlight w:val="none"/>
                <w:lang w:val="en-US" w:eastAsia="zh-CN"/>
              </w:rPr>
              <w:t>各</w:t>
            </w:r>
            <w:r>
              <w:rPr>
                <w:rFonts w:hint="eastAsia" w:ascii="宋体" w:hAnsi="宋体" w:eastAsia="宋体" w:cs="宋体"/>
                <w:b w:val="0"/>
                <w:color w:val="auto"/>
                <w:kern w:val="0"/>
                <w:sz w:val="21"/>
                <w:szCs w:val="21"/>
                <w:highlight w:val="none"/>
                <w:lang w:val="en-US" w:eastAsia="zh-CN" w:bidi="ar"/>
              </w:rPr>
              <w:t>出租率对应的预算基础上的下浮率</w:t>
            </w:r>
            <w:r>
              <w:rPr>
                <w:rFonts w:hint="eastAsia" w:ascii="宋体" w:hAnsi="宋体" w:eastAsia="宋体" w:cs="宋体"/>
                <w:color w:val="auto"/>
                <w:sz w:val="21"/>
                <w:szCs w:val="21"/>
                <w:highlight w:val="none"/>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3" w:hRule="atLeast"/>
        </w:trPr>
        <w:tc>
          <w:tcPr>
            <w:tcW w:w="3240" w:type="dxa"/>
            <w:noWrap w:val="0"/>
            <w:vAlign w:val="center"/>
          </w:tcPr>
          <w:p>
            <w:pPr>
              <w:pStyle w:val="17"/>
              <w:pageBreakBefore w:val="0"/>
              <w:kinsoku/>
              <w:wordWrap/>
              <w:topLinePunct w:val="0"/>
              <w:bidi w:val="0"/>
              <w:spacing w:line="48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w:t>
            </w:r>
          </w:p>
        </w:tc>
        <w:tc>
          <w:tcPr>
            <w:tcW w:w="1440" w:type="dxa"/>
            <w:noWrap w:val="0"/>
            <w:vAlign w:val="center"/>
          </w:tcPr>
          <w:p>
            <w:pPr>
              <w:pStyle w:val="17"/>
              <w:pageBreakBefore w:val="0"/>
              <w:kinsoku/>
              <w:wordWrap/>
              <w:topLinePunct w:val="0"/>
              <w:bidi w:val="0"/>
              <w:spacing w:line="480" w:lineRule="exact"/>
              <w:jc w:val="center"/>
              <w:textAlignment w:val="auto"/>
              <w:rPr>
                <w:rFonts w:hint="eastAsia" w:ascii="宋体" w:hAnsi="宋体" w:eastAsia="宋体" w:cs="宋体"/>
                <w:b/>
                <w:bCs/>
                <w:color w:val="auto"/>
                <w:sz w:val="21"/>
                <w:szCs w:val="21"/>
                <w:highlight w:val="none"/>
              </w:rPr>
            </w:pPr>
          </w:p>
        </w:tc>
        <w:tc>
          <w:tcPr>
            <w:tcW w:w="5040" w:type="dxa"/>
            <w:noWrap w:val="0"/>
            <w:vAlign w:val="center"/>
          </w:tcPr>
          <w:p>
            <w:pPr>
              <w:pStyle w:val="17"/>
              <w:pageBreakBefore w:val="0"/>
              <w:kinsoku/>
              <w:wordWrap/>
              <w:topLinePunct w:val="0"/>
              <w:bidi w:val="0"/>
              <w:spacing w:line="480" w:lineRule="exact"/>
              <w:jc w:val="center"/>
              <w:textAlignment w:val="auto"/>
              <w:rPr>
                <w:rFonts w:hint="eastAsia" w:ascii="宋体" w:hAnsi="宋体" w:eastAsia="宋体" w:cs="宋体"/>
                <w:b/>
                <w:bCs/>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3240" w:type="dxa"/>
            <w:noWrap w:val="0"/>
            <w:vAlign w:val="center"/>
          </w:tcPr>
          <w:p>
            <w:pPr>
              <w:pStyle w:val="17"/>
              <w:pageBreakBefore w:val="0"/>
              <w:kinsoku/>
              <w:wordWrap/>
              <w:topLinePunct w:val="0"/>
              <w:bidi w:val="0"/>
              <w:spacing w:line="480" w:lineRule="exact"/>
              <w:jc w:val="center"/>
              <w:textAlignment w:val="auto"/>
              <w:rPr>
                <w:rFonts w:hint="eastAsia" w:ascii="宋体" w:hAnsi="宋体" w:eastAsia="宋体" w:cs="宋体"/>
                <w:color w:val="auto"/>
                <w:sz w:val="21"/>
                <w:szCs w:val="21"/>
                <w:highlight w:val="none"/>
              </w:rPr>
            </w:pPr>
          </w:p>
        </w:tc>
        <w:tc>
          <w:tcPr>
            <w:tcW w:w="1440" w:type="dxa"/>
            <w:noWrap w:val="0"/>
            <w:vAlign w:val="center"/>
          </w:tcPr>
          <w:p>
            <w:pPr>
              <w:pStyle w:val="17"/>
              <w:pageBreakBefore w:val="0"/>
              <w:kinsoku/>
              <w:wordWrap/>
              <w:topLinePunct w:val="0"/>
              <w:bidi w:val="0"/>
              <w:spacing w:line="480" w:lineRule="exact"/>
              <w:jc w:val="center"/>
              <w:textAlignment w:val="auto"/>
              <w:rPr>
                <w:rFonts w:hint="eastAsia" w:ascii="宋体" w:hAnsi="宋体" w:eastAsia="宋体" w:cs="宋体"/>
                <w:b/>
                <w:bCs/>
                <w:color w:val="auto"/>
                <w:sz w:val="21"/>
                <w:szCs w:val="21"/>
                <w:highlight w:val="none"/>
              </w:rPr>
            </w:pPr>
          </w:p>
        </w:tc>
        <w:tc>
          <w:tcPr>
            <w:tcW w:w="5040" w:type="dxa"/>
            <w:noWrap w:val="0"/>
            <w:vAlign w:val="center"/>
          </w:tcPr>
          <w:p>
            <w:pPr>
              <w:pStyle w:val="17"/>
              <w:pageBreakBefore w:val="0"/>
              <w:kinsoku/>
              <w:wordWrap/>
              <w:topLinePunct w:val="0"/>
              <w:bidi w:val="0"/>
              <w:spacing w:line="480" w:lineRule="exact"/>
              <w:jc w:val="center"/>
              <w:textAlignment w:val="auto"/>
              <w:rPr>
                <w:rFonts w:hint="eastAsia" w:ascii="宋体" w:hAnsi="宋体" w:eastAsia="宋体" w:cs="宋体"/>
                <w:b/>
                <w:bCs/>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3240" w:type="dxa"/>
            <w:noWrap w:val="0"/>
            <w:vAlign w:val="center"/>
          </w:tcPr>
          <w:p>
            <w:pPr>
              <w:pStyle w:val="17"/>
              <w:pageBreakBefore w:val="0"/>
              <w:kinsoku/>
              <w:wordWrap/>
              <w:topLinePunct w:val="0"/>
              <w:bidi w:val="0"/>
              <w:spacing w:line="480" w:lineRule="exact"/>
              <w:jc w:val="center"/>
              <w:textAlignment w:val="auto"/>
              <w:rPr>
                <w:rFonts w:hint="eastAsia" w:ascii="宋体" w:hAnsi="宋体" w:eastAsia="宋体" w:cs="宋体"/>
                <w:color w:val="auto"/>
                <w:sz w:val="21"/>
                <w:szCs w:val="21"/>
                <w:highlight w:val="none"/>
              </w:rPr>
            </w:pPr>
          </w:p>
        </w:tc>
        <w:tc>
          <w:tcPr>
            <w:tcW w:w="1440" w:type="dxa"/>
            <w:noWrap w:val="0"/>
            <w:vAlign w:val="center"/>
          </w:tcPr>
          <w:p>
            <w:pPr>
              <w:pStyle w:val="17"/>
              <w:pageBreakBefore w:val="0"/>
              <w:kinsoku/>
              <w:wordWrap/>
              <w:topLinePunct w:val="0"/>
              <w:bidi w:val="0"/>
              <w:spacing w:line="480" w:lineRule="exact"/>
              <w:jc w:val="center"/>
              <w:textAlignment w:val="auto"/>
              <w:rPr>
                <w:rFonts w:hint="eastAsia" w:ascii="宋体" w:hAnsi="宋体" w:eastAsia="宋体" w:cs="宋体"/>
                <w:b/>
                <w:bCs/>
                <w:color w:val="auto"/>
                <w:sz w:val="21"/>
                <w:szCs w:val="21"/>
                <w:highlight w:val="none"/>
              </w:rPr>
            </w:pPr>
          </w:p>
        </w:tc>
        <w:tc>
          <w:tcPr>
            <w:tcW w:w="5040" w:type="dxa"/>
            <w:noWrap w:val="0"/>
            <w:vAlign w:val="center"/>
          </w:tcPr>
          <w:p>
            <w:pPr>
              <w:pStyle w:val="17"/>
              <w:pageBreakBefore w:val="0"/>
              <w:kinsoku/>
              <w:wordWrap/>
              <w:topLinePunct w:val="0"/>
              <w:bidi w:val="0"/>
              <w:spacing w:line="480" w:lineRule="exact"/>
              <w:jc w:val="center"/>
              <w:textAlignment w:val="auto"/>
              <w:rPr>
                <w:rFonts w:hint="eastAsia" w:ascii="宋体" w:hAnsi="宋体" w:eastAsia="宋体" w:cs="宋体"/>
                <w:b/>
                <w:bCs/>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9720" w:type="dxa"/>
            <w:gridSpan w:val="3"/>
            <w:noWrap w:val="0"/>
            <w:vAlign w:val="center"/>
          </w:tcPr>
          <w:p>
            <w:pPr>
              <w:pStyle w:val="17"/>
              <w:pageBreakBefore w:val="0"/>
              <w:kinsoku/>
              <w:wordWrap/>
              <w:topLinePunct w:val="0"/>
              <w:bidi w:val="0"/>
              <w:spacing w:line="480" w:lineRule="exact"/>
              <w:ind w:firstLine="482"/>
              <w:textAlignment w:val="auto"/>
              <w:rPr>
                <w:rFonts w:hint="eastAsia" w:ascii="宋体" w:hAnsi="宋体" w:eastAsia="宋体" w:cs="宋体"/>
                <w:b/>
                <w:bCs/>
                <w:color w:val="auto"/>
                <w:sz w:val="21"/>
                <w:szCs w:val="21"/>
                <w:highlight w:val="none"/>
                <w:u w:val="single"/>
              </w:rPr>
            </w:pPr>
            <w:r>
              <w:rPr>
                <w:rFonts w:hint="eastAsia" w:hAnsi="宋体" w:eastAsia="宋体" w:cs="宋体"/>
                <w:b/>
                <w:bCs/>
                <w:color w:val="auto"/>
                <w:sz w:val="21"/>
                <w:szCs w:val="21"/>
                <w:highlight w:val="none"/>
                <w:lang w:eastAsia="zh-CN"/>
              </w:rPr>
              <w:t>（第一年承包最高金额）</w:t>
            </w:r>
            <w:r>
              <w:rPr>
                <w:rFonts w:hint="eastAsia" w:ascii="宋体" w:hAnsi="宋体" w:eastAsia="宋体" w:cs="宋体"/>
                <w:b/>
                <w:bCs/>
                <w:color w:val="auto"/>
                <w:sz w:val="21"/>
                <w:szCs w:val="21"/>
                <w:highlight w:val="none"/>
              </w:rPr>
              <w:t>大写：                               小写：          元</w:t>
            </w:r>
          </w:p>
        </w:tc>
      </w:tr>
    </w:tbl>
    <w:p>
      <w:pPr>
        <w:pageBreakBefore w:val="0"/>
        <w:kinsoku/>
        <w:wordWrap/>
        <w:topLinePunct w:val="0"/>
        <w:bidi w:val="0"/>
        <w:spacing w:line="480" w:lineRule="exact"/>
        <w:ind w:firstLine="422" w:firstLineChars="200"/>
        <w:textAlignment w:val="auto"/>
        <w:rPr>
          <w:rFonts w:hint="eastAsia" w:ascii="宋体" w:hAnsi="宋体" w:eastAsia="宋体" w:cs="宋体"/>
          <w:b/>
          <w:bCs/>
          <w:color w:val="auto"/>
          <w:sz w:val="21"/>
          <w:szCs w:val="21"/>
          <w:highlight w:val="none"/>
        </w:rPr>
      </w:pPr>
    </w:p>
    <w:p>
      <w:pPr>
        <w:pageBreakBefore w:val="0"/>
        <w:kinsoku/>
        <w:wordWrap/>
        <w:topLinePunct w:val="0"/>
        <w:bidi w:val="0"/>
        <w:spacing w:line="480" w:lineRule="exact"/>
        <w:ind w:firstLine="422" w:firstLineChars="200"/>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三、项目技术要求</w:t>
      </w:r>
    </w:p>
    <w:p>
      <w:pPr>
        <w:pStyle w:val="17"/>
        <w:pageBreakBefore w:val="0"/>
        <w:kinsoku/>
        <w:wordWrap/>
        <w:topLinePunct w:val="0"/>
        <w:bidi w:val="0"/>
        <w:spacing w:line="480" w:lineRule="exact"/>
        <w:ind w:firstLine="422" w:firstLineChars="200"/>
        <w:textAlignment w:val="auto"/>
        <w:rPr>
          <w:rFonts w:hint="eastAsia" w:ascii="宋体" w:hAnsi="宋体" w:eastAsia="宋体" w:cs="宋体"/>
          <w:color w:val="auto"/>
          <w:sz w:val="21"/>
          <w:szCs w:val="21"/>
          <w:highlight w:val="none"/>
        </w:rPr>
      </w:pPr>
      <w:r>
        <w:rPr>
          <w:rFonts w:hint="eastAsia" w:ascii="宋体" w:hAnsi="宋体" w:eastAsia="宋体" w:cs="宋体"/>
          <w:b/>
          <w:bCs/>
          <w:color w:val="auto"/>
          <w:sz w:val="21"/>
          <w:szCs w:val="21"/>
          <w:highlight w:val="none"/>
        </w:rPr>
        <w:t>以招标文件要求为准。</w:t>
      </w:r>
    </w:p>
    <w:p>
      <w:pPr>
        <w:pageBreakBefore w:val="0"/>
        <w:kinsoku/>
        <w:wordWrap/>
        <w:topLinePunct w:val="0"/>
        <w:bidi w:val="0"/>
        <w:spacing w:line="480" w:lineRule="exact"/>
        <w:ind w:firstLine="422" w:firstLineChars="200"/>
        <w:textAlignment w:val="auto"/>
        <w:rPr>
          <w:rFonts w:hint="eastAsia" w:ascii="宋体" w:hAnsi="宋体" w:eastAsia="宋体" w:cs="宋体"/>
          <w:color w:val="auto"/>
          <w:sz w:val="21"/>
          <w:szCs w:val="21"/>
          <w:highlight w:val="none"/>
          <w:shd w:val="clear" w:color="auto" w:fill="auto"/>
          <w:lang w:eastAsia="zh-CN"/>
        </w:rPr>
      </w:pPr>
      <w:r>
        <w:rPr>
          <w:rFonts w:hint="eastAsia" w:ascii="宋体" w:hAnsi="宋体" w:eastAsia="宋体" w:cs="宋体"/>
          <w:b/>
          <w:color w:val="auto"/>
          <w:sz w:val="21"/>
          <w:szCs w:val="21"/>
          <w:highlight w:val="none"/>
        </w:rPr>
        <w:t>四、承包期</w:t>
      </w:r>
      <w:r>
        <w:rPr>
          <w:rFonts w:hint="eastAsia" w:ascii="宋体" w:hAnsi="宋体" w:eastAsia="宋体" w:cs="宋体"/>
          <w:b/>
          <w:color w:val="auto"/>
          <w:sz w:val="21"/>
          <w:szCs w:val="21"/>
          <w:highlight w:val="none"/>
          <w:shd w:val="clear" w:color="auto" w:fill="auto"/>
        </w:rPr>
        <w:t>限：</w:t>
      </w:r>
      <w:r>
        <w:rPr>
          <w:rFonts w:hint="eastAsia" w:ascii="宋体" w:hAnsi="宋体" w:eastAsia="宋体" w:cs="宋体"/>
          <w:b/>
          <w:color w:val="auto"/>
          <w:sz w:val="21"/>
          <w:szCs w:val="21"/>
          <w:highlight w:val="none"/>
          <w:shd w:val="clear" w:color="auto" w:fill="auto"/>
          <w:lang w:val="en-US" w:eastAsia="zh-CN"/>
        </w:rPr>
        <w:t xml:space="preserve"> </w:t>
      </w:r>
      <w:r>
        <w:rPr>
          <w:rFonts w:hint="eastAsia" w:ascii="宋体" w:hAnsi="宋体" w:eastAsia="宋体" w:cs="宋体"/>
          <w:b/>
          <w:color w:val="auto"/>
          <w:sz w:val="21"/>
          <w:szCs w:val="21"/>
          <w:highlight w:val="none"/>
          <w:shd w:val="clear" w:color="auto" w:fill="auto"/>
        </w:rPr>
        <w:t>年：</w:t>
      </w:r>
      <w:r>
        <w:rPr>
          <w:rFonts w:hint="eastAsia" w:ascii="宋体" w:hAnsi="宋体" w:eastAsia="宋体" w:cs="宋体"/>
          <w:b/>
          <w:color w:val="auto"/>
          <w:sz w:val="21"/>
          <w:szCs w:val="21"/>
          <w:highlight w:val="none"/>
          <w:u w:val="single"/>
          <w:shd w:val="clear" w:color="auto" w:fill="auto"/>
        </w:rPr>
        <w:t xml:space="preserve">     </w:t>
      </w:r>
      <w:r>
        <w:rPr>
          <w:rFonts w:hint="eastAsia" w:ascii="宋体" w:hAnsi="宋体" w:eastAsia="宋体" w:cs="宋体"/>
          <w:b/>
          <w:color w:val="auto"/>
          <w:sz w:val="21"/>
          <w:szCs w:val="21"/>
          <w:highlight w:val="none"/>
          <w:shd w:val="clear" w:color="auto" w:fill="auto"/>
        </w:rPr>
        <w:t>年</w:t>
      </w:r>
      <w:r>
        <w:rPr>
          <w:rFonts w:hint="eastAsia" w:ascii="宋体" w:hAnsi="宋体" w:eastAsia="宋体" w:cs="宋体"/>
          <w:b/>
          <w:color w:val="auto"/>
          <w:sz w:val="21"/>
          <w:szCs w:val="21"/>
          <w:highlight w:val="none"/>
          <w:u w:val="single"/>
          <w:shd w:val="clear" w:color="auto" w:fill="auto"/>
        </w:rPr>
        <w:t xml:space="preserve">   </w:t>
      </w:r>
      <w:r>
        <w:rPr>
          <w:rFonts w:hint="eastAsia" w:ascii="宋体" w:hAnsi="宋体" w:eastAsia="宋体" w:cs="宋体"/>
          <w:b/>
          <w:color w:val="auto"/>
          <w:sz w:val="21"/>
          <w:szCs w:val="21"/>
          <w:highlight w:val="none"/>
          <w:shd w:val="clear" w:color="auto" w:fill="auto"/>
        </w:rPr>
        <w:t>月</w:t>
      </w:r>
      <w:r>
        <w:rPr>
          <w:rFonts w:hint="eastAsia" w:ascii="宋体" w:hAnsi="宋体" w:eastAsia="宋体" w:cs="宋体"/>
          <w:b/>
          <w:color w:val="auto"/>
          <w:sz w:val="21"/>
          <w:szCs w:val="21"/>
          <w:highlight w:val="none"/>
          <w:u w:val="single"/>
          <w:shd w:val="clear" w:color="auto" w:fill="auto"/>
        </w:rPr>
        <w:t xml:space="preserve">   </w:t>
      </w:r>
      <w:r>
        <w:rPr>
          <w:rFonts w:hint="eastAsia" w:ascii="宋体" w:hAnsi="宋体" w:eastAsia="宋体" w:cs="宋体"/>
          <w:b/>
          <w:color w:val="auto"/>
          <w:sz w:val="21"/>
          <w:szCs w:val="21"/>
          <w:highlight w:val="none"/>
          <w:shd w:val="clear" w:color="auto" w:fill="auto"/>
        </w:rPr>
        <w:t>日至</w:t>
      </w:r>
      <w:r>
        <w:rPr>
          <w:rFonts w:hint="eastAsia" w:ascii="宋体" w:hAnsi="宋体" w:eastAsia="宋体" w:cs="宋体"/>
          <w:b/>
          <w:color w:val="auto"/>
          <w:sz w:val="21"/>
          <w:szCs w:val="21"/>
          <w:highlight w:val="none"/>
          <w:u w:val="single"/>
          <w:shd w:val="clear" w:color="auto" w:fill="auto"/>
        </w:rPr>
        <w:t xml:space="preserve">     </w:t>
      </w:r>
      <w:r>
        <w:rPr>
          <w:rFonts w:hint="eastAsia" w:ascii="宋体" w:hAnsi="宋体" w:eastAsia="宋体" w:cs="宋体"/>
          <w:b/>
          <w:color w:val="auto"/>
          <w:sz w:val="21"/>
          <w:szCs w:val="21"/>
          <w:highlight w:val="none"/>
          <w:shd w:val="clear" w:color="auto" w:fill="auto"/>
        </w:rPr>
        <w:t>年</w:t>
      </w:r>
      <w:r>
        <w:rPr>
          <w:rFonts w:hint="eastAsia" w:ascii="宋体" w:hAnsi="宋体" w:eastAsia="宋体" w:cs="宋体"/>
          <w:b/>
          <w:color w:val="auto"/>
          <w:sz w:val="21"/>
          <w:szCs w:val="21"/>
          <w:highlight w:val="none"/>
          <w:u w:val="single"/>
          <w:shd w:val="clear" w:color="auto" w:fill="auto"/>
        </w:rPr>
        <w:t xml:space="preserve">   </w:t>
      </w:r>
      <w:r>
        <w:rPr>
          <w:rFonts w:hint="eastAsia" w:ascii="宋体" w:hAnsi="宋体" w:eastAsia="宋体" w:cs="宋体"/>
          <w:b/>
          <w:color w:val="auto"/>
          <w:sz w:val="21"/>
          <w:szCs w:val="21"/>
          <w:highlight w:val="none"/>
          <w:shd w:val="clear" w:color="auto" w:fill="auto"/>
        </w:rPr>
        <w:t>月</w:t>
      </w:r>
      <w:r>
        <w:rPr>
          <w:rFonts w:hint="eastAsia" w:ascii="宋体" w:hAnsi="宋体" w:eastAsia="宋体" w:cs="宋体"/>
          <w:b/>
          <w:color w:val="auto"/>
          <w:sz w:val="21"/>
          <w:szCs w:val="21"/>
          <w:highlight w:val="none"/>
          <w:u w:val="single"/>
          <w:shd w:val="clear" w:color="auto" w:fill="auto"/>
        </w:rPr>
        <w:t xml:space="preserve">   </w:t>
      </w:r>
      <w:r>
        <w:rPr>
          <w:rFonts w:hint="eastAsia" w:ascii="宋体" w:hAnsi="宋体" w:eastAsia="宋体" w:cs="宋体"/>
          <w:b/>
          <w:color w:val="auto"/>
          <w:sz w:val="21"/>
          <w:szCs w:val="21"/>
          <w:highlight w:val="none"/>
          <w:shd w:val="clear" w:color="auto" w:fill="auto"/>
        </w:rPr>
        <w:t>日。</w:t>
      </w:r>
      <w:r>
        <w:rPr>
          <w:rFonts w:hint="eastAsia" w:ascii="宋体" w:hAnsi="宋体" w:eastAsia="宋体" w:cs="宋体"/>
          <w:b/>
          <w:color w:val="auto"/>
          <w:sz w:val="21"/>
          <w:szCs w:val="21"/>
          <w:highlight w:val="none"/>
          <w:shd w:val="clear" w:color="auto" w:fill="auto"/>
          <w:lang w:eastAsia="zh-CN"/>
        </w:rPr>
        <w:t>（承包期</w:t>
      </w:r>
      <w:r>
        <w:rPr>
          <w:rFonts w:hint="eastAsia" w:ascii="宋体" w:hAnsi="宋体" w:eastAsia="宋体" w:cs="宋体"/>
          <w:b/>
          <w:color w:val="auto"/>
          <w:sz w:val="21"/>
          <w:szCs w:val="21"/>
          <w:highlight w:val="none"/>
          <w:shd w:val="clear" w:color="auto" w:fill="auto"/>
          <w:lang w:val="en-US" w:eastAsia="zh-CN"/>
        </w:rPr>
        <w:t>2年，合同一年一签，经考核合格可续签</w:t>
      </w:r>
      <w:r>
        <w:rPr>
          <w:rFonts w:hint="eastAsia" w:ascii="宋体" w:hAnsi="宋体" w:eastAsia="宋体" w:cs="宋体"/>
          <w:b/>
          <w:color w:val="auto"/>
          <w:sz w:val="21"/>
          <w:szCs w:val="21"/>
          <w:highlight w:val="none"/>
          <w:shd w:val="clear" w:color="auto" w:fill="auto"/>
          <w:lang w:eastAsia="zh-CN"/>
        </w:rPr>
        <w:t>）</w:t>
      </w:r>
    </w:p>
    <w:p>
      <w:pPr>
        <w:pageBreakBefore w:val="0"/>
        <w:kinsoku/>
        <w:wordWrap/>
        <w:topLinePunct w:val="0"/>
        <w:bidi w:val="0"/>
        <w:spacing w:line="480" w:lineRule="exact"/>
        <w:ind w:firstLine="422" w:firstLineChars="200"/>
        <w:textAlignment w:val="auto"/>
        <w:rPr>
          <w:rFonts w:hint="eastAsia" w:ascii="宋体" w:hAnsi="宋体" w:eastAsia="宋体" w:cs="宋体"/>
          <w:color w:val="auto"/>
          <w:sz w:val="21"/>
          <w:szCs w:val="21"/>
          <w:highlight w:val="none"/>
        </w:rPr>
      </w:pPr>
      <w:r>
        <w:rPr>
          <w:rFonts w:hint="eastAsia" w:ascii="宋体" w:hAnsi="宋体" w:eastAsia="宋体" w:cs="宋体"/>
          <w:b/>
          <w:bCs/>
          <w:color w:val="auto"/>
          <w:sz w:val="21"/>
          <w:szCs w:val="21"/>
          <w:highlight w:val="none"/>
        </w:rPr>
        <w:t>五、</w:t>
      </w:r>
      <w:r>
        <w:rPr>
          <w:rFonts w:hint="eastAsia" w:ascii="宋体" w:hAnsi="宋体" w:eastAsia="宋体" w:cs="宋体"/>
          <w:b/>
          <w:color w:val="auto"/>
          <w:sz w:val="21"/>
          <w:szCs w:val="21"/>
          <w:highlight w:val="none"/>
        </w:rPr>
        <w:t>承包费用及支付方式</w:t>
      </w:r>
    </w:p>
    <w:p>
      <w:pPr>
        <w:spacing w:line="400" w:lineRule="exact"/>
        <w:ind w:firstLine="420" w:firstLineChars="200"/>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每季度由甲方统计出租率并按季度平均支付物业服务费用(在核对无误后，乙方开具增值税专用发票，甲方在收到发票后的15个工作日内完成付款)。</w:t>
      </w:r>
      <w:r>
        <w:rPr>
          <w:rFonts w:hint="default" w:ascii="宋体" w:hAnsi="宋体" w:eastAsia="宋体" w:cs="宋体"/>
          <w:color w:val="auto"/>
          <w:sz w:val="21"/>
          <w:szCs w:val="21"/>
          <w:highlight w:val="none"/>
          <w:lang w:val="en-US" w:eastAsia="zh-CN"/>
        </w:rPr>
        <w:br w:type="textWrapping"/>
      </w:r>
      <w:r>
        <w:rPr>
          <w:rFonts w:hint="default" w:ascii="宋体" w:hAnsi="宋体" w:eastAsia="宋体" w:cs="宋体"/>
          <w:color w:val="auto"/>
          <w:sz w:val="21"/>
          <w:szCs w:val="21"/>
          <w:highlight w:val="none"/>
          <w:lang w:val="en-US" w:eastAsia="zh-CN"/>
        </w:rPr>
        <w:t>1.当出租率小于等于</w:t>
      </w:r>
      <w:r>
        <w:rPr>
          <w:rFonts w:hint="eastAsia" w:ascii="宋体" w:hAnsi="宋体" w:eastAsia="宋体" w:cs="宋体"/>
          <w:color w:val="auto"/>
          <w:sz w:val="21"/>
          <w:szCs w:val="21"/>
          <w:highlight w:val="none"/>
          <w:lang w:val="en-US" w:eastAsia="zh-CN"/>
        </w:rPr>
        <w:t>3</w:t>
      </w:r>
      <w:r>
        <w:rPr>
          <w:rFonts w:hint="default" w:ascii="宋体" w:hAnsi="宋体" w:eastAsia="宋体" w:cs="宋体"/>
          <w:color w:val="auto"/>
          <w:sz w:val="21"/>
          <w:szCs w:val="21"/>
          <w:highlight w:val="none"/>
          <w:lang w:val="en-US" w:eastAsia="zh-CN"/>
        </w:rPr>
        <w:t>0%时，季度支付金额(含税):</w:t>
      </w:r>
      <w:r>
        <w:rPr>
          <w:rFonts w:hint="eastAsia" w:ascii="宋体" w:hAnsi="宋体" w:eastAsia="宋体" w:cs="宋体"/>
          <w:color w:val="auto"/>
          <w:sz w:val="21"/>
          <w:szCs w:val="21"/>
          <w:highlight w:val="none"/>
          <w:u w:val="single"/>
          <w:lang w:val="en-US" w:eastAsia="zh-CN"/>
        </w:rPr>
        <w:t xml:space="preserve">                                 </w:t>
      </w:r>
      <w:r>
        <w:rPr>
          <w:rFonts w:hint="default"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lang w:val="en-US" w:eastAsia="zh-CN"/>
        </w:rPr>
        <w:t xml:space="preserve">         </w:t>
      </w:r>
      <w:r>
        <w:rPr>
          <w:rFonts w:hint="default" w:ascii="宋体" w:hAnsi="宋体" w:eastAsia="宋体" w:cs="宋体"/>
          <w:color w:val="auto"/>
          <w:sz w:val="21"/>
          <w:szCs w:val="21"/>
          <w:highlight w:val="none"/>
          <w:lang w:val="en-US" w:eastAsia="zh-CN"/>
        </w:rPr>
        <w:t>)。</w:t>
      </w:r>
      <w:r>
        <w:rPr>
          <w:rFonts w:hint="default" w:ascii="宋体" w:hAnsi="宋体" w:eastAsia="宋体" w:cs="宋体"/>
          <w:color w:val="auto"/>
          <w:sz w:val="21"/>
          <w:szCs w:val="21"/>
          <w:highlight w:val="none"/>
          <w:lang w:val="en-US" w:eastAsia="zh-CN"/>
        </w:rPr>
        <w:br w:type="textWrapping"/>
      </w:r>
      <w:r>
        <w:rPr>
          <w:rFonts w:hint="eastAsia" w:ascii="宋体" w:hAnsi="宋体" w:eastAsia="宋体" w:cs="宋体"/>
          <w:color w:val="auto"/>
          <w:sz w:val="21"/>
          <w:szCs w:val="21"/>
          <w:highlight w:val="none"/>
          <w:lang w:val="en-US" w:eastAsia="zh-CN"/>
        </w:rPr>
        <w:t>2</w:t>
      </w:r>
      <w:r>
        <w:rPr>
          <w:rFonts w:hint="default" w:ascii="宋体" w:hAnsi="宋体" w:eastAsia="宋体" w:cs="宋体"/>
          <w:color w:val="auto"/>
          <w:sz w:val="21"/>
          <w:szCs w:val="21"/>
          <w:highlight w:val="none"/>
          <w:lang w:val="en-US" w:eastAsia="zh-CN"/>
        </w:rPr>
        <w:t>.当出租率</w:t>
      </w:r>
      <w:r>
        <w:rPr>
          <w:rFonts w:hint="eastAsia" w:ascii="宋体" w:hAnsi="宋体" w:eastAsia="宋体" w:cs="宋体"/>
          <w:color w:val="auto"/>
          <w:sz w:val="21"/>
          <w:szCs w:val="21"/>
          <w:highlight w:val="none"/>
          <w:lang w:val="en-US" w:eastAsia="zh-CN"/>
        </w:rPr>
        <w:t>大于30%</w:t>
      </w:r>
      <w:r>
        <w:rPr>
          <w:rFonts w:hint="default" w:ascii="宋体" w:hAnsi="宋体" w:eastAsia="宋体" w:cs="宋体"/>
          <w:color w:val="auto"/>
          <w:sz w:val="21"/>
          <w:szCs w:val="21"/>
          <w:highlight w:val="none"/>
          <w:lang w:val="en-US" w:eastAsia="zh-CN"/>
        </w:rPr>
        <w:t>小于</w:t>
      </w:r>
      <w:r>
        <w:rPr>
          <w:rFonts w:hint="eastAsia" w:ascii="宋体" w:hAnsi="宋体" w:eastAsia="宋体" w:cs="宋体"/>
          <w:color w:val="auto"/>
          <w:sz w:val="21"/>
          <w:szCs w:val="21"/>
          <w:highlight w:val="none"/>
          <w:lang w:val="en-US" w:eastAsia="zh-CN"/>
        </w:rPr>
        <w:t>等于</w:t>
      </w:r>
      <w:r>
        <w:rPr>
          <w:rFonts w:hint="default" w:ascii="宋体" w:hAnsi="宋体" w:eastAsia="宋体" w:cs="宋体"/>
          <w:color w:val="auto"/>
          <w:sz w:val="21"/>
          <w:szCs w:val="21"/>
          <w:highlight w:val="none"/>
          <w:lang w:val="en-US" w:eastAsia="zh-CN"/>
        </w:rPr>
        <w:t>70%时，季度支付金额(含税):</w:t>
      </w:r>
      <w:r>
        <w:rPr>
          <w:rFonts w:hint="eastAsia" w:ascii="宋体" w:hAnsi="宋体" w:eastAsia="宋体" w:cs="宋体"/>
          <w:color w:val="auto"/>
          <w:sz w:val="21"/>
          <w:szCs w:val="21"/>
          <w:highlight w:val="none"/>
          <w:u w:val="single"/>
          <w:lang w:val="en-US" w:eastAsia="zh-CN"/>
        </w:rPr>
        <w:t xml:space="preserve">                              </w:t>
      </w:r>
      <w:r>
        <w:rPr>
          <w:rFonts w:hint="default"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lang w:val="en-US" w:eastAsia="zh-CN"/>
        </w:rPr>
        <w:t xml:space="preserve">         </w:t>
      </w:r>
      <w:r>
        <w:rPr>
          <w:rFonts w:hint="default" w:ascii="宋体" w:hAnsi="宋体" w:eastAsia="宋体" w:cs="宋体"/>
          <w:color w:val="auto"/>
          <w:sz w:val="21"/>
          <w:szCs w:val="21"/>
          <w:highlight w:val="none"/>
          <w:lang w:val="en-US" w:eastAsia="zh-CN"/>
        </w:rPr>
        <w:t>)。</w:t>
      </w:r>
    </w:p>
    <w:p>
      <w:pPr>
        <w:spacing w:line="40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3.</w:t>
      </w:r>
      <w:r>
        <w:rPr>
          <w:rFonts w:hint="default" w:ascii="宋体" w:hAnsi="宋体" w:eastAsia="宋体" w:cs="宋体"/>
          <w:color w:val="auto"/>
          <w:sz w:val="21"/>
          <w:szCs w:val="21"/>
          <w:highlight w:val="none"/>
          <w:lang w:val="en-US" w:eastAsia="zh-CN"/>
        </w:rPr>
        <w:t>当出租率</w:t>
      </w:r>
      <w:r>
        <w:rPr>
          <w:rFonts w:hint="eastAsia" w:ascii="宋体" w:hAnsi="宋体" w:eastAsia="宋体" w:cs="宋体"/>
          <w:color w:val="auto"/>
          <w:sz w:val="21"/>
          <w:szCs w:val="21"/>
          <w:highlight w:val="none"/>
          <w:lang w:val="en-US" w:eastAsia="zh-CN"/>
        </w:rPr>
        <w:t>大</w:t>
      </w:r>
      <w:r>
        <w:rPr>
          <w:rFonts w:hint="default" w:ascii="宋体" w:hAnsi="宋体" w:eastAsia="宋体" w:cs="宋体"/>
          <w:color w:val="auto"/>
          <w:sz w:val="21"/>
          <w:szCs w:val="21"/>
          <w:highlight w:val="none"/>
          <w:lang w:val="en-US" w:eastAsia="zh-CN"/>
        </w:rPr>
        <w:t>于70%时，季度支付金额(含税):</w:t>
      </w:r>
      <w:r>
        <w:rPr>
          <w:rFonts w:hint="eastAsia" w:ascii="宋体" w:hAnsi="宋体" w:eastAsia="宋体" w:cs="宋体"/>
          <w:color w:val="auto"/>
          <w:sz w:val="21"/>
          <w:szCs w:val="21"/>
          <w:highlight w:val="none"/>
          <w:u w:val="single"/>
          <w:lang w:val="en-US" w:eastAsia="zh-CN"/>
        </w:rPr>
        <w:t xml:space="preserve">                                 </w:t>
      </w:r>
      <w:r>
        <w:rPr>
          <w:rFonts w:hint="default"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lang w:val="en-US" w:eastAsia="zh-CN"/>
        </w:rPr>
        <w:t xml:space="preserve">         </w:t>
      </w:r>
      <w:r>
        <w:rPr>
          <w:rFonts w:hint="default" w:ascii="宋体" w:hAnsi="宋体" w:eastAsia="宋体" w:cs="宋体"/>
          <w:color w:val="auto"/>
          <w:sz w:val="21"/>
          <w:szCs w:val="21"/>
          <w:highlight w:val="none"/>
          <w:lang w:val="en-US" w:eastAsia="zh-CN"/>
        </w:rPr>
        <w:t>)。</w:t>
      </w:r>
    </w:p>
    <w:p>
      <w:pPr>
        <w:pageBreakBefore w:val="0"/>
        <w:widowControl/>
        <w:kinsoku/>
        <w:wordWrap/>
        <w:topLinePunct w:val="0"/>
        <w:bidi w:val="0"/>
        <w:snapToGrid w:val="0"/>
        <w:spacing w:line="480" w:lineRule="exact"/>
        <w:ind w:firstLine="480"/>
        <w:jc w:val="left"/>
        <w:textAlignment w:val="auto"/>
        <w:rPr>
          <w:rFonts w:hint="eastAsia" w:ascii="宋体" w:hAnsi="宋体" w:eastAsia="宋体" w:cs="宋体"/>
          <w:color w:val="auto"/>
          <w:sz w:val="21"/>
          <w:szCs w:val="21"/>
          <w:highlight w:val="none"/>
        </w:rPr>
      </w:pPr>
      <w:r>
        <w:rPr>
          <w:rFonts w:hint="eastAsia" w:ascii="宋体" w:hAnsi="宋体" w:eastAsia="宋体" w:cs="宋体"/>
          <w:b/>
          <w:color w:val="auto"/>
          <w:kern w:val="0"/>
          <w:sz w:val="21"/>
          <w:szCs w:val="21"/>
          <w:highlight w:val="none"/>
        </w:rPr>
        <w:t>六、转包或分包</w:t>
      </w:r>
    </w:p>
    <w:p>
      <w:pPr>
        <w:pageBreakBefore w:val="0"/>
        <w:widowControl/>
        <w:kinsoku/>
        <w:wordWrap/>
        <w:topLinePunct w:val="0"/>
        <w:bidi w:val="0"/>
        <w:spacing w:line="480" w:lineRule="exact"/>
        <w:ind w:firstLine="48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1、未经甲方同意，乙方不得将本合同范围的服务全部或部分分包给他人供应。</w:t>
      </w:r>
    </w:p>
    <w:p>
      <w:pPr>
        <w:pageBreakBefore w:val="0"/>
        <w:widowControl/>
        <w:kinsoku/>
        <w:wordWrap/>
        <w:topLinePunct w:val="0"/>
        <w:bidi w:val="0"/>
        <w:spacing w:line="480" w:lineRule="exact"/>
        <w:ind w:firstLine="48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2、如有擅自转让和分包行为，甲方有权解除合同。</w:t>
      </w:r>
    </w:p>
    <w:p>
      <w:pPr>
        <w:pageBreakBefore w:val="0"/>
        <w:kinsoku/>
        <w:wordWrap/>
        <w:topLinePunct w:val="0"/>
        <w:bidi w:val="0"/>
        <w:spacing w:line="480" w:lineRule="exact"/>
        <w:ind w:firstLine="422" w:firstLineChars="200"/>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七、甲方的权利和义务</w:t>
      </w:r>
    </w:p>
    <w:p>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1、代表和维护产权人、物业使用人的合法权益。</w:t>
      </w:r>
    </w:p>
    <w:p>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2、审核乙方制定的有关管理制度并监督物业使用者遵照执行。</w:t>
      </w:r>
    </w:p>
    <w:p>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3、协助乙方做好有关物业管理的宣传、教育等工作。</w:t>
      </w:r>
    </w:p>
    <w:p>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4、检查、监督乙方管理工作的实施及相关制度的执行情况，针对乙方未达标的情况提出整改要求。</w:t>
      </w:r>
    </w:p>
    <w:p>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5、审检乙方提出的物业管理年度计划、设施设备维修的财务预算和决算。</w:t>
      </w:r>
    </w:p>
    <w:p>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6、审定乙方拟招聘人员的入职资格。</w:t>
      </w:r>
    </w:p>
    <w:p>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7、对乙方人事用工情况进行监督和给予建议，乙方应根据甲方的正当理由更换人员。</w:t>
      </w:r>
    </w:p>
    <w:p>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8、支付乙方物业管理费。</w:t>
      </w:r>
    </w:p>
    <w:p>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9、向乙方提供必要的管理用房（无偿使用，产权归甲方）。</w:t>
      </w:r>
    </w:p>
    <w:p>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10、向乙方提供物业管理必需的图纸、档案和资料。竣工图纸、设备说明书等。</w:t>
      </w:r>
    </w:p>
    <w:p>
      <w:pPr>
        <w:pageBreakBefore w:val="0"/>
        <w:kinsoku/>
        <w:wordWrap/>
        <w:topLinePunct w:val="0"/>
        <w:bidi w:val="0"/>
        <w:spacing w:line="48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11、甲方应保守在开展物业管理服务中知悉的乙方的秘密。</w:t>
      </w:r>
    </w:p>
    <w:p>
      <w:pPr>
        <w:pageBreakBefore w:val="0"/>
        <w:kinsoku/>
        <w:wordWrap/>
        <w:topLinePunct w:val="0"/>
        <w:bidi w:val="0"/>
        <w:spacing w:line="480" w:lineRule="exact"/>
        <w:ind w:firstLine="420" w:firstLineChars="200"/>
        <w:textAlignment w:val="auto"/>
        <w:rPr>
          <w:rFonts w:hint="default" w:ascii="宋体" w:hAnsi="宋体" w:eastAsia="宋体" w:cs="宋体"/>
          <w:color w:val="auto"/>
          <w:sz w:val="21"/>
          <w:szCs w:val="21"/>
          <w:highlight w:val="none"/>
        </w:rPr>
      </w:pPr>
      <w:r>
        <w:rPr>
          <w:rFonts w:hint="default" w:ascii="宋体" w:hAnsi="宋体" w:eastAsia="宋体" w:cs="宋体"/>
          <w:color w:val="auto"/>
          <w:sz w:val="21"/>
          <w:szCs w:val="21"/>
          <w:highlight w:val="none"/>
        </w:rPr>
        <w:t>12、甲方应</w:t>
      </w:r>
      <w:r>
        <w:rPr>
          <w:rFonts w:hint="eastAsia" w:ascii="宋体" w:hAnsi="宋体" w:eastAsia="宋体" w:cs="宋体"/>
          <w:color w:val="auto"/>
          <w:sz w:val="21"/>
          <w:szCs w:val="21"/>
          <w:highlight w:val="none"/>
          <w:lang w:val="en-US" w:eastAsia="zh-CN"/>
        </w:rPr>
        <w:t>为</w:t>
      </w:r>
      <w:r>
        <w:rPr>
          <w:rFonts w:hint="default" w:ascii="宋体" w:hAnsi="宋体" w:eastAsia="宋体" w:cs="宋体"/>
          <w:color w:val="auto"/>
          <w:sz w:val="21"/>
          <w:szCs w:val="21"/>
          <w:highlight w:val="none"/>
          <w:lang w:eastAsia="zh-CN"/>
        </w:rPr>
        <w:t>乙方</w:t>
      </w:r>
      <w:r>
        <w:rPr>
          <w:rFonts w:hint="eastAsia" w:ascii="宋体" w:hAnsi="宋体" w:eastAsia="宋体" w:cs="宋体"/>
          <w:color w:val="auto"/>
          <w:sz w:val="21"/>
          <w:szCs w:val="21"/>
          <w:highlight w:val="none"/>
          <w:lang w:val="en-US" w:eastAsia="zh-CN"/>
        </w:rPr>
        <w:t>免费提供值班宿舍，水电等费用由</w:t>
      </w:r>
      <w:r>
        <w:rPr>
          <w:rFonts w:hint="default" w:ascii="宋体" w:hAnsi="宋体" w:eastAsia="宋体" w:cs="宋体"/>
          <w:color w:val="auto"/>
          <w:sz w:val="21"/>
          <w:szCs w:val="21"/>
          <w:highlight w:val="none"/>
          <w:lang w:eastAsia="zh-CN"/>
        </w:rPr>
        <w:t>乙方</w:t>
      </w:r>
      <w:r>
        <w:rPr>
          <w:rFonts w:hint="eastAsia" w:ascii="宋体" w:hAnsi="宋体" w:eastAsia="宋体" w:cs="宋体"/>
          <w:color w:val="auto"/>
          <w:sz w:val="21"/>
          <w:szCs w:val="21"/>
          <w:highlight w:val="none"/>
          <w:lang w:val="en-US" w:eastAsia="zh-CN"/>
        </w:rPr>
        <w:t>承担</w:t>
      </w:r>
      <w:r>
        <w:rPr>
          <w:rFonts w:hint="default" w:ascii="宋体" w:hAnsi="宋体" w:eastAsia="宋体" w:cs="宋体"/>
          <w:color w:val="auto"/>
          <w:sz w:val="21"/>
          <w:szCs w:val="21"/>
          <w:highlight w:val="none"/>
          <w:lang w:eastAsia="zh-CN"/>
        </w:rPr>
        <w:t>。</w:t>
      </w:r>
    </w:p>
    <w:p>
      <w:pPr>
        <w:pStyle w:val="2"/>
        <w:pageBreakBefore w:val="0"/>
        <w:kinsoku/>
        <w:wordWrap/>
        <w:topLinePunct w:val="0"/>
        <w:bidi w:val="0"/>
        <w:spacing w:line="480" w:lineRule="exact"/>
        <w:ind w:firstLine="420" w:firstLineChars="200"/>
        <w:jc w:val="left"/>
        <w:textAlignment w:val="auto"/>
        <w:rPr>
          <w:rFonts w:hint="eastAsia" w:ascii="宋体" w:hAnsi="宋体" w:eastAsia="宋体" w:cs="宋体"/>
          <w:b w:val="0"/>
          <w:color w:val="auto"/>
          <w:kern w:val="2"/>
          <w:sz w:val="21"/>
          <w:szCs w:val="21"/>
          <w:highlight w:val="none"/>
          <w:lang w:val="en-US"/>
        </w:rPr>
      </w:pPr>
    </w:p>
    <w:p>
      <w:pPr>
        <w:pageBreakBefore w:val="0"/>
        <w:kinsoku/>
        <w:wordWrap/>
        <w:topLinePunct w:val="0"/>
        <w:bidi w:val="0"/>
        <w:spacing w:line="480" w:lineRule="exact"/>
        <w:ind w:firstLine="422" w:firstLineChars="200"/>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八、乙方的权利和义务</w:t>
      </w:r>
    </w:p>
    <w:p>
      <w:pPr>
        <w:spacing w:line="4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1、严格执行甲方</w:t>
      </w:r>
      <w:r>
        <w:rPr>
          <w:rFonts w:hint="eastAsia" w:ascii="宋体" w:hAnsi="宋体" w:eastAsia="宋体" w:cs="宋体"/>
          <w:color w:val="auto"/>
          <w:sz w:val="21"/>
          <w:szCs w:val="21"/>
          <w:highlight w:val="none"/>
          <w:lang w:eastAsia="zh-CN"/>
        </w:rPr>
        <w:t>制定</w:t>
      </w:r>
      <w:r>
        <w:rPr>
          <w:rFonts w:hint="eastAsia" w:ascii="宋体" w:hAnsi="宋体" w:eastAsia="宋体" w:cs="宋体"/>
          <w:color w:val="auto"/>
          <w:sz w:val="21"/>
          <w:szCs w:val="21"/>
          <w:highlight w:val="none"/>
        </w:rPr>
        <w:t xml:space="preserve">的各项物业服务标准及程序，确保承包区内各项设施设备的保洁保养质量。  </w:t>
      </w:r>
    </w:p>
    <w:p>
      <w:pPr>
        <w:spacing w:line="4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2、严格遵守甲方的各项规章制度，严重违规违纪人员甲方有权建议辞退、解聘。</w:t>
      </w:r>
    </w:p>
    <w:p>
      <w:pPr>
        <w:tabs>
          <w:tab w:val="left" w:pos="720"/>
        </w:tabs>
        <w:spacing w:line="4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3、乙方须按保洁项目，制订保洁和保养计划，并制订科学的操作流程，严格执行。</w:t>
      </w:r>
    </w:p>
    <w:p>
      <w:pPr>
        <w:tabs>
          <w:tab w:val="left" w:pos="720"/>
        </w:tabs>
        <w:spacing w:line="4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乙方应建立内部监督考核机制，并不断地进行完善，定期对内部日常服务情况进行考核，层层落实，确保各服务项目符合标准，如因监督管理不善，导致服务质量不符合标准的，甲方将对其进行考核，乙方不得将考核扣分简单地分解给员工，以免引起一些不良的后果。</w:t>
      </w:r>
    </w:p>
    <w:p>
      <w:pPr>
        <w:tabs>
          <w:tab w:val="left" w:pos="720"/>
        </w:tabs>
        <w:spacing w:line="4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5、乙方的管理人员和服务人员，由乙方聘用和管理，劳动用工制度由乙方自行制定，但必须符合劳动法的有关规定，同时送甲方备案。 </w:t>
      </w:r>
    </w:p>
    <w:p>
      <w:pPr>
        <w:spacing w:line="4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6、乙方新进员工必须接受三级教育培训，须按甲方的要求及时参加消防安全演练、培训等活动，安全培训合格后，方可上岗。</w:t>
      </w:r>
    </w:p>
    <w:p>
      <w:pPr>
        <w:spacing w:line="4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7、乙方应配合做好禁烟工作，不得挪用消防设施。</w:t>
      </w:r>
    </w:p>
    <w:p>
      <w:pPr>
        <w:tabs>
          <w:tab w:val="left" w:pos="720"/>
        </w:tabs>
        <w:spacing w:line="4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8、加强员工队伍建设，统一着装，树立良好的形象。</w:t>
      </w:r>
    </w:p>
    <w:p>
      <w:pPr>
        <w:spacing w:line="4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9、乙方工作人员因违规操作损坏甲方财产设施的，乙方应照价赔偿。</w:t>
      </w:r>
    </w:p>
    <w:p>
      <w:pPr>
        <w:spacing w:line="4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10、乙方区域内发生的拾金不昧等好人好事，由乙方负责奖励。</w:t>
      </w:r>
    </w:p>
    <w:p>
      <w:pPr>
        <w:spacing w:line="400" w:lineRule="exact"/>
        <w:ind w:firstLine="420" w:firstLineChars="200"/>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11、园区内由于乙方监督管理不到位（如不安全施工、货车、叉车、动火未按要求作业等）发生人员伤亡事故，一切后果由乙方全权负责，并在当季度物业考核得分中不高于70分。</w:t>
      </w:r>
    </w:p>
    <w:p>
      <w:pPr>
        <w:tabs>
          <w:tab w:val="left" w:pos="720"/>
        </w:tabs>
        <w:spacing w:line="4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、乙方员工发生的工伤、意外事故、劳资纠纷等一切后果及费用由乙方全权负责，与甲方无关。</w:t>
      </w:r>
    </w:p>
    <w:p>
      <w:pPr>
        <w:spacing w:line="4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、保洁区域内所有保洁工具材料、清洁易耗品由乙方提供，并负责管理。</w:t>
      </w:r>
    </w:p>
    <w:p>
      <w:pPr>
        <w:spacing w:line="4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rPr>
        <w:t>、乙方发现在承包区内的公共设施出现故障，要及时维修。</w:t>
      </w:r>
    </w:p>
    <w:p>
      <w:pPr>
        <w:spacing w:line="4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、乙方日常工作服务时间安排应符合大厦营业时间。</w:t>
      </w:r>
    </w:p>
    <w:p>
      <w:pPr>
        <w:spacing w:line="4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lang w:val="en-US" w:eastAsia="zh-CN"/>
        </w:rPr>
        <w:t>6</w:t>
      </w:r>
      <w:r>
        <w:rPr>
          <w:rFonts w:hint="eastAsia" w:ascii="宋体" w:hAnsi="宋体" w:eastAsia="宋体" w:cs="宋体"/>
          <w:color w:val="auto"/>
          <w:sz w:val="21"/>
          <w:szCs w:val="21"/>
          <w:highlight w:val="none"/>
        </w:rPr>
        <w:t>、乙方在签订物业承包合同的同时，须签订安全生产目标管理责任书，认真落实做好承包区域内的安全工作，该责任书与本合同具有同等的法律效力。</w:t>
      </w:r>
    </w:p>
    <w:p>
      <w:pPr>
        <w:spacing w:line="4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lang w:val="en-US" w:eastAsia="zh-CN"/>
        </w:rPr>
        <w:t>7</w:t>
      </w:r>
      <w:r>
        <w:rPr>
          <w:rFonts w:hint="eastAsia" w:ascii="宋体" w:hAnsi="宋体" w:eastAsia="宋体" w:cs="宋体"/>
          <w:color w:val="auto"/>
          <w:sz w:val="21"/>
          <w:szCs w:val="21"/>
          <w:highlight w:val="none"/>
        </w:rPr>
        <w:t>、由于乙方原因造成消防、电气、漏水等事故，根据国家有关职能部门鉴定结果由乙方承担相应法律与经济责任。</w:t>
      </w:r>
    </w:p>
    <w:p>
      <w:pPr>
        <w:spacing w:line="4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lang w:val="en-US" w:eastAsia="zh-CN"/>
        </w:rPr>
        <w:t>8</w:t>
      </w:r>
      <w:r>
        <w:rPr>
          <w:rFonts w:hint="eastAsia" w:ascii="宋体" w:hAnsi="宋体" w:eastAsia="宋体" w:cs="宋体"/>
          <w:color w:val="auto"/>
          <w:sz w:val="21"/>
          <w:szCs w:val="21"/>
          <w:highlight w:val="none"/>
        </w:rPr>
        <w:t>、乙方保洁工作人员应做好承包区域内防盗、防火工作，同时应认真履行义务安全监督员的职责。</w:t>
      </w:r>
    </w:p>
    <w:p>
      <w:pPr>
        <w:spacing w:line="4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lang w:val="en-US" w:eastAsia="zh-CN"/>
        </w:rPr>
        <w:t>9</w:t>
      </w:r>
      <w:r>
        <w:rPr>
          <w:rFonts w:hint="eastAsia" w:ascii="宋体" w:hAnsi="宋体" w:eastAsia="宋体" w:cs="宋体"/>
          <w:color w:val="auto"/>
          <w:sz w:val="21"/>
          <w:szCs w:val="21"/>
          <w:highlight w:val="none"/>
        </w:rPr>
        <w:t>、乙方员工应节约用水、用电，杜绝浪费。物业用房水电费、水电费公摊由乙方承担。</w:t>
      </w:r>
    </w:p>
    <w:p>
      <w:pPr>
        <w:spacing w:line="4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20</w:t>
      </w:r>
      <w:r>
        <w:rPr>
          <w:rFonts w:hint="eastAsia" w:ascii="宋体" w:hAnsi="宋体" w:eastAsia="宋体" w:cs="宋体"/>
          <w:color w:val="auto"/>
          <w:sz w:val="21"/>
          <w:szCs w:val="21"/>
          <w:highlight w:val="none"/>
        </w:rPr>
        <w:t>、乙方有义务配合甲方做好创建、文明卫生宣传等工作。</w:t>
      </w:r>
    </w:p>
    <w:p>
      <w:pPr>
        <w:spacing w:line="4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21</w:t>
      </w:r>
      <w:r>
        <w:rPr>
          <w:rFonts w:hint="eastAsia" w:ascii="宋体" w:hAnsi="宋体" w:eastAsia="宋体" w:cs="宋体"/>
          <w:color w:val="auto"/>
          <w:sz w:val="21"/>
          <w:szCs w:val="21"/>
          <w:highlight w:val="none"/>
        </w:rPr>
        <w:t>、乙方员工拾捡的所有废品，须统一管理，不得乱堆乱放，不得存放过夜，造成安全事故一切后果由乙方承担。</w:t>
      </w:r>
    </w:p>
    <w:p>
      <w:pPr>
        <w:spacing w:line="4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、因地面清洁不及时或湿滑等原因导致人员摔伤，后果由乙方承担。</w:t>
      </w:r>
    </w:p>
    <w:p>
      <w:pPr>
        <w:spacing w:line="400" w:lineRule="exact"/>
        <w:ind w:firstLine="420" w:firstLineChars="200"/>
        <w:rPr>
          <w:rFonts w:hint="eastAsia" w:ascii="宋体" w:hAnsi="宋体" w:eastAsia="宋体" w:cs="宋体"/>
          <w:bCs/>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w:t>
      </w:r>
      <w:r>
        <w:rPr>
          <w:rFonts w:hint="eastAsia" w:ascii="宋体" w:hAnsi="宋体" w:eastAsia="宋体" w:cs="宋体"/>
          <w:bCs/>
          <w:color w:val="auto"/>
          <w:sz w:val="21"/>
          <w:szCs w:val="21"/>
          <w:highlight w:val="none"/>
        </w:rPr>
        <w:t>委托乙方对违反物业管理法规政策及管理规约的行为进行处理：包括责令停止违章行为、要求赔偿经济损失及支付违约金、对无故不缴、交有关费用或拒不改正违章行为的责任人采取停水、停电等催缴催改措施；</w:t>
      </w:r>
    </w:p>
    <w:p>
      <w:pPr>
        <w:spacing w:line="400" w:lineRule="exact"/>
        <w:ind w:firstLine="420" w:firstLineChars="20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2</w:t>
      </w:r>
      <w:r>
        <w:rPr>
          <w:rFonts w:hint="eastAsia" w:ascii="宋体" w:hAnsi="宋体" w:eastAsia="宋体" w:cs="宋体"/>
          <w:bCs/>
          <w:color w:val="auto"/>
          <w:sz w:val="21"/>
          <w:szCs w:val="21"/>
          <w:highlight w:val="none"/>
          <w:lang w:val="en-US" w:eastAsia="zh-CN"/>
        </w:rPr>
        <w:t>4</w:t>
      </w:r>
      <w:r>
        <w:rPr>
          <w:rFonts w:hint="eastAsia" w:ascii="宋体" w:hAnsi="宋体" w:eastAsia="宋体" w:cs="宋体"/>
          <w:bCs/>
          <w:color w:val="auto"/>
          <w:sz w:val="21"/>
          <w:szCs w:val="21"/>
          <w:highlight w:val="none"/>
        </w:rPr>
        <w:t>、建立本物业的物业管理档案并负责及时记载有关变更情况；</w:t>
      </w:r>
    </w:p>
    <w:p>
      <w:pPr>
        <w:spacing w:line="400" w:lineRule="exact"/>
        <w:ind w:firstLine="420" w:firstLineChars="20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2</w:t>
      </w:r>
      <w:r>
        <w:rPr>
          <w:rFonts w:hint="eastAsia" w:ascii="宋体" w:hAnsi="宋体" w:eastAsia="宋体" w:cs="宋体"/>
          <w:bCs/>
          <w:color w:val="auto"/>
          <w:sz w:val="21"/>
          <w:szCs w:val="21"/>
          <w:highlight w:val="none"/>
          <w:lang w:val="en-US" w:eastAsia="zh-CN"/>
        </w:rPr>
        <w:t>5</w:t>
      </w:r>
      <w:r>
        <w:rPr>
          <w:rFonts w:hint="eastAsia" w:ascii="宋体" w:hAnsi="宋体" w:eastAsia="宋体" w:cs="宋体"/>
          <w:bCs/>
          <w:color w:val="auto"/>
          <w:sz w:val="21"/>
          <w:szCs w:val="21"/>
          <w:highlight w:val="none"/>
        </w:rPr>
        <w:t>、开展有效的社区文化活动和便民服务工作；</w:t>
      </w:r>
    </w:p>
    <w:p>
      <w:pPr>
        <w:spacing w:line="400" w:lineRule="exact"/>
        <w:ind w:firstLine="420" w:firstLineChars="20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2</w:t>
      </w:r>
      <w:r>
        <w:rPr>
          <w:rFonts w:hint="eastAsia" w:ascii="宋体" w:hAnsi="宋体" w:eastAsia="宋体" w:cs="宋体"/>
          <w:bCs/>
          <w:color w:val="auto"/>
          <w:sz w:val="21"/>
          <w:szCs w:val="21"/>
          <w:highlight w:val="none"/>
          <w:lang w:val="en-US" w:eastAsia="zh-CN"/>
        </w:rPr>
        <w:t>6</w:t>
      </w:r>
      <w:r>
        <w:rPr>
          <w:rFonts w:hint="eastAsia" w:ascii="宋体" w:hAnsi="宋体" w:eastAsia="宋体" w:cs="宋体"/>
          <w:bCs/>
          <w:color w:val="auto"/>
          <w:sz w:val="21"/>
          <w:szCs w:val="21"/>
          <w:highlight w:val="none"/>
        </w:rPr>
        <w:t>、本合同终止时，乙方必须向甲方移交原委托管理的全部物业及其各类管理档案、财务等资料；移交本物业的公共财产，包括停车管理费、充电桩电费、公共收入积累形成的资产等；</w:t>
      </w:r>
    </w:p>
    <w:p>
      <w:pPr>
        <w:spacing w:line="400" w:lineRule="exact"/>
        <w:ind w:firstLine="420" w:firstLineChars="20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2</w:t>
      </w:r>
      <w:r>
        <w:rPr>
          <w:rFonts w:hint="eastAsia" w:ascii="宋体" w:hAnsi="宋体" w:eastAsia="宋体" w:cs="宋体"/>
          <w:bCs/>
          <w:color w:val="auto"/>
          <w:sz w:val="21"/>
          <w:szCs w:val="21"/>
          <w:highlight w:val="none"/>
          <w:lang w:val="en-US" w:eastAsia="zh-CN"/>
        </w:rPr>
        <w:t>7</w:t>
      </w:r>
      <w:r>
        <w:rPr>
          <w:rFonts w:hint="eastAsia" w:ascii="宋体" w:hAnsi="宋体" w:eastAsia="宋体" w:cs="宋体"/>
          <w:bCs/>
          <w:color w:val="auto"/>
          <w:sz w:val="21"/>
          <w:szCs w:val="21"/>
          <w:highlight w:val="none"/>
        </w:rPr>
        <w:t>、不承担对业主及非业主使用人的人身、财产的保管保险义务（另有，专门合同规定除外）。</w:t>
      </w:r>
    </w:p>
    <w:p>
      <w:pPr>
        <w:pageBreakBefore w:val="0"/>
        <w:kinsoku/>
        <w:wordWrap/>
        <w:topLinePunct w:val="0"/>
        <w:bidi w:val="0"/>
        <w:spacing w:line="480" w:lineRule="exact"/>
        <w:ind w:firstLine="420" w:firstLineChars="200"/>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2</w:t>
      </w:r>
      <w:r>
        <w:rPr>
          <w:rFonts w:hint="eastAsia" w:ascii="宋体" w:hAnsi="宋体" w:eastAsia="宋体" w:cs="宋体"/>
          <w:bCs/>
          <w:color w:val="auto"/>
          <w:sz w:val="21"/>
          <w:szCs w:val="21"/>
          <w:highlight w:val="none"/>
          <w:lang w:val="en-US" w:eastAsia="zh-CN"/>
        </w:rPr>
        <w:t>8</w:t>
      </w:r>
      <w:r>
        <w:rPr>
          <w:rFonts w:hint="eastAsia" w:ascii="宋体" w:hAnsi="宋体" w:eastAsia="宋体" w:cs="宋体"/>
          <w:bCs/>
          <w:color w:val="auto"/>
          <w:sz w:val="21"/>
          <w:szCs w:val="21"/>
          <w:highlight w:val="none"/>
        </w:rPr>
        <w:t>、</w:t>
      </w:r>
      <w:r>
        <w:rPr>
          <w:rFonts w:hint="eastAsia" w:ascii="宋体" w:hAnsi="宋体" w:eastAsia="宋体" w:cs="宋体"/>
          <w:color w:val="auto"/>
          <w:szCs w:val="21"/>
          <w:highlight w:val="none"/>
          <w:lang w:val="en-US" w:eastAsia="zh-CN"/>
        </w:rPr>
        <w:t>在符合国企采购相关条款的情况下</w:t>
      </w:r>
      <w:r>
        <w:rPr>
          <w:rFonts w:hint="eastAsia" w:ascii="宋体" w:hAnsi="宋体" w:eastAsia="宋体" w:cs="宋体"/>
          <w:b/>
          <w:bCs/>
          <w:color w:val="auto"/>
          <w:sz w:val="21"/>
          <w:szCs w:val="21"/>
          <w:highlight w:val="none"/>
        </w:rPr>
        <w:t>，</w:t>
      </w:r>
      <w:r>
        <w:rPr>
          <w:rFonts w:hint="eastAsia" w:ascii="宋体" w:hAnsi="宋体" w:eastAsia="宋体" w:cs="宋体"/>
          <w:i w:val="0"/>
          <w:iCs w:val="0"/>
          <w:caps w:val="0"/>
          <w:color w:val="auto"/>
          <w:spacing w:val="0"/>
          <w:sz w:val="21"/>
          <w:szCs w:val="21"/>
          <w:highlight w:val="none"/>
          <w:shd w:val="clear" w:color="auto" w:fill="FFFFFF"/>
        </w:rPr>
        <w:t>在不改变合同其他条款的前提下，</w:t>
      </w:r>
      <w:r>
        <w:rPr>
          <w:rFonts w:hint="eastAsia" w:ascii="宋体" w:hAnsi="宋体" w:eastAsia="宋体" w:cs="宋体"/>
          <w:color w:val="auto"/>
          <w:kern w:val="0"/>
          <w:sz w:val="21"/>
          <w:szCs w:val="21"/>
          <w:highlight w:val="none"/>
          <w:lang w:val="en-US" w:eastAsia="zh-CN"/>
        </w:rPr>
        <w:t>以上工作岗位根据项目现场实际情况如有增减，</w:t>
      </w:r>
      <w:r>
        <w:rPr>
          <w:rFonts w:hint="eastAsia" w:ascii="宋体" w:hAnsi="宋体" w:eastAsia="宋体" w:cs="宋体"/>
          <w:i w:val="0"/>
          <w:iCs w:val="0"/>
          <w:caps w:val="0"/>
          <w:color w:val="auto"/>
          <w:spacing w:val="0"/>
          <w:sz w:val="21"/>
          <w:szCs w:val="21"/>
          <w:highlight w:val="none"/>
          <w:shd w:val="clear" w:color="auto" w:fill="FFFFFF"/>
        </w:rPr>
        <w:t>可以与供应商协商签订补充合同，</w:t>
      </w:r>
      <w:r>
        <w:rPr>
          <w:rFonts w:hint="eastAsia" w:ascii="宋体" w:hAnsi="宋体" w:eastAsia="宋体" w:cs="宋体"/>
          <w:color w:val="auto"/>
          <w:kern w:val="0"/>
          <w:sz w:val="21"/>
          <w:szCs w:val="21"/>
          <w:highlight w:val="none"/>
          <w:lang w:val="en-US" w:eastAsia="zh-CN"/>
        </w:rPr>
        <w:t>按实际进场人数结算</w:t>
      </w:r>
      <w:r>
        <w:rPr>
          <w:rFonts w:hint="eastAsia" w:ascii="宋体" w:hAnsi="宋体" w:eastAsia="宋体" w:cs="宋体"/>
          <w:color w:val="auto"/>
          <w:kern w:val="2"/>
          <w:sz w:val="21"/>
          <w:szCs w:val="21"/>
          <w:highlight w:val="none"/>
          <w:lang w:val="en-US" w:eastAsia="zh-CN" w:bidi="ar-SA"/>
        </w:rPr>
        <w:t>，</w:t>
      </w:r>
      <w:r>
        <w:rPr>
          <w:rFonts w:hint="eastAsia" w:ascii="宋体" w:hAnsi="宋体" w:eastAsia="宋体" w:cs="宋体"/>
          <w:i w:val="0"/>
          <w:iCs w:val="0"/>
          <w:caps w:val="0"/>
          <w:color w:val="auto"/>
          <w:spacing w:val="0"/>
          <w:sz w:val="21"/>
          <w:szCs w:val="21"/>
          <w:highlight w:val="none"/>
          <w:shd w:val="clear" w:color="auto" w:fill="FFFFFF"/>
        </w:rPr>
        <w:t>但所有补充合同的采购金额不得超过原合同采购金额的百分之十</w:t>
      </w:r>
      <w:r>
        <w:rPr>
          <w:rFonts w:hint="eastAsia" w:ascii="宋体" w:hAnsi="宋体" w:eastAsia="宋体" w:cs="宋体"/>
          <w:bCs/>
          <w:color w:val="auto"/>
          <w:sz w:val="21"/>
          <w:szCs w:val="21"/>
          <w:highlight w:val="none"/>
        </w:rPr>
        <w:t>。</w:t>
      </w:r>
    </w:p>
    <w:p>
      <w:pPr>
        <w:pageBreakBefore w:val="0"/>
        <w:kinsoku/>
        <w:wordWrap/>
        <w:topLinePunct w:val="0"/>
        <w:bidi w:val="0"/>
        <w:spacing w:line="480" w:lineRule="exact"/>
        <w:ind w:firstLine="422" w:firstLineChars="200"/>
        <w:textAlignment w:val="auto"/>
        <w:rPr>
          <w:rFonts w:hint="default" w:ascii="宋体" w:hAnsi="宋体" w:eastAsia="宋体" w:cs="宋体"/>
          <w:b/>
          <w:bCs/>
          <w:color w:val="auto"/>
          <w:sz w:val="21"/>
          <w:szCs w:val="21"/>
          <w:highlight w:val="none"/>
        </w:rPr>
      </w:pPr>
      <w:r>
        <w:rPr>
          <w:rFonts w:hint="default" w:ascii="宋体" w:hAnsi="宋体" w:eastAsia="宋体" w:cs="宋体"/>
          <w:b/>
          <w:bCs/>
          <w:color w:val="auto"/>
          <w:sz w:val="21"/>
          <w:szCs w:val="21"/>
          <w:highlight w:val="none"/>
        </w:rPr>
        <w:t>2</w:t>
      </w:r>
      <w:r>
        <w:rPr>
          <w:rFonts w:hint="eastAsia" w:ascii="宋体" w:hAnsi="宋体" w:eastAsia="宋体" w:cs="宋体"/>
          <w:b/>
          <w:bCs/>
          <w:color w:val="auto"/>
          <w:sz w:val="21"/>
          <w:szCs w:val="21"/>
          <w:highlight w:val="none"/>
          <w:lang w:val="en-US" w:eastAsia="zh-CN"/>
        </w:rPr>
        <w:t>9</w:t>
      </w:r>
      <w:r>
        <w:rPr>
          <w:rFonts w:hint="eastAsia" w:ascii="宋体" w:hAnsi="宋体" w:eastAsia="宋体" w:cs="宋体"/>
          <w:b/>
          <w:bCs/>
          <w:color w:val="auto"/>
          <w:sz w:val="21"/>
          <w:szCs w:val="21"/>
          <w:highlight w:val="none"/>
        </w:rPr>
        <w:t>、</w:t>
      </w:r>
      <w:r>
        <w:rPr>
          <w:rFonts w:hint="default" w:ascii="宋体" w:hAnsi="宋体" w:eastAsia="宋体" w:cs="宋体"/>
          <w:b/>
          <w:bCs/>
          <w:color w:val="auto"/>
          <w:sz w:val="21"/>
          <w:szCs w:val="21"/>
          <w:highlight w:val="none"/>
        </w:rPr>
        <w:t>乙方在服务期间需定期如实提供服务人员实际用工成本</w:t>
      </w:r>
      <w:r>
        <w:rPr>
          <w:rFonts w:hint="eastAsia" w:ascii="宋体" w:hAnsi="宋体" w:eastAsia="宋体" w:cs="宋体"/>
          <w:b/>
          <w:bCs/>
          <w:color w:val="auto"/>
          <w:sz w:val="21"/>
          <w:szCs w:val="21"/>
          <w:highlight w:val="none"/>
          <w:lang w:val="en-US" w:eastAsia="zh-CN"/>
        </w:rPr>
        <w:t>表</w:t>
      </w:r>
      <w:r>
        <w:rPr>
          <w:rFonts w:hint="default" w:ascii="宋体" w:hAnsi="宋体" w:eastAsia="宋体" w:cs="宋体"/>
          <w:b/>
          <w:bCs/>
          <w:color w:val="auto"/>
          <w:sz w:val="21"/>
          <w:szCs w:val="21"/>
          <w:highlight w:val="none"/>
        </w:rPr>
        <w:t>及人员劳务合同，数据不得造假；</w:t>
      </w:r>
    </w:p>
    <w:p>
      <w:pPr>
        <w:pageBreakBefore w:val="0"/>
        <w:kinsoku/>
        <w:wordWrap/>
        <w:topLinePunct w:val="0"/>
        <w:bidi w:val="0"/>
        <w:spacing w:line="480" w:lineRule="exact"/>
        <w:ind w:firstLine="422" w:firstLineChars="200"/>
        <w:textAlignment w:val="auto"/>
        <w:rPr>
          <w:rFonts w:hint="default" w:ascii="宋体" w:hAnsi="宋体" w:eastAsia="宋体" w:cs="宋体"/>
          <w:b/>
          <w:bCs/>
          <w:color w:val="auto"/>
          <w:sz w:val="21"/>
          <w:szCs w:val="21"/>
          <w:highlight w:val="none"/>
          <w:lang w:eastAsia="zh-CN"/>
        </w:rPr>
      </w:pPr>
      <w:r>
        <w:rPr>
          <w:rFonts w:hint="eastAsia" w:ascii="宋体" w:hAnsi="宋体" w:eastAsia="宋体" w:cs="宋体"/>
          <w:b/>
          <w:bCs/>
          <w:color w:val="auto"/>
          <w:sz w:val="21"/>
          <w:szCs w:val="21"/>
          <w:highlight w:val="none"/>
          <w:lang w:val="en-US" w:eastAsia="zh-CN"/>
        </w:rPr>
        <w:t>30</w:t>
      </w:r>
      <w:r>
        <w:rPr>
          <w:rFonts w:hint="eastAsia" w:ascii="宋体" w:hAnsi="宋体" w:eastAsia="宋体" w:cs="宋体"/>
          <w:b/>
          <w:bCs/>
          <w:color w:val="auto"/>
          <w:sz w:val="21"/>
          <w:szCs w:val="21"/>
          <w:highlight w:val="none"/>
        </w:rPr>
        <w:t>、</w:t>
      </w:r>
      <w:r>
        <w:rPr>
          <w:rFonts w:hint="default" w:ascii="宋体" w:hAnsi="宋体" w:eastAsia="宋体" w:cs="宋体"/>
          <w:b/>
          <w:bCs/>
          <w:color w:val="auto"/>
          <w:sz w:val="21"/>
          <w:szCs w:val="21"/>
          <w:highlight w:val="none"/>
        </w:rPr>
        <w:t>未经甲方允许，</w:t>
      </w:r>
      <w:r>
        <w:rPr>
          <w:rFonts w:hint="eastAsia" w:ascii="宋体" w:hAnsi="宋体" w:eastAsia="宋体" w:cs="宋体"/>
          <w:b/>
          <w:bCs/>
          <w:color w:val="auto"/>
          <w:sz w:val="21"/>
          <w:szCs w:val="21"/>
          <w:highlight w:val="none"/>
          <w:lang w:val="en-US" w:eastAsia="zh-CN"/>
        </w:rPr>
        <w:t>乙方</w:t>
      </w:r>
      <w:r>
        <w:rPr>
          <w:rFonts w:hint="default" w:ascii="宋体" w:hAnsi="宋体" w:eastAsia="宋体" w:cs="宋体"/>
          <w:b/>
          <w:bCs/>
          <w:color w:val="auto"/>
          <w:sz w:val="21"/>
          <w:szCs w:val="21"/>
          <w:highlight w:val="none"/>
        </w:rPr>
        <w:t>不得擅自更换项目负责人、主管等重要职位。</w:t>
      </w:r>
    </w:p>
    <w:p>
      <w:pPr>
        <w:pageBreakBefore w:val="0"/>
        <w:kinsoku/>
        <w:wordWrap/>
        <w:topLinePunct w:val="0"/>
        <w:bidi w:val="0"/>
        <w:spacing w:line="480" w:lineRule="exact"/>
        <w:ind w:firstLine="422" w:firstLineChars="200"/>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九、违约责任</w:t>
      </w:r>
    </w:p>
    <w:p>
      <w:pPr>
        <w:pageBreakBefore w:val="0"/>
        <w:widowControl/>
        <w:kinsoku/>
        <w:wordWrap/>
        <w:topLinePunct w:val="0"/>
        <w:bidi w:val="0"/>
        <w:snapToGrid w:val="0"/>
        <w:spacing w:line="480" w:lineRule="exact"/>
        <w:ind w:firstLine="48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1、乙方在合同期内，不得单方面终止合同。</w:t>
      </w:r>
    </w:p>
    <w:p>
      <w:pPr>
        <w:pageBreakBefore w:val="0"/>
        <w:kinsoku/>
        <w:wordWrap/>
        <w:topLinePunct w:val="0"/>
        <w:bidi w:val="0"/>
        <w:spacing w:line="48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2、本合同约定应由乙方承担的违约金，甲方有权直接从应付款项中扣除；</w:t>
      </w:r>
    </w:p>
    <w:p>
      <w:pPr>
        <w:pageBreakBefore w:val="0"/>
        <w:widowControl/>
        <w:kinsoku/>
        <w:wordWrap/>
        <w:topLinePunct w:val="0"/>
        <w:bidi w:val="0"/>
        <w:snapToGrid w:val="0"/>
        <w:spacing w:before="120" w:after="120" w:line="480" w:lineRule="exact"/>
        <w:ind w:firstLine="48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、除合同特别约定外，若因乙方存在违约行为，甲方单方面解除合同，乙方应按照本合同总金额</w:t>
      </w:r>
      <w:r>
        <w:rPr>
          <w:rFonts w:hint="eastAsia" w:ascii="宋体" w:hAnsi="宋体" w:eastAsia="宋体" w:cs="宋体"/>
          <w:color w:val="auto"/>
          <w:sz w:val="21"/>
          <w:szCs w:val="21"/>
          <w:highlight w:val="none"/>
          <w:u w:val="single"/>
          <w:lang w:val="en-US" w:eastAsia="zh-CN"/>
        </w:rPr>
        <w:t>20%</w:t>
      </w:r>
      <w:r>
        <w:rPr>
          <w:rFonts w:hint="eastAsia" w:ascii="宋体" w:hAnsi="宋体" w:eastAsia="宋体" w:cs="宋体"/>
          <w:color w:val="auto"/>
          <w:sz w:val="21"/>
          <w:szCs w:val="21"/>
          <w:highlight w:val="none"/>
        </w:rPr>
        <w:t>承担违约责任。</w:t>
      </w:r>
    </w:p>
    <w:p>
      <w:pPr>
        <w:pageBreakBefore w:val="0"/>
        <w:widowControl/>
        <w:kinsoku/>
        <w:wordWrap/>
        <w:topLinePunct w:val="0"/>
        <w:bidi w:val="0"/>
        <w:snapToGrid w:val="0"/>
        <w:spacing w:before="120" w:after="120" w:line="480" w:lineRule="exact"/>
        <w:ind w:firstLine="48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十、不可抗力事件处理</w:t>
      </w:r>
    </w:p>
    <w:p>
      <w:pPr>
        <w:pageBreakBefore w:val="0"/>
        <w:widowControl/>
        <w:kinsoku/>
        <w:wordWrap/>
        <w:topLinePunct w:val="0"/>
        <w:bidi w:val="0"/>
        <w:snapToGrid w:val="0"/>
        <w:spacing w:line="480" w:lineRule="exact"/>
        <w:ind w:firstLine="480"/>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1、在合同有效期内，任何一方因不可抗力事件导致不能履行合同，则合同履行期可延长，其延长期与不可抗力影响期相同。</w:t>
      </w:r>
    </w:p>
    <w:p>
      <w:pPr>
        <w:pageBreakBefore w:val="0"/>
        <w:widowControl/>
        <w:kinsoku/>
        <w:wordWrap/>
        <w:topLinePunct w:val="0"/>
        <w:bidi w:val="0"/>
        <w:snapToGrid w:val="0"/>
        <w:spacing w:line="480" w:lineRule="exact"/>
        <w:ind w:left="479" w:leftChars="228"/>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2、不可抗力事件发生后，应立即通知对方，并寄送有关权威机构出具的说明。</w:t>
      </w:r>
    </w:p>
    <w:p>
      <w:pPr>
        <w:pageBreakBefore w:val="0"/>
        <w:widowControl/>
        <w:kinsoku/>
        <w:wordWrap/>
        <w:topLinePunct w:val="0"/>
        <w:bidi w:val="0"/>
        <w:snapToGrid w:val="0"/>
        <w:spacing w:before="120" w:after="120" w:line="480" w:lineRule="exact"/>
        <w:ind w:firstLine="48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3、不可抗力事件发生，双方应通过友好协商，确定是否继续履行合同。</w:t>
      </w:r>
    </w:p>
    <w:p>
      <w:pPr>
        <w:pageBreakBefore w:val="0"/>
        <w:kinsoku/>
        <w:wordWrap/>
        <w:topLinePunct w:val="0"/>
        <w:bidi w:val="0"/>
        <w:spacing w:line="480" w:lineRule="exact"/>
        <w:ind w:firstLine="422" w:firstLineChars="200"/>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十一、</w:t>
      </w:r>
      <w:r>
        <w:rPr>
          <w:rFonts w:hint="eastAsia" w:ascii="宋体" w:hAnsi="宋体" w:eastAsia="宋体" w:cs="宋体"/>
          <w:b/>
          <w:bCs/>
          <w:color w:val="auto"/>
          <w:sz w:val="21"/>
          <w:szCs w:val="21"/>
          <w:highlight w:val="none"/>
          <w:lang w:eastAsia="zh-CN"/>
        </w:rPr>
        <w:t>其他约定</w:t>
      </w:r>
    </w:p>
    <w:p>
      <w:pPr>
        <w:pageBreakBefore w:val="0"/>
        <w:kinsoku/>
        <w:wordWrap/>
        <w:topLinePunct w:val="0"/>
        <w:bidi w:val="0"/>
        <w:spacing w:line="480" w:lineRule="exact"/>
        <w:ind w:firstLine="420" w:firstLineChars="200"/>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sz w:val="21"/>
          <w:szCs w:val="21"/>
          <w:highlight w:val="none"/>
        </w:rPr>
        <w:t>1、</w:t>
      </w:r>
      <w:r>
        <w:rPr>
          <w:rFonts w:hint="eastAsia" w:ascii="宋体" w:hAnsi="宋体" w:eastAsia="宋体" w:cs="宋体"/>
          <w:color w:val="auto"/>
          <w:kern w:val="0"/>
          <w:sz w:val="21"/>
          <w:szCs w:val="21"/>
          <w:highlight w:val="none"/>
        </w:rPr>
        <w:t>遇不可抗力原因使本合同无法履约，甲、乙双方互不追究责任。</w:t>
      </w:r>
    </w:p>
    <w:p>
      <w:pPr>
        <w:pageBreakBefore w:val="0"/>
        <w:kinsoku/>
        <w:wordWrap/>
        <w:topLinePunct w:val="0"/>
        <w:bidi w:val="0"/>
        <w:spacing w:line="480" w:lineRule="exact"/>
        <w:ind w:firstLine="420" w:firstLineChars="200"/>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rPr>
        <w:t>2</w:t>
      </w:r>
      <w:r>
        <w:rPr>
          <w:rFonts w:hint="eastAsia" w:ascii="宋体" w:hAnsi="宋体" w:eastAsia="宋体" w:cs="宋体"/>
          <w:color w:val="auto"/>
          <w:kern w:val="0"/>
          <w:sz w:val="21"/>
          <w:szCs w:val="21"/>
          <w:highlight w:val="none"/>
        </w:rPr>
        <w:t>、乙方在合同履行过程中，不得无故随意终止合同。</w:t>
      </w:r>
    </w:p>
    <w:p>
      <w:pPr>
        <w:pStyle w:val="17"/>
        <w:numPr>
          <w:ilvl w:val="0"/>
          <w:numId w:val="0"/>
        </w:numPr>
        <w:spacing w:line="400" w:lineRule="exact"/>
        <w:ind w:leftChars="200"/>
        <w:rPr>
          <w:rFonts w:hint="eastAsia" w:ascii="宋体" w:hAnsi="宋体" w:eastAsia="宋体" w:cs="宋体"/>
          <w:b/>
          <w:color w:val="auto"/>
          <w:sz w:val="21"/>
          <w:szCs w:val="21"/>
          <w:highlight w:val="none"/>
        </w:rPr>
      </w:pPr>
      <w:r>
        <w:rPr>
          <w:rFonts w:hint="eastAsia" w:ascii="宋体" w:hAnsi="宋体" w:eastAsia="宋体" w:cs="宋体"/>
          <w:color w:val="auto"/>
          <w:kern w:val="0"/>
          <w:sz w:val="21"/>
          <w:szCs w:val="21"/>
          <w:highlight w:val="none"/>
          <w:lang w:val="en-US" w:eastAsia="zh-CN" w:bidi="ar-SA"/>
        </w:rPr>
        <w:t>3、考核标准及要求：</w:t>
      </w:r>
    </w:p>
    <w:p>
      <w:pPr>
        <w:numPr>
          <w:ilvl w:val="0"/>
          <w:numId w:val="0"/>
        </w:numPr>
        <w:tabs>
          <w:tab w:val="left" w:pos="315"/>
        </w:tabs>
        <w:adjustRightInd w:val="0"/>
        <w:snapToGrid w:val="0"/>
        <w:spacing w:line="440" w:lineRule="exact"/>
        <w:ind w:firstLine="420" w:firstLineChars="200"/>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3.1</w:t>
      </w:r>
      <w:r>
        <w:rPr>
          <w:rFonts w:hint="eastAsia" w:ascii="宋体" w:hAnsi="宋体" w:eastAsia="宋体" w:cs="宋体"/>
          <w:b w:val="0"/>
          <w:bCs w:val="0"/>
          <w:color w:val="auto"/>
          <w:sz w:val="21"/>
          <w:szCs w:val="21"/>
          <w:highlight w:val="none"/>
        </w:rPr>
        <w:t>、服务质量目标及服务合格的条件</w:t>
      </w:r>
    </w:p>
    <w:p>
      <w:pPr>
        <w:tabs>
          <w:tab w:val="left" w:pos="315"/>
        </w:tabs>
        <w:adjustRightInd w:val="0"/>
        <w:snapToGrid w:val="0"/>
        <w:spacing w:line="440" w:lineRule="exact"/>
        <w:ind w:firstLine="420" w:firstLineChars="200"/>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（1）符合本招标文件及合同文件的要求；</w:t>
      </w:r>
    </w:p>
    <w:p>
      <w:pPr>
        <w:tabs>
          <w:tab w:val="left" w:pos="315"/>
        </w:tabs>
        <w:adjustRightInd w:val="0"/>
        <w:snapToGrid w:val="0"/>
        <w:spacing w:line="440" w:lineRule="exact"/>
        <w:ind w:firstLine="420" w:firstLineChars="200"/>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（2）服务期内无安全责任事故；</w:t>
      </w:r>
    </w:p>
    <w:p>
      <w:pPr>
        <w:tabs>
          <w:tab w:val="left" w:pos="315"/>
        </w:tabs>
        <w:adjustRightInd w:val="0"/>
        <w:snapToGrid w:val="0"/>
        <w:spacing w:line="440" w:lineRule="exact"/>
        <w:ind w:firstLine="420" w:firstLineChars="200"/>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（3）服务期内无较大的责任事故；</w:t>
      </w:r>
    </w:p>
    <w:p>
      <w:pPr>
        <w:tabs>
          <w:tab w:val="left" w:pos="315"/>
        </w:tabs>
        <w:adjustRightInd w:val="0"/>
        <w:snapToGrid w:val="0"/>
        <w:spacing w:line="440" w:lineRule="exact"/>
        <w:ind w:firstLine="420" w:firstLineChars="200"/>
        <w:rPr>
          <w:rFonts w:hint="eastAsia" w:ascii="宋体" w:hAnsi="宋体" w:eastAsia="宋体" w:cs="宋体"/>
          <w:b/>
          <w:color w:val="auto"/>
          <w:sz w:val="21"/>
          <w:szCs w:val="21"/>
          <w:highlight w:val="none"/>
        </w:rPr>
      </w:pPr>
      <w:r>
        <w:rPr>
          <w:rFonts w:hint="eastAsia" w:ascii="宋体" w:hAnsi="宋体" w:eastAsia="宋体" w:cs="宋体"/>
          <w:b w:val="0"/>
          <w:bCs w:val="0"/>
          <w:color w:val="auto"/>
          <w:sz w:val="21"/>
          <w:szCs w:val="21"/>
          <w:highlight w:val="none"/>
        </w:rPr>
        <w:t>（4）通过义乌市政府的有关考核；</w:t>
      </w:r>
    </w:p>
    <w:p>
      <w:pPr>
        <w:spacing w:line="4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3.2、</w:t>
      </w:r>
      <w:r>
        <w:rPr>
          <w:rFonts w:hint="eastAsia" w:ascii="宋体" w:hAnsi="宋体" w:eastAsia="宋体" w:cs="宋体"/>
          <w:color w:val="auto"/>
          <w:sz w:val="21"/>
          <w:szCs w:val="21"/>
          <w:highlight w:val="none"/>
        </w:rPr>
        <w:t>对发生重大安全事故实行一票否决制（即</w:t>
      </w:r>
      <w:r>
        <w:rPr>
          <w:rFonts w:hint="eastAsia" w:ascii="宋体" w:hAnsi="宋体" w:eastAsia="宋体" w:cs="宋体"/>
          <w:color w:val="auto"/>
          <w:sz w:val="21"/>
          <w:szCs w:val="21"/>
          <w:highlight w:val="none"/>
          <w:lang w:val="en-US" w:eastAsia="zh-CN"/>
        </w:rPr>
        <w:t>采购</w:t>
      </w:r>
      <w:r>
        <w:rPr>
          <w:rFonts w:hint="eastAsia" w:ascii="宋体" w:hAnsi="宋体" w:eastAsia="宋体" w:cs="宋体"/>
          <w:color w:val="auto"/>
          <w:sz w:val="21"/>
          <w:szCs w:val="21"/>
          <w:highlight w:val="none"/>
        </w:rPr>
        <w:t>方可单方面解除《物业服务合同》），并追究</w:t>
      </w:r>
      <w:r>
        <w:rPr>
          <w:rFonts w:hint="eastAsia" w:ascii="宋体" w:hAnsi="宋体" w:eastAsia="宋体" w:cs="宋体"/>
          <w:color w:val="auto"/>
          <w:sz w:val="21"/>
          <w:szCs w:val="21"/>
          <w:highlight w:val="none"/>
          <w:lang w:val="en-US" w:eastAsia="zh-CN"/>
        </w:rPr>
        <w:t>中标方</w:t>
      </w:r>
      <w:r>
        <w:rPr>
          <w:rFonts w:hint="eastAsia" w:ascii="宋体" w:hAnsi="宋体" w:eastAsia="宋体" w:cs="宋体"/>
          <w:color w:val="auto"/>
          <w:sz w:val="21"/>
          <w:szCs w:val="21"/>
          <w:highlight w:val="none"/>
        </w:rPr>
        <w:t>责任人的责任，同时由</w:t>
      </w:r>
      <w:r>
        <w:rPr>
          <w:rFonts w:hint="eastAsia" w:ascii="宋体" w:hAnsi="宋体" w:eastAsia="宋体" w:cs="宋体"/>
          <w:color w:val="auto"/>
          <w:sz w:val="21"/>
          <w:szCs w:val="21"/>
          <w:highlight w:val="none"/>
          <w:lang w:val="en-US" w:eastAsia="zh-CN"/>
        </w:rPr>
        <w:t>中标</w:t>
      </w:r>
      <w:r>
        <w:rPr>
          <w:rFonts w:hint="eastAsia" w:ascii="宋体" w:hAnsi="宋体" w:eastAsia="宋体" w:cs="宋体"/>
          <w:color w:val="auto"/>
          <w:sz w:val="21"/>
          <w:szCs w:val="21"/>
          <w:highlight w:val="none"/>
        </w:rPr>
        <w:t>方承担该事故对甲方造成的一切损失。</w:t>
      </w:r>
    </w:p>
    <w:p>
      <w:pPr>
        <w:spacing w:line="400" w:lineRule="exact"/>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3.3、</w:t>
      </w:r>
      <w:r>
        <w:rPr>
          <w:rFonts w:hint="eastAsia" w:ascii="宋体" w:hAnsi="宋体" w:eastAsia="宋体" w:cs="宋体"/>
          <w:color w:val="auto"/>
          <w:sz w:val="21"/>
          <w:szCs w:val="21"/>
          <w:highlight w:val="none"/>
        </w:rPr>
        <w:t>对</w:t>
      </w:r>
      <w:r>
        <w:rPr>
          <w:rFonts w:hint="eastAsia" w:ascii="宋体" w:hAnsi="宋体" w:eastAsia="宋体" w:cs="宋体"/>
          <w:color w:val="auto"/>
          <w:sz w:val="21"/>
          <w:szCs w:val="21"/>
          <w:highlight w:val="none"/>
          <w:lang w:val="en-US" w:eastAsia="zh-CN"/>
        </w:rPr>
        <w:t>检查考核中发现的问题，如中标方未能在限期内整改完毕，可按本办法对中标方进行加倍处罚。</w:t>
      </w:r>
    </w:p>
    <w:p>
      <w:pPr>
        <w:spacing w:line="400" w:lineRule="exact"/>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3.4、若采购方集团公司或相关上级部门在检查过程中发现有不符合服务标准的内容，分数按评分细则标准的三倍扣除。</w:t>
      </w:r>
    </w:p>
    <w:p>
      <w:pPr>
        <w:spacing w:line="400" w:lineRule="exact"/>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3.5、物业服务人员数量不得少于招标文件要求，每半年核实人员数量。到岗率连续两次少于95%的，采购方有权终止合同。</w:t>
      </w:r>
    </w:p>
    <w:p>
      <w:pPr>
        <w:spacing w:line="400" w:lineRule="exact"/>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3.6、</w:t>
      </w:r>
      <w:r>
        <w:rPr>
          <w:rFonts w:hint="eastAsia"/>
          <w:bCs/>
          <w:color w:val="auto"/>
          <w:highlight w:val="none"/>
        </w:rPr>
        <w:t>每月基</w:t>
      </w:r>
      <w:r>
        <w:rPr>
          <w:rFonts w:hint="eastAsia" w:ascii="Times New Roman" w:hAnsi="Times New Roman" w:eastAsia="宋体" w:cs="Times New Roman"/>
          <w:bCs/>
          <w:color w:val="auto"/>
          <w:highlight w:val="none"/>
        </w:rPr>
        <w:t>础分为100分，考核分数为</w:t>
      </w:r>
      <w:r>
        <w:rPr>
          <w:rFonts w:hint="eastAsia" w:ascii="Times New Roman" w:hAnsi="Times New Roman" w:eastAsia="宋体" w:cs="Times New Roman"/>
          <w:bCs/>
          <w:color w:val="auto"/>
          <w:highlight w:val="none"/>
          <w:lang w:val="en-US" w:eastAsia="zh-CN"/>
        </w:rPr>
        <w:t>8</w:t>
      </w:r>
      <w:r>
        <w:rPr>
          <w:rFonts w:hint="eastAsia" w:ascii="Times New Roman" w:hAnsi="Times New Roman" w:eastAsia="宋体" w:cs="Times New Roman"/>
          <w:bCs/>
          <w:color w:val="auto"/>
          <w:highlight w:val="none"/>
        </w:rPr>
        <w:t>0分（含）以上的为合格；考核分数低于</w:t>
      </w:r>
      <w:r>
        <w:rPr>
          <w:rFonts w:hint="eastAsia" w:ascii="Times New Roman" w:hAnsi="Times New Roman" w:eastAsia="宋体" w:cs="Times New Roman"/>
          <w:bCs/>
          <w:color w:val="auto"/>
          <w:highlight w:val="none"/>
          <w:lang w:val="en-US" w:eastAsia="zh-CN"/>
        </w:rPr>
        <w:t>8</w:t>
      </w:r>
      <w:r>
        <w:rPr>
          <w:rFonts w:hint="eastAsia" w:ascii="Times New Roman" w:hAnsi="Times New Roman" w:eastAsia="宋体" w:cs="Times New Roman"/>
          <w:bCs/>
          <w:color w:val="auto"/>
          <w:highlight w:val="none"/>
        </w:rPr>
        <w:t>0分，在</w:t>
      </w:r>
      <w:r>
        <w:rPr>
          <w:rFonts w:hint="eastAsia" w:ascii="Times New Roman" w:hAnsi="Times New Roman" w:eastAsia="宋体" w:cs="Times New Roman"/>
          <w:bCs/>
          <w:color w:val="auto"/>
          <w:highlight w:val="none"/>
          <w:lang w:val="en-US" w:eastAsia="zh-CN"/>
        </w:rPr>
        <w:t>7</w:t>
      </w:r>
      <w:r>
        <w:rPr>
          <w:rFonts w:hint="eastAsia" w:ascii="Times New Roman" w:hAnsi="Times New Roman" w:eastAsia="宋体" w:cs="Times New Roman"/>
          <w:bCs/>
          <w:color w:val="auto"/>
          <w:highlight w:val="none"/>
        </w:rPr>
        <w:t>5分（含）以上的，以</w:t>
      </w:r>
      <w:r>
        <w:rPr>
          <w:rFonts w:hint="eastAsia" w:ascii="Times New Roman" w:hAnsi="Times New Roman" w:eastAsia="宋体" w:cs="Times New Roman"/>
          <w:bCs/>
          <w:color w:val="auto"/>
          <w:highlight w:val="none"/>
          <w:lang w:val="en-US" w:eastAsia="zh-CN"/>
        </w:rPr>
        <w:t>8</w:t>
      </w:r>
      <w:r>
        <w:rPr>
          <w:rFonts w:hint="eastAsia" w:ascii="Times New Roman" w:hAnsi="Times New Roman" w:eastAsia="宋体" w:cs="Times New Roman"/>
          <w:bCs/>
          <w:color w:val="auto"/>
          <w:highlight w:val="none"/>
        </w:rPr>
        <w:t>0分为扣款基数每少1分扣</w:t>
      </w:r>
      <w:r>
        <w:rPr>
          <w:rFonts w:hint="eastAsia" w:ascii="Times New Roman" w:hAnsi="Times New Roman" w:eastAsia="宋体" w:cs="Times New Roman"/>
          <w:bCs/>
          <w:color w:val="auto"/>
          <w:highlight w:val="none"/>
          <w:lang w:val="en-US" w:eastAsia="zh-CN"/>
        </w:rPr>
        <w:t>2</w:t>
      </w:r>
      <w:r>
        <w:rPr>
          <w:rFonts w:hint="eastAsia" w:ascii="Times New Roman" w:hAnsi="Times New Roman" w:eastAsia="宋体" w:cs="Times New Roman"/>
          <w:bCs/>
          <w:color w:val="auto"/>
          <w:highlight w:val="none"/>
        </w:rPr>
        <w:t>000元；考核分数低于</w:t>
      </w:r>
      <w:r>
        <w:rPr>
          <w:rFonts w:hint="eastAsia" w:ascii="Times New Roman" w:hAnsi="Times New Roman" w:eastAsia="宋体" w:cs="Times New Roman"/>
          <w:bCs/>
          <w:color w:val="auto"/>
          <w:highlight w:val="none"/>
          <w:lang w:val="en-US" w:eastAsia="zh-CN"/>
        </w:rPr>
        <w:t>7</w:t>
      </w:r>
      <w:r>
        <w:rPr>
          <w:rFonts w:hint="eastAsia" w:ascii="Times New Roman" w:hAnsi="Times New Roman" w:eastAsia="宋体" w:cs="Times New Roman"/>
          <w:bCs/>
          <w:color w:val="auto"/>
          <w:highlight w:val="none"/>
        </w:rPr>
        <w:t>5分（不含）的，以</w:t>
      </w:r>
      <w:r>
        <w:rPr>
          <w:rFonts w:hint="eastAsia" w:ascii="Times New Roman" w:hAnsi="Times New Roman" w:eastAsia="宋体" w:cs="Times New Roman"/>
          <w:bCs/>
          <w:color w:val="auto"/>
          <w:highlight w:val="none"/>
          <w:lang w:val="en-US" w:eastAsia="zh-CN"/>
        </w:rPr>
        <w:t>8</w:t>
      </w:r>
      <w:r>
        <w:rPr>
          <w:rFonts w:hint="eastAsia" w:ascii="Times New Roman" w:hAnsi="Times New Roman" w:eastAsia="宋体" w:cs="Times New Roman"/>
          <w:bCs/>
          <w:color w:val="auto"/>
          <w:highlight w:val="none"/>
        </w:rPr>
        <w:t>0分为扣款基数，每少1分扣</w:t>
      </w:r>
      <w:r>
        <w:rPr>
          <w:rFonts w:hint="eastAsia" w:ascii="Times New Roman" w:hAnsi="Times New Roman" w:eastAsia="宋体" w:cs="Times New Roman"/>
          <w:bCs/>
          <w:color w:val="auto"/>
          <w:highlight w:val="none"/>
          <w:lang w:val="en-US" w:eastAsia="zh-CN"/>
        </w:rPr>
        <w:t>4</w:t>
      </w:r>
      <w:r>
        <w:rPr>
          <w:rFonts w:hint="eastAsia" w:ascii="Times New Roman" w:hAnsi="Times New Roman" w:eastAsia="宋体" w:cs="Times New Roman"/>
          <w:bCs/>
          <w:color w:val="auto"/>
          <w:highlight w:val="none"/>
        </w:rPr>
        <w:t>000元。年度累计三个月或连续两个月的月度考核结果低于</w:t>
      </w:r>
      <w:r>
        <w:rPr>
          <w:rFonts w:hint="eastAsia" w:ascii="Times New Roman" w:hAnsi="Times New Roman" w:eastAsia="宋体" w:cs="Times New Roman"/>
          <w:bCs/>
          <w:color w:val="auto"/>
          <w:highlight w:val="none"/>
          <w:lang w:val="en-US" w:eastAsia="zh-CN"/>
        </w:rPr>
        <w:t>7</w:t>
      </w:r>
      <w:r>
        <w:rPr>
          <w:rFonts w:hint="eastAsia" w:ascii="Times New Roman" w:hAnsi="Times New Roman" w:eastAsia="宋体" w:cs="Times New Roman"/>
          <w:bCs/>
          <w:color w:val="auto"/>
          <w:highlight w:val="none"/>
        </w:rPr>
        <w:t>5分的，甲方有权终止合同，并不再</w:t>
      </w:r>
      <w:r>
        <w:rPr>
          <w:rFonts w:hint="eastAsia" w:ascii="Times New Roman" w:hAnsi="Times New Roman" w:eastAsia="宋体" w:cs="Times New Roman"/>
          <w:bCs/>
          <w:highlight w:val="none"/>
          <w:lang w:eastAsia="zh-CN"/>
        </w:rPr>
        <w:t>签订</w:t>
      </w:r>
      <w:r>
        <w:rPr>
          <w:rFonts w:hint="eastAsia" w:ascii="Times New Roman" w:hAnsi="Times New Roman" w:eastAsia="宋体" w:cs="Times New Roman"/>
          <w:bCs/>
          <w:highlight w:val="none"/>
        </w:rPr>
        <w:t>下一年度合同。</w:t>
      </w:r>
    </w:p>
    <w:p>
      <w:pPr>
        <w:ind w:firstLine="420"/>
        <w:rPr>
          <w:rFonts w:hint="default"/>
          <w:color w:val="auto"/>
          <w:highlight w:val="none"/>
          <w:lang w:val="en-US" w:eastAsia="zh-CN"/>
        </w:rPr>
      </w:pPr>
    </w:p>
    <w:p>
      <w:pPr>
        <w:pageBreakBefore w:val="0"/>
        <w:kinsoku/>
        <w:wordWrap/>
        <w:topLinePunct w:val="0"/>
        <w:bidi w:val="0"/>
        <w:spacing w:line="480" w:lineRule="exact"/>
        <w:ind w:firstLine="422" w:firstLineChars="200"/>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十二、诉讼</w:t>
      </w:r>
    </w:p>
    <w:p>
      <w:pPr>
        <w:pageBreakBefore w:val="0"/>
        <w:widowControl/>
        <w:kinsoku/>
        <w:wordWrap/>
        <w:topLinePunct w:val="0"/>
        <w:bidi w:val="0"/>
        <w:snapToGrid w:val="0"/>
        <w:spacing w:line="480" w:lineRule="exact"/>
        <w:ind w:firstLine="48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本合同项目所在地为义乌市，本合同发生争议产生的诉讼，应向义乌法院提起诉讼。</w:t>
      </w:r>
    </w:p>
    <w:p>
      <w:pPr>
        <w:pageBreakBefore w:val="0"/>
        <w:widowControl/>
        <w:kinsoku/>
        <w:wordWrap/>
        <w:topLinePunct w:val="0"/>
        <w:bidi w:val="0"/>
        <w:snapToGrid w:val="0"/>
        <w:spacing w:line="480" w:lineRule="exact"/>
        <w:ind w:firstLine="422" w:firstLineChars="20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b/>
          <w:bCs/>
          <w:color w:val="auto"/>
          <w:sz w:val="21"/>
          <w:szCs w:val="21"/>
          <w:highlight w:val="none"/>
        </w:rPr>
        <w:t>十三、</w:t>
      </w:r>
      <w:r>
        <w:rPr>
          <w:rFonts w:hint="eastAsia" w:ascii="宋体" w:hAnsi="宋体" w:eastAsia="宋体" w:cs="宋体"/>
          <w:color w:val="auto"/>
          <w:kern w:val="0"/>
          <w:sz w:val="21"/>
          <w:szCs w:val="21"/>
          <w:highlight w:val="none"/>
        </w:rPr>
        <w:t>合同双方确认，本合同及合同约定</w:t>
      </w:r>
      <w:r>
        <w:rPr>
          <w:rFonts w:hint="eastAsia" w:ascii="宋体" w:hAnsi="宋体" w:eastAsia="宋体" w:cs="宋体"/>
          <w:color w:val="auto"/>
          <w:kern w:val="0"/>
          <w:sz w:val="21"/>
          <w:szCs w:val="21"/>
          <w:highlight w:val="none"/>
          <w:lang w:eastAsia="zh-CN"/>
        </w:rPr>
        <w:t>的其他文件</w:t>
      </w:r>
      <w:r>
        <w:rPr>
          <w:rFonts w:hint="eastAsia" w:ascii="宋体" w:hAnsi="宋体" w:eastAsia="宋体" w:cs="宋体"/>
          <w:color w:val="auto"/>
          <w:kern w:val="0"/>
          <w:sz w:val="21"/>
          <w:szCs w:val="21"/>
          <w:highlight w:val="none"/>
        </w:rPr>
        <w:t>组成部分中的各项约定都是通过法定招标过程形成的合法成果，如果中标单位的投标文件与招标文件要求不一致的，履约时应以有利于采购人的条款执行。如果不一致条款不是合同双方真实意思的表示，对合同双方不形成任何合同或法律约束力。合同双方也不存在且也不会签订任何背离合同实质性内容的其他协议或合同。如果存在或签订背离本合同实质性内容的其他协议或合同，也不是合同双方真实意思的表示，对合同双方不构成任何合同或法律约束力。</w:t>
      </w:r>
    </w:p>
    <w:p>
      <w:pPr>
        <w:pageBreakBefore w:val="0"/>
        <w:widowControl/>
        <w:kinsoku/>
        <w:wordWrap/>
        <w:topLinePunct w:val="0"/>
        <w:bidi w:val="0"/>
        <w:snapToGrid w:val="0"/>
        <w:spacing w:line="480" w:lineRule="exact"/>
        <w:ind w:firstLine="422" w:firstLineChars="200"/>
        <w:jc w:val="left"/>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十四、合同生效</w:t>
      </w:r>
      <w:r>
        <w:rPr>
          <w:rFonts w:hint="eastAsia" w:ascii="宋体" w:hAnsi="宋体" w:eastAsia="宋体" w:cs="宋体"/>
          <w:b/>
          <w:bCs/>
          <w:color w:val="auto"/>
          <w:sz w:val="21"/>
          <w:szCs w:val="21"/>
          <w:highlight w:val="none"/>
          <w:lang w:eastAsia="zh-CN"/>
        </w:rPr>
        <w:t>及其他</w:t>
      </w:r>
    </w:p>
    <w:p>
      <w:pPr>
        <w:pageBreakBefore w:val="0"/>
        <w:widowControl/>
        <w:kinsoku/>
        <w:wordWrap/>
        <w:topLinePunct w:val="0"/>
        <w:bidi w:val="0"/>
        <w:snapToGrid w:val="0"/>
        <w:spacing w:line="480" w:lineRule="exact"/>
        <w:ind w:firstLine="48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合同经双方法定代表人或授权代表签字并加盖单位公章后生效。</w:t>
      </w:r>
    </w:p>
    <w:p>
      <w:pPr>
        <w:pageBreakBefore w:val="0"/>
        <w:widowControl/>
        <w:kinsoku/>
        <w:wordWrap/>
        <w:topLinePunct w:val="0"/>
        <w:bidi w:val="0"/>
        <w:spacing w:line="480" w:lineRule="exact"/>
        <w:ind w:firstLine="480"/>
        <w:jc w:val="left"/>
        <w:textAlignment w:val="auto"/>
        <w:rPr>
          <w:rFonts w:hint="eastAsia" w:ascii="宋体" w:hAnsi="宋体" w:eastAsia="宋体" w:cs="宋体"/>
          <w:kern w:val="0"/>
          <w:sz w:val="21"/>
          <w:szCs w:val="21"/>
          <w:highlight w:val="none"/>
        </w:rPr>
      </w:pPr>
      <w:r>
        <w:rPr>
          <w:rFonts w:hint="eastAsia" w:ascii="宋体" w:hAnsi="宋体" w:eastAsia="宋体" w:cs="宋体"/>
          <w:b/>
          <w:bCs/>
          <w:color w:val="auto"/>
          <w:sz w:val="21"/>
          <w:szCs w:val="21"/>
          <w:highlight w:val="none"/>
        </w:rPr>
        <w:t>十</w:t>
      </w:r>
      <w:r>
        <w:rPr>
          <w:rFonts w:hint="eastAsia" w:ascii="宋体" w:hAnsi="宋体" w:eastAsia="宋体" w:cs="宋体"/>
          <w:b/>
          <w:bCs/>
          <w:color w:val="auto"/>
          <w:sz w:val="21"/>
          <w:szCs w:val="21"/>
          <w:highlight w:val="none"/>
          <w:lang w:val="en-US" w:eastAsia="zh-CN"/>
        </w:rPr>
        <w:t>五</w:t>
      </w:r>
      <w:r>
        <w:rPr>
          <w:rFonts w:hint="eastAsia" w:ascii="宋体" w:hAnsi="宋体" w:eastAsia="宋体" w:cs="宋体"/>
          <w:b/>
          <w:bCs/>
          <w:color w:val="auto"/>
          <w:sz w:val="21"/>
          <w:szCs w:val="21"/>
          <w:highlight w:val="none"/>
        </w:rPr>
        <w:t>、</w:t>
      </w:r>
      <w:r>
        <w:rPr>
          <w:rFonts w:hint="eastAsia" w:ascii="宋体" w:hAnsi="宋体" w:eastAsia="宋体" w:cs="宋体"/>
          <w:color w:val="auto"/>
          <w:kern w:val="0"/>
          <w:sz w:val="21"/>
          <w:szCs w:val="21"/>
          <w:highlight w:val="none"/>
        </w:rPr>
        <w:t xml:space="preserve">本合同一式  份，甲乙双方各执 </w:t>
      </w:r>
      <w:r>
        <w:rPr>
          <w:rFonts w:hint="eastAsia" w:ascii="宋体" w:hAnsi="宋体" w:eastAsia="宋体" w:cs="宋体"/>
          <w:color w:val="auto"/>
          <w:kern w:val="0"/>
          <w:sz w:val="21"/>
          <w:szCs w:val="21"/>
          <w:highlight w:val="none"/>
          <w:lang w:val="en-US" w:eastAsia="zh-CN"/>
        </w:rPr>
        <w:t xml:space="preserve">  </w:t>
      </w:r>
      <w:r>
        <w:rPr>
          <w:rFonts w:hint="eastAsia" w:ascii="宋体" w:hAnsi="宋体" w:eastAsia="宋体" w:cs="宋体"/>
          <w:color w:val="auto"/>
          <w:kern w:val="0"/>
          <w:sz w:val="21"/>
          <w:szCs w:val="21"/>
          <w:highlight w:val="none"/>
        </w:rPr>
        <w:t>份，义乌产权交易所有限</w:t>
      </w:r>
      <w:r>
        <w:rPr>
          <w:rFonts w:hint="eastAsia" w:ascii="宋体" w:hAnsi="宋体" w:eastAsia="宋体" w:cs="宋体"/>
          <w:kern w:val="0"/>
          <w:sz w:val="21"/>
          <w:szCs w:val="21"/>
          <w:highlight w:val="none"/>
        </w:rPr>
        <w:t>公司，均</w:t>
      </w:r>
      <w:r>
        <w:rPr>
          <w:rFonts w:hint="eastAsia" w:ascii="宋体" w:hAnsi="宋体" w:eastAsia="宋体" w:cs="宋体"/>
          <w:kern w:val="0"/>
          <w:sz w:val="21"/>
          <w:szCs w:val="21"/>
          <w:highlight w:val="none"/>
          <w:lang w:eastAsia="zh-CN"/>
        </w:rPr>
        <w:t>具有</w:t>
      </w:r>
      <w:r>
        <w:rPr>
          <w:rFonts w:hint="eastAsia" w:ascii="宋体" w:hAnsi="宋体" w:eastAsia="宋体" w:cs="宋体"/>
          <w:kern w:val="0"/>
          <w:sz w:val="21"/>
          <w:szCs w:val="21"/>
          <w:highlight w:val="none"/>
        </w:rPr>
        <w:t>同等效力。</w:t>
      </w:r>
    </w:p>
    <w:p>
      <w:pPr>
        <w:pageBreakBefore w:val="0"/>
        <w:widowControl/>
        <w:kinsoku/>
        <w:wordWrap/>
        <w:topLinePunct w:val="0"/>
        <w:bidi w:val="0"/>
        <w:spacing w:line="480" w:lineRule="exact"/>
        <w:ind w:firstLine="480"/>
        <w:jc w:val="left"/>
        <w:textAlignment w:val="auto"/>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 xml:space="preserve"> </w:t>
      </w:r>
    </w:p>
    <w:p>
      <w:pPr>
        <w:pageBreakBefore w:val="0"/>
        <w:widowControl/>
        <w:kinsoku/>
        <w:wordWrap/>
        <w:topLinePunct w:val="0"/>
        <w:bidi w:val="0"/>
        <w:spacing w:line="480" w:lineRule="exact"/>
        <w:ind w:firstLine="210" w:firstLineChars="100"/>
        <w:jc w:val="left"/>
        <w:textAlignment w:val="auto"/>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甲    方：____________________  乙    方：_______________________</w:t>
      </w:r>
    </w:p>
    <w:p>
      <w:pPr>
        <w:pageBreakBefore w:val="0"/>
        <w:widowControl/>
        <w:kinsoku/>
        <w:wordWrap/>
        <w:topLinePunct w:val="0"/>
        <w:bidi w:val="0"/>
        <w:spacing w:line="480" w:lineRule="exact"/>
        <w:ind w:firstLine="210" w:firstLineChars="100"/>
        <w:jc w:val="left"/>
        <w:textAlignment w:val="auto"/>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地    址：____________________  地    址：________________________</w:t>
      </w:r>
    </w:p>
    <w:p>
      <w:pPr>
        <w:pageBreakBefore w:val="0"/>
        <w:widowControl/>
        <w:kinsoku/>
        <w:wordWrap/>
        <w:topLinePunct w:val="0"/>
        <w:bidi w:val="0"/>
        <w:spacing w:line="480" w:lineRule="exact"/>
        <w:ind w:firstLine="210" w:firstLineChars="100"/>
        <w:jc w:val="left"/>
        <w:textAlignment w:val="auto"/>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 xml:space="preserve">法定代表人：__________________   法定代表人：______________________  </w:t>
      </w:r>
    </w:p>
    <w:p>
      <w:pPr>
        <w:pageBreakBefore w:val="0"/>
        <w:widowControl/>
        <w:kinsoku/>
        <w:wordWrap/>
        <w:topLinePunct w:val="0"/>
        <w:bidi w:val="0"/>
        <w:spacing w:line="480" w:lineRule="exact"/>
        <w:ind w:firstLine="210" w:firstLineChars="100"/>
        <w:jc w:val="left"/>
        <w:textAlignment w:val="auto"/>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授权代表：___________________</w:t>
      </w:r>
      <w:r>
        <w:rPr>
          <w:rFonts w:hint="eastAsia" w:ascii="宋体" w:hAnsi="宋体" w:eastAsia="宋体" w:cs="宋体"/>
          <w:kern w:val="0"/>
          <w:sz w:val="21"/>
          <w:szCs w:val="21"/>
          <w:highlight w:val="none"/>
          <w:u w:val="single"/>
        </w:rPr>
        <w:t>_</w:t>
      </w:r>
      <w:r>
        <w:rPr>
          <w:rFonts w:hint="eastAsia" w:ascii="宋体" w:hAnsi="宋体" w:eastAsia="宋体" w:cs="宋体"/>
          <w:kern w:val="0"/>
          <w:sz w:val="21"/>
          <w:szCs w:val="21"/>
          <w:highlight w:val="none"/>
        </w:rPr>
        <w:t xml:space="preserve">  授权代表：____________________</w:t>
      </w:r>
      <w:r>
        <w:rPr>
          <w:rFonts w:hint="eastAsia" w:ascii="宋体" w:hAnsi="宋体" w:eastAsia="宋体" w:cs="宋体"/>
          <w:kern w:val="0"/>
          <w:sz w:val="21"/>
          <w:szCs w:val="21"/>
          <w:highlight w:val="none"/>
          <w:u w:val="single"/>
        </w:rPr>
        <w:t xml:space="preserve">      </w:t>
      </w:r>
    </w:p>
    <w:p>
      <w:pPr>
        <w:pageBreakBefore w:val="0"/>
        <w:widowControl/>
        <w:kinsoku/>
        <w:wordWrap/>
        <w:topLinePunct w:val="0"/>
        <w:bidi w:val="0"/>
        <w:spacing w:line="480" w:lineRule="exact"/>
        <w:ind w:firstLine="210" w:firstLineChars="100"/>
        <w:jc w:val="left"/>
        <w:textAlignment w:val="auto"/>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电    话：____________________  电    话：________________________</w:t>
      </w:r>
    </w:p>
    <w:p>
      <w:pPr>
        <w:pageBreakBefore w:val="0"/>
        <w:widowControl/>
        <w:kinsoku/>
        <w:wordWrap/>
        <w:topLinePunct w:val="0"/>
        <w:bidi w:val="0"/>
        <w:spacing w:line="480" w:lineRule="exact"/>
        <w:ind w:firstLine="210" w:firstLineChars="100"/>
        <w:jc w:val="left"/>
        <w:textAlignment w:val="auto"/>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lang w:eastAsia="zh-CN"/>
        </w:rPr>
        <w:t>账户名称</w:t>
      </w:r>
      <w:r>
        <w:rPr>
          <w:rFonts w:hint="eastAsia" w:ascii="宋体" w:hAnsi="宋体" w:eastAsia="宋体" w:cs="宋体"/>
          <w:kern w:val="0"/>
          <w:sz w:val="21"/>
          <w:szCs w:val="21"/>
          <w:highlight w:val="none"/>
        </w:rPr>
        <w:t xml:space="preserve">：____________________  </w:t>
      </w:r>
      <w:r>
        <w:rPr>
          <w:rFonts w:hint="eastAsia" w:ascii="宋体" w:hAnsi="宋体" w:eastAsia="宋体" w:cs="宋体"/>
          <w:kern w:val="0"/>
          <w:sz w:val="21"/>
          <w:szCs w:val="21"/>
          <w:highlight w:val="none"/>
          <w:lang w:eastAsia="zh-CN"/>
        </w:rPr>
        <w:t>账户名称</w:t>
      </w:r>
      <w:r>
        <w:rPr>
          <w:rFonts w:hint="eastAsia" w:ascii="宋体" w:hAnsi="宋体" w:eastAsia="宋体" w:cs="宋体"/>
          <w:kern w:val="0"/>
          <w:sz w:val="21"/>
          <w:szCs w:val="21"/>
          <w:highlight w:val="none"/>
        </w:rPr>
        <w:t>：________________________</w:t>
      </w:r>
    </w:p>
    <w:p>
      <w:pPr>
        <w:pageBreakBefore w:val="0"/>
        <w:widowControl/>
        <w:kinsoku/>
        <w:wordWrap/>
        <w:topLinePunct w:val="0"/>
        <w:bidi w:val="0"/>
        <w:spacing w:line="480" w:lineRule="exact"/>
        <w:ind w:firstLine="210" w:firstLineChars="100"/>
        <w:jc w:val="left"/>
        <w:textAlignment w:val="auto"/>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开户银行：____________________  开户银行：________________________</w:t>
      </w:r>
    </w:p>
    <w:p>
      <w:pPr>
        <w:pageBreakBefore w:val="0"/>
        <w:widowControl/>
        <w:kinsoku/>
        <w:wordWrap/>
        <w:topLinePunct w:val="0"/>
        <w:bidi w:val="0"/>
        <w:spacing w:line="480" w:lineRule="exact"/>
        <w:ind w:firstLine="210" w:firstLineChars="100"/>
        <w:jc w:val="left"/>
        <w:textAlignment w:val="auto"/>
        <w:rPr>
          <w:rFonts w:hint="eastAsia" w:ascii="宋体" w:hAnsi="宋体" w:eastAsia="宋体" w:cs="宋体"/>
          <w:color w:val="000000"/>
          <w:kern w:val="0"/>
          <w:sz w:val="21"/>
          <w:szCs w:val="21"/>
          <w:highlight w:val="none"/>
        </w:rPr>
      </w:pPr>
      <w:r>
        <w:rPr>
          <w:rFonts w:hint="eastAsia" w:ascii="宋体" w:hAnsi="宋体" w:eastAsia="宋体" w:cs="宋体"/>
          <w:kern w:val="0"/>
          <w:sz w:val="21"/>
          <w:szCs w:val="21"/>
          <w:highlight w:val="none"/>
          <w:lang w:val="en-US" w:eastAsia="zh-CN"/>
        </w:rPr>
        <w:t>账</w:t>
      </w:r>
      <w:r>
        <w:rPr>
          <w:rFonts w:hint="eastAsia" w:ascii="宋体" w:hAnsi="宋体" w:eastAsia="宋体" w:cs="宋体"/>
          <w:kern w:val="0"/>
          <w:sz w:val="21"/>
          <w:szCs w:val="21"/>
          <w:highlight w:val="none"/>
        </w:rPr>
        <w:t xml:space="preserve">    号：____________________  </w:t>
      </w:r>
      <w:r>
        <w:rPr>
          <w:rFonts w:hint="eastAsia" w:ascii="宋体" w:hAnsi="宋体" w:eastAsia="宋体" w:cs="宋体"/>
          <w:kern w:val="0"/>
          <w:sz w:val="21"/>
          <w:szCs w:val="21"/>
          <w:highlight w:val="none"/>
          <w:lang w:val="en-US" w:eastAsia="zh-CN"/>
        </w:rPr>
        <w:t>账</w:t>
      </w:r>
      <w:r>
        <w:rPr>
          <w:rFonts w:hint="eastAsia" w:ascii="宋体" w:hAnsi="宋体" w:eastAsia="宋体" w:cs="宋体"/>
          <w:kern w:val="0"/>
          <w:sz w:val="21"/>
          <w:szCs w:val="21"/>
          <w:highlight w:val="none"/>
        </w:rPr>
        <w:t xml:space="preserve"> </w:t>
      </w:r>
      <w:r>
        <w:rPr>
          <w:rFonts w:hint="eastAsia" w:ascii="宋体" w:hAnsi="宋体" w:eastAsia="宋体" w:cs="宋体"/>
          <w:color w:val="000000"/>
          <w:kern w:val="0"/>
          <w:sz w:val="21"/>
          <w:szCs w:val="21"/>
          <w:highlight w:val="none"/>
        </w:rPr>
        <w:t xml:space="preserve">   号：________________________</w:t>
      </w:r>
    </w:p>
    <w:p>
      <w:pPr>
        <w:pageBreakBefore w:val="0"/>
        <w:widowControl/>
        <w:kinsoku/>
        <w:wordWrap/>
        <w:topLinePunct w:val="0"/>
        <w:bidi w:val="0"/>
        <w:spacing w:line="480" w:lineRule="exact"/>
        <w:ind w:firstLine="210" w:firstLineChars="100"/>
        <w:jc w:val="left"/>
        <w:textAlignment w:val="auto"/>
        <w:rPr>
          <w:rFonts w:ascii="宋体" w:hAnsi="宋体" w:cs="Arial"/>
          <w:color w:val="000000"/>
          <w:kern w:val="0"/>
          <w:szCs w:val="21"/>
          <w:highlight w:val="none"/>
        </w:rPr>
      </w:pPr>
      <w:r>
        <w:rPr>
          <w:rFonts w:hint="eastAsia" w:ascii="宋体" w:hAnsi="宋体" w:eastAsia="宋体" w:cs="宋体"/>
          <w:color w:val="000000"/>
          <w:kern w:val="0"/>
          <w:sz w:val="21"/>
          <w:szCs w:val="21"/>
          <w:highlight w:val="none"/>
        </w:rPr>
        <w:t>签约时间：____________________  签约地点：________________________</w:t>
      </w:r>
      <w:r>
        <w:rPr>
          <w:rFonts w:hint="eastAsia" w:ascii="宋体" w:hAnsi="宋体" w:eastAsia="宋体" w:cs="宋体"/>
          <w:color w:val="000000"/>
          <w:kern w:val="0"/>
          <w:sz w:val="21"/>
          <w:szCs w:val="21"/>
          <w:highlight w:val="none"/>
          <w:u w:val="single"/>
        </w:rPr>
        <w:t xml:space="preserve"> </w:t>
      </w:r>
      <w:r>
        <w:rPr>
          <w:rFonts w:ascii="宋体" w:hAnsi="宋体" w:cs="Arial"/>
          <w:color w:val="000000"/>
          <w:kern w:val="0"/>
          <w:szCs w:val="21"/>
          <w:highlight w:val="none"/>
          <w:u w:val="single"/>
        </w:rPr>
        <w:t xml:space="preserve"> </w:t>
      </w:r>
    </w:p>
    <w:p>
      <w:pPr>
        <w:pStyle w:val="2"/>
        <w:jc w:val="both"/>
        <w:rPr>
          <w:rFonts w:hint="eastAsia"/>
          <w:highlight w:val="none"/>
          <w:lang w:eastAsia="zh-CN"/>
        </w:rPr>
      </w:pPr>
      <w:r>
        <w:rPr>
          <w:rFonts w:ascii="方正小标宋简体" w:hAnsi="宋体" w:eastAsia="方正小标宋简体" w:cs="宋体"/>
          <w:bCs/>
          <w:color w:val="000000"/>
          <w:kern w:val="0"/>
          <w:sz w:val="44"/>
          <w:szCs w:val="44"/>
          <w:highlight w:val="none"/>
        </w:rPr>
        <w:br w:type="page"/>
      </w:r>
    </w:p>
    <w:p>
      <w:pPr>
        <w:spacing w:line="520" w:lineRule="exact"/>
        <w:jc w:val="center"/>
        <w:rPr>
          <w:rFonts w:hint="eastAsia" w:ascii="宋体" w:hAnsi="宋体" w:eastAsia="宋体" w:cs="宋体"/>
          <w:b/>
          <w:bCs/>
          <w:color w:val="auto"/>
          <w:sz w:val="36"/>
          <w:szCs w:val="36"/>
          <w:highlight w:val="none"/>
        </w:rPr>
      </w:pPr>
      <w:r>
        <w:rPr>
          <w:rFonts w:hint="eastAsia" w:ascii="宋体" w:hAnsi="宋体" w:eastAsia="宋体" w:cs="宋体"/>
          <w:b/>
          <w:bCs/>
          <w:sz w:val="36"/>
          <w:szCs w:val="36"/>
          <w:lang w:eastAsia="zh-CN"/>
        </w:rPr>
        <w:t>义乌市数字经济产业社区项目物业服务</w:t>
      </w:r>
      <w:r>
        <w:rPr>
          <w:rFonts w:hint="eastAsia" w:ascii="宋体" w:hAnsi="宋体" w:eastAsia="宋体" w:cs="宋体"/>
          <w:b/>
          <w:bCs/>
          <w:color w:val="auto"/>
          <w:sz w:val="36"/>
          <w:szCs w:val="36"/>
          <w:highlight w:val="none"/>
        </w:rPr>
        <w:t>考核细则</w:t>
      </w:r>
    </w:p>
    <w:tbl>
      <w:tblPr>
        <w:tblStyle w:val="3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
      <w:tblGrid>
        <w:gridCol w:w="542"/>
        <w:gridCol w:w="895"/>
        <w:gridCol w:w="781"/>
        <w:gridCol w:w="1685"/>
        <w:gridCol w:w="2640"/>
        <w:gridCol w:w="35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38" w:hRule="atLeast"/>
          <w:jc w:val="center"/>
        </w:trPr>
        <w:tc>
          <w:tcPr>
            <w:tcW w:w="10100" w:type="dxa"/>
            <w:gridSpan w:val="6"/>
            <w:noWrap w:val="0"/>
            <w:vAlign w:val="center"/>
          </w:tcPr>
          <w:p>
            <w:pPr>
              <w:widowControl/>
              <w:jc w:val="center"/>
              <w:textAlignment w:val="center"/>
              <w:rPr>
                <w:rFonts w:hint="eastAsia" w:ascii="宋体" w:hAnsi="宋体" w:cs="宋体"/>
                <w:b/>
                <w:color w:val="auto"/>
                <w:szCs w:val="21"/>
                <w:highlight w:val="none"/>
              </w:rPr>
            </w:pPr>
            <w:r>
              <w:rPr>
                <w:rFonts w:hint="eastAsia" w:ascii="宋体" w:hAnsi="宋体" w:cs="宋体"/>
                <w:b/>
                <w:color w:val="auto"/>
                <w:kern w:val="0"/>
                <w:szCs w:val="21"/>
                <w:highlight w:val="none"/>
                <w:lang w:bidi="ar"/>
              </w:rPr>
              <w:t>一、基础管理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38" w:hRule="atLeast"/>
          <w:jc w:val="center"/>
        </w:trPr>
        <w:tc>
          <w:tcPr>
            <w:tcW w:w="542" w:type="dxa"/>
            <w:noWrap w:val="0"/>
            <w:vAlign w:val="center"/>
          </w:tcPr>
          <w:p>
            <w:pPr>
              <w:widowControl/>
              <w:jc w:val="center"/>
              <w:textAlignment w:val="center"/>
              <w:rPr>
                <w:rFonts w:hint="eastAsia" w:ascii="宋体" w:hAnsi="宋体" w:cs="宋体"/>
                <w:b/>
                <w:color w:val="auto"/>
                <w:szCs w:val="21"/>
                <w:highlight w:val="none"/>
              </w:rPr>
            </w:pPr>
            <w:r>
              <w:rPr>
                <w:rFonts w:hint="eastAsia" w:ascii="宋体" w:hAnsi="宋体" w:cs="宋体"/>
                <w:b/>
                <w:color w:val="auto"/>
                <w:kern w:val="0"/>
                <w:szCs w:val="21"/>
                <w:highlight w:val="none"/>
                <w:lang w:bidi="ar"/>
              </w:rPr>
              <w:t>序号</w:t>
            </w:r>
          </w:p>
        </w:tc>
        <w:tc>
          <w:tcPr>
            <w:tcW w:w="6001" w:type="dxa"/>
            <w:gridSpan w:val="4"/>
            <w:noWrap w:val="0"/>
            <w:vAlign w:val="center"/>
          </w:tcPr>
          <w:p>
            <w:pPr>
              <w:widowControl/>
              <w:jc w:val="center"/>
              <w:textAlignment w:val="center"/>
              <w:rPr>
                <w:rFonts w:hint="eastAsia" w:ascii="宋体" w:hAnsi="宋体" w:cs="宋体"/>
                <w:b/>
                <w:color w:val="auto"/>
                <w:szCs w:val="21"/>
                <w:highlight w:val="none"/>
              </w:rPr>
            </w:pPr>
            <w:r>
              <w:rPr>
                <w:rFonts w:hint="eastAsia" w:ascii="宋体" w:hAnsi="宋体" w:cs="宋体"/>
                <w:b/>
                <w:color w:val="auto"/>
                <w:kern w:val="0"/>
                <w:szCs w:val="21"/>
                <w:highlight w:val="none"/>
                <w:lang w:bidi="ar"/>
              </w:rPr>
              <w:t>服务标准</w:t>
            </w:r>
          </w:p>
        </w:tc>
        <w:tc>
          <w:tcPr>
            <w:tcW w:w="3557" w:type="dxa"/>
            <w:noWrap w:val="0"/>
            <w:vAlign w:val="center"/>
          </w:tcPr>
          <w:p>
            <w:pPr>
              <w:widowControl/>
              <w:jc w:val="center"/>
              <w:textAlignment w:val="center"/>
              <w:rPr>
                <w:rFonts w:hint="eastAsia" w:ascii="宋体" w:hAnsi="宋体" w:cs="宋体"/>
                <w:b/>
                <w:color w:val="auto"/>
                <w:szCs w:val="21"/>
                <w:highlight w:val="none"/>
              </w:rPr>
            </w:pPr>
            <w:r>
              <w:rPr>
                <w:rFonts w:hint="eastAsia" w:ascii="宋体" w:hAnsi="宋体" w:cs="宋体"/>
                <w:b/>
                <w:color w:val="auto"/>
                <w:kern w:val="0"/>
                <w:szCs w:val="21"/>
                <w:highlight w:val="none"/>
                <w:lang w:bidi="ar"/>
              </w:rPr>
              <w:t>评分细则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690" w:hRule="atLeast"/>
          <w:jc w:val="center"/>
        </w:trPr>
        <w:tc>
          <w:tcPr>
            <w:tcW w:w="542" w:type="dxa"/>
            <w:noWrap w:val="0"/>
            <w:vAlign w:val="center"/>
          </w:tcPr>
          <w:p>
            <w:pPr>
              <w:widowControl/>
              <w:jc w:val="center"/>
              <w:textAlignment w:val="center"/>
              <w:rPr>
                <w:rFonts w:hint="eastAsia" w:ascii="宋体" w:hAnsi="宋体" w:cs="宋体"/>
                <w:color w:val="auto"/>
                <w:szCs w:val="21"/>
                <w:highlight w:val="none"/>
              </w:rPr>
            </w:pPr>
            <w:r>
              <w:rPr>
                <w:rFonts w:hint="eastAsia" w:ascii="宋体" w:hAnsi="宋体" w:cs="宋体"/>
                <w:color w:val="auto"/>
                <w:kern w:val="0"/>
                <w:szCs w:val="21"/>
                <w:highlight w:val="none"/>
                <w:lang w:bidi="ar"/>
              </w:rPr>
              <w:t>1</w:t>
            </w:r>
          </w:p>
        </w:tc>
        <w:tc>
          <w:tcPr>
            <w:tcW w:w="6001" w:type="dxa"/>
            <w:gridSpan w:val="4"/>
            <w:noWrap w:val="0"/>
            <w:vAlign w:val="center"/>
          </w:tcPr>
          <w:p>
            <w:pPr>
              <w:widowControl/>
              <w:jc w:val="left"/>
              <w:textAlignment w:val="center"/>
              <w:rPr>
                <w:rFonts w:hint="eastAsia" w:ascii="宋体" w:hAnsi="宋体" w:cs="宋体"/>
                <w:color w:val="auto"/>
                <w:szCs w:val="21"/>
                <w:highlight w:val="none"/>
              </w:rPr>
            </w:pPr>
            <w:r>
              <w:rPr>
                <w:rFonts w:hint="eastAsia" w:ascii="宋体" w:hAnsi="宋体" w:cs="宋体"/>
                <w:color w:val="auto"/>
                <w:kern w:val="0"/>
                <w:szCs w:val="21"/>
                <w:highlight w:val="none"/>
                <w:lang w:bidi="ar"/>
              </w:rPr>
              <w:t>物业管理企业的管理人员和专业技术人员持证上岗：员工着装规范，佩戴明显标志，工作规范、作风严谨</w:t>
            </w:r>
          </w:p>
        </w:tc>
        <w:tc>
          <w:tcPr>
            <w:tcW w:w="3557" w:type="dxa"/>
            <w:noWrap w:val="0"/>
            <w:vAlign w:val="center"/>
          </w:tcPr>
          <w:p>
            <w:pPr>
              <w:widowControl/>
              <w:textAlignment w:val="center"/>
              <w:rPr>
                <w:rFonts w:hint="eastAsia" w:ascii="宋体" w:hAnsi="宋体" w:cs="宋体"/>
                <w:color w:val="auto"/>
                <w:szCs w:val="21"/>
                <w:highlight w:val="none"/>
              </w:rPr>
            </w:pPr>
            <w:r>
              <w:rPr>
                <w:rFonts w:hint="eastAsia" w:ascii="宋体" w:hAnsi="宋体" w:cs="宋体"/>
                <w:color w:val="auto"/>
                <w:kern w:val="0"/>
                <w:szCs w:val="21"/>
                <w:highlight w:val="none"/>
                <w:lang w:bidi="ar"/>
              </w:rPr>
              <w:t>发现一人未做到位扣1分，发现3人以上不符合的，一次性扣2分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659" w:hRule="atLeast"/>
          <w:jc w:val="center"/>
        </w:trPr>
        <w:tc>
          <w:tcPr>
            <w:tcW w:w="542" w:type="dxa"/>
            <w:noWrap w:val="0"/>
            <w:vAlign w:val="center"/>
          </w:tcPr>
          <w:p>
            <w:pPr>
              <w:widowControl/>
              <w:jc w:val="center"/>
              <w:textAlignment w:val="center"/>
              <w:rPr>
                <w:rFonts w:hint="eastAsia" w:ascii="宋体" w:hAnsi="宋体" w:cs="宋体"/>
                <w:color w:val="auto"/>
                <w:szCs w:val="21"/>
                <w:highlight w:val="none"/>
              </w:rPr>
            </w:pPr>
            <w:r>
              <w:rPr>
                <w:rFonts w:hint="eastAsia" w:ascii="宋体" w:hAnsi="宋体" w:cs="宋体"/>
                <w:color w:val="auto"/>
                <w:kern w:val="0"/>
                <w:szCs w:val="21"/>
                <w:highlight w:val="none"/>
                <w:lang w:bidi="ar"/>
              </w:rPr>
              <w:t>2</w:t>
            </w:r>
          </w:p>
        </w:tc>
        <w:tc>
          <w:tcPr>
            <w:tcW w:w="6001" w:type="dxa"/>
            <w:gridSpan w:val="4"/>
            <w:noWrap w:val="0"/>
            <w:vAlign w:val="center"/>
          </w:tcPr>
          <w:p>
            <w:pPr>
              <w:widowControl/>
              <w:jc w:val="left"/>
              <w:textAlignment w:val="center"/>
              <w:rPr>
                <w:rFonts w:hint="eastAsia" w:ascii="宋体" w:hAnsi="宋体" w:cs="宋体"/>
                <w:color w:val="auto"/>
                <w:szCs w:val="21"/>
                <w:highlight w:val="none"/>
              </w:rPr>
            </w:pPr>
            <w:r>
              <w:rPr>
                <w:rFonts w:hint="eastAsia" w:ascii="宋体" w:hAnsi="宋体" w:cs="宋体"/>
                <w:color w:val="auto"/>
                <w:kern w:val="0"/>
                <w:szCs w:val="21"/>
                <w:highlight w:val="none"/>
                <w:lang w:bidi="ar"/>
              </w:rPr>
              <w:t>物业管理企业应用计算机、智能化设备等现代化管理手段，提高管理效率</w:t>
            </w:r>
          </w:p>
        </w:tc>
        <w:tc>
          <w:tcPr>
            <w:tcW w:w="3557" w:type="dxa"/>
            <w:noWrap w:val="0"/>
            <w:vAlign w:val="center"/>
          </w:tcPr>
          <w:p>
            <w:pPr>
              <w:widowControl/>
              <w:jc w:val="left"/>
              <w:textAlignment w:val="center"/>
              <w:rPr>
                <w:rFonts w:hint="eastAsia" w:ascii="宋体" w:hAnsi="宋体" w:cs="宋体"/>
                <w:color w:val="auto"/>
                <w:szCs w:val="21"/>
                <w:highlight w:val="none"/>
              </w:rPr>
            </w:pPr>
            <w:r>
              <w:rPr>
                <w:rFonts w:hint="eastAsia" w:ascii="宋体" w:hAnsi="宋体" w:cs="宋体"/>
                <w:color w:val="auto"/>
                <w:kern w:val="0"/>
                <w:szCs w:val="21"/>
                <w:highlight w:val="none"/>
                <w:lang w:bidi="ar"/>
              </w:rPr>
              <w:t>不符合扣2分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627" w:hRule="atLeast"/>
          <w:jc w:val="center"/>
        </w:trPr>
        <w:tc>
          <w:tcPr>
            <w:tcW w:w="542" w:type="dxa"/>
            <w:noWrap w:val="0"/>
            <w:vAlign w:val="center"/>
          </w:tcPr>
          <w:p>
            <w:pPr>
              <w:widowControl/>
              <w:jc w:val="center"/>
              <w:textAlignment w:val="center"/>
              <w:rPr>
                <w:rFonts w:hint="eastAsia" w:ascii="宋体" w:hAnsi="宋体" w:cs="宋体"/>
                <w:color w:val="auto"/>
                <w:szCs w:val="21"/>
                <w:highlight w:val="none"/>
              </w:rPr>
            </w:pPr>
            <w:r>
              <w:rPr>
                <w:rFonts w:hint="eastAsia" w:ascii="宋体" w:hAnsi="宋体" w:cs="宋体"/>
                <w:color w:val="auto"/>
                <w:kern w:val="0"/>
                <w:szCs w:val="21"/>
                <w:highlight w:val="none"/>
                <w:lang w:bidi="ar"/>
              </w:rPr>
              <w:t>3</w:t>
            </w:r>
          </w:p>
        </w:tc>
        <w:tc>
          <w:tcPr>
            <w:tcW w:w="6001" w:type="dxa"/>
            <w:gridSpan w:val="4"/>
            <w:noWrap w:val="0"/>
            <w:vAlign w:val="center"/>
          </w:tcPr>
          <w:p>
            <w:pPr>
              <w:widowControl/>
              <w:jc w:val="left"/>
              <w:textAlignment w:val="center"/>
              <w:rPr>
                <w:rFonts w:hint="eastAsia" w:ascii="宋体" w:hAnsi="宋体" w:cs="宋体"/>
                <w:color w:val="auto"/>
                <w:szCs w:val="21"/>
                <w:highlight w:val="none"/>
              </w:rPr>
            </w:pPr>
            <w:r>
              <w:rPr>
                <w:rFonts w:hint="eastAsia" w:ascii="宋体" w:hAnsi="宋体" w:cs="宋体"/>
                <w:color w:val="auto"/>
                <w:kern w:val="0"/>
                <w:szCs w:val="21"/>
                <w:highlight w:val="none"/>
                <w:lang w:bidi="ar"/>
              </w:rPr>
              <w:t>房屋及其共用设施设备档案资料齐全，分类成册、管理完善，查阅方便</w:t>
            </w:r>
          </w:p>
        </w:tc>
        <w:tc>
          <w:tcPr>
            <w:tcW w:w="3557" w:type="dxa"/>
            <w:noWrap w:val="0"/>
            <w:vAlign w:val="center"/>
          </w:tcPr>
          <w:p>
            <w:pPr>
              <w:widowControl/>
              <w:textAlignment w:val="center"/>
              <w:rPr>
                <w:rFonts w:hint="eastAsia" w:ascii="宋体" w:hAnsi="宋体" w:cs="宋体"/>
                <w:color w:val="auto"/>
                <w:szCs w:val="21"/>
                <w:highlight w:val="none"/>
              </w:rPr>
            </w:pPr>
            <w:r>
              <w:rPr>
                <w:rFonts w:hint="eastAsia" w:ascii="宋体" w:hAnsi="宋体" w:cs="宋体"/>
                <w:color w:val="auto"/>
                <w:kern w:val="0"/>
                <w:szCs w:val="21"/>
                <w:highlight w:val="none"/>
                <w:lang w:bidi="ar"/>
              </w:rPr>
              <w:t>不符合扣2分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116" w:hRule="atLeast"/>
          <w:jc w:val="center"/>
        </w:trPr>
        <w:tc>
          <w:tcPr>
            <w:tcW w:w="542" w:type="dxa"/>
            <w:noWrap w:val="0"/>
            <w:vAlign w:val="center"/>
          </w:tcPr>
          <w:p>
            <w:pPr>
              <w:widowControl/>
              <w:jc w:val="center"/>
              <w:textAlignment w:val="center"/>
              <w:rPr>
                <w:rFonts w:hint="eastAsia" w:ascii="宋体" w:hAnsi="宋体" w:cs="宋体"/>
                <w:color w:val="auto"/>
                <w:szCs w:val="21"/>
                <w:highlight w:val="none"/>
              </w:rPr>
            </w:pPr>
            <w:r>
              <w:rPr>
                <w:rFonts w:hint="eastAsia" w:ascii="宋体" w:hAnsi="宋体" w:cs="宋体"/>
                <w:color w:val="auto"/>
                <w:kern w:val="0"/>
                <w:szCs w:val="21"/>
                <w:highlight w:val="none"/>
                <w:lang w:bidi="ar"/>
              </w:rPr>
              <w:t>4</w:t>
            </w:r>
          </w:p>
        </w:tc>
        <w:tc>
          <w:tcPr>
            <w:tcW w:w="6001" w:type="dxa"/>
            <w:gridSpan w:val="4"/>
            <w:noWrap w:val="0"/>
            <w:vAlign w:val="center"/>
          </w:tcPr>
          <w:p>
            <w:pPr>
              <w:widowControl/>
              <w:jc w:val="left"/>
              <w:textAlignment w:val="center"/>
              <w:rPr>
                <w:rFonts w:hint="eastAsia" w:ascii="宋体" w:hAnsi="宋体" w:cs="宋体"/>
                <w:color w:val="auto"/>
                <w:szCs w:val="21"/>
                <w:highlight w:val="none"/>
              </w:rPr>
            </w:pPr>
            <w:r>
              <w:rPr>
                <w:rFonts w:hint="eastAsia" w:ascii="宋体" w:hAnsi="宋体" w:cs="宋体"/>
                <w:color w:val="auto"/>
                <w:sz w:val="22"/>
                <w:szCs w:val="22"/>
                <w:highlight w:val="none"/>
                <w:lang w:eastAsia="zh-CN"/>
              </w:rPr>
              <w:t>各项</w:t>
            </w:r>
            <w:r>
              <w:rPr>
                <w:rFonts w:hint="eastAsia" w:ascii="宋体" w:hAnsi="宋体" w:cs="宋体"/>
                <w:color w:val="auto"/>
                <w:sz w:val="22"/>
                <w:szCs w:val="22"/>
                <w:highlight w:val="none"/>
              </w:rPr>
              <w:t>规章</w:t>
            </w:r>
            <w:r>
              <w:rPr>
                <w:rFonts w:hint="eastAsia" w:ascii="宋体" w:hAnsi="宋体" w:cs="宋体"/>
                <w:color w:val="auto"/>
                <w:sz w:val="22"/>
                <w:szCs w:val="22"/>
                <w:highlight w:val="none"/>
                <w:lang w:eastAsia="zh-CN"/>
              </w:rPr>
              <w:t>管理</w:t>
            </w:r>
            <w:r>
              <w:rPr>
                <w:rFonts w:hint="eastAsia" w:ascii="宋体" w:hAnsi="宋体" w:cs="宋体"/>
                <w:color w:val="auto"/>
                <w:sz w:val="22"/>
                <w:szCs w:val="22"/>
                <w:highlight w:val="none"/>
              </w:rPr>
              <w:t>制度</w:t>
            </w:r>
            <w:r>
              <w:rPr>
                <w:rFonts w:hint="eastAsia" w:ascii="宋体" w:hAnsi="宋体" w:cs="宋体"/>
                <w:color w:val="auto"/>
                <w:sz w:val="22"/>
                <w:szCs w:val="22"/>
                <w:highlight w:val="none"/>
                <w:lang w:eastAsia="zh-CN"/>
              </w:rPr>
              <w:t>健全，</w:t>
            </w:r>
            <w:r>
              <w:rPr>
                <w:rFonts w:hint="eastAsia" w:ascii="宋体" w:hAnsi="宋体" w:cs="宋体"/>
                <w:color w:val="auto"/>
                <w:sz w:val="22"/>
                <w:szCs w:val="22"/>
                <w:highlight w:val="none"/>
              </w:rPr>
              <w:t>各岗位工作职责明确，有相关的操作流程</w:t>
            </w:r>
            <w:r>
              <w:rPr>
                <w:rFonts w:hint="eastAsia" w:ascii="宋体" w:hAnsi="宋体" w:cs="宋体"/>
                <w:color w:val="auto"/>
                <w:sz w:val="22"/>
                <w:szCs w:val="22"/>
                <w:highlight w:val="none"/>
                <w:lang w:eastAsia="zh-CN"/>
              </w:rPr>
              <w:t>；建立</w:t>
            </w:r>
            <w:r>
              <w:rPr>
                <w:rFonts w:hint="eastAsia" w:ascii="宋体" w:hAnsi="宋体" w:cs="宋体"/>
                <w:color w:val="auto"/>
                <w:sz w:val="22"/>
                <w:szCs w:val="22"/>
                <w:highlight w:val="none"/>
                <w:lang w:val="en-US" w:eastAsia="zh-CN"/>
              </w:rPr>
              <w:t>24小时正常工作制度</w:t>
            </w:r>
            <w:r>
              <w:rPr>
                <w:rFonts w:hint="eastAsia" w:ascii="宋体" w:hAnsi="宋体" w:cs="宋体"/>
                <w:color w:val="auto"/>
                <w:kern w:val="0"/>
                <w:szCs w:val="21"/>
                <w:highlight w:val="none"/>
                <w:lang w:bidi="ar"/>
              </w:rPr>
              <w:t>，设立服务电话、接受业主和使用人对物业管理服务报修、求助、建议、问询、质疑、投诉等各类信息的收集和反馈、并及时处理，有回访制度和记录</w:t>
            </w:r>
          </w:p>
        </w:tc>
        <w:tc>
          <w:tcPr>
            <w:tcW w:w="3557" w:type="dxa"/>
            <w:noWrap w:val="0"/>
            <w:vAlign w:val="center"/>
          </w:tcPr>
          <w:p>
            <w:pPr>
              <w:widowControl/>
              <w:jc w:val="left"/>
              <w:textAlignment w:val="center"/>
              <w:rPr>
                <w:rFonts w:hint="eastAsia" w:ascii="宋体" w:hAnsi="宋体" w:cs="宋体"/>
                <w:color w:val="auto"/>
                <w:szCs w:val="21"/>
                <w:highlight w:val="none"/>
              </w:rPr>
            </w:pPr>
            <w:r>
              <w:rPr>
                <w:rFonts w:hint="eastAsia" w:ascii="宋体" w:hAnsi="宋体" w:cs="宋体"/>
                <w:color w:val="auto"/>
                <w:kern w:val="0"/>
                <w:szCs w:val="21"/>
                <w:highlight w:val="none"/>
                <w:lang w:eastAsia="zh-CN" w:bidi="ar"/>
              </w:rPr>
              <w:t>规章制度不全的，每缺</w:t>
            </w:r>
            <w:r>
              <w:rPr>
                <w:rFonts w:hint="eastAsia" w:ascii="宋体" w:hAnsi="宋体" w:cs="宋体"/>
                <w:color w:val="auto"/>
                <w:kern w:val="0"/>
                <w:szCs w:val="21"/>
                <w:highlight w:val="none"/>
                <w:lang w:val="en-US" w:eastAsia="zh-CN" w:bidi="ar"/>
              </w:rPr>
              <w:t>1项扣2分；</w:t>
            </w:r>
            <w:r>
              <w:rPr>
                <w:rFonts w:hint="eastAsia" w:ascii="宋体" w:hAnsi="宋体" w:cs="宋体"/>
                <w:color w:val="auto"/>
                <w:kern w:val="0"/>
                <w:szCs w:val="21"/>
                <w:highlight w:val="none"/>
                <w:lang w:bidi="ar"/>
              </w:rPr>
              <w:t>未设服务电话扣2分，发现一处处理不及时扣1分，没有回访记录每次扣1分。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695" w:hRule="atLeast"/>
          <w:jc w:val="center"/>
        </w:trPr>
        <w:tc>
          <w:tcPr>
            <w:tcW w:w="542" w:type="dxa"/>
            <w:noWrap w:val="0"/>
            <w:vAlign w:val="center"/>
          </w:tcPr>
          <w:p>
            <w:pPr>
              <w:widowControl/>
              <w:jc w:val="center"/>
              <w:textAlignment w:val="center"/>
              <w:rPr>
                <w:rFonts w:hint="eastAsia" w:ascii="宋体" w:hAnsi="宋体" w:cs="宋体"/>
                <w:color w:val="auto"/>
                <w:szCs w:val="21"/>
                <w:highlight w:val="none"/>
              </w:rPr>
            </w:pPr>
            <w:r>
              <w:rPr>
                <w:rFonts w:hint="eastAsia" w:ascii="宋体" w:hAnsi="宋体" w:cs="宋体"/>
                <w:color w:val="auto"/>
                <w:kern w:val="0"/>
                <w:szCs w:val="21"/>
                <w:highlight w:val="none"/>
                <w:lang w:bidi="ar"/>
              </w:rPr>
              <w:t>5</w:t>
            </w:r>
          </w:p>
        </w:tc>
        <w:tc>
          <w:tcPr>
            <w:tcW w:w="6001" w:type="dxa"/>
            <w:gridSpan w:val="4"/>
            <w:noWrap w:val="0"/>
            <w:vAlign w:val="center"/>
          </w:tcPr>
          <w:p>
            <w:pPr>
              <w:widowControl/>
              <w:jc w:val="left"/>
              <w:textAlignment w:val="center"/>
              <w:rPr>
                <w:rFonts w:hint="eastAsia" w:ascii="宋体" w:hAnsi="宋体" w:cs="宋体"/>
                <w:color w:val="auto"/>
                <w:szCs w:val="21"/>
                <w:highlight w:val="none"/>
              </w:rPr>
            </w:pPr>
            <w:r>
              <w:rPr>
                <w:rFonts w:hint="eastAsia" w:ascii="宋体" w:hAnsi="宋体" w:cs="宋体"/>
                <w:color w:val="auto"/>
                <w:kern w:val="0"/>
                <w:szCs w:val="21"/>
                <w:highlight w:val="none"/>
                <w:lang w:bidi="ar"/>
              </w:rPr>
              <w:t>定期向业主和使用人发放物业管理服务工作征求意见单，对合理的建议及时整改</w:t>
            </w:r>
            <w:r>
              <w:rPr>
                <w:rFonts w:hint="eastAsia" w:ascii="宋体" w:hAnsi="宋体" w:cs="宋体"/>
                <w:color w:val="auto"/>
                <w:kern w:val="0"/>
                <w:szCs w:val="21"/>
                <w:highlight w:val="none"/>
                <w:lang w:eastAsia="zh-CN" w:bidi="ar"/>
              </w:rPr>
              <w:t>，</w:t>
            </w:r>
            <w:r>
              <w:rPr>
                <w:rFonts w:hint="eastAsia" w:ascii="宋体" w:hAnsi="宋体" w:cs="宋体"/>
                <w:color w:val="auto"/>
                <w:kern w:val="0"/>
                <w:szCs w:val="21"/>
                <w:highlight w:val="none"/>
                <w:lang w:bidi="ar"/>
              </w:rPr>
              <w:t>满意率达90％以上</w:t>
            </w:r>
          </w:p>
        </w:tc>
        <w:tc>
          <w:tcPr>
            <w:tcW w:w="3557" w:type="dxa"/>
            <w:noWrap w:val="0"/>
            <w:vAlign w:val="center"/>
          </w:tcPr>
          <w:p>
            <w:pPr>
              <w:widowControl/>
              <w:jc w:val="left"/>
              <w:textAlignment w:val="center"/>
              <w:rPr>
                <w:rFonts w:hint="eastAsia" w:ascii="宋体" w:hAnsi="宋体" w:cs="宋体"/>
                <w:color w:val="auto"/>
                <w:szCs w:val="21"/>
                <w:highlight w:val="none"/>
              </w:rPr>
            </w:pPr>
            <w:r>
              <w:rPr>
                <w:rFonts w:hint="eastAsia" w:ascii="宋体" w:hAnsi="宋体" w:cs="宋体"/>
                <w:b w:val="0"/>
                <w:bCs/>
                <w:color w:val="auto"/>
                <w:kern w:val="0"/>
                <w:sz w:val="21"/>
                <w:szCs w:val="21"/>
                <w:highlight w:val="none"/>
                <w:lang w:val="en-US" w:eastAsia="zh-CN" w:bidi="ar"/>
              </w:rPr>
              <w:t>设“满意”“一般”“不满意”三个等级，</w:t>
            </w:r>
            <w:r>
              <w:rPr>
                <w:rFonts w:hint="eastAsia" w:ascii="宋体" w:hAnsi="宋体" w:cs="宋体"/>
                <w:b w:val="0"/>
                <w:bCs/>
                <w:color w:val="auto"/>
                <w:kern w:val="0"/>
                <w:sz w:val="21"/>
                <w:szCs w:val="21"/>
                <w:highlight w:val="none"/>
                <w:lang w:eastAsia="zh-CN" w:bidi="ar"/>
              </w:rPr>
              <w:t>每季抽查</w:t>
            </w:r>
            <w:r>
              <w:rPr>
                <w:rFonts w:hint="eastAsia" w:ascii="宋体" w:hAnsi="宋体" w:cs="宋体"/>
                <w:b w:val="0"/>
                <w:bCs/>
                <w:color w:val="auto"/>
                <w:kern w:val="0"/>
                <w:sz w:val="21"/>
                <w:szCs w:val="21"/>
                <w:highlight w:val="none"/>
                <w:lang w:val="en-US" w:eastAsia="zh-CN" w:bidi="ar"/>
              </w:rPr>
              <w:t>10家承租企业或公寓租户，对环境卫生、安保、日常维修、文明服务等服务内容进行评价，物业服务评价“满意”在90%（含）以上为合格，</w:t>
            </w:r>
            <w:r>
              <w:rPr>
                <w:rFonts w:hint="eastAsia" w:ascii="宋体" w:hAnsi="宋体" w:cs="宋体"/>
                <w:b w:val="0"/>
                <w:bCs/>
                <w:color w:val="auto"/>
                <w:kern w:val="0"/>
                <w:sz w:val="21"/>
                <w:szCs w:val="21"/>
                <w:highlight w:val="none"/>
                <w:lang w:bidi="ar"/>
              </w:rPr>
              <w:t>不予扣分；如低于90%，则按每不足</w:t>
            </w:r>
            <w:r>
              <w:rPr>
                <w:rFonts w:hint="eastAsia" w:ascii="宋体" w:hAnsi="宋体" w:cs="宋体"/>
                <w:b w:val="0"/>
                <w:bCs/>
                <w:color w:val="auto"/>
                <w:kern w:val="0"/>
                <w:sz w:val="21"/>
                <w:szCs w:val="21"/>
                <w:highlight w:val="none"/>
                <w:lang w:val="en-US" w:eastAsia="zh-CN" w:bidi="ar"/>
              </w:rPr>
              <w:t>10</w:t>
            </w:r>
            <w:r>
              <w:rPr>
                <w:rFonts w:hint="eastAsia" w:ascii="宋体" w:hAnsi="宋体" w:cs="宋体"/>
                <w:b w:val="0"/>
                <w:bCs/>
                <w:color w:val="auto"/>
                <w:kern w:val="0"/>
                <w:sz w:val="21"/>
                <w:szCs w:val="21"/>
                <w:highlight w:val="none"/>
                <w:lang w:bidi="ar"/>
              </w:rPr>
              <w:t>%（含），扣1</w:t>
            </w:r>
            <w:r>
              <w:rPr>
                <w:rFonts w:hint="eastAsia" w:ascii="宋体" w:hAnsi="宋体" w:cs="宋体"/>
                <w:color w:val="auto"/>
                <w:kern w:val="0"/>
                <w:szCs w:val="21"/>
                <w:highlight w:val="none"/>
                <w:lang w:bidi="ar"/>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167" w:hRule="atLeast"/>
          <w:jc w:val="center"/>
        </w:trPr>
        <w:tc>
          <w:tcPr>
            <w:tcW w:w="542" w:type="dxa"/>
            <w:noWrap w:val="0"/>
            <w:vAlign w:val="center"/>
          </w:tcPr>
          <w:p>
            <w:pPr>
              <w:widowControl/>
              <w:jc w:val="center"/>
              <w:textAlignment w:val="center"/>
              <w:rPr>
                <w:rFonts w:hint="eastAsia" w:ascii="宋体" w:hAnsi="宋体" w:cs="宋体"/>
                <w:color w:val="auto"/>
                <w:szCs w:val="21"/>
                <w:highlight w:val="none"/>
              </w:rPr>
            </w:pPr>
            <w:r>
              <w:rPr>
                <w:rFonts w:hint="eastAsia" w:ascii="宋体" w:hAnsi="宋体" w:cs="宋体"/>
                <w:color w:val="auto"/>
                <w:kern w:val="0"/>
                <w:szCs w:val="21"/>
                <w:highlight w:val="none"/>
                <w:lang w:bidi="ar"/>
              </w:rPr>
              <w:t>6</w:t>
            </w:r>
          </w:p>
        </w:tc>
        <w:tc>
          <w:tcPr>
            <w:tcW w:w="6001" w:type="dxa"/>
            <w:gridSpan w:val="4"/>
            <w:noWrap w:val="0"/>
            <w:vAlign w:val="center"/>
          </w:tcPr>
          <w:p>
            <w:pPr>
              <w:widowControl/>
              <w:jc w:val="left"/>
              <w:textAlignment w:val="center"/>
              <w:rPr>
                <w:rFonts w:hint="eastAsia" w:ascii="宋体" w:hAnsi="宋体" w:cs="宋体"/>
                <w:color w:val="auto"/>
                <w:szCs w:val="21"/>
                <w:highlight w:val="none"/>
              </w:rPr>
            </w:pPr>
            <w:r>
              <w:rPr>
                <w:rFonts w:hint="eastAsia" w:ascii="宋体" w:hAnsi="宋体" w:cs="宋体"/>
                <w:color w:val="auto"/>
                <w:kern w:val="0"/>
                <w:szCs w:val="21"/>
                <w:highlight w:val="none"/>
                <w:lang w:bidi="ar"/>
              </w:rPr>
              <w:t>建立并落实便民维修服务承诺制、零修急修及时率 100％，返修率不高于1％，并有回访记录</w:t>
            </w:r>
          </w:p>
        </w:tc>
        <w:tc>
          <w:tcPr>
            <w:tcW w:w="3557" w:type="dxa"/>
            <w:noWrap w:val="0"/>
            <w:vAlign w:val="center"/>
          </w:tcPr>
          <w:p>
            <w:pPr>
              <w:widowControl/>
              <w:jc w:val="left"/>
              <w:textAlignment w:val="center"/>
              <w:rPr>
                <w:rFonts w:hint="eastAsia" w:ascii="宋体" w:hAnsi="宋体" w:cs="宋体"/>
                <w:color w:val="auto"/>
                <w:szCs w:val="21"/>
                <w:highlight w:val="none"/>
              </w:rPr>
            </w:pPr>
            <w:r>
              <w:rPr>
                <w:rFonts w:hint="eastAsia" w:ascii="宋体" w:hAnsi="宋体" w:cs="宋体"/>
                <w:color w:val="auto"/>
                <w:kern w:val="0"/>
                <w:szCs w:val="21"/>
                <w:highlight w:val="none"/>
                <w:lang w:bidi="ar"/>
              </w:rPr>
              <w:t>建立但未落实扣1分，未建立扣2分；及时率每降低1个百分点扣0.3分；返修率不符合扣0.6分；回访记录不完整或无回访记录扣1分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711" w:hRule="atLeast"/>
          <w:jc w:val="center"/>
        </w:trPr>
        <w:tc>
          <w:tcPr>
            <w:tcW w:w="542" w:type="dxa"/>
            <w:noWrap w:val="0"/>
            <w:vAlign w:val="center"/>
          </w:tcPr>
          <w:p>
            <w:pPr>
              <w:widowControl/>
              <w:jc w:val="center"/>
              <w:textAlignment w:val="center"/>
              <w:rPr>
                <w:rFonts w:hint="eastAsia" w:ascii="宋体" w:hAnsi="宋体" w:eastAsia="宋体" w:cs="宋体"/>
                <w:color w:val="auto"/>
                <w:kern w:val="0"/>
                <w:szCs w:val="21"/>
                <w:highlight w:val="none"/>
                <w:lang w:val="en-US" w:eastAsia="zh-CN" w:bidi="ar"/>
              </w:rPr>
            </w:pPr>
            <w:r>
              <w:rPr>
                <w:rFonts w:hint="eastAsia" w:ascii="宋体" w:hAnsi="宋体" w:cs="宋体"/>
                <w:color w:val="auto"/>
                <w:kern w:val="0"/>
                <w:szCs w:val="21"/>
                <w:highlight w:val="none"/>
                <w:lang w:val="en-US" w:eastAsia="zh-CN" w:bidi="ar"/>
              </w:rPr>
              <w:t>7</w:t>
            </w:r>
          </w:p>
        </w:tc>
        <w:tc>
          <w:tcPr>
            <w:tcW w:w="6001" w:type="dxa"/>
            <w:gridSpan w:val="4"/>
            <w:noWrap w:val="0"/>
            <w:vAlign w:val="center"/>
          </w:tcPr>
          <w:p>
            <w:pPr>
              <w:widowControl/>
              <w:jc w:val="left"/>
              <w:textAlignment w:val="center"/>
              <w:rPr>
                <w:rFonts w:hint="eastAsia" w:ascii="宋体" w:hAnsi="宋体" w:cs="宋体"/>
                <w:color w:val="auto"/>
                <w:kern w:val="0"/>
                <w:szCs w:val="21"/>
                <w:highlight w:val="none"/>
                <w:lang w:bidi="ar"/>
              </w:rPr>
            </w:pPr>
            <w:r>
              <w:rPr>
                <w:rFonts w:hint="eastAsia" w:ascii="宋体" w:hAnsi="宋体" w:cs="宋体"/>
                <w:color w:val="auto"/>
                <w:sz w:val="22"/>
                <w:szCs w:val="22"/>
                <w:highlight w:val="none"/>
                <w:lang w:eastAsia="zh-CN"/>
              </w:rPr>
              <w:t>根据春节、端午、中秋、国庆等传统节假日特点，举办各类相关活动</w:t>
            </w:r>
          </w:p>
        </w:tc>
        <w:tc>
          <w:tcPr>
            <w:tcW w:w="3557" w:type="dxa"/>
            <w:noWrap w:val="0"/>
            <w:vAlign w:val="center"/>
          </w:tcPr>
          <w:p>
            <w:pPr>
              <w:widowControl/>
              <w:jc w:val="left"/>
              <w:textAlignment w:val="center"/>
              <w:rPr>
                <w:rFonts w:hint="eastAsia" w:ascii="宋体" w:hAnsi="宋体" w:cs="宋体"/>
                <w:color w:val="auto"/>
                <w:kern w:val="0"/>
                <w:szCs w:val="21"/>
                <w:highlight w:val="none"/>
                <w:lang w:eastAsia="zh-CN" w:bidi="ar"/>
              </w:rPr>
            </w:pPr>
            <w:r>
              <w:rPr>
                <w:rFonts w:hint="eastAsia" w:ascii="宋体" w:hAnsi="宋体" w:cs="宋体"/>
                <w:color w:val="auto"/>
                <w:kern w:val="0"/>
                <w:szCs w:val="21"/>
                <w:highlight w:val="none"/>
                <w:lang w:eastAsia="zh-CN" w:bidi="ar"/>
              </w:rPr>
              <w:t>每季至少开展一次，每季末统计，</w:t>
            </w:r>
            <w:r>
              <w:rPr>
                <w:rFonts w:hint="eastAsia" w:ascii="宋体" w:hAnsi="宋体" w:cs="宋体"/>
                <w:b w:val="0"/>
                <w:bCs/>
                <w:color w:val="auto"/>
                <w:kern w:val="0"/>
                <w:sz w:val="21"/>
                <w:szCs w:val="21"/>
                <w:highlight w:val="none"/>
                <w:lang w:val="en-US" w:eastAsia="zh-CN" w:bidi="ar"/>
              </w:rPr>
              <w:t>不符合在每季末最后一个月内扣2分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711" w:hRule="atLeast"/>
          <w:jc w:val="center"/>
        </w:trPr>
        <w:tc>
          <w:tcPr>
            <w:tcW w:w="542" w:type="dxa"/>
            <w:noWrap w:val="0"/>
            <w:vAlign w:val="center"/>
          </w:tcPr>
          <w:p>
            <w:pPr>
              <w:widowControl/>
              <w:jc w:val="center"/>
              <w:textAlignment w:val="center"/>
              <w:rPr>
                <w:rFonts w:hint="eastAsia" w:ascii="宋体" w:hAnsi="宋体" w:eastAsia="宋体" w:cs="宋体"/>
                <w:color w:val="auto"/>
                <w:kern w:val="0"/>
                <w:szCs w:val="21"/>
                <w:highlight w:val="none"/>
                <w:lang w:val="en-US" w:eastAsia="zh-CN" w:bidi="ar"/>
              </w:rPr>
            </w:pPr>
            <w:r>
              <w:rPr>
                <w:rFonts w:hint="eastAsia" w:ascii="宋体" w:hAnsi="宋体" w:cs="宋体"/>
                <w:color w:val="auto"/>
                <w:kern w:val="0"/>
                <w:szCs w:val="21"/>
                <w:highlight w:val="none"/>
                <w:lang w:val="en-US" w:eastAsia="zh-CN" w:bidi="ar"/>
              </w:rPr>
              <w:t>8</w:t>
            </w:r>
          </w:p>
        </w:tc>
        <w:tc>
          <w:tcPr>
            <w:tcW w:w="6001" w:type="dxa"/>
            <w:gridSpan w:val="4"/>
            <w:noWrap w:val="0"/>
            <w:vAlign w:val="center"/>
          </w:tcPr>
          <w:p>
            <w:pPr>
              <w:widowControl/>
              <w:jc w:val="left"/>
              <w:textAlignment w:val="center"/>
              <w:rPr>
                <w:rFonts w:hint="eastAsia" w:ascii="宋体" w:hAnsi="宋体" w:eastAsia="宋体" w:cs="宋体"/>
                <w:color w:val="auto"/>
                <w:kern w:val="0"/>
                <w:szCs w:val="21"/>
                <w:highlight w:val="none"/>
                <w:lang w:eastAsia="zh-CN" w:bidi="ar"/>
              </w:rPr>
            </w:pPr>
            <w:r>
              <w:rPr>
                <w:rFonts w:hint="eastAsia" w:ascii="宋体" w:hAnsi="宋体" w:cs="宋体"/>
                <w:color w:val="auto"/>
                <w:kern w:val="0"/>
                <w:szCs w:val="21"/>
                <w:highlight w:val="none"/>
                <w:lang w:eastAsia="zh-CN" w:bidi="ar"/>
              </w:rPr>
              <w:t>设立智慧考勤系统，工作期间，按业主要求对上岗人员实行定位考勤</w:t>
            </w:r>
          </w:p>
        </w:tc>
        <w:tc>
          <w:tcPr>
            <w:tcW w:w="3557" w:type="dxa"/>
            <w:noWrap w:val="0"/>
            <w:vAlign w:val="center"/>
          </w:tcPr>
          <w:p>
            <w:pPr>
              <w:widowControl/>
              <w:jc w:val="left"/>
              <w:textAlignment w:val="center"/>
              <w:rPr>
                <w:rFonts w:hint="default" w:ascii="宋体" w:hAnsi="宋体" w:cs="宋体"/>
                <w:color w:val="auto"/>
                <w:kern w:val="0"/>
                <w:szCs w:val="21"/>
                <w:highlight w:val="none"/>
                <w:lang w:val="en-US" w:eastAsia="zh-CN" w:bidi="ar"/>
              </w:rPr>
            </w:pPr>
            <w:r>
              <w:rPr>
                <w:rFonts w:hint="eastAsia" w:ascii="宋体" w:hAnsi="宋体" w:cs="宋体"/>
                <w:color w:val="auto"/>
                <w:kern w:val="0"/>
                <w:szCs w:val="21"/>
                <w:highlight w:val="none"/>
                <w:lang w:eastAsia="zh-CN" w:bidi="ar"/>
              </w:rPr>
              <w:t>不符合扣</w:t>
            </w:r>
            <w:r>
              <w:rPr>
                <w:rFonts w:hint="eastAsia" w:ascii="宋体" w:hAnsi="宋体" w:cs="宋体"/>
                <w:color w:val="auto"/>
                <w:kern w:val="0"/>
                <w:szCs w:val="21"/>
                <w:highlight w:val="none"/>
                <w:lang w:val="en-US" w:eastAsia="zh-CN" w:bidi="ar"/>
              </w:rPr>
              <w:t>2分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711" w:hRule="atLeast"/>
          <w:jc w:val="center"/>
        </w:trPr>
        <w:tc>
          <w:tcPr>
            <w:tcW w:w="542" w:type="dxa"/>
            <w:noWrap w:val="0"/>
            <w:vAlign w:val="center"/>
          </w:tcPr>
          <w:p>
            <w:pPr>
              <w:widowControl/>
              <w:jc w:val="center"/>
              <w:textAlignment w:val="center"/>
              <w:rPr>
                <w:rFonts w:hint="eastAsia" w:ascii="宋体" w:hAnsi="宋体" w:eastAsia="宋体" w:cs="宋体"/>
                <w:color w:val="auto"/>
                <w:kern w:val="0"/>
                <w:szCs w:val="21"/>
                <w:highlight w:val="none"/>
                <w:lang w:eastAsia="zh-CN" w:bidi="ar"/>
              </w:rPr>
            </w:pPr>
            <w:r>
              <w:rPr>
                <w:rFonts w:hint="eastAsia" w:ascii="宋体" w:hAnsi="宋体" w:cs="宋体"/>
                <w:color w:val="auto"/>
                <w:kern w:val="0"/>
                <w:szCs w:val="21"/>
                <w:highlight w:val="none"/>
                <w:lang w:val="en-US" w:eastAsia="zh-CN" w:bidi="ar"/>
              </w:rPr>
              <w:t>9</w:t>
            </w:r>
          </w:p>
        </w:tc>
        <w:tc>
          <w:tcPr>
            <w:tcW w:w="6001" w:type="dxa"/>
            <w:gridSpan w:val="4"/>
            <w:noWrap w:val="0"/>
            <w:vAlign w:val="center"/>
          </w:tcPr>
          <w:p>
            <w:pPr>
              <w:widowControl/>
              <w:jc w:val="left"/>
              <w:textAlignment w:val="center"/>
              <w:rPr>
                <w:rFonts w:hint="eastAsia" w:ascii="宋体" w:hAnsi="宋体" w:cs="宋体"/>
                <w:color w:val="auto"/>
                <w:kern w:val="0"/>
                <w:szCs w:val="21"/>
                <w:highlight w:val="none"/>
                <w:lang w:bidi="ar"/>
              </w:rPr>
            </w:pPr>
            <w:r>
              <w:rPr>
                <w:rFonts w:hint="eastAsia" w:ascii="宋体" w:hAnsi="宋体" w:cs="宋体"/>
                <w:color w:val="auto"/>
                <w:kern w:val="0"/>
                <w:szCs w:val="21"/>
                <w:highlight w:val="none"/>
                <w:lang w:bidi="ar"/>
              </w:rPr>
              <w:t>实际到岗人员</w:t>
            </w:r>
            <w:r>
              <w:rPr>
                <w:rFonts w:hint="eastAsia" w:ascii="宋体" w:hAnsi="宋体" w:cs="宋体"/>
                <w:color w:val="auto"/>
                <w:kern w:val="0"/>
                <w:szCs w:val="21"/>
                <w:highlight w:val="none"/>
                <w:lang w:eastAsia="zh-CN" w:bidi="ar"/>
              </w:rPr>
              <w:t>以及人员的年龄、学历、技术证书等要求</w:t>
            </w:r>
            <w:r>
              <w:rPr>
                <w:rFonts w:hint="eastAsia" w:ascii="宋体" w:hAnsi="宋体" w:cs="宋体"/>
                <w:color w:val="auto"/>
                <w:kern w:val="0"/>
                <w:szCs w:val="21"/>
                <w:highlight w:val="none"/>
                <w:lang w:bidi="ar"/>
              </w:rPr>
              <w:t>应与合同</w:t>
            </w:r>
            <w:r>
              <w:rPr>
                <w:rFonts w:hint="eastAsia" w:ascii="宋体" w:hAnsi="宋体" w:cs="宋体"/>
                <w:color w:val="auto"/>
                <w:kern w:val="0"/>
                <w:szCs w:val="21"/>
                <w:highlight w:val="none"/>
                <w:lang w:eastAsia="zh-CN" w:bidi="ar"/>
              </w:rPr>
              <w:t>规定</w:t>
            </w:r>
            <w:r>
              <w:rPr>
                <w:rFonts w:hint="eastAsia" w:ascii="宋体" w:hAnsi="宋体" w:cs="宋体"/>
                <w:color w:val="auto"/>
                <w:kern w:val="0"/>
                <w:szCs w:val="21"/>
                <w:highlight w:val="none"/>
                <w:lang w:bidi="ar"/>
              </w:rPr>
              <w:t>标准一致</w:t>
            </w:r>
          </w:p>
        </w:tc>
        <w:tc>
          <w:tcPr>
            <w:tcW w:w="3557" w:type="dxa"/>
            <w:noWrap w:val="0"/>
            <w:vAlign w:val="center"/>
          </w:tcPr>
          <w:p>
            <w:pPr>
              <w:widowControl/>
              <w:jc w:val="left"/>
              <w:textAlignment w:val="center"/>
              <w:rPr>
                <w:rFonts w:hint="default" w:ascii="宋体" w:hAnsi="宋体" w:eastAsia="宋体" w:cs="宋体"/>
                <w:color w:val="auto"/>
                <w:kern w:val="0"/>
                <w:szCs w:val="21"/>
                <w:highlight w:val="none"/>
                <w:lang w:val="en-US" w:eastAsia="zh-CN" w:bidi="ar"/>
              </w:rPr>
            </w:pPr>
            <w:r>
              <w:rPr>
                <w:rFonts w:hint="eastAsia" w:ascii="宋体" w:hAnsi="宋体" w:cs="宋体"/>
                <w:color w:val="auto"/>
                <w:kern w:val="0"/>
                <w:szCs w:val="21"/>
                <w:highlight w:val="none"/>
                <w:lang w:eastAsia="zh-CN" w:bidi="ar"/>
              </w:rPr>
              <w:t>每月不定期抽查到岗率，实际到岗人数不足的</w:t>
            </w:r>
            <w:r>
              <w:rPr>
                <w:rFonts w:hint="eastAsia" w:ascii="宋体" w:hAnsi="宋体" w:cs="宋体"/>
                <w:color w:val="auto"/>
                <w:kern w:val="0"/>
                <w:szCs w:val="21"/>
                <w:highlight w:val="none"/>
                <w:lang w:val="en-US" w:eastAsia="zh-CN" w:bidi="ar"/>
              </w:rPr>
              <w:t>,每缺1人扣5分，配备的人员综合素质要求与合同不符的，每发现1人扣1分，上不封顶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910" w:hRule="atLeast"/>
          <w:jc w:val="center"/>
        </w:trPr>
        <w:tc>
          <w:tcPr>
            <w:tcW w:w="542" w:type="dxa"/>
            <w:noWrap w:val="0"/>
            <w:vAlign w:val="center"/>
          </w:tcPr>
          <w:p>
            <w:pPr>
              <w:widowControl/>
              <w:jc w:val="center"/>
              <w:textAlignment w:val="center"/>
              <w:rPr>
                <w:rFonts w:hint="default" w:ascii="宋体" w:hAnsi="宋体" w:eastAsia="宋体" w:cs="宋体"/>
                <w:color w:val="auto"/>
                <w:kern w:val="0"/>
                <w:szCs w:val="21"/>
                <w:highlight w:val="none"/>
                <w:lang w:val="en-US" w:eastAsia="zh-CN" w:bidi="ar"/>
              </w:rPr>
            </w:pPr>
            <w:r>
              <w:rPr>
                <w:rFonts w:hint="eastAsia" w:ascii="宋体" w:hAnsi="宋体" w:cs="宋体"/>
                <w:color w:val="auto"/>
                <w:kern w:val="0"/>
                <w:szCs w:val="21"/>
                <w:highlight w:val="none"/>
                <w:lang w:val="en-US" w:eastAsia="zh-CN" w:bidi="ar"/>
              </w:rPr>
              <w:t>10</w:t>
            </w:r>
          </w:p>
        </w:tc>
        <w:tc>
          <w:tcPr>
            <w:tcW w:w="6001" w:type="dxa"/>
            <w:gridSpan w:val="4"/>
            <w:noWrap w:val="0"/>
            <w:vAlign w:val="center"/>
          </w:tcPr>
          <w:p>
            <w:pPr>
              <w:widowControl/>
              <w:jc w:val="left"/>
              <w:textAlignment w:val="center"/>
              <w:rPr>
                <w:rFonts w:hint="eastAsia" w:ascii="宋体" w:hAnsi="宋体" w:eastAsia="宋体" w:cs="宋体"/>
                <w:color w:val="auto"/>
                <w:kern w:val="0"/>
                <w:szCs w:val="21"/>
                <w:highlight w:val="none"/>
                <w:lang w:eastAsia="zh-CN" w:bidi="ar"/>
              </w:rPr>
            </w:pPr>
            <w:r>
              <w:rPr>
                <w:rFonts w:hint="eastAsia" w:ascii="宋体" w:hAnsi="宋体" w:cs="宋体"/>
                <w:color w:val="auto"/>
                <w:kern w:val="0"/>
                <w:szCs w:val="21"/>
                <w:highlight w:val="none"/>
                <w:lang w:eastAsia="zh-CN" w:bidi="ar"/>
              </w:rPr>
              <w:t>代收园区各承租企业</w:t>
            </w:r>
            <w:r>
              <w:rPr>
                <w:rFonts w:hint="eastAsia" w:ascii="宋体" w:hAnsi="宋体" w:cs="宋体"/>
                <w:color w:val="auto"/>
                <w:kern w:val="0"/>
                <w:szCs w:val="21"/>
                <w:highlight w:val="none"/>
                <w:lang w:val="en-US" w:eastAsia="zh-CN" w:bidi="ar"/>
              </w:rPr>
              <w:t>/租户的</w:t>
            </w:r>
            <w:r>
              <w:rPr>
                <w:rFonts w:hint="eastAsia" w:ascii="宋体" w:hAnsi="宋体" w:cs="宋体"/>
                <w:color w:val="auto"/>
                <w:kern w:val="0"/>
                <w:szCs w:val="21"/>
                <w:highlight w:val="none"/>
                <w:lang w:bidi="ar"/>
              </w:rPr>
              <w:t>水电</w:t>
            </w:r>
            <w:r>
              <w:rPr>
                <w:rFonts w:hint="eastAsia" w:ascii="宋体" w:hAnsi="宋体" w:cs="宋体"/>
                <w:color w:val="auto"/>
                <w:kern w:val="0"/>
                <w:szCs w:val="21"/>
                <w:highlight w:val="none"/>
                <w:lang w:eastAsia="zh-CN" w:bidi="ar"/>
              </w:rPr>
              <w:t>费，园区停车费</w:t>
            </w:r>
          </w:p>
        </w:tc>
        <w:tc>
          <w:tcPr>
            <w:tcW w:w="3557" w:type="dxa"/>
            <w:noWrap w:val="0"/>
            <w:vAlign w:val="center"/>
          </w:tcPr>
          <w:p>
            <w:pPr>
              <w:widowControl/>
              <w:jc w:val="left"/>
              <w:textAlignment w:val="center"/>
              <w:rPr>
                <w:rFonts w:hint="eastAsia" w:ascii="宋体" w:hAnsi="宋体" w:cs="宋体"/>
                <w:color w:val="auto"/>
                <w:kern w:val="0"/>
                <w:szCs w:val="21"/>
                <w:highlight w:val="none"/>
                <w:lang w:bidi="ar"/>
              </w:rPr>
            </w:pPr>
            <w:r>
              <w:rPr>
                <w:rFonts w:hint="eastAsia" w:ascii="宋体" w:hAnsi="宋体" w:cs="宋体"/>
                <w:color w:val="auto"/>
                <w:kern w:val="0"/>
                <w:szCs w:val="21"/>
                <w:highlight w:val="none"/>
                <w:lang w:bidi="ar"/>
              </w:rPr>
              <w:t>一年分两次对</w:t>
            </w:r>
            <w:r>
              <w:rPr>
                <w:rFonts w:hint="eastAsia" w:ascii="宋体" w:hAnsi="宋体" w:cs="宋体"/>
                <w:color w:val="auto"/>
                <w:kern w:val="0"/>
                <w:szCs w:val="21"/>
                <w:highlight w:val="none"/>
                <w:lang w:eastAsia="zh-CN" w:bidi="ar"/>
              </w:rPr>
              <w:t>园区各类费用的收缴</w:t>
            </w:r>
            <w:r>
              <w:rPr>
                <w:rFonts w:hint="eastAsia" w:ascii="宋体" w:hAnsi="宋体" w:cs="宋体"/>
                <w:color w:val="auto"/>
                <w:kern w:val="0"/>
                <w:szCs w:val="21"/>
                <w:highlight w:val="none"/>
                <w:lang w:bidi="ar"/>
              </w:rPr>
              <w:t>率进行考核，分别在第二季度和第四季度进行，收缴率90%（含）为合格，不予扣分；如低于90%，则按每不足5%（含），扣1分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38" w:hRule="atLeast"/>
          <w:jc w:val="center"/>
        </w:trPr>
        <w:tc>
          <w:tcPr>
            <w:tcW w:w="10100" w:type="dxa"/>
            <w:gridSpan w:val="6"/>
            <w:noWrap w:val="0"/>
            <w:vAlign w:val="center"/>
          </w:tcPr>
          <w:p>
            <w:pPr>
              <w:widowControl/>
              <w:jc w:val="center"/>
              <w:textAlignment w:val="center"/>
              <w:rPr>
                <w:rFonts w:hint="eastAsia" w:ascii="宋体" w:hAnsi="宋体" w:cs="宋体"/>
                <w:b/>
                <w:color w:val="auto"/>
                <w:szCs w:val="21"/>
                <w:highlight w:val="none"/>
              </w:rPr>
            </w:pPr>
            <w:r>
              <w:rPr>
                <w:rFonts w:hint="eastAsia" w:ascii="宋体" w:hAnsi="宋体" w:cs="宋体"/>
                <w:b/>
                <w:color w:val="auto"/>
                <w:kern w:val="0"/>
                <w:szCs w:val="21"/>
                <w:highlight w:val="none"/>
                <w:lang w:bidi="ar"/>
              </w:rPr>
              <w:t>二、环境卫生管理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38" w:hRule="atLeast"/>
          <w:jc w:val="center"/>
        </w:trPr>
        <w:tc>
          <w:tcPr>
            <w:tcW w:w="542" w:type="dxa"/>
            <w:noWrap w:val="0"/>
            <w:vAlign w:val="center"/>
          </w:tcPr>
          <w:p>
            <w:pPr>
              <w:widowControl/>
              <w:jc w:val="center"/>
              <w:textAlignment w:val="center"/>
              <w:rPr>
                <w:rFonts w:hint="eastAsia" w:ascii="宋体" w:hAnsi="宋体" w:cs="宋体"/>
                <w:b/>
                <w:color w:val="000000"/>
                <w:szCs w:val="21"/>
                <w:highlight w:val="none"/>
              </w:rPr>
            </w:pPr>
            <w:r>
              <w:rPr>
                <w:rFonts w:hint="eastAsia" w:ascii="宋体" w:hAnsi="宋体" w:cs="宋体"/>
                <w:b/>
                <w:color w:val="000000"/>
                <w:kern w:val="0"/>
                <w:szCs w:val="21"/>
                <w:highlight w:val="none"/>
                <w:lang w:bidi="ar"/>
              </w:rPr>
              <w:t>序号</w:t>
            </w:r>
          </w:p>
        </w:tc>
        <w:tc>
          <w:tcPr>
            <w:tcW w:w="1676" w:type="dxa"/>
            <w:gridSpan w:val="2"/>
            <w:noWrap w:val="0"/>
            <w:vAlign w:val="center"/>
          </w:tcPr>
          <w:p>
            <w:pPr>
              <w:widowControl/>
              <w:jc w:val="center"/>
              <w:textAlignment w:val="center"/>
              <w:rPr>
                <w:rFonts w:hint="eastAsia" w:ascii="宋体" w:hAnsi="宋体" w:cs="宋体"/>
                <w:b/>
                <w:color w:val="000000"/>
                <w:szCs w:val="21"/>
                <w:highlight w:val="none"/>
              </w:rPr>
            </w:pPr>
            <w:r>
              <w:rPr>
                <w:rFonts w:hint="eastAsia" w:ascii="宋体" w:hAnsi="宋体" w:cs="宋体"/>
                <w:b/>
                <w:color w:val="000000"/>
                <w:kern w:val="0"/>
                <w:szCs w:val="21"/>
                <w:highlight w:val="none"/>
                <w:lang w:bidi="ar"/>
              </w:rPr>
              <w:t>项目内容</w:t>
            </w:r>
          </w:p>
        </w:tc>
        <w:tc>
          <w:tcPr>
            <w:tcW w:w="1685" w:type="dxa"/>
            <w:noWrap w:val="0"/>
            <w:vAlign w:val="center"/>
          </w:tcPr>
          <w:p>
            <w:pPr>
              <w:widowControl/>
              <w:jc w:val="center"/>
              <w:textAlignment w:val="center"/>
              <w:rPr>
                <w:rFonts w:hint="eastAsia" w:ascii="宋体" w:hAnsi="宋体" w:cs="宋体"/>
                <w:b/>
                <w:color w:val="000000"/>
                <w:szCs w:val="21"/>
                <w:highlight w:val="none"/>
              </w:rPr>
            </w:pPr>
            <w:r>
              <w:rPr>
                <w:rFonts w:hint="eastAsia" w:ascii="宋体" w:hAnsi="宋体" w:cs="宋体"/>
                <w:b/>
                <w:color w:val="000000"/>
                <w:kern w:val="0"/>
                <w:szCs w:val="21"/>
                <w:highlight w:val="none"/>
                <w:lang w:bidi="ar"/>
              </w:rPr>
              <w:t>工作频率</w:t>
            </w:r>
          </w:p>
        </w:tc>
        <w:tc>
          <w:tcPr>
            <w:tcW w:w="2640" w:type="dxa"/>
            <w:noWrap w:val="0"/>
            <w:vAlign w:val="center"/>
          </w:tcPr>
          <w:p>
            <w:pPr>
              <w:widowControl/>
              <w:jc w:val="center"/>
              <w:textAlignment w:val="center"/>
              <w:rPr>
                <w:rFonts w:hint="eastAsia" w:ascii="宋体" w:hAnsi="宋体" w:cs="宋体"/>
                <w:b/>
                <w:color w:val="000000"/>
                <w:szCs w:val="21"/>
                <w:highlight w:val="none"/>
              </w:rPr>
            </w:pPr>
            <w:r>
              <w:rPr>
                <w:rFonts w:hint="eastAsia" w:ascii="宋体" w:hAnsi="宋体" w:cs="宋体"/>
                <w:b/>
                <w:color w:val="000000"/>
                <w:kern w:val="0"/>
                <w:szCs w:val="21"/>
                <w:highlight w:val="none"/>
                <w:lang w:bidi="ar"/>
              </w:rPr>
              <w:t>服务标准</w:t>
            </w:r>
          </w:p>
        </w:tc>
        <w:tc>
          <w:tcPr>
            <w:tcW w:w="3557" w:type="dxa"/>
            <w:noWrap w:val="0"/>
            <w:vAlign w:val="center"/>
          </w:tcPr>
          <w:p>
            <w:pPr>
              <w:widowControl/>
              <w:jc w:val="center"/>
              <w:textAlignment w:val="center"/>
              <w:rPr>
                <w:rFonts w:hint="eastAsia" w:ascii="宋体" w:hAnsi="宋体" w:cs="宋体"/>
                <w:b/>
                <w:color w:val="000000"/>
                <w:szCs w:val="21"/>
                <w:highlight w:val="none"/>
              </w:rPr>
            </w:pPr>
            <w:r>
              <w:rPr>
                <w:rFonts w:hint="eastAsia" w:ascii="宋体" w:hAnsi="宋体" w:cs="宋体"/>
                <w:b/>
                <w:color w:val="000000"/>
                <w:kern w:val="0"/>
                <w:szCs w:val="21"/>
                <w:highlight w:val="none"/>
                <w:lang w:bidi="ar"/>
              </w:rPr>
              <w:t>评分细则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116" w:hRule="atLeast"/>
          <w:jc w:val="center"/>
        </w:trPr>
        <w:tc>
          <w:tcPr>
            <w:tcW w:w="542" w:type="dxa"/>
            <w:vMerge w:val="restart"/>
            <w:noWrap w:val="0"/>
            <w:vAlign w:val="center"/>
          </w:tcPr>
          <w:p>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1</w:t>
            </w:r>
          </w:p>
        </w:tc>
        <w:tc>
          <w:tcPr>
            <w:tcW w:w="895" w:type="dxa"/>
            <w:vMerge w:val="restart"/>
            <w:noWrap w:val="0"/>
            <w:vAlign w:val="center"/>
          </w:tcPr>
          <w:p>
            <w:pPr>
              <w:widowControl/>
              <w:jc w:val="center"/>
              <w:textAlignment w:val="center"/>
              <w:rPr>
                <w:rFonts w:hint="eastAsia" w:ascii="宋体" w:hAnsi="宋体" w:eastAsia="宋体" w:cs="宋体"/>
                <w:color w:val="000000"/>
                <w:kern w:val="0"/>
                <w:szCs w:val="21"/>
                <w:highlight w:val="none"/>
                <w:lang w:eastAsia="zh-CN" w:bidi="ar"/>
              </w:rPr>
            </w:pPr>
            <w:r>
              <w:rPr>
                <w:rFonts w:hint="eastAsia" w:ascii="宋体" w:hAnsi="宋体" w:cs="宋体"/>
                <w:color w:val="000000"/>
                <w:kern w:val="0"/>
                <w:szCs w:val="21"/>
                <w:highlight w:val="none"/>
                <w:lang w:bidi="ar"/>
              </w:rPr>
              <w:t>外围道路</w:t>
            </w:r>
          </w:p>
          <w:p>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及配套设施</w:t>
            </w:r>
          </w:p>
        </w:tc>
        <w:tc>
          <w:tcPr>
            <w:tcW w:w="781" w:type="dxa"/>
            <w:noWrap w:val="0"/>
            <w:vAlign w:val="center"/>
          </w:tcPr>
          <w:p>
            <w:pPr>
              <w:widowControl/>
              <w:jc w:val="left"/>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广场、道路</w:t>
            </w:r>
          </w:p>
        </w:tc>
        <w:tc>
          <w:tcPr>
            <w:tcW w:w="1685" w:type="dxa"/>
            <w:noWrap w:val="0"/>
            <w:vAlign w:val="center"/>
          </w:tcPr>
          <w:p>
            <w:pPr>
              <w:widowControl/>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每日清扫一次、巡回保洁</w:t>
            </w:r>
          </w:p>
        </w:tc>
        <w:tc>
          <w:tcPr>
            <w:tcW w:w="2640" w:type="dxa"/>
            <w:noWrap w:val="0"/>
            <w:vAlign w:val="center"/>
          </w:tcPr>
          <w:p>
            <w:pPr>
              <w:widowControl/>
              <w:jc w:val="left"/>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地面无垃圾、杂物、积水、无明显污迹、泥沙、无喷漆涂鸦、无关粘贴物</w:t>
            </w:r>
          </w:p>
        </w:tc>
        <w:tc>
          <w:tcPr>
            <w:tcW w:w="3557" w:type="dxa"/>
            <w:vMerge w:val="restart"/>
            <w:noWrap w:val="0"/>
            <w:vAlign w:val="center"/>
          </w:tcPr>
          <w:p>
            <w:pPr>
              <w:widowControl/>
              <w:jc w:val="left"/>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没有按照规定频率清扫各扣1分；发现3处以上明显垃圾、污渍等不符合服务标准的情况，一次性扣3分；5处以上，一次性扣5分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796" w:hRule="atLeast"/>
          <w:jc w:val="center"/>
        </w:trPr>
        <w:tc>
          <w:tcPr>
            <w:tcW w:w="542" w:type="dxa"/>
            <w:vMerge w:val="continue"/>
            <w:noWrap w:val="0"/>
            <w:vAlign w:val="center"/>
          </w:tcPr>
          <w:p>
            <w:pPr>
              <w:jc w:val="center"/>
              <w:rPr>
                <w:rFonts w:hint="eastAsia" w:ascii="宋体" w:hAnsi="宋体" w:cs="宋体"/>
                <w:color w:val="000000"/>
                <w:szCs w:val="21"/>
                <w:highlight w:val="none"/>
              </w:rPr>
            </w:pPr>
          </w:p>
        </w:tc>
        <w:tc>
          <w:tcPr>
            <w:tcW w:w="895" w:type="dxa"/>
            <w:vMerge w:val="continue"/>
            <w:noWrap w:val="0"/>
            <w:vAlign w:val="center"/>
          </w:tcPr>
          <w:p>
            <w:pPr>
              <w:jc w:val="center"/>
              <w:rPr>
                <w:rFonts w:hint="eastAsia" w:ascii="宋体" w:hAnsi="宋体" w:cs="宋体"/>
                <w:color w:val="000000"/>
                <w:szCs w:val="21"/>
                <w:highlight w:val="none"/>
              </w:rPr>
            </w:pPr>
          </w:p>
        </w:tc>
        <w:tc>
          <w:tcPr>
            <w:tcW w:w="781" w:type="dxa"/>
            <w:noWrap w:val="0"/>
            <w:vAlign w:val="center"/>
          </w:tcPr>
          <w:p>
            <w:pPr>
              <w:widowControl/>
              <w:jc w:val="left"/>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垃圾投放站点</w:t>
            </w:r>
          </w:p>
        </w:tc>
        <w:tc>
          <w:tcPr>
            <w:tcW w:w="1685" w:type="dxa"/>
            <w:noWrap w:val="0"/>
            <w:vAlign w:val="center"/>
          </w:tcPr>
          <w:p>
            <w:pPr>
              <w:widowControl/>
              <w:textAlignment w:val="center"/>
              <w:rPr>
                <w:rFonts w:hint="eastAsia" w:ascii="宋体" w:hAnsi="宋体" w:eastAsia="宋体" w:cs="宋体"/>
                <w:color w:val="000000"/>
                <w:szCs w:val="21"/>
                <w:highlight w:val="none"/>
                <w:lang w:eastAsia="zh-CN"/>
              </w:rPr>
            </w:pPr>
            <w:r>
              <w:rPr>
                <w:rFonts w:hint="eastAsia" w:ascii="宋体" w:hAnsi="宋体" w:cs="宋体"/>
                <w:color w:val="000000"/>
                <w:kern w:val="0"/>
                <w:szCs w:val="21"/>
                <w:highlight w:val="none"/>
                <w:lang w:bidi="ar"/>
              </w:rPr>
              <w:t>每日清扫一次、巡回保洁</w:t>
            </w:r>
            <w:r>
              <w:rPr>
                <w:rFonts w:hint="eastAsia" w:ascii="宋体" w:hAnsi="宋体" w:cs="宋体"/>
                <w:color w:val="000000"/>
                <w:kern w:val="0"/>
                <w:szCs w:val="21"/>
                <w:highlight w:val="none"/>
                <w:lang w:eastAsia="zh-CN" w:bidi="ar"/>
              </w:rPr>
              <w:t>，垃圾日产日清</w:t>
            </w:r>
          </w:p>
        </w:tc>
        <w:tc>
          <w:tcPr>
            <w:tcW w:w="2640" w:type="dxa"/>
            <w:noWrap w:val="0"/>
            <w:vAlign w:val="center"/>
          </w:tcPr>
          <w:p>
            <w:pPr>
              <w:widowControl/>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eastAsia="zh-CN" w:bidi="ar"/>
              </w:rPr>
              <w:t>地面</w:t>
            </w:r>
            <w:r>
              <w:rPr>
                <w:rFonts w:hint="eastAsia" w:ascii="宋体" w:hAnsi="宋体" w:cs="宋体"/>
                <w:color w:val="000000"/>
                <w:kern w:val="0"/>
                <w:szCs w:val="21"/>
                <w:highlight w:val="none"/>
                <w:lang w:bidi="ar"/>
              </w:rPr>
              <w:t>无垃圾、杂物、无明显积灰</w:t>
            </w:r>
          </w:p>
        </w:tc>
        <w:tc>
          <w:tcPr>
            <w:tcW w:w="3557" w:type="dxa"/>
            <w:vMerge w:val="continue"/>
            <w:noWrap w:val="0"/>
            <w:vAlign w:val="center"/>
          </w:tcPr>
          <w:p>
            <w:pPr>
              <w:jc w:val="left"/>
              <w:rPr>
                <w:rFonts w:hint="eastAsia" w:ascii="宋体" w:hAnsi="宋体" w:cs="宋体"/>
                <w:color w:val="00000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116" w:hRule="atLeast"/>
          <w:jc w:val="center"/>
        </w:trPr>
        <w:tc>
          <w:tcPr>
            <w:tcW w:w="542" w:type="dxa"/>
            <w:vMerge w:val="continue"/>
            <w:noWrap w:val="0"/>
            <w:vAlign w:val="center"/>
          </w:tcPr>
          <w:p>
            <w:pPr>
              <w:jc w:val="center"/>
              <w:rPr>
                <w:rFonts w:hint="eastAsia" w:ascii="宋体" w:hAnsi="宋体" w:cs="宋体"/>
                <w:color w:val="000000"/>
                <w:szCs w:val="21"/>
                <w:highlight w:val="none"/>
              </w:rPr>
            </w:pPr>
          </w:p>
        </w:tc>
        <w:tc>
          <w:tcPr>
            <w:tcW w:w="895" w:type="dxa"/>
            <w:vMerge w:val="continue"/>
            <w:noWrap w:val="0"/>
            <w:vAlign w:val="center"/>
          </w:tcPr>
          <w:p>
            <w:pPr>
              <w:jc w:val="center"/>
              <w:rPr>
                <w:rFonts w:hint="eastAsia" w:ascii="宋体" w:hAnsi="宋体" w:cs="宋体"/>
                <w:color w:val="000000"/>
                <w:szCs w:val="21"/>
                <w:highlight w:val="none"/>
              </w:rPr>
            </w:pPr>
          </w:p>
        </w:tc>
        <w:tc>
          <w:tcPr>
            <w:tcW w:w="781" w:type="dxa"/>
            <w:noWrap w:val="0"/>
            <w:vAlign w:val="center"/>
          </w:tcPr>
          <w:p>
            <w:pPr>
              <w:widowControl/>
              <w:jc w:val="left"/>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垃圾桶</w:t>
            </w:r>
          </w:p>
        </w:tc>
        <w:tc>
          <w:tcPr>
            <w:tcW w:w="1685" w:type="dxa"/>
            <w:noWrap w:val="0"/>
            <w:vAlign w:val="center"/>
          </w:tcPr>
          <w:p>
            <w:pPr>
              <w:widowControl/>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每日清洗一次</w:t>
            </w:r>
          </w:p>
        </w:tc>
        <w:tc>
          <w:tcPr>
            <w:tcW w:w="2640" w:type="dxa"/>
            <w:noWrap w:val="0"/>
            <w:vAlign w:val="center"/>
          </w:tcPr>
          <w:p>
            <w:pPr>
              <w:widowControl/>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表面无明显积灰、污迹、油污，箱内无异味、无喷漆涂鸦、无关粘贴物</w:t>
            </w:r>
          </w:p>
        </w:tc>
        <w:tc>
          <w:tcPr>
            <w:tcW w:w="3557" w:type="dxa"/>
            <w:vMerge w:val="continue"/>
            <w:noWrap w:val="0"/>
            <w:vAlign w:val="center"/>
          </w:tcPr>
          <w:p>
            <w:pPr>
              <w:jc w:val="left"/>
              <w:rPr>
                <w:rFonts w:hint="eastAsia" w:ascii="宋体" w:hAnsi="宋体" w:cs="宋体"/>
                <w:color w:val="00000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790" w:hRule="atLeast"/>
          <w:jc w:val="center"/>
        </w:trPr>
        <w:tc>
          <w:tcPr>
            <w:tcW w:w="542" w:type="dxa"/>
            <w:vMerge w:val="continue"/>
            <w:noWrap w:val="0"/>
            <w:vAlign w:val="center"/>
          </w:tcPr>
          <w:p>
            <w:pPr>
              <w:jc w:val="center"/>
              <w:rPr>
                <w:rFonts w:hint="eastAsia" w:ascii="宋体" w:hAnsi="宋体" w:cs="宋体"/>
                <w:color w:val="000000"/>
                <w:szCs w:val="21"/>
                <w:highlight w:val="none"/>
              </w:rPr>
            </w:pPr>
          </w:p>
        </w:tc>
        <w:tc>
          <w:tcPr>
            <w:tcW w:w="895" w:type="dxa"/>
            <w:vMerge w:val="continue"/>
            <w:noWrap w:val="0"/>
            <w:vAlign w:val="center"/>
          </w:tcPr>
          <w:p>
            <w:pPr>
              <w:jc w:val="center"/>
              <w:rPr>
                <w:rFonts w:hint="eastAsia" w:ascii="宋体" w:hAnsi="宋体" w:cs="宋体"/>
                <w:color w:val="000000"/>
                <w:szCs w:val="21"/>
                <w:highlight w:val="none"/>
              </w:rPr>
            </w:pPr>
          </w:p>
        </w:tc>
        <w:tc>
          <w:tcPr>
            <w:tcW w:w="781" w:type="dxa"/>
            <w:noWrap w:val="0"/>
            <w:vAlign w:val="center"/>
          </w:tcPr>
          <w:p>
            <w:pPr>
              <w:widowControl/>
              <w:jc w:val="left"/>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标识牌</w:t>
            </w:r>
          </w:p>
        </w:tc>
        <w:tc>
          <w:tcPr>
            <w:tcW w:w="1685" w:type="dxa"/>
            <w:noWrap w:val="0"/>
            <w:vAlign w:val="center"/>
          </w:tcPr>
          <w:p>
            <w:pPr>
              <w:widowControl/>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每周擦拭一次</w:t>
            </w:r>
          </w:p>
        </w:tc>
        <w:tc>
          <w:tcPr>
            <w:tcW w:w="2640" w:type="dxa"/>
            <w:noWrap w:val="0"/>
            <w:vAlign w:val="center"/>
          </w:tcPr>
          <w:p>
            <w:pPr>
              <w:widowControl/>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无污渍、无积灰、无喷漆涂鸦、无关粘贴物</w:t>
            </w:r>
          </w:p>
        </w:tc>
        <w:tc>
          <w:tcPr>
            <w:tcW w:w="3557" w:type="dxa"/>
            <w:vMerge w:val="continue"/>
            <w:noWrap w:val="0"/>
            <w:vAlign w:val="center"/>
          </w:tcPr>
          <w:p>
            <w:pPr>
              <w:jc w:val="left"/>
              <w:rPr>
                <w:rFonts w:hint="eastAsia" w:ascii="宋体" w:hAnsi="宋体" w:cs="宋体"/>
                <w:color w:val="00000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864" w:hRule="atLeast"/>
          <w:jc w:val="center"/>
        </w:trPr>
        <w:tc>
          <w:tcPr>
            <w:tcW w:w="542" w:type="dxa"/>
            <w:vMerge w:val="continue"/>
            <w:noWrap w:val="0"/>
            <w:vAlign w:val="center"/>
          </w:tcPr>
          <w:p>
            <w:pPr>
              <w:jc w:val="center"/>
              <w:rPr>
                <w:rFonts w:hint="eastAsia" w:ascii="宋体" w:hAnsi="宋体" w:cs="宋体"/>
                <w:color w:val="000000"/>
                <w:szCs w:val="21"/>
                <w:highlight w:val="none"/>
              </w:rPr>
            </w:pPr>
          </w:p>
        </w:tc>
        <w:tc>
          <w:tcPr>
            <w:tcW w:w="895" w:type="dxa"/>
            <w:vMerge w:val="continue"/>
            <w:noWrap w:val="0"/>
            <w:vAlign w:val="center"/>
          </w:tcPr>
          <w:p>
            <w:pPr>
              <w:jc w:val="center"/>
              <w:rPr>
                <w:rFonts w:hint="eastAsia" w:ascii="宋体" w:hAnsi="宋体" w:cs="宋体"/>
                <w:color w:val="000000"/>
                <w:szCs w:val="21"/>
                <w:highlight w:val="none"/>
              </w:rPr>
            </w:pPr>
          </w:p>
        </w:tc>
        <w:tc>
          <w:tcPr>
            <w:tcW w:w="781" w:type="dxa"/>
            <w:noWrap w:val="0"/>
            <w:vAlign w:val="center"/>
          </w:tcPr>
          <w:p>
            <w:pPr>
              <w:jc w:val="center"/>
              <w:rPr>
                <w:rFonts w:hint="eastAsia" w:ascii="宋体" w:hAnsi="宋体" w:eastAsia="宋体" w:cs="Times New Roman"/>
                <w:color w:val="000000"/>
                <w:kern w:val="2"/>
                <w:sz w:val="21"/>
                <w:szCs w:val="21"/>
                <w:highlight w:val="none"/>
                <w:lang w:val="en-US" w:eastAsia="zh-CN" w:bidi="ar-SA"/>
              </w:rPr>
            </w:pPr>
            <w:r>
              <w:rPr>
                <w:rFonts w:hint="eastAsia" w:ascii="宋体" w:hAnsi="宋体"/>
                <w:color w:val="000000"/>
                <w:szCs w:val="21"/>
                <w:highlight w:val="none"/>
              </w:rPr>
              <w:t>各类铺装面、座凳座椅</w:t>
            </w:r>
          </w:p>
        </w:tc>
        <w:tc>
          <w:tcPr>
            <w:tcW w:w="1685" w:type="dxa"/>
            <w:noWrap w:val="0"/>
            <w:vAlign w:val="center"/>
          </w:tcPr>
          <w:p>
            <w:pPr>
              <w:jc w:val="center"/>
              <w:rPr>
                <w:rFonts w:hint="eastAsia" w:ascii="宋体" w:hAnsi="宋体" w:eastAsia="宋体" w:cs="Times New Roman"/>
                <w:color w:val="000000"/>
                <w:kern w:val="2"/>
                <w:sz w:val="21"/>
                <w:szCs w:val="21"/>
                <w:highlight w:val="none"/>
                <w:lang w:val="en-US" w:eastAsia="zh-CN" w:bidi="ar-SA"/>
              </w:rPr>
            </w:pPr>
            <w:r>
              <w:rPr>
                <w:rFonts w:hint="eastAsia" w:ascii="宋体" w:hAnsi="宋体"/>
                <w:color w:val="000000"/>
                <w:szCs w:val="21"/>
                <w:highlight w:val="none"/>
              </w:rPr>
              <w:t>每天清扫二次</w:t>
            </w:r>
          </w:p>
        </w:tc>
        <w:tc>
          <w:tcPr>
            <w:tcW w:w="2640" w:type="dxa"/>
            <w:noWrap w:val="0"/>
            <w:vAlign w:val="center"/>
          </w:tcPr>
          <w:p>
            <w:pPr>
              <w:widowControl/>
              <w:textAlignment w:val="center"/>
              <w:rPr>
                <w:rFonts w:hint="eastAsia" w:ascii="宋体" w:hAnsi="宋体" w:cs="宋体"/>
                <w:color w:val="000000"/>
                <w:kern w:val="0"/>
                <w:szCs w:val="21"/>
                <w:highlight w:val="none"/>
                <w:lang w:bidi="ar"/>
              </w:rPr>
            </w:pPr>
            <w:r>
              <w:rPr>
                <w:rFonts w:hint="eastAsia" w:ascii="宋体" w:hAnsi="宋体"/>
                <w:color w:val="000000"/>
                <w:szCs w:val="21"/>
                <w:highlight w:val="none"/>
              </w:rPr>
              <w:t>随时保持干净、</w:t>
            </w:r>
            <w:r>
              <w:rPr>
                <w:rFonts w:hint="eastAsia" w:ascii="宋体" w:hAnsi="宋体"/>
                <w:color w:val="000000"/>
                <w:szCs w:val="21"/>
                <w:highlight w:val="none"/>
                <w:lang w:eastAsia="zh-CN"/>
              </w:rPr>
              <w:t>无</w:t>
            </w:r>
            <w:r>
              <w:rPr>
                <w:rFonts w:hint="eastAsia" w:ascii="宋体" w:hAnsi="宋体"/>
                <w:color w:val="000000"/>
                <w:szCs w:val="21"/>
                <w:highlight w:val="none"/>
              </w:rPr>
              <w:t>杂物</w:t>
            </w:r>
          </w:p>
        </w:tc>
        <w:tc>
          <w:tcPr>
            <w:tcW w:w="3557" w:type="dxa"/>
            <w:vMerge w:val="continue"/>
            <w:noWrap w:val="0"/>
            <w:vAlign w:val="center"/>
          </w:tcPr>
          <w:p>
            <w:pPr>
              <w:jc w:val="left"/>
              <w:rPr>
                <w:rFonts w:hint="eastAsia" w:ascii="宋体" w:hAnsi="宋体" w:cs="宋体"/>
                <w:color w:val="00000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864" w:hRule="atLeast"/>
          <w:jc w:val="center"/>
        </w:trPr>
        <w:tc>
          <w:tcPr>
            <w:tcW w:w="542" w:type="dxa"/>
            <w:vMerge w:val="continue"/>
            <w:noWrap w:val="0"/>
            <w:vAlign w:val="center"/>
          </w:tcPr>
          <w:p>
            <w:pPr>
              <w:jc w:val="center"/>
              <w:rPr>
                <w:rFonts w:hint="eastAsia" w:ascii="宋体" w:hAnsi="宋体" w:cs="宋体"/>
                <w:color w:val="000000"/>
                <w:szCs w:val="21"/>
                <w:highlight w:val="none"/>
              </w:rPr>
            </w:pPr>
          </w:p>
        </w:tc>
        <w:tc>
          <w:tcPr>
            <w:tcW w:w="895" w:type="dxa"/>
            <w:vMerge w:val="continue"/>
            <w:noWrap w:val="0"/>
            <w:vAlign w:val="center"/>
          </w:tcPr>
          <w:p>
            <w:pPr>
              <w:jc w:val="center"/>
              <w:rPr>
                <w:rFonts w:hint="eastAsia" w:ascii="宋体" w:hAnsi="宋体" w:cs="宋体"/>
                <w:color w:val="000000"/>
                <w:szCs w:val="21"/>
                <w:highlight w:val="none"/>
              </w:rPr>
            </w:pPr>
          </w:p>
        </w:tc>
        <w:tc>
          <w:tcPr>
            <w:tcW w:w="781" w:type="dxa"/>
            <w:noWrap w:val="0"/>
            <w:vAlign w:val="center"/>
          </w:tcPr>
          <w:p>
            <w:pPr>
              <w:widowControl/>
              <w:jc w:val="left"/>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高杆灯</w:t>
            </w:r>
          </w:p>
        </w:tc>
        <w:tc>
          <w:tcPr>
            <w:tcW w:w="1685" w:type="dxa"/>
            <w:noWrap w:val="0"/>
            <w:vAlign w:val="center"/>
          </w:tcPr>
          <w:p>
            <w:pPr>
              <w:widowControl/>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每二月除尘一次</w:t>
            </w:r>
          </w:p>
        </w:tc>
        <w:tc>
          <w:tcPr>
            <w:tcW w:w="2640" w:type="dxa"/>
            <w:noWrap w:val="0"/>
            <w:vAlign w:val="center"/>
          </w:tcPr>
          <w:p>
            <w:pPr>
              <w:widowControl/>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目视无积尘、表面无虫网、无喷漆涂鸦、无关粘贴物</w:t>
            </w:r>
          </w:p>
        </w:tc>
        <w:tc>
          <w:tcPr>
            <w:tcW w:w="3557" w:type="dxa"/>
            <w:vMerge w:val="continue"/>
            <w:noWrap w:val="0"/>
            <w:vAlign w:val="center"/>
          </w:tcPr>
          <w:p>
            <w:pPr>
              <w:jc w:val="left"/>
              <w:rPr>
                <w:rFonts w:hint="eastAsia" w:ascii="宋体" w:hAnsi="宋体" w:cs="宋体"/>
                <w:color w:val="00000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075" w:hRule="atLeast"/>
          <w:jc w:val="center"/>
        </w:trPr>
        <w:tc>
          <w:tcPr>
            <w:tcW w:w="542" w:type="dxa"/>
            <w:vMerge w:val="restart"/>
            <w:noWrap w:val="0"/>
            <w:vAlign w:val="center"/>
          </w:tcPr>
          <w:p>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2</w:t>
            </w:r>
          </w:p>
        </w:tc>
        <w:tc>
          <w:tcPr>
            <w:tcW w:w="895" w:type="dxa"/>
            <w:vMerge w:val="restart"/>
            <w:noWrap w:val="0"/>
            <w:vAlign w:val="center"/>
          </w:tcPr>
          <w:p>
            <w:pPr>
              <w:widowControl/>
              <w:jc w:val="center"/>
              <w:textAlignment w:val="center"/>
              <w:rPr>
                <w:rFonts w:hint="eastAsia" w:ascii="宋体" w:hAnsi="宋体" w:cs="宋体"/>
                <w:color w:val="auto"/>
                <w:kern w:val="0"/>
                <w:szCs w:val="21"/>
                <w:highlight w:val="none"/>
                <w:lang w:eastAsia="zh-CN" w:bidi="ar"/>
              </w:rPr>
            </w:pPr>
            <w:r>
              <w:rPr>
                <w:rFonts w:hint="eastAsia" w:ascii="宋体" w:hAnsi="宋体" w:cs="宋体"/>
                <w:color w:val="auto"/>
                <w:kern w:val="0"/>
                <w:szCs w:val="21"/>
                <w:highlight w:val="none"/>
                <w:lang w:val="en-US" w:eastAsia="zh-CN" w:bidi="ar"/>
              </w:rPr>
              <w:t>办公</w:t>
            </w:r>
            <w:r>
              <w:rPr>
                <w:rFonts w:hint="eastAsia" w:ascii="宋体" w:hAnsi="宋体" w:cs="宋体"/>
                <w:color w:val="auto"/>
                <w:kern w:val="0"/>
                <w:szCs w:val="21"/>
                <w:highlight w:val="none"/>
                <w:lang w:eastAsia="zh-CN" w:bidi="ar"/>
              </w:rPr>
              <w:t>楼</w:t>
            </w:r>
          </w:p>
          <w:p>
            <w:pPr>
              <w:widowControl/>
              <w:jc w:val="center"/>
              <w:textAlignment w:val="center"/>
              <w:rPr>
                <w:rFonts w:hint="eastAsia" w:ascii="宋体" w:hAnsi="宋体" w:cs="宋体"/>
                <w:color w:val="000000"/>
                <w:szCs w:val="21"/>
                <w:highlight w:val="none"/>
              </w:rPr>
            </w:pPr>
            <w:r>
              <w:rPr>
                <w:rFonts w:hint="eastAsia" w:ascii="宋体" w:hAnsi="宋体" w:cs="宋体"/>
                <w:color w:val="auto"/>
                <w:kern w:val="0"/>
                <w:szCs w:val="21"/>
                <w:highlight w:val="none"/>
                <w:lang w:bidi="ar"/>
              </w:rPr>
              <w:t>大厅</w:t>
            </w:r>
          </w:p>
        </w:tc>
        <w:tc>
          <w:tcPr>
            <w:tcW w:w="781" w:type="dxa"/>
            <w:noWrap w:val="0"/>
            <w:vAlign w:val="center"/>
          </w:tcPr>
          <w:p>
            <w:pPr>
              <w:widowControl/>
              <w:jc w:val="left"/>
              <w:textAlignment w:val="center"/>
              <w:rPr>
                <w:rFonts w:hint="eastAsia" w:ascii="宋体" w:hAnsi="宋体" w:cs="宋体"/>
                <w:color w:val="000000"/>
                <w:szCs w:val="21"/>
                <w:highlight w:val="none"/>
              </w:rPr>
            </w:pPr>
            <w:r>
              <w:rPr>
                <w:rFonts w:hint="eastAsia" w:ascii="宋体" w:hAnsi="宋体"/>
                <w:color w:val="000000"/>
                <w:szCs w:val="21"/>
                <w:highlight w:val="none"/>
              </w:rPr>
              <w:t>花岗石（大理石）、抛光砖地面</w:t>
            </w:r>
          </w:p>
        </w:tc>
        <w:tc>
          <w:tcPr>
            <w:tcW w:w="1685" w:type="dxa"/>
            <w:noWrap w:val="0"/>
            <w:vAlign w:val="center"/>
          </w:tcPr>
          <w:p>
            <w:pPr>
              <w:widowControl/>
              <w:textAlignment w:val="center"/>
              <w:rPr>
                <w:rFonts w:hint="eastAsia" w:ascii="宋体" w:hAnsi="宋体" w:eastAsia="宋体" w:cs="宋体"/>
                <w:color w:val="000000"/>
                <w:szCs w:val="21"/>
                <w:highlight w:val="none"/>
                <w:lang w:eastAsia="zh-CN"/>
              </w:rPr>
            </w:pPr>
            <w:r>
              <w:rPr>
                <w:rFonts w:hint="eastAsia" w:ascii="宋体" w:hAnsi="宋体" w:cs="宋体"/>
                <w:color w:val="000000"/>
                <w:kern w:val="0"/>
                <w:szCs w:val="21"/>
                <w:highlight w:val="none"/>
                <w:lang w:bidi="ar"/>
              </w:rPr>
              <w:t>每日清扫尘堆，巡回保洁</w:t>
            </w:r>
            <w:r>
              <w:rPr>
                <w:rFonts w:hint="eastAsia" w:ascii="宋体" w:hAnsi="宋体" w:cs="宋体"/>
                <w:color w:val="000000"/>
                <w:kern w:val="0"/>
                <w:szCs w:val="21"/>
                <w:highlight w:val="none"/>
                <w:lang w:eastAsia="zh-CN" w:bidi="ar"/>
              </w:rPr>
              <w:t>，</w:t>
            </w:r>
            <w:r>
              <w:rPr>
                <w:rFonts w:hint="eastAsia" w:ascii="宋体" w:hAnsi="宋体"/>
                <w:color w:val="000000"/>
                <w:szCs w:val="21"/>
                <w:highlight w:val="none"/>
              </w:rPr>
              <w:t>每月至少抛光一次、一个季度至少打蜡一次</w:t>
            </w:r>
          </w:p>
        </w:tc>
        <w:tc>
          <w:tcPr>
            <w:tcW w:w="2640" w:type="dxa"/>
            <w:noWrap w:val="0"/>
            <w:vAlign w:val="center"/>
          </w:tcPr>
          <w:p>
            <w:pPr>
              <w:widowControl/>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干净、无垃圾、油渍、污渍、积灰、无喷漆涂鸦、无关粘贴物</w:t>
            </w:r>
          </w:p>
        </w:tc>
        <w:tc>
          <w:tcPr>
            <w:tcW w:w="3557" w:type="dxa"/>
            <w:vMerge w:val="restart"/>
            <w:noWrap w:val="0"/>
            <w:vAlign w:val="center"/>
          </w:tcPr>
          <w:p>
            <w:pPr>
              <w:widowControl/>
              <w:jc w:val="left"/>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没有按照规定频率清扫各扣1分；发现3处以上明显积灰、虫网等不符合服务标准的情况，一次性扣3分；5处以上，一次性扣5分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790" w:hRule="atLeast"/>
          <w:jc w:val="center"/>
        </w:trPr>
        <w:tc>
          <w:tcPr>
            <w:tcW w:w="542" w:type="dxa"/>
            <w:vMerge w:val="continue"/>
            <w:noWrap w:val="0"/>
            <w:vAlign w:val="center"/>
          </w:tcPr>
          <w:p>
            <w:pPr>
              <w:jc w:val="center"/>
              <w:rPr>
                <w:rFonts w:hint="eastAsia" w:ascii="宋体" w:hAnsi="宋体" w:cs="宋体"/>
                <w:color w:val="000000"/>
                <w:szCs w:val="21"/>
                <w:highlight w:val="none"/>
              </w:rPr>
            </w:pPr>
          </w:p>
        </w:tc>
        <w:tc>
          <w:tcPr>
            <w:tcW w:w="895" w:type="dxa"/>
            <w:vMerge w:val="continue"/>
            <w:noWrap w:val="0"/>
            <w:vAlign w:val="center"/>
          </w:tcPr>
          <w:p>
            <w:pPr>
              <w:jc w:val="center"/>
              <w:rPr>
                <w:rFonts w:hint="eastAsia" w:ascii="宋体" w:hAnsi="宋体" w:cs="宋体"/>
                <w:color w:val="000000"/>
                <w:szCs w:val="21"/>
                <w:highlight w:val="none"/>
              </w:rPr>
            </w:pPr>
          </w:p>
        </w:tc>
        <w:tc>
          <w:tcPr>
            <w:tcW w:w="781" w:type="dxa"/>
            <w:noWrap w:val="0"/>
            <w:vAlign w:val="center"/>
          </w:tcPr>
          <w:p>
            <w:pPr>
              <w:widowControl/>
              <w:jc w:val="left"/>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墙面</w:t>
            </w:r>
          </w:p>
        </w:tc>
        <w:tc>
          <w:tcPr>
            <w:tcW w:w="1685" w:type="dxa"/>
            <w:noWrap w:val="0"/>
            <w:vAlign w:val="center"/>
          </w:tcPr>
          <w:p>
            <w:pPr>
              <w:widowControl/>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每月除尘一次</w:t>
            </w:r>
          </w:p>
        </w:tc>
        <w:tc>
          <w:tcPr>
            <w:tcW w:w="2640" w:type="dxa"/>
            <w:noWrap w:val="0"/>
            <w:vAlign w:val="center"/>
          </w:tcPr>
          <w:p>
            <w:pPr>
              <w:widowControl/>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目视无积尘、表面无虫网、无油渍、喷漆涂鸦、无关粘贴物</w:t>
            </w:r>
          </w:p>
        </w:tc>
        <w:tc>
          <w:tcPr>
            <w:tcW w:w="3557" w:type="dxa"/>
            <w:vMerge w:val="continue"/>
            <w:noWrap w:val="0"/>
            <w:vAlign w:val="center"/>
          </w:tcPr>
          <w:p>
            <w:pPr>
              <w:jc w:val="left"/>
              <w:rPr>
                <w:rFonts w:hint="eastAsia" w:ascii="宋体" w:hAnsi="宋体" w:cs="宋体"/>
                <w:color w:val="00000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60" w:hRule="atLeast"/>
          <w:jc w:val="center"/>
        </w:trPr>
        <w:tc>
          <w:tcPr>
            <w:tcW w:w="542" w:type="dxa"/>
            <w:vMerge w:val="continue"/>
            <w:noWrap w:val="0"/>
            <w:vAlign w:val="center"/>
          </w:tcPr>
          <w:p>
            <w:pPr>
              <w:jc w:val="center"/>
              <w:rPr>
                <w:rFonts w:hint="eastAsia" w:ascii="宋体" w:hAnsi="宋体" w:cs="宋体"/>
                <w:color w:val="000000"/>
                <w:szCs w:val="21"/>
                <w:highlight w:val="none"/>
              </w:rPr>
            </w:pPr>
          </w:p>
        </w:tc>
        <w:tc>
          <w:tcPr>
            <w:tcW w:w="895" w:type="dxa"/>
            <w:vMerge w:val="continue"/>
            <w:noWrap w:val="0"/>
            <w:vAlign w:val="center"/>
          </w:tcPr>
          <w:p>
            <w:pPr>
              <w:jc w:val="center"/>
              <w:rPr>
                <w:rFonts w:hint="eastAsia" w:ascii="宋体" w:hAnsi="宋体" w:cs="宋体"/>
                <w:color w:val="000000"/>
                <w:szCs w:val="21"/>
                <w:highlight w:val="none"/>
              </w:rPr>
            </w:pPr>
          </w:p>
        </w:tc>
        <w:tc>
          <w:tcPr>
            <w:tcW w:w="781" w:type="dxa"/>
            <w:noWrap w:val="0"/>
            <w:vAlign w:val="center"/>
          </w:tcPr>
          <w:p>
            <w:pPr>
              <w:widowControl/>
              <w:jc w:val="left"/>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天花板</w:t>
            </w:r>
          </w:p>
        </w:tc>
        <w:tc>
          <w:tcPr>
            <w:tcW w:w="1685" w:type="dxa"/>
            <w:noWrap w:val="0"/>
            <w:vAlign w:val="center"/>
          </w:tcPr>
          <w:p>
            <w:pPr>
              <w:widowControl/>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每季除尘一次</w:t>
            </w:r>
          </w:p>
        </w:tc>
        <w:tc>
          <w:tcPr>
            <w:tcW w:w="2640" w:type="dxa"/>
            <w:noWrap w:val="0"/>
            <w:vAlign w:val="center"/>
          </w:tcPr>
          <w:p>
            <w:pPr>
              <w:widowControl/>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目视无积尘、表面无虫网</w:t>
            </w:r>
          </w:p>
        </w:tc>
        <w:tc>
          <w:tcPr>
            <w:tcW w:w="3557" w:type="dxa"/>
            <w:vMerge w:val="continue"/>
            <w:noWrap w:val="0"/>
            <w:vAlign w:val="center"/>
          </w:tcPr>
          <w:p>
            <w:pPr>
              <w:jc w:val="left"/>
              <w:rPr>
                <w:rFonts w:hint="eastAsia" w:ascii="宋体" w:hAnsi="宋体" w:cs="宋体"/>
                <w:color w:val="00000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38" w:hRule="atLeast"/>
          <w:jc w:val="center"/>
        </w:trPr>
        <w:tc>
          <w:tcPr>
            <w:tcW w:w="542" w:type="dxa"/>
            <w:vMerge w:val="continue"/>
            <w:noWrap w:val="0"/>
            <w:vAlign w:val="center"/>
          </w:tcPr>
          <w:p>
            <w:pPr>
              <w:jc w:val="center"/>
              <w:rPr>
                <w:rFonts w:hint="eastAsia" w:ascii="宋体" w:hAnsi="宋体" w:cs="宋体"/>
                <w:color w:val="000000"/>
                <w:szCs w:val="21"/>
                <w:highlight w:val="none"/>
              </w:rPr>
            </w:pPr>
          </w:p>
        </w:tc>
        <w:tc>
          <w:tcPr>
            <w:tcW w:w="895" w:type="dxa"/>
            <w:vMerge w:val="continue"/>
            <w:noWrap w:val="0"/>
            <w:vAlign w:val="center"/>
          </w:tcPr>
          <w:p>
            <w:pPr>
              <w:jc w:val="center"/>
              <w:rPr>
                <w:rFonts w:hint="eastAsia" w:ascii="宋体" w:hAnsi="宋体" w:cs="宋体"/>
                <w:color w:val="000000"/>
                <w:szCs w:val="21"/>
                <w:highlight w:val="none"/>
              </w:rPr>
            </w:pPr>
          </w:p>
        </w:tc>
        <w:tc>
          <w:tcPr>
            <w:tcW w:w="781" w:type="dxa"/>
            <w:noWrap w:val="0"/>
            <w:vAlign w:val="center"/>
          </w:tcPr>
          <w:p>
            <w:pPr>
              <w:widowControl/>
              <w:jc w:val="left"/>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沙发</w:t>
            </w:r>
          </w:p>
        </w:tc>
        <w:tc>
          <w:tcPr>
            <w:tcW w:w="1685" w:type="dxa"/>
            <w:noWrap w:val="0"/>
            <w:vAlign w:val="center"/>
          </w:tcPr>
          <w:p>
            <w:pPr>
              <w:widowControl/>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每日擦拭、巡回保洁</w:t>
            </w:r>
          </w:p>
        </w:tc>
        <w:tc>
          <w:tcPr>
            <w:tcW w:w="2640" w:type="dxa"/>
            <w:noWrap w:val="0"/>
            <w:vAlign w:val="center"/>
          </w:tcPr>
          <w:p>
            <w:pPr>
              <w:widowControl/>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干净、整洁、定置、无积灰</w:t>
            </w:r>
          </w:p>
        </w:tc>
        <w:tc>
          <w:tcPr>
            <w:tcW w:w="3557" w:type="dxa"/>
            <w:vMerge w:val="continue"/>
            <w:noWrap w:val="0"/>
            <w:vAlign w:val="center"/>
          </w:tcPr>
          <w:p>
            <w:pPr>
              <w:jc w:val="left"/>
              <w:rPr>
                <w:rFonts w:hint="eastAsia" w:ascii="宋体" w:hAnsi="宋体" w:cs="宋体"/>
                <w:color w:val="00000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731" w:hRule="atLeast"/>
          <w:jc w:val="center"/>
        </w:trPr>
        <w:tc>
          <w:tcPr>
            <w:tcW w:w="542" w:type="dxa"/>
            <w:vMerge w:val="continue"/>
            <w:noWrap w:val="0"/>
            <w:vAlign w:val="center"/>
          </w:tcPr>
          <w:p>
            <w:pPr>
              <w:jc w:val="center"/>
              <w:rPr>
                <w:rFonts w:hint="eastAsia" w:ascii="宋体" w:hAnsi="宋体" w:cs="宋体"/>
                <w:color w:val="000000"/>
                <w:szCs w:val="21"/>
                <w:highlight w:val="none"/>
              </w:rPr>
            </w:pPr>
          </w:p>
        </w:tc>
        <w:tc>
          <w:tcPr>
            <w:tcW w:w="895" w:type="dxa"/>
            <w:vMerge w:val="continue"/>
            <w:noWrap w:val="0"/>
            <w:vAlign w:val="center"/>
          </w:tcPr>
          <w:p>
            <w:pPr>
              <w:jc w:val="center"/>
              <w:rPr>
                <w:rFonts w:hint="eastAsia" w:ascii="宋体" w:hAnsi="宋体" w:cs="宋体"/>
                <w:color w:val="000000"/>
                <w:szCs w:val="21"/>
                <w:highlight w:val="none"/>
              </w:rPr>
            </w:pPr>
          </w:p>
        </w:tc>
        <w:tc>
          <w:tcPr>
            <w:tcW w:w="781" w:type="dxa"/>
            <w:noWrap w:val="0"/>
            <w:vAlign w:val="center"/>
          </w:tcPr>
          <w:p>
            <w:pPr>
              <w:widowControl/>
              <w:jc w:val="left"/>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茶几、烟缸</w:t>
            </w:r>
          </w:p>
        </w:tc>
        <w:tc>
          <w:tcPr>
            <w:tcW w:w="1685" w:type="dxa"/>
            <w:noWrap w:val="0"/>
            <w:vAlign w:val="center"/>
          </w:tcPr>
          <w:p>
            <w:pPr>
              <w:widowControl/>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不断巡回保洁</w:t>
            </w:r>
          </w:p>
        </w:tc>
        <w:tc>
          <w:tcPr>
            <w:tcW w:w="2640" w:type="dxa"/>
            <w:noWrap w:val="0"/>
            <w:vAlign w:val="center"/>
          </w:tcPr>
          <w:p>
            <w:pPr>
              <w:widowControl/>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无油渍、保持干净、烟蒂不超5个</w:t>
            </w:r>
          </w:p>
        </w:tc>
        <w:tc>
          <w:tcPr>
            <w:tcW w:w="3557" w:type="dxa"/>
            <w:vMerge w:val="continue"/>
            <w:noWrap w:val="0"/>
            <w:vAlign w:val="center"/>
          </w:tcPr>
          <w:p>
            <w:pPr>
              <w:jc w:val="left"/>
              <w:rPr>
                <w:rFonts w:hint="eastAsia" w:ascii="宋体" w:hAnsi="宋体" w:cs="宋体"/>
                <w:color w:val="00000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790" w:hRule="atLeast"/>
          <w:jc w:val="center"/>
        </w:trPr>
        <w:tc>
          <w:tcPr>
            <w:tcW w:w="542" w:type="dxa"/>
            <w:vMerge w:val="continue"/>
            <w:noWrap w:val="0"/>
            <w:vAlign w:val="center"/>
          </w:tcPr>
          <w:p>
            <w:pPr>
              <w:jc w:val="center"/>
              <w:rPr>
                <w:rFonts w:hint="eastAsia" w:ascii="宋体" w:hAnsi="宋体" w:cs="宋体"/>
                <w:color w:val="000000"/>
                <w:szCs w:val="21"/>
                <w:highlight w:val="none"/>
              </w:rPr>
            </w:pPr>
          </w:p>
        </w:tc>
        <w:tc>
          <w:tcPr>
            <w:tcW w:w="895" w:type="dxa"/>
            <w:vMerge w:val="continue"/>
            <w:noWrap w:val="0"/>
            <w:vAlign w:val="center"/>
          </w:tcPr>
          <w:p>
            <w:pPr>
              <w:jc w:val="center"/>
              <w:rPr>
                <w:rFonts w:hint="eastAsia" w:ascii="宋体" w:hAnsi="宋体" w:cs="宋体"/>
                <w:color w:val="000000"/>
                <w:szCs w:val="21"/>
                <w:highlight w:val="none"/>
              </w:rPr>
            </w:pPr>
          </w:p>
        </w:tc>
        <w:tc>
          <w:tcPr>
            <w:tcW w:w="781" w:type="dxa"/>
            <w:noWrap w:val="0"/>
            <w:vAlign w:val="center"/>
          </w:tcPr>
          <w:p>
            <w:pPr>
              <w:widowControl/>
              <w:jc w:val="left"/>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玻璃（门，及门把）</w:t>
            </w:r>
          </w:p>
        </w:tc>
        <w:tc>
          <w:tcPr>
            <w:tcW w:w="1685" w:type="dxa"/>
            <w:noWrap w:val="0"/>
            <w:vAlign w:val="center"/>
          </w:tcPr>
          <w:p>
            <w:pPr>
              <w:widowControl/>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日常巡回保洁、每周清洗一次</w:t>
            </w:r>
          </w:p>
        </w:tc>
        <w:tc>
          <w:tcPr>
            <w:tcW w:w="2640" w:type="dxa"/>
            <w:noWrap w:val="0"/>
            <w:vAlign w:val="center"/>
          </w:tcPr>
          <w:p>
            <w:pPr>
              <w:widowControl/>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明亮、无印迹、油渍、无积灰、无喷漆涂鸦、无关粘贴物</w:t>
            </w:r>
          </w:p>
        </w:tc>
        <w:tc>
          <w:tcPr>
            <w:tcW w:w="3557" w:type="dxa"/>
            <w:vMerge w:val="continue"/>
            <w:noWrap w:val="0"/>
            <w:vAlign w:val="center"/>
          </w:tcPr>
          <w:p>
            <w:pPr>
              <w:jc w:val="left"/>
              <w:rPr>
                <w:rFonts w:hint="eastAsia" w:ascii="宋体" w:hAnsi="宋体" w:cs="宋体"/>
                <w:color w:val="00000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790" w:hRule="atLeast"/>
          <w:jc w:val="center"/>
        </w:trPr>
        <w:tc>
          <w:tcPr>
            <w:tcW w:w="542" w:type="dxa"/>
            <w:vMerge w:val="continue"/>
            <w:noWrap w:val="0"/>
            <w:vAlign w:val="center"/>
          </w:tcPr>
          <w:p>
            <w:pPr>
              <w:jc w:val="center"/>
              <w:rPr>
                <w:rFonts w:hint="eastAsia" w:ascii="宋体" w:hAnsi="宋体" w:cs="宋体"/>
                <w:color w:val="000000"/>
                <w:szCs w:val="21"/>
                <w:highlight w:val="none"/>
              </w:rPr>
            </w:pPr>
          </w:p>
        </w:tc>
        <w:tc>
          <w:tcPr>
            <w:tcW w:w="895" w:type="dxa"/>
            <w:vMerge w:val="continue"/>
            <w:noWrap w:val="0"/>
            <w:vAlign w:val="center"/>
          </w:tcPr>
          <w:p>
            <w:pPr>
              <w:jc w:val="center"/>
              <w:rPr>
                <w:rFonts w:hint="eastAsia" w:ascii="宋体" w:hAnsi="宋体" w:cs="宋体"/>
                <w:color w:val="000000"/>
                <w:szCs w:val="21"/>
                <w:highlight w:val="none"/>
              </w:rPr>
            </w:pPr>
          </w:p>
        </w:tc>
        <w:tc>
          <w:tcPr>
            <w:tcW w:w="781" w:type="dxa"/>
            <w:noWrap w:val="0"/>
            <w:vAlign w:val="center"/>
          </w:tcPr>
          <w:p>
            <w:pPr>
              <w:widowControl/>
              <w:jc w:val="left"/>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灯具、开关、索引牌、指示牌</w:t>
            </w:r>
          </w:p>
        </w:tc>
        <w:tc>
          <w:tcPr>
            <w:tcW w:w="1685" w:type="dxa"/>
            <w:noWrap w:val="0"/>
            <w:vAlign w:val="center"/>
          </w:tcPr>
          <w:p>
            <w:pPr>
              <w:widowControl/>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每月擦拭一次</w:t>
            </w:r>
          </w:p>
        </w:tc>
        <w:tc>
          <w:tcPr>
            <w:tcW w:w="2640" w:type="dxa"/>
            <w:noWrap w:val="0"/>
            <w:vAlign w:val="center"/>
          </w:tcPr>
          <w:p>
            <w:pPr>
              <w:widowControl/>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目视无积尘、表面无虫网、无喷漆涂鸦、无关粘贴物</w:t>
            </w:r>
          </w:p>
        </w:tc>
        <w:tc>
          <w:tcPr>
            <w:tcW w:w="3557" w:type="dxa"/>
            <w:vMerge w:val="continue"/>
            <w:noWrap w:val="0"/>
            <w:vAlign w:val="center"/>
          </w:tcPr>
          <w:p>
            <w:pPr>
              <w:jc w:val="left"/>
              <w:rPr>
                <w:rFonts w:hint="eastAsia" w:ascii="宋体" w:hAnsi="宋体" w:cs="宋体"/>
                <w:color w:val="00000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790" w:hRule="atLeast"/>
          <w:jc w:val="center"/>
        </w:trPr>
        <w:tc>
          <w:tcPr>
            <w:tcW w:w="542" w:type="dxa"/>
            <w:vMerge w:val="restart"/>
            <w:noWrap w:val="0"/>
            <w:vAlign w:val="center"/>
          </w:tcPr>
          <w:p>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3</w:t>
            </w:r>
          </w:p>
        </w:tc>
        <w:tc>
          <w:tcPr>
            <w:tcW w:w="895" w:type="dxa"/>
            <w:vMerge w:val="restart"/>
            <w:noWrap w:val="0"/>
            <w:vAlign w:val="center"/>
          </w:tcPr>
          <w:p>
            <w:pPr>
              <w:widowControl/>
              <w:jc w:val="center"/>
              <w:textAlignment w:val="center"/>
              <w:rPr>
                <w:rFonts w:hint="eastAsia" w:ascii="宋体" w:hAnsi="宋体" w:eastAsia="宋体" w:cs="宋体"/>
                <w:color w:val="000000"/>
                <w:kern w:val="0"/>
                <w:szCs w:val="21"/>
                <w:highlight w:val="none"/>
                <w:lang w:eastAsia="zh-CN" w:bidi="ar"/>
              </w:rPr>
            </w:pPr>
            <w:r>
              <w:rPr>
                <w:rFonts w:hint="eastAsia" w:ascii="宋体" w:hAnsi="宋体" w:cs="宋体"/>
                <w:color w:val="000000"/>
                <w:kern w:val="0"/>
                <w:szCs w:val="21"/>
                <w:highlight w:val="none"/>
                <w:lang w:eastAsia="zh-CN" w:bidi="ar"/>
              </w:rPr>
              <w:t>各楼栋</w:t>
            </w:r>
            <w:r>
              <w:rPr>
                <w:rFonts w:hint="eastAsia" w:ascii="宋体" w:hAnsi="宋体" w:cs="宋体"/>
                <w:color w:val="000000"/>
                <w:kern w:val="0"/>
                <w:szCs w:val="21"/>
                <w:highlight w:val="none"/>
                <w:lang w:bidi="ar"/>
              </w:rPr>
              <w:t>电梯轿厢</w:t>
            </w:r>
          </w:p>
          <w:p>
            <w:pPr>
              <w:widowControl/>
              <w:jc w:val="center"/>
              <w:textAlignment w:val="center"/>
              <w:rPr>
                <w:rFonts w:hint="eastAsia" w:ascii="宋体" w:hAnsi="宋体" w:cs="宋体"/>
                <w:color w:val="000000"/>
                <w:szCs w:val="21"/>
                <w:highlight w:val="none"/>
              </w:rPr>
            </w:pPr>
          </w:p>
        </w:tc>
        <w:tc>
          <w:tcPr>
            <w:tcW w:w="781" w:type="dxa"/>
            <w:noWrap w:val="0"/>
            <w:vAlign w:val="center"/>
          </w:tcPr>
          <w:p>
            <w:pPr>
              <w:widowControl/>
              <w:jc w:val="left"/>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不锈钢制品</w:t>
            </w:r>
          </w:p>
        </w:tc>
        <w:tc>
          <w:tcPr>
            <w:tcW w:w="1685" w:type="dxa"/>
            <w:noWrap w:val="0"/>
            <w:vAlign w:val="center"/>
          </w:tcPr>
          <w:p>
            <w:pPr>
              <w:widowControl/>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每月保养一次、每周油布擦拭一次</w:t>
            </w:r>
          </w:p>
        </w:tc>
        <w:tc>
          <w:tcPr>
            <w:tcW w:w="2640" w:type="dxa"/>
            <w:noWrap w:val="0"/>
            <w:vAlign w:val="center"/>
          </w:tcPr>
          <w:p>
            <w:pPr>
              <w:widowControl/>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表面无积灰、印迹、明显油渍、无喷漆涂鸦、无关粘贴物</w:t>
            </w:r>
          </w:p>
        </w:tc>
        <w:tc>
          <w:tcPr>
            <w:tcW w:w="3557" w:type="dxa"/>
            <w:vMerge w:val="restart"/>
            <w:noWrap w:val="0"/>
            <w:vAlign w:val="center"/>
          </w:tcPr>
          <w:p>
            <w:pPr>
              <w:widowControl/>
              <w:jc w:val="left"/>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没有按照规定频率清扫各扣1分；发现3处以上明显积灰、虫网等不符合服务标准的情况，一次性扣3分；5处以上，一次性扣5分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790" w:hRule="atLeast"/>
          <w:jc w:val="center"/>
        </w:trPr>
        <w:tc>
          <w:tcPr>
            <w:tcW w:w="542" w:type="dxa"/>
            <w:vMerge w:val="continue"/>
            <w:noWrap w:val="0"/>
            <w:vAlign w:val="center"/>
          </w:tcPr>
          <w:p>
            <w:pPr>
              <w:jc w:val="center"/>
              <w:rPr>
                <w:rFonts w:hint="eastAsia" w:ascii="宋体" w:hAnsi="宋体" w:cs="宋体"/>
                <w:color w:val="000000"/>
                <w:szCs w:val="21"/>
                <w:highlight w:val="none"/>
              </w:rPr>
            </w:pPr>
          </w:p>
        </w:tc>
        <w:tc>
          <w:tcPr>
            <w:tcW w:w="895" w:type="dxa"/>
            <w:vMerge w:val="continue"/>
            <w:noWrap w:val="0"/>
            <w:vAlign w:val="center"/>
          </w:tcPr>
          <w:p>
            <w:pPr>
              <w:jc w:val="center"/>
              <w:rPr>
                <w:rFonts w:hint="eastAsia" w:ascii="宋体" w:hAnsi="宋体" w:cs="宋体"/>
                <w:color w:val="000000"/>
                <w:szCs w:val="21"/>
                <w:highlight w:val="none"/>
              </w:rPr>
            </w:pPr>
          </w:p>
        </w:tc>
        <w:tc>
          <w:tcPr>
            <w:tcW w:w="781" w:type="dxa"/>
            <w:noWrap w:val="0"/>
            <w:vAlign w:val="center"/>
          </w:tcPr>
          <w:p>
            <w:pPr>
              <w:widowControl/>
              <w:jc w:val="left"/>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地面</w:t>
            </w:r>
          </w:p>
        </w:tc>
        <w:tc>
          <w:tcPr>
            <w:tcW w:w="1685" w:type="dxa"/>
            <w:noWrap w:val="0"/>
            <w:vAlign w:val="center"/>
          </w:tcPr>
          <w:p>
            <w:pPr>
              <w:widowControl/>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每日清扫尘堆，巡回保洁</w:t>
            </w:r>
          </w:p>
        </w:tc>
        <w:tc>
          <w:tcPr>
            <w:tcW w:w="2640" w:type="dxa"/>
            <w:noWrap w:val="0"/>
            <w:vAlign w:val="center"/>
          </w:tcPr>
          <w:p>
            <w:pPr>
              <w:widowControl/>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无垃圾、杂物、污迹、无油渍、喷漆涂鸦、无关粘贴物</w:t>
            </w:r>
          </w:p>
        </w:tc>
        <w:tc>
          <w:tcPr>
            <w:tcW w:w="3557" w:type="dxa"/>
            <w:vMerge w:val="continue"/>
            <w:noWrap w:val="0"/>
            <w:vAlign w:val="center"/>
          </w:tcPr>
          <w:p>
            <w:pPr>
              <w:jc w:val="left"/>
              <w:rPr>
                <w:rFonts w:hint="eastAsia" w:ascii="宋体" w:hAnsi="宋体" w:cs="宋体"/>
                <w:color w:val="00000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796" w:hRule="atLeast"/>
          <w:jc w:val="center"/>
        </w:trPr>
        <w:tc>
          <w:tcPr>
            <w:tcW w:w="542" w:type="dxa"/>
            <w:vMerge w:val="continue"/>
            <w:noWrap w:val="0"/>
            <w:vAlign w:val="center"/>
          </w:tcPr>
          <w:p>
            <w:pPr>
              <w:jc w:val="center"/>
              <w:rPr>
                <w:rFonts w:hint="eastAsia" w:ascii="宋体" w:hAnsi="宋体" w:cs="宋体"/>
                <w:color w:val="000000"/>
                <w:szCs w:val="21"/>
                <w:highlight w:val="none"/>
              </w:rPr>
            </w:pPr>
          </w:p>
        </w:tc>
        <w:tc>
          <w:tcPr>
            <w:tcW w:w="895" w:type="dxa"/>
            <w:vMerge w:val="continue"/>
            <w:noWrap w:val="0"/>
            <w:vAlign w:val="center"/>
          </w:tcPr>
          <w:p>
            <w:pPr>
              <w:jc w:val="center"/>
              <w:rPr>
                <w:rFonts w:hint="eastAsia" w:ascii="宋体" w:hAnsi="宋体" w:cs="宋体"/>
                <w:color w:val="000000"/>
                <w:szCs w:val="21"/>
                <w:highlight w:val="none"/>
              </w:rPr>
            </w:pPr>
          </w:p>
        </w:tc>
        <w:tc>
          <w:tcPr>
            <w:tcW w:w="781" w:type="dxa"/>
            <w:noWrap w:val="0"/>
            <w:vAlign w:val="center"/>
          </w:tcPr>
          <w:p>
            <w:pPr>
              <w:widowControl/>
              <w:jc w:val="left"/>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轿厢内壁（按键）</w:t>
            </w:r>
          </w:p>
        </w:tc>
        <w:tc>
          <w:tcPr>
            <w:tcW w:w="1685" w:type="dxa"/>
            <w:noWrap w:val="0"/>
            <w:vAlign w:val="center"/>
          </w:tcPr>
          <w:p>
            <w:pPr>
              <w:widowControl/>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每周油布擦拭</w:t>
            </w:r>
          </w:p>
        </w:tc>
        <w:tc>
          <w:tcPr>
            <w:tcW w:w="2640" w:type="dxa"/>
            <w:noWrap w:val="0"/>
            <w:vAlign w:val="center"/>
          </w:tcPr>
          <w:p>
            <w:pPr>
              <w:widowControl/>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无油渍、污渍、表面光亮、无喷漆涂鸦、无关粘贴物</w:t>
            </w:r>
          </w:p>
        </w:tc>
        <w:tc>
          <w:tcPr>
            <w:tcW w:w="3557" w:type="dxa"/>
            <w:vMerge w:val="continue"/>
            <w:noWrap w:val="0"/>
            <w:vAlign w:val="center"/>
          </w:tcPr>
          <w:p>
            <w:pPr>
              <w:jc w:val="left"/>
              <w:rPr>
                <w:rFonts w:hint="eastAsia" w:ascii="宋体" w:hAnsi="宋体" w:cs="宋体"/>
                <w:color w:val="00000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796" w:hRule="atLeast"/>
          <w:jc w:val="center"/>
        </w:trPr>
        <w:tc>
          <w:tcPr>
            <w:tcW w:w="542" w:type="dxa"/>
            <w:vMerge w:val="continue"/>
            <w:noWrap w:val="0"/>
            <w:vAlign w:val="center"/>
          </w:tcPr>
          <w:p>
            <w:pPr>
              <w:jc w:val="center"/>
              <w:rPr>
                <w:rFonts w:hint="eastAsia" w:ascii="宋体" w:hAnsi="宋体" w:cs="宋体"/>
                <w:color w:val="000000"/>
                <w:szCs w:val="21"/>
                <w:highlight w:val="none"/>
              </w:rPr>
            </w:pPr>
          </w:p>
        </w:tc>
        <w:tc>
          <w:tcPr>
            <w:tcW w:w="895" w:type="dxa"/>
            <w:vMerge w:val="continue"/>
            <w:noWrap w:val="0"/>
            <w:vAlign w:val="center"/>
          </w:tcPr>
          <w:p>
            <w:pPr>
              <w:jc w:val="center"/>
              <w:rPr>
                <w:rFonts w:hint="eastAsia" w:ascii="宋体" w:hAnsi="宋体" w:cs="宋体"/>
                <w:color w:val="000000"/>
                <w:szCs w:val="21"/>
                <w:highlight w:val="none"/>
              </w:rPr>
            </w:pPr>
          </w:p>
        </w:tc>
        <w:tc>
          <w:tcPr>
            <w:tcW w:w="781" w:type="dxa"/>
            <w:noWrap w:val="0"/>
            <w:vAlign w:val="center"/>
          </w:tcPr>
          <w:p>
            <w:pPr>
              <w:widowControl/>
              <w:jc w:val="left"/>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镜面</w:t>
            </w:r>
          </w:p>
        </w:tc>
        <w:tc>
          <w:tcPr>
            <w:tcW w:w="1685" w:type="dxa"/>
            <w:noWrap w:val="0"/>
            <w:vAlign w:val="center"/>
          </w:tcPr>
          <w:p>
            <w:pPr>
              <w:widowControl/>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每二日擦拭一次</w:t>
            </w:r>
          </w:p>
        </w:tc>
        <w:tc>
          <w:tcPr>
            <w:tcW w:w="2640" w:type="dxa"/>
            <w:noWrap w:val="0"/>
            <w:vAlign w:val="center"/>
          </w:tcPr>
          <w:p>
            <w:pPr>
              <w:widowControl/>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明亮、无印迹、无喷漆涂鸦、无关粘贴物</w:t>
            </w:r>
          </w:p>
        </w:tc>
        <w:tc>
          <w:tcPr>
            <w:tcW w:w="3557" w:type="dxa"/>
            <w:vMerge w:val="continue"/>
            <w:noWrap w:val="0"/>
            <w:vAlign w:val="center"/>
          </w:tcPr>
          <w:p>
            <w:pPr>
              <w:jc w:val="left"/>
              <w:rPr>
                <w:rFonts w:hint="eastAsia" w:ascii="宋体" w:hAnsi="宋体" w:cs="宋体"/>
                <w:color w:val="00000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790" w:hRule="atLeast"/>
          <w:jc w:val="center"/>
        </w:trPr>
        <w:tc>
          <w:tcPr>
            <w:tcW w:w="542" w:type="dxa"/>
            <w:vMerge w:val="restart"/>
            <w:noWrap w:val="0"/>
            <w:vAlign w:val="center"/>
          </w:tcPr>
          <w:p>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4</w:t>
            </w:r>
          </w:p>
        </w:tc>
        <w:tc>
          <w:tcPr>
            <w:tcW w:w="895" w:type="dxa"/>
            <w:vMerge w:val="restart"/>
            <w:noWrap w:val="0"/>
            <w:vAlign w:val="center"/>
          </w:tcPr>
          <w:p>
            <w:pPr>
              <w:widowControl/>
              <w:jc w:val="center"/>
              <w:textAlignment w:val="center"/>
              <w:rPr>
                <w:rFonts w:hint="eastAsia" w:ascii="宋体" w:hAnsi="宋体" w:cs="宋体"/>
                <w:color w:val="000000"/>
                <w:szCs w:val="21"/>
                <w:highlight w:val="none"/>
              </w:rPr>
            </w:pPr>
            <w:r>
              <w:rPr>
                <w:rFonts w:hint="eastAsia" w:ascii="宋体" w:hAnsi="宋体" w:cs="宋体"/>
                <w:color w:val="000000"/>
                <w:szCs w:val="21"/>
                <w:highlight w:val="none"/>
                <w:lang w:eastAsia="zh-CN"/>
              </w:rPr>
              <w:t>各楼栋楼层走廊通道及</w:t>
            </w:r>
            <w:r>
              <w:rPr>
                <w:rFonts w:hint="eastAsia" w:ascii="宋体" w:hAnsi="宋体" w:cs="宋体"/>
                <w:color w:val="000000"/>
                <w:kern w:val="0"/>
                <w:szCs w:val="21"/>
                <w:highlight w:val="none"/>
                <w:lang w:bidi="ar"/>
              </w:rPr>
              <w:t>消防楼梯</w:t>
            </w:r>
          </w:p>
        </w:tc>
        <w:tc>
          <w:tcPr>
            <w:tcW w:w="781" w:type="dxa"/>
            <w:noWrap w:val="0"/>
            <w:vAlign w:val="center"/>
          </w:tcPr>
          <w:p>
            <w:pPr>
              <w:widowControl/>
              <w:jc w:val="left"/>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地面、台阶</w:t>
            </w:r>
          </w:p>
        </w:tc>
        <w:tc>
          <w:tcPr>
            <w:tcW w:w="1685" w:type="dxa"/>
            <w:noWrap w:val="0"/>
            <w:vAlign w:val="center"/>
          </w:tcPr>
          <w:p>
            <w:pPr>
              <w:widowControl/>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每日清扫一次、每周拖擦</w:t>
            </w:r>
          </w:p>
        </w:tc>
        <w:tc>
          <w:tcPr>
            <w:tcW w:w="2640" w:type="dxa"/>
            <w:noWrap w:val="0"/>
            <w:vAlign w:val="center"/>
          </w:tcPr>
          <w:p>
            <w:pPr>
              <w:widowControl/>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无垃圾、杂物，无污渍、无喷漆涂鸦、无关粘贴物</w:t>
            </w:r>
          </w:p>
        </w:tc>
        <w:tc>
          <w:tcPr>
            <w:tcW w:w="3557" w:type="dxa"/>
            <w:vMerge w:val="restart"/>
            <w:noWrap w:val="0"/>
            <w:vAlign w:val="center"/>
          </w:tcPr>
          <w:p>
            <w:pPr>
              <w:widowControl/>
              <w:jc w:val="left"/>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没有按照规定频率清扫各扣1分；发现3处以上明显积灰、虫网等不符合服务标准的情况，一次性扣3分；5处以上，一次性扣5分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075" w:hRule="atLeast"/>
          <w:jc w:val="center"/>
        </w:trPr>
        <w:tc>
          <w:tcPr>
            <w:tcW w:w="542" w:type="dxa"/>
            <w:vMerge w:val="continue"/>
            <w:noWrap w:val="0"/>
            <w:vAlign w:val="center"/>
          </w:tcPr>
          <w:p>
            <w:pPr>
              <w:jc w:val="center"/>
              <w:rPr>
                <w:rFonts w:hint="eastAsia" w:ascii="宋体" w:hAnsi="宋体" w:cs="宋体"/>
                <w:color w:val="000000"/>
                <w:szCs w:val="21"/>
                <w:highlight w:val="none"/>
              </w:rPr>
            </w:pPr>
          </w:p>
        </w:tc>
        <w:tc>
          <w:tcPr>
            <w:tcW w:w="895" w:type="dxa"/>
            <w:vMerge w:val="continue"/>
            <w:noWrap w:val="0"/>
            <w:vAlign w:val="center"/>
          </w:tcPr>
          <w:p>
            <w:pPr>
              <w:jc w:val="center"/>
              <w:rPr>
                <w:rFonts w:hint="eastAsia" w:ascii="宋体" w:hAnsi="宋体" w:cs="宋体"/>
                <w:color w:val="000000"/>
                <w:szCs w:val="21"/>
                <w:highlight w:val="none"/>
              </w:rPr>
            </w:pPr>
          </w:p>
        </w:tc>
        <w:tc>
          <w:tcPr>
            <w:tcW w:w="781" w:type="dxa"/>
            <w:noWrap w:val="0"/>
            <w:vAlign w:val="center"/>
          </w:tcPr>
          <w:p>
            <w:pPr>
              <w:widowControl/>
              <w:jc w:val="left"/>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楼梯扶手</w:t>
            </w:r>
          </w:p>
        </w:tc>
        <w:tc>
          <w:tcPr>
            <w:tcW w:w="1685" w:type="dxa"/>
            <w:noWrap w:val="0"/>
            <w:vAlign w:val="center"/>
          </w:tcPr>
          <w:p>
            <w:pPr>
              <w:widowControl/>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每周保养一次</w:t>
            </w:r>
          </w:p>
        </w:tc>
        <w:tc>
          <w:tcPr>
            <w:tcW w:w="2640" w:type="dxa"/>
            <w:noWrap w:val="0"/>
            <w:vAlign w:val="center"/>
          </w:tcPr>
          <w:p>
            <w:pPr>
              <w:widowControl/>
              <w:ind w:firstLine="420" w:firstLineChars="200"/>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保持扶手干净、明亮、无油渍、积灰、无喷漆涂鸦、无关粘贴物</w:t>
            </w:r>
          </w:p>
        </w:tc>
        <w:tc>
          <w:tcPr>
            <w:tcW w:w="3557" w:type="dxa"/>
            <w:vMerge w:val="continue"/>
            <w:noWrap w:val="0"/>
            <w:vAlign w:val="center"/>
          </w:tcPr>
          <w:p>
            <w:pPr>
              <w:jc w:val="left"/>
              <w:rPr>
                <w:rFonts w:hint="eastAsia" w:ascii="宋体" w:hAnsi="宋体" w:cs="宋体"/>
                <w:color w:val="00000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075" w:hRule="atLeast"/>
          <w:jc w:val="center"/>
        </w:trPr>
        <w:tc>
          <w:tcPr>
            <w:tcW w:w="542" w:type="dxa"/>
            <w:vMerge w:val="continue"/>
            <w:noWrap w:val="0"/>
            <w:vAlign w:val="center"/>
          </w:tcPr>
          <w:p>
            <w:pPr>
              <w:jc w:val="center"/>
              <w:rPr>
                <w:rFonts w:hint="eastAsia" w:ascii="宋体" w:hAnsi="宋体" w:cs="宋体"/>
                <w:color w:val="000000"/>
                <w:szCs w:val="21"/>
                <w:highlight w:val="none"/>
              </w:rPr>
            </w:pPr>
          </w:p>
        </w:tc>
        <w:tc>
          <w:tcPr>
            <w:tcW w:w="895" w:type="dxa"/>
            <w:vMerge w:val="continue"/>
            <w:noWrap w:val="0"/>
            <w:vAlign w:val="center"/>
          </w:tcPr>
          <w:p>
            <w:pPr>
              <w:jc w:val="center"/>
              <w:rPr>
                <w:rFonts w:hint="eastAsia" w:ascii="宋体" w:hAnsi="宋体" w:cs="宋体"/>
                <w:color w:val="000000"/>
                <w:szCs w:val="21"/>
                <w:highlight w:val="none"/>
              </w:rPr>
            </w:pPr>
          </w:p>
        </w:tc>
        <w:tc>
          <w:tcPr>
            <w:tcW w:w="781" w:type="dxa"/>
            <w:noWrap w:val="0"/>
            <w:vAlign w:val="center"/>
          </w:tcPr>
          <w:p>
            <w:pPr>
              <w:widowControl/>
              <w:jc w:val="left"/>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指示灯、开关、墙面</w:t>
            </w:r>
          </w:p>
        </w:tc>
        <w:tc>
          <w:tcPr>
            <w:tcW w:w="1685" w:type="dxa"/>
            <w:noWrap w:val="0"/>
            <w:vAlign w:val="center"/>
          </w:tcPr>
          <w:p>
            <w:pPr>
              <w:widowControl/>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每月擦拭一次</w:t>
            </w:r>
          </w:p>
        </w:tc>
        <w:tc>
          <w:tcPr>
            <w:tcW w:w="2640" w:type="dxa"/>
            <w:noWrap w:val="0"/>
            <w:vAlign w:val="center"/>
          </w:tcPr>
          <w:p>
            <w:pPr>
              <w:widowControl/>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目视表面无明显油渍、积灰、虫网、无喷漆涂鸦、无关粘贴物</w:t>
            </w:r>
          </w:p>
        </w:tc>
        <w:tc>
          <w:tcPr>
            <w:tcW w:w="3557" w:type="dxa"/>
            <w:vMerge w:val="continue"/>
            <w:noWrap w:val="0"/>
            <w:vAlign w:val="center"/>
          </w:tcPr>
          <w:p>
            <w:pPr>
              <w:jc w:val="left"/>
              <w:rPr>
                <w:rFonts w:hint="eastAsia" w:ascii="宋体" w:hAnsi="宋体" w:cs="宋体"/>
                <w:color w:val="00000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075" w:hRule="atLeast"/>
          <w:jc w:val="center"/>
        </w:trPr>
        <w:tc>
          <w:tcPr>
            <w:tcW w:w="542" w:type="dxa"/>
            <w:vMerge w:val="continue"/>
            <w:noWrap w:val="0"/>
            <w:vAlign w:val="center"/>
          </w:tcPr>
          <w:p>
            <w:pPr>
              <w:jc w:val="center"/>
              <w:rPr>
                <w:rFonts w:hint="eastAsia" w:ascii="宋体" w:hAnsi="宋体" w:cs="宋体"/>
                <w:color w:val="000000"/>
                <w:szCs w:val="21"/>
                <w:highlight w:val="none"/>
              </w:rPr>
            </w:pPr>
          </w:p>
        </w:tc>
        <w:tc>
          <w:tcPr>
            <w:tcW w:w="895" w:type="dxa"/>
            <w:vMerge w:val="continue"/>
            <w:noWrap w:val="0"/>
            <w:vAlign w:val="center"/>
          </w:tcPr>
          <w:p>
            <w:pPr>
              <w:jc w:val="center"/>
              <w:rPr>
                <w:rFonts w:hint="eastAsia" w:ascii="宋体" w:hAnsi="宋体" w:cs="宋体"/>
                <w:color w:val="000000"/>
                <w:szCs w:val="21"/>
                <w:highlight w:val="none"/>
              </w:rPr>
            </w:pPr>
          </w:p>
        </w:tc>
        <w:tc>
          <w:tcPr>
            <w:tcW w:w="781" w:type="dxa"/>
            <w:noWrap w:val="0"/>
            <w:vAlign w:val="center"/>
          </w:tcPr>
          <w:p>
            <w:pPr>
              <w:widowControl/>
              <w:jc w:val="left"/>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垃圾箱（烟筒）</w:t>
            </w:r>
          </w:p>
        </w:tc>
        <w:tc>
          <w:tcPr>
            <w:tcW w:w="1685" w:type="dxa"/>
            <w:noWrap w:val="0"/>
            <w:vAlign w:val="center"/>
          </w:tcPr>
          <w:p>
            <w:pPr>
              <w:widowControl/>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每日清理垃圾一次、每周清洗一次</w:t>
            </w:r>
          </w:p>
        </w:tc>
        <w:tc>
          <w:tcPr>
            <w:tcW w:w="2640" w:type="dxa"/>
            <w:noWrap w:val="0"/>
            <w:vAlign w:val="center"/>
          </w:tcPr>
          <w:p>
            <w:pPr>
              <w:widowControl/>
              <w:ind w:firstLine="420" w:firstLineChars="200"/>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保持干净无异味、无明显积灰，无油渍、喷漆涂鸦、无关粘贴物</w:t>
            </w:r>
          </w:p>
        </w:tc>
        <w:tc>
          <w:tcPr>
            <w:tcW w:w="3557" w:type="dxa"/>
            <w:vMerge w:val="continue"/>
            <w:noWrap w:val="0"/>
            <w:vAlign w:val="center"/>
          </w:tcPr>
          <w:p>
            <w:pPr>
              <w:jc w:val="left"/>
              <w:rPr>
                <w:rFonts w:hint="eastAsia" w:ascii="宋体" w:hAnsi="宋体" w:cs="宋体"/>
                <w:color w:val="00000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01" w:hRule="atLeast"/>
          <w:jc w:val="center"/>
        </w:trPr>
        <w:tc>
          <w:tcPr>
            <w:tcW w:w="542" w:type="dxa"/>
            <w:vMerge w:val="continue"/>
            <w:noWrap w:val="0"/>
            <w:vAlign w:val="center"/>
          </w:tcPr>
          <w:p>
            <w:pPr>
              <w:jc w:val="center"/>
              <w:rPr>
                <w:rFonts w:hint="eastAsia" w:ascii="宋体" w:hAnsi="宋体" w:cs="宋体"/>
                <w:color w:val="000000"/>
                <w:szCs w:val="21"/>
                <w:highlight w:val="none"/>
              </w:rPr>
            </w:pPr>
          </w:p>
        </w:tc>
        <w:tc>
          <w:tcPr>
            <w:tcW w:w="895" w:type="dxa"/>
            <w:vMerge w:val="continue"/>
            <w:noWrap w:val="0"/>
            <w:vAlign w:val="center"/>
          </w:tcPr>
          <w:p>
            <w:pPr>
              <w:jc w:val="center"/>
              <w:rPr>
                <w:rFonts w:hint="eastAsia" w:ascii="宋体" w:hAnsi="宋体" w:cs="宋体"/>
                <w:color w:val="000000"/>
                <w:szCs w:val="21"/>
                <w:highlight w:val="none"/>
              </w:rPr>
            </w:pPr>
          </w:p>
        </w:tc>
        <w:tc>
          <w:tcPr>
            <w:tcW w:w="781" w:type="dxa"/>
            <w:noWrap w:val="0"/>
            <w:vAlign w:val="center"/>
          </w:tcPr>
          <w:p>
            <w:pPr>
              <w:widowControl/>
              <w:jc w:val="left"/>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门</w:t>
            </w:r>
          </w:p>
        </w:tc>
        <w:tc>
          <w:tcPr>
            <w:tcW w:w="1685" w:type="dxa"/>
            <w:noWrap w:val="0"/>
            <w:vAlign w:val="center"/>
          </w:tcPr>
          <w:p>
            <w:pPr>
              <w:widowControl/>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每周擦拭一次</w:t>
            </w:r>
          </w:p>
        </w:tc>
        <w:tc>
          <w:tcPr>
            <w:tcW w:w="2640" w:type="dxa"/>
            <w:noWrap w:val="0"/>
            <w:vAlign w:val="center"/>
          </w:tcPr>
          <w:p>
            <w:pPr>
              <w:widowControl/>
              <w:ind w:firstLine="420" w:firstLineChars="200"/>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无油渍、积灰、污渍、无喷漆涂鸦、无关粘贴物</w:t>
            </w:r>
          </w:p>
        </w:tc>
        <w:tc>
          <w:tcPr>
            <w:tcW w:w="3557" w:type="dxa"/>
            <w:vMerge w:val="continue"/>
            <w:noWrap w:val="0"/>
            <w:vAlign w:val="center"/>
          </w:tcPr>
          <w:p>
            <w:pPr>
              <w:jc w:val="left"/>
              <w:rPr>
                <w:rFonts w:hint="eastAsia" w:ascii="宋体" w:hAnsi="宋体" w:cs="宋体"/>
                <w:color w:val="00000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731" w:hRule="atLeast"/>
          <w:jc w:val="center"/>
        </w:trPr>
        <w:tc>
          <w:tcPr>
            <w:tcW w:w="542" w:type="dxa"/>
            <w:vMerge w:val="continue"/>
            <w:noWrap w:val="0"/>
            <w:vAlign w:val="center"/>
          </w:tcPr>
          <w:p>
            <w:pPr>
              <w:jc w:val="center"/>
              <w:rPr>
                <w:rFonts w:hint="eastAsia" w:ascii="宋体" w:hAnsi="宋体" w:cs="宋体"/>
                <w:color w:val="000000"/>
                <w:szCs w:val="21"/>
                <w:highlight w:val="none"/>
              </w:rPr>
            </w:pPr>
          </w:p>
        </w:tc>
        <w:tc>
          <w:tcPr>
            <w:tcW w:w="895" w:type="dxa"/>
            <w:vMerge w:val="continue"/>
            <w:noWrap w:val="0"/>
            <w:vAlign w:val="center"/>
          </w:tcPr>
          <w:p>
            <w:pPr>
              <w:jc w:val="center"/>
              <w:rPr>
                <w:rFonts w:hint="eastAsia" w:ascii="宋体" w:hAnsi="宋体" w:cs="宋体"/>
                <w:color w:val="000000"/>
                <w:szCs w:val="21"/>
                <w:highlight w:val="none"/>
              </w:rPr>
            </w:pPr>
          </w:p>
        </w:tc>
        <w:tc>
          <w:tcPr>
            <w:tcW w:w="781" w:type="dxa"/>
            <w:noWrap w:val="0"/>
            <w:vAlign w:val="center"/>
          </w:tcPr>
          <w:p>
            <w:pPr>
              <w:widowControl/>
              <w:jc w:val="left"/>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顶面（灯、烟感应器）</w:t>
            </w:r>
          </w:p>
        </w:tc>
        <w:tc>
          <w:tcPr>
            <w:tcW w:w="1685" w:type="dxa"/>
            <w:noWrap w:val="0"/>
            <w:vAlign w:val="center"/>
          </w:tcPr>
          <w:p>
            <w:pPr>
              <w:widowControl/>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每月除尘一次</w:t>
            </w:r>
          </w:p>
        </w:tc>
        <w:tc>
          <w:tcPr>
            <w:tcW w:w="2640" w:type="dxa"/>
            <w:noWrap w:val="0"/>
            <w:vAlign w:val="center"/>
          </w:tcPr>
          <w:p>
            <w:pPr>
              <w:widowControl/>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目视无油渍、积灰、虫网</w:t>
            </w:r>
          </w:p>
        </w:tc>
        <w:tc>
          <w:tcPr>
            <w:tcW w:w="3557" w:type="dxa"/>
            <w:vMerge w:val="continue"/>
            <w:noWrap w:val="0"/>
            <w:vAlign w:val="center"/>
          </w:tcPr>
          <w:p>
            <w:pPr>
              <w:jc w:val="left"/>
              <w:rPr>
                <w:rFonts w:hint="eastAsia" w:ascii="宋体" w:hAnsi="宋体" w:cs="宋体"/>
                <w:color w:val="00000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829" w:hRule="atLeast"/>
          <w:jc w:val="center"/>
        </w:trPr>
        <w:tc>
          <w:tcPr>
            <w:tcW w:w="542" w:type="dxa"/>
            <w:vMerge w:val="continue"/>
            <w:noWrap w:val="0"/>
            <w:vAlign w:val="center"/>
          </w:tcPr>
          <w:p>
            <w:pPr>
              <w:jc w:val="center"/>
              <w:rPr>
                <w:rFonts w:hint="eastAsia" w:ascii="宋体" w:hAnsi="宋体" w:cs="宋体"/>
                <w:color w:val="000000"/>
                <w:szCs w:val="21"/>
                <w:highlight w:val="none"/>
              </w:rPr>
            </w:pPr>
          </w:p>
        </w:tc>
        <w:tc>
          <w:tcPr>
            <w:tcW w:w="895" w:type="dxa"/>
            <w:vMerge w:val="continue"/>
            <w:noWrap w:val="0"/>
            <w:vAlign w:val="center"/>
          </w:tcPr>
          <w:p>
            <w:pPr>
              <w:jc w:val="center"/>
              <w:rPr>
                <w:rFonts w:hint="eastAsia" w:ascii="宋体" w:hAnsi="宋体" w:cs="宋体"/>
                <w:color w:val="000000"/>
                <w:szCs w:val="21"/>
                <w:highlight w:val="none"/>
              </w:rPr>
            </w:pPr>
          </w:p>
        </w:tc>
        <w:tc>
          <w:tcPr>
            <w:tcW w:w="781" w:type="dxa"/>
            <w:noWrap w:val="0"/>
            <w:vAlign w:val="center"/>
          </w:tcPr>
          <w:p>
            <w:pPr>
              <w:widowControl/>
              <w:jc w:val="left"/>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外墙立面和玻璃</w:t>
            </w:r>
          </w:p>
        </w:tc>
        <w:tc>
          <w:tcPr>
            <w:tcW w:w="1685" w:type="dxa"/>
            <w:noWrap w:val="0"/>
            <w:vAlign w:val="center"/>
          </w:tcPr>
          <w:p>
            <w:pPr>
              <w:widowControl/>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val="en-US" w:eastAsia="zh-CN" w:bidi="ar"/>
              </w:rPr>
              <w:t>2米以下</w:t>
            </w:r>
            <w:r>
              <w:rPr>
                <w:rFonts w:hint="eastAsia" w:ascii="宋体" w:hAnsi="宋体" w:cs="宋体"/>
                <w:color w:val="000000"/>
                <w:kern w:val="0"/>
                <w:szCs w:val="21"/>
                <w:highlight w:val="none"/>
                <w:lang w:bidi="ar"/>
              </w:rPr>
              <w:t>每</w:t>
            </w:r>
            <w:r>
              <w:rPr>
                <w:rFonts w:hint="eastAsia" w:ascii="宋体" w:hAnsi="宋体" w:cs="宋体"/>
                <w:color w:val="000000"/>
                <w:kern w:val="0"/>
                <w:szCs w:val="21"/>
                <w:highlight w:val="none"/>
                <w:lang w:eastAsia="zh-CN" w:bidi="ar"/>
              </w:rPr>
              <w:t>周</w:t>
            </w:r>
            <w:r>
              <w:rPr>
                <w:rFonts w:hint="eastAsia" w:ascii="宋体" w:hAnsi="宋体" w:cs="宋体"/>
                <w:color w:val="000000"/>
                <w:kern w:val="0"/>
                <w:szCs w:val="21"/>
                <w:highlight w:val="none"/>
                <w:lang w:bidi="ar"/>
              </w:rPr>
              <w:t>清洗一次</w:t>
            </w:r>
          </w:p>
        </w:tc>
        <w:tc>
          <w:tcPr>
            <w:tcW w:w="2640" w:type="dxa"/>
            <w:noWrap w:val="0"/>
            <w:vAlign w:val="center"/>
          </w:tcPr>
          <w:p>
            <w:pPr>
              <w:widowControl/>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目视无污渍、积灰、虫网、无喷漆涂鸦、无关粘贴物</w:t>
            </w:r>
          </w:p>
        </w:tc>
        <w:tc>
          <w:tcPr>
            <w:tcW w:w="3557" w:type="dxa"/>
            <w:vMerge w:val="continue"/>
            <w:noWrap w:val="0"/>
            <w:vAlign w:val="center"/>
          </w:tcPr>
          <w:p>
            <w:pPr>
              <w:jc w:val="left"/>
              <w:rPr>
                <w:rFonts w:hint="eastAsia" w:ascii="宋体" w:hAnsi="宋体" w:cs="宋体"/>
                <w:color w:val="00000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847" w:hRule="atLeast"/>
          <w:jc w:val="center"/>
        </w:trPr>
        <w:tc>
          <w:tcPr>
            <w:tcW w:w="542" w:type="dxa"/>
            <w:vMerge w:val="restart"/>
            <w:noWrap w:val="0"/>
            <w:vAlign w:val="center"/>
          </w:tcPr>
          <w:p>
            <w:pPr>
              <w:widowControl/>
              <w:jc w:val="center"/>
              <w:textAlignment w:val="center"/>
              <w:rPr>
                <w:rFonts w:hint="eastAsia" w:ascii="宋体" w:hAnsi="宋体" w:eastAsia="宋体" w:cs="宋体"/>
                <w:color w:val="000000"/>
                <w:szCs w:val="21"/>
                <w:highlight w:val="none"/>
                <w:lang w:eastAsia="zh-CN"/>
              </w:rPr>
            </w:pPr>
            <w:r>
              <w:rPr>
                <w:rFonts w:hint="eastAsia" w:ascii="宋体" w:hAnsi="宋体" w:cs="宋体"/>
                <w:color w:val="000000"/>
                <w:kern w:val="0"/>
                <w:szCs w:val="21"/>
                <w:highlight w:val="none"/>
                <w:lang w:val="en-US" w:eastAsia="zh-CN" w:bidi="ar"/>
              </w:rPr>
              <w:t>5</w:t>
            </w:r>
          </w:p>
        </w:tc>
        <w:tc>
          <w:tcPr>
            <w:tcW w:w="895" w:type="dxa"/>
            <w:vMerge w:val="restart"/>
            <w:noWrap w:val="0"/>
            <w:vAlign w:val="center"/>
          </w:tcPr>
          <w:p>
            <w:pPr>
              <w:widowControl/>
              <w:jc w:val="center"/>
              <w:textAlignment w:val="center"/>
              <w:rPr>
                <w:rFonts w:hint="eastAsia" w:ascii="宋体" w:hAnsi="宋体" w:eastAsia="宋体" w:cs="宋体"/>
                <w:color w:val="000000"/>
                <w:szCs w:val="21"/>
                <w:highlight w:val="none"/>
                <w:lang w:eastAsia="zh-CN"/>
              </w:rPr>
            </w:pPr>
            <w:r>
              <w:rPr>
                <w:rFonts w:hint="eastAsia" w:ascii="宋体" w:hAnsi="宋体" w:cs="宋体"/>
                <w:color w:val="000000"/>
                <w:szCs w:val="21"/>
                <w:highlight w:val="none"/>
                <w:lang w:eastAsia="zh-CN"/>
              </w:rPr>
              <w:t>各楼栋空置房</w:t>
            </w:r>
          </w:p>
        </w:tc>
        <w:tc>
          <w:tcPr>
            <w:tcW w:w="781" w:type="dxa"/>
            <w:vMerge w:val="restart"/>
            <w:noWrap w:val="0"/>
            <w:vAlign w:val="center"/>
          </w:tcPr>
          <w:p>
            <w:pPr>
              <w:widowControl/>
              <w:jc w:val="left"/>
              <w:textAlignment w:val="center"/>
              <w:rPr>
                <w:rFonts w:hint="eastAsia" w:ascii="宋体" w:hAnsi="宋体" w:eastAsia="宋体" w:cs="宋体"/>
                <w:color w:val="000000"/>
                <w:kern w:val="0"/>
                <w:szCs w:val="21"/>
                <w:highlight w:val="none"/>
                <w:lang w:eastAsia="zh-CN" w:bidi="ar"/>
              </w:rPr>
            </w:pPr>
            <w:r>
              <w:rPr>
                <w:rFonts w:hint="eastAsia" w:ascii="宋体" w:hAnsi="宋体" w:cs="宋体"/>
                <w:color w:val="000000"/>
                <w:kern w:val="0"/>
                <w:szCs w:val="21"/>
                <w:highlight w:val="none"/>
                <w:lang w:eastAsia="zh-CN" w:bidi="ar"/>
              </w:rPr>
              <w:t>厂房和</w:t>
            </w:r>
            <w:r>
              <w:rPr>
                <w:rFonts w:hint="eastAsia" w:ascii="宋体" w:hAnsi="宋体" w:cs="宋体"/>
                <w:color w:val="000000"/>
                <w:kern w:val="0"/>
                <w:szCs w:val="21"/>
                <w:highlight w:val="none"/>
                <w:lang w:val="en-US" w:eastAsia="zh-CN" w:bidi="ar"/>
              </w:rPr>
              <w:t>办公</w:t>
            </w:r>
            <w:r>
              <w:rPr>
                <w:rFonts w:hint="eastAsia" w:ascii="宋体" w:hAnsi="宋体" w:cs="宋体"/>
                <w:color w:val="000000"/>
                <w:kern w:val="0"/>
                <w:szCs w:val="21"/>
                <w:highlight w:val="none"/>
                <w:lang w:eastAsia="zh-CN" w:bidi="ar"/>
              </w:rPr>
              <w:t>楼、宿舍楼、</w:t>
            </w:r>
            <w:r>
              <w:rPr>
                <w:rFonts w:hint="eastAsia" w:ascii="宋体" w:hAnsi="宋体" w:cs="宋体"/>
                <w:color w:val="000000"/>
                <w:kern w:val="0"/>
                <w:szCs w:val="21"/>
                <w:highlight w:val="none"/>
                <w:lang w:val="en-US" w:eastAsia="zh-CN" w:bidi="ar"/>
              </w:rPr>
              <w:t>住宅楼</w:t>
            </w:r>
            <w:r>
              <w:rPr>
                <w:rFonts w:hint="eastAsia" w:ascii="宋体" w:hAnsi="宋体" w:cs="宋体"/>
                <w:color w:val="000000"/>
                <w:kern w:val="0"/>
                <w:szCs w:val="21"/>
                <w:highlight w:val="none"/>
                <w:lang w:eastAsia="zh-CN" w:bidi="ar"/>
              </w:rPr>
              <w:t>空置房</w:t>
            </w:r>
          </w:p>
        </w:tc>
        <w:tc>
          <w:tcPr>
            <w:tcW w:w="1685" w:type="dxa"/>
            <w:noWrap w:val="0"/>
            <w:vAlign w:val="center"/>
          </w:tcPr>
          <w:p>
            <w:pPr>
              <w:widowControl/>
              <w:textAlignment w:val="center"/>
              <w:rPr>
                <w:rFonts w:hint="eastAsia" w:ascii="宋体" w:hAnsi="宋体" w:eastAsia="宋体" w:cs="宋体"/>
                <w:color w:val="000000"/>
                <w:szCs w:val="21"/>
                <w:highlight w:val="none"/>
                <w:lang w:eastAsia="zh-CN"/>
              </w:rPr>
            </w:pPr>
            <w:r>
              <w:rPr>
                <w:rFonts w:hint="eastAsia" w:ascii="宋体" w:hAnsi="宋体" w:cs="宋体"/>
                <w:color w:val="000000"/>
                <w:szCs w:val="21"/>
                <w:highlight w:val="none"/>
                <w:lang w:eastAsia="zh-CN"/>
              </w:rPr>
              <w:t>初次入驻保洁</w:t>
            </w:r>
          </w:p>
        </w:tc>
        <w:tc>
          <w:tcPr>
            <w:tcW w:w="2640" w:type="dxa"/>
            <w:noWrap w:val="0"/>
            <w:vAlign w:val="center"/>
          </w:tcPr>
          <w:p>
            <w:pPr>
              <w:widowControl/>
              <w:textAlignment w:val="center"/>
              <w:rPr>
                <w:rFonts w:hint="eastAsia" w:ascii="宋体" w:hAnsi="宋体" w:eastAsia="宋体" w:cs="宋体"/>
                <w:color w:val="000000"/>
                <w:szCs w:val="21"/>
                <w:highlight w:val="none"/>
                <w:lang w:eastAsia="zh-CN"/>
              </w:rPr>
            </w:pPr>
            <w:r>
              <w:rPr>
                <w:rFonts w:hint="eastAsia" w:ascii="宋体" w:hAnsi="宋体" w:cs="宋体"/>
                <w:color w:val="000000"/>
                <w:szCs w:val="21"/>
                <w:highlight w:val="none"/>
                <w:lang w:eastAsia="zh-CN"/>
              </w:rPr>
              <w:t>地面无灰尘，卫生洁具无污渍，桌椅等设施无灰尘</w:t>
            </w:r>
          </w:p>
        </w:tc>
        <w:tc>
          <w:tcPr>
            <w:tcW w:w="3557" w:type="dxa"/>
            <w:vMerge w:val="restart"/>
            <w:noWrap w:val="0"/>
            <w:vAlign w:val="center"/>
          </w:tcPr>
          <w:p>
            <w:pPr>
              <w:widowControl/>
              <w:jc w:val="left"/>
              <w:textAlignment w:val="center"/>
              <w:rPr>
                <w:rFonts w:hint="eastAsia" w:ascii="宋体" w:hAnsi="宋体" w:cs="宋体"/>
                <w:color w:val="000000"/>
                <w:szCs w:val="21"/>
                <w:highlight w:val="none"/>
              </w:rPr>
            </w:pPr>
            <w:r>
              <w:rPr>
                <w:rFonts w:hint="eastAsia" w:ascii="宋体" w:hAnsi="宋体" w:cs="宋体"/>
                <w:color w:val="000000"/>
                <w:sz w:val="22"/>
                <w:szCs w:val="22"/>
                <w:highlight w:val="none"/>
              </w:rPr>
              <w:t>不符合一处扣1分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847" w:hRule="atLeast"/>
          <w:jc w:val="center"/>
        </w:trPr>
        <w:tc>
          <w:tcPr>
            <w:tcW w:w="542" w:type="dxa"/>
            <w:vMerge w:val="continue"/>
            <w:noWrap w:val="0"/>
            <w:vAlign w:val="center"/>
          </w:tcPr>
          <w:p>
            <w:pPr>
              <w:widowControl/>
              <w:jc w:val="center"/>
              <w:textAlignment w:val="center"/>
              <w:rPr>
                <w:rFonts w:hint="eastAsia" w:ascii="宋体" w:hAnsi="宋体" w:cs="宋体"/>
                <w:color w:val="000000"/>
                <w:kern w:val="0"/>
                <w:szCs w:val="21"/>
                <w:highlight w:val="none"/>
                <w:lang w:bidi="ar"/>
              </w:rPr>
            </w:pPr>
          </w:p>
        </w:tc>
        <w:tc>
          <w:tcPr>
            <w:tcW w:w="895" w:type="dxa"/>
            <w:vMerge w:val="continue"/>
            <w:noWrap w:val="0"/>
            <w:vAlign w:val="center"/>
          </w:tcPr>
          <w:p>
            <w:pPr>
              <w:widowControl/>
              <w:jc w:val="center"/>
              <w:textAlignment w:val="center"/>
              <w:rPr>
                <w:rFonts w:hint="eastAsia" w:ascii="宋体" w:hAnsi="宋体" w:cs="宋体"/>
                <w:color w:val="000000"/>
                <w:kern w:val="0"/>
                <w:szCs w:val="21"/>
                <w:highlight w:val="none"/>
                <w:lang w:bidi="ar"/>
              </w:rPr>
            </w:pPr>
          </w:p>
        </w:tc>
        <w:tc>
          <w:tcPr>
            <w:tcW w:w="781" w:type="dxa"/>
            <w:vMerge w:val="continue"/>
            <w:noWrap w:val="0"/>
            <w:vAlign w:val="center"/>
          </w:tcPr>
          <w:p>
            <w:pPr>
              <w:widowControl/>
              <w:jc w:val="left"/>
              <w:textAlignment w:val="center"/>
              <w:rPr>
                <w:rFonts w:hint="eastAsia" w:ascii="宋体" w:hAnsi="宋体" w:eastAsia="宋体" w:cs="宋体"/>
                <w:color w:val="000000"/>
                <w:kern w:val="0"/>
                <w:szCs w:val="21"/>
                <w:highlight w:val="none"/>
                <w:lang w:eastAsia="zh-CN" w:bidi="ar"/>
              </w:rPr>
            </w:pPr>
          </w:p>
        </w:tc>
        <w:tc>
          <w:tcPr>
            <w:tcW w:w="1685" w:type="dxa"/>
            <w:noWrap w:val="0"/>
            <w:vAlign w:val="center"/>
          </w:tcPr>
          <w:p>
            <w:pPr>
              <w:widowControl/>
              <w:textAlignment w:val="center"/>
              <w:rPr>
                <w:rFonts w:hint="eastAsia" w:ascii="宋体" w:hAnsi="宋体" w:eastAsia="宋体" w:cs="宋体"/>
                <w:color w:val="000000"/>
                <w:kern w:val="0"/>
                <w:szCs w:val="21"/>
                <w:highlight w:val="none"/>
                <w:lang w:eastAsia="zh-CN" w:bidi="ar"/>
              </w:rPr>
            </w:pPr>
            <w:r>
              <w:rPr>
                <w:rFonts w:hint="eastAsia" w:ascii="宋体" w:hAnsi="宋体" w:cs="宋体"/>
                <w:color w:val="000000"/>
                <w:kern w:val="0"/>
                <w:szCs w:val="21"/>
                <w:highlight w:val="none"/>
                <w:lang w:eastAsia="zh-CN" w:bidi="ar"/>
              </w:rPr>
              <w:t>每月二次清洁</w:t>
            </w:r>
          </w:p>
        </w:tc>
        <w:tc>
          <w:tcPr>
            <w:tcW w:w="2640" w:type="dxa"/>
            <w:noWrap w:val="0"/>
            <w:vAlign w:val="center"/>
          </w:tcPr>
          <w:p>
            <w:pPr>
              <w:widowControl/>
              <w:textAlignment w:val="center"/>
              <w:rPr>
                <w:rFonts w:hint="eastAsia" w:ascii="宋体" w:hAnsi="宋体" w:cs="宋体"/>
                <w:color w:val="000000"/>
                <w:kern w:val="0"/>
                <w:szCs w:val="21"/>
                <w:highlight w:val="none"/>
                <w:lang w:bidi="ar"/>
              </w:rPr>
            </w:pPr>
            <w:r>
              <w:rPr>
                <w:rFonts w:hint="eastAsia" w:ascii="宋体" w:hAnsi="宋体" w:cs="宋体"/>
                <w:color w:val="000000"/>
                <w:szCs w:val="21"/>
                <w:highlight w:val="none"/>
                <w:lang w:eastAsia="zh-CN"/>
              </w:rPr>
              <w:t>地面无灰尘，卫生洁具无污渍，桌椅等设施无灰尘</w:t>
            </w:r>
          </w:p>
        </w:tc>
        <w:tc>
          <w:tcPr>
            <w:tcW w:w="3557" w:type="dxa"/>
            <w:vMerge w:val="continue"/>
            <w:noWrap w:val="0"/>
            <w:vAlign w:val="center"/>
          </w:tcPr>
          <w:p>
            <w:pPr>
              <w:widowControl/>
              <w:jc w:val="left"/>
              <w:textAlignment w:val="center"/>
              <w:rPr>
                <w:rFonts w:hint="eastAsia" w:ascii="宋体" w:hAnsi="宋体" w:cs="宋体"/>
                <w:color w:val="000000"/>
                <w:kern w:val="0"/>
                <w:szCs w:val="21"/>
                <w:highlight w:val="none"/>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847" w:hRule="atLeast"/>
          <w:jc w:val="center"/>
        </w:trPr>
        <w:tc>
          <w:tcPr>
            <w:tcW w:w="542" w:type="dxa"/>
            <w:vMerge w:val="restart"/>
            <w:noWrap w:val="0"/>
            <w:vAlign w:val="center"/>
          </w:tcPr>
          <w:p>
            <w:pPr>
              <w:widowControl/>
              <w:jc w:val="center"/>
              <w:textAlignment w:val="center"/>
              <w:rPr>
                <w:rFonts w:hint="eastAsia" w:ascii="宋体" w:hAnsi="宋体" w:eastAsia="宋体" w:cs="宋体"/>
                <w:color w:val="000000"/>
                <w:kern w:val="0"/>
                <w:szCs w:val="21"/>
                <w:highlight w:val="none"/>
                <w:lang w:val="en-US" w:eastAsia="zh-CN" w:bidi="ar"/>
              </w:rPr>
            </w:pPr>
            <w:r>
              <w:rPr>
                <w:rFonts w:hint="eastAsia" w:ascii="宋体" w:hAnsi="宋体" w:cs="宋体"/>
                <w:color w:val="000000"/>
                <w:kern w:val="0"/>
                <w:szCs w:val="21"/>
                <w:highlight w:val="none"/>
                <w:lang w:val="en-US" w:eastAsia="zh-CN" w:bidi="ar"/>
              </w:rPr>
              <w:t>6</w:t>
            </w:r>
          </w:p>
        </w:tc>
        <w:tc>
          <w:tcPr>
            <w:tcW w:w="895" w:type="dxa"/>
            <w:vMerge w:val="restart"/>
            <w:noWrap w:val="0"/>
            <w:vAlign w:val="center"/>
          </w:tcPr>
          <w:p>
            <w:pPr>
              <w:widowControl/>
              <w:jc w:val="center"/>
              <w:textAlignment w:val="center"/>
              <w:rPr>
                <w:rFonts w:hint="eastAsia" w:ascii="宋体" w:hAnsi="宋体" w:eastAsia="宋体" w:cs="宋体"/>
                <w:color w:val="000000"/>
                <w:kern w:val="0"/>
                <w:szCs w:val="21"/>
                <w:highlight w:val="none"/>
                <w:lang w:eastAsia="zh-CN" w:bidi="ar"/>
              </w:rPr>
            </w:pPr>
            <w:r>
              <w:rPr>
                <w:rFonts w:hint="eastAsia" w:ascii="宋体" w:hAnsi="宋体" w:cs="宋体"/>
                <w:color w:val="000000"/>
                <w:kern w:val="0"/>
                <w:szCs w:val="21"/>
                <w:highlight w:val="none"/>
                <w:lang w:eastAsia="zh-CN" w:bidi="ar"/>
              </w:rPr>
              <w:t>停车场</w:t>
            </w:r>
          </w:p>
        </w:tc>
        <w:tc>
          <w:tcPr>
            <w:tcW w:w="781" w:type="dxa"/>
            <w:noWrap w:val="0"/>
            <w:vAlign w:val="center"/>
          </w:tcPr>
          <w:p>
            <w:pPr>
              <w:widowControl/>
              <w:jc w:val="left"/>
              <w:textAlignment w:val="center"/>
              <w:rPr>
                <w:rFonts w:hint="eastAsia" w:ascii="宋体" w:hAnsi="宋体" w:eastAsia="宋体" w:cs="宋体"/>
                <w:color w:val="000000"/>
                <w:kern w:val="2"/>
                <w:sz w:val="21"/>
                <w:szCs w:val="21"/>
                <w:highlight w:val="none"/>
                <w:lang w:val="en-US" w:eastAsia="zh-CN" w:bidi="ar-SA"/>
              </w:rPr>
            </w:pPr>
            <w:r>
              <w:rPr>
                <w:rFonts w:hint="eastAsia" w:ascii="宋体" w:hAnsi="宋体" w:cs="宋体"/>
                <w:color w:val="000000"/>
                <w:kern w:val="0"/>
                <w:szCs w:val="21"/>
                <w:highlight w:val="none"/>
                <w:lang w:bidi="ar"/>
              </w:rPr>
              <w:t>地面</w:t>
            </w:r>
          </w:p>
        </w:tc>
        <w:tc>
          <w:tcPr>
            <w:tcW w:w="1685" w:type="dxa"/>
            <w:noWrap w:val="0"/>
            <w:vAlign w:val="center"/>
          </w:tcPr>
          <w:p>
            <w:pPr>
              <w:widowControl/>
              <w:textAlignment w:val="center"/>
              <w:rPr>
                <w:rFonts w:hint="eastAsia" w:ascii="宋体" w:hAnsi="宋体" w:eastAsia="宋体" w:cs="宋体"/>
                <w:color w:val="000000"/>
                <w:kern w:val="2"/>
                <w:sz w:val="21"/>
                <w:szCs w:val="21"/>
                <w:highlight w:val="none"/>
                <w:lang w:val="en-US" w:eastAsia="zh-CN" w:bidi="ar-SA"/>
              </w:rPr>
            </w:pPr>
            <w:r>
              <w:rPr>
                <w:rFonts w:hint="eastAsia" w:ascii="宋体" w:hAnsi="宋体" w:cs="宋体"/>
                <w:color w:val="000000"/>
                <w:kern w:val="0"/>
                <w:szCs w:val="21"/>
                <w:highlight w:val="none"/>
                <w:lang w:bidi="ar"/>
              </w:rPr>
              <w:t>巡回保洁</w:t>
            </w:r>
            <w:r>
              <w:rPr>
                <w:rFonts w:hint="eastAsia" w:ascii="宋体" w:hAnsi="宋体" w:cs="宋体"/>
                <w:color w:val="000000"/>
                <w:kern w:val="0"/>
                <w:szCs w:val="21"/>
                <w:highlight w:val="none"/>
                <w:lang w:eastAsia="zh-CN" w:bidi="ar"/>
              </w:rPr>
              <w:t>，每个月冲洗一次</w:t>
            </w:r>
          </w:p>
        </w:tc>
        <w:tc>
          <w:tcPr>
            <w:tcW w:w="2640" w:type="dxa"/>
            <w:noWrap w:val="0"/>
            <w:vAlign w:val="center"/>
          </w:tcPr>
          <w:p>
            <w:pPr>
              <w:widowControl/>
              <w:textAlignment w:val="center"/>
              <w:rPr>
                <w:rFonts w:hint="eastAsia" w:ascii="宋体" w:hAnsi="宋体" w:eastAsia="宋体" w:cs="宋体"/>
                <w:color w:val="000000"/>
                <w:kern w:val="2"/>
                <w:sz w:val="21"/>
                <w:szCs w:val="21"/>
                <w:highlight w:val="none"/>
                <w:lang w:val="en-US" w:eastAsia="zh-CN" w:bidi="ar-SA"/>
              </w:rPr>
            </w:pPr>
            <w:r>
              <w:rPr>
                <w:rFonts w:hint="eastAsia" w:ascii="宋体" w:hAnsi="宋体" w:cs="宋体"/>
                <w:color w:val="000000"/>
                <w:kern w:val="0"/>
                <w:szCs w:val="21"/>
                <w:highlight w:val="none"/>
                <w:lang w:bidi="ar"/>
              </w:rPr>
              <w:t>保持干净，无垃圾、杂物、无喷漆涂鸦、无关粘贴物</w:t>
            </w:r>
            <w:r>
              <w:rPr>
                <w:rFonts w:hint="eastAsia" w:ascii="宋体" w:hAnsi="宋体" w:cs="宋体"/>
                <w:color w:val="000000"/>
                <w:kern w:val="0"/>
                <w:szCs w:val="21"/>
                <w:highlight w:val="none"/>
                <w:lang w:eastAsia="zh-CN" w:bidi="ar"/>
              </w:rPr>
              <w:t>、无明显泥尘</w:t>
            </w:r>
          </w:p>
        </w:tc>
        <w:tc>
          <w:tcPr>
            <w:tcW w:w="3557" w:type="dxa"/>
            <w:vMerge w:val="restart"/>
            <w:noWrap w:val="0"/>
            <w:vAlign w:val="center"/>
          </w:tcPr>
          <w:p>
            <w:pPr>
              <w:widowControl/>
              <w:jc w:val="left"/>
              <w:textAlignment w:val="center"/>
              <w:rPr>
                <w:rFonts w:hint="eastAsia" w:ascii="宋体" w:hAnsi="宋体" w:cs="宋体"/>
                <w:color w:val="000000"/>
                <w:kern w:val="0"/>
                <w:szCs w:val="21"/>
                <w:highlight w:val="none"/>
                <w:lang w:bidi="ar"/>
              </w:rPr>
            </w:pPr>
            <w:r>
              <w:rPr>
                <w:rFonts w:hint="eastAsia" w:ascii="宋体" w:hAnsi="宋体" w:cs="宋体"/>
                <w:color w:val="000000"/>
                <w:kern w:val="0"/>
                <w:szCs w:val="21"/>
                <w:highlight w:val="none"/>
                <w:lang w:bidi="ar"/>
              </w:rPr>
              <w:t>没有按照规定频率清扫各扣1分；发现3处以上明显积灰、垃圾等不符合服务标准的情况，一次性扣3分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790" w:hRule="atLeast"/>
          <w:jc w:val="center"/>
        </w:trPr>
        <w:tc>
          <w:tcPr>
            <w:tcW w:w="542" w:type="dxa"/>
            <w:vMerge w:val="continue"/>
            <w:noWrap w:val="0"/>
            <w:vAlign w:val="center"/>
          </w:tcPr>
          <w:p>
            <w:pPr>
              <w:jc w:val="center"/>
              <w:rPr>
                <w:rFonts w:hint="eastAsia" w:ascii="宋体" w:hAnsi="宋体" w:cs="宋体"/>
                <w:color w:val="000000"/>
                <w:szCs w:val="21"/>
                <w:highlight w:val="none"/>
              </w:rPr>
            </w:pPr>
          </w:p>
        </w:tc>
        <w:tc>
          <w:tcPr>
            <w:tcW w:w="895" w:type="dxa"/>
            <w:vMerge w:val="continue"/>
            <w:noWrap w:val="0"/>
            <w:vAlign w:val="center"/>
          </w:tcPr>
          <w:p>
            <w:pPr>
              <w:jc w:val="center"/>
              <w:rPr>
                <w:rFonts w:hint="eastAsia" w:ascii="宋体" w:hAnsi="宋体" w:cs="宋体"/>
                <w:color w:val="000000"/>
                <w:szCs w:val="21"/>
                <w:highlight w:val="none"/>
              </w:rPr>
            </w:pPr>
          </w:p>
        </w:tc>
        <w:tc>
          <w:tcPr>
            <w:tcW w:w="781" w:type="dxa"/>
            <w:noWrap w:val="0"/>
            <w:vAlign w:val="center"/>
          </w:tcPr>
          <w:p>
            <w:pPr>
              <w:widowControl/>
              <w:jc w:val="left"/>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挡车器</w:t>
            </w:r>
          </w:p>
        </w:tc>
        <w:tc>
          <w:tcPr>
            <w:tcW w:w="1685" w:type="dxa"/>
            <w:noWrap w:val="0"/>
            <w:vAlign w:val="center"/>
          </w:tcPr>
          <w:p>
            <w:pPr>
              <w:widowControl/>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每月擦拭一次</w:t>
            </w:r>
          </w:p>
        </w:tc>
        <w:tc>
          <w:tcPr>
            <w:tcW w:w="2640" w:type="dxa"/>
            <w:noWrap w:val="0"/>
            <w:vAlign w:val="center"/>
          </w:tcPr>
          <w:p>
            <w:pPr>
              <w:widowControl/>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无积灰、污渍、无喷漆涂鸦、无关粘贴物</w:t>
            </w:r>
          </w:p>
        </w:tc>
        <w:tc>
          <w:tcPr>
            <w:tcW w:w="3557" w:type="dxa"/>
            <w:vMerge w:val="continue"/>
            <w:noWrap w:val="0"/>
            <w:vAlign w:val="center"/>
          </w:tcPr>
          <w:p>
            <w:pPr>
              <w:jc w:val="left"/>
              <w:rPr>
                <w:rFonts w:hint="eastAsia" w:ascii="宋体" w:hAnsi="宋体" w:cs="宋体"/>
                <w:color w:val="00000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790" w:hRule="atLeast"/>
          <w:jc w:val="center"/>
        </w:trPr>
        <w:tc>
          <w:tcPr>
            <w:tcW w:w="542" w:type="dxa"/>
            <w:vMerge w:val="continue"/>
            <w:noWrap w:val="0"/>
            <w:vAlign w:val="center"/>
          </w:tcPr>
          <w:p>
            <w:pPr>
              <w:jc w:val="center"/>
              <w:rPr>
                <w:rFonts w:hint="eastAsia" w:ascii="宋体" w:hAnsi="宋体" w:cs="宋体"/>
                <w:color w:val="000000"/>
                <w:szCs w:val="21"/>
                <w:highlight w:val="none"/>
              </w:rPr>
            </w:pPr>
          </w:p>
        </w:tc>
        <w:tc>
          <w:tcPr>
            <w:tcW w:w="895" w:type="dxa"/>
            <w:vMerge w:val="continue"/>
            <w:noWrap w:val="0"/>
            <w:vAlign w:val="center"/>
          </w:tcPr>
          <w:p>
            <w:pPr>
              <w:jc w:val="center"/>
              <w:rPr>
                <w:rFonts w:hint="eastAsia" w:ascii="宋体" w:hAnsi="宋体" w:cs="宋体"/>
                <w:color w:val="000000"/>
                <w:szCs w:val="21"/>
                <w:highlight w:val="none"/>
              </w:rPr>
            </w:pPr>
          </w:p>
        </w:tc>
        <w:tc>
          <w:tcPr>
            <w:tcW w:w="781" w:type="dxa"/>
            <w:noWrap w:val="0"/>
            <w:vAlign w:val="center"/>
          </w:tcPr>
          <w:p>
            <w:pPr>
              <w:widowControl/>
              <w:jc w:val="left"/>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反光镜</w:t>
            </w:r>
          </w:p>
        </w:tc>
        <w:tc>
          <w:tcPr>
            <w:tcW w:w="1685" w:type="dxa"/>
            <w:noWrap w:val="0"/>
            <w:vAlign w:val="center"/>
          </w:tcPr>
          <w:p>
            <w:pPr>
              <w:widowControl/>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每周擦拭一次</w:t>
            </w:r>
          </w:p>
        </w:tc>
        <w:tc>
          <w:tcPr>
            <w:tcW w:w="2640" w:type="dxa"/>
            <w:noWrap w:val="0"/>
            <w:vAlign w:val="center"/>
          </w:tcPr>
          <w:p>
            <w:pPr>
              <w:widowControl/>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目视无积灰、污迹、无喷漆涂鸦、无关粘贴物</w:t>
            </w:r>
          </w:p>
        </w:tc>
        <w:tc>
          <w:tcPr>
            <w:tcW w:w="3557" w:type="dxa"/>
            <w:vMerge w:val="continue"/>
            <w:noWrap w:val="0"/>
            <w:vAlign w:val="center"/>
          </w:tcPr>
          <w:p>
            <w:pPr>
              <w:jc w:val="left"/>
              <w:rPr>
                <w:rFonts w:hint="eastAsia" w:ascii="宋体" w:hAnsi="宋体" w:cs="宋体"/>
                <w:color w:val="00000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075" w:hRule="atLeast"/>
          <w:jc w:val="center"/>
        </w:trPr>
        <w:tc>
          <w:tcPr>
            <w:tcW w:w="542" w:type="dxa"/>
            <w:vMerge w:val="continue"/>
            <w:noWrap w:val="0"/>
            <w:vAlign w:val="center"/>
          </w:tcPr>
          <w:p>
            <w:pPr>
              <w:jc w:val="center"/>
              <w:rPr>
                <w:rFonts w:hint="eastAsia" w:ascii="宋体" w:hAnsi="宋体" w:cs="宋体"/>
                <w:color w:val="000000"/>
                <w:szCs w:val="21"/>
                <w:highlight w:val="none"/>
              </w:rPr>
            </w:pPr>
          </w:p>
        </w:tc>
        <w:tc>
          <w:tcPr>
            <w:tcW w:w="895" w:type="dxa"/>
            <w:vMerge w:val="continue"/>
            <w:noWrap w:val="0"/>
            <w:vAlign w:val="center"/>
          </w:tcPr>
          <w:p>
            <w:pPr>
              <w:jc w:val="center"/>
              <w:rPr>
                <w:rFonts w:hint="eastAsia" w:ascii="宋体" w:hAnsi="宋体" w:cs="宋体"/>
                <w:color w:val="000000"/>
                <w:szCs w:val="21"/>
                <w:highlight w:val="none"/>
              </w:rPr>
            </w:pPr>
          </w:p>
        </w:tc>
        <w:tc>
          <w:tcPr>
            <w:tcW w:w="781" w:type="dxa"/>
            <w:noWrap w:val="0"/>
            <w:vAlign w:val="center"/>
          </w:tcPr>
          <w:p>
            <w:pPr>
              <w:widowControl/>
              <w:jc w:val="left"/>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标识牌</w:t>
            </w:r>
          </w:p>
        </w:tc>
        <w:tc>
          <w:tcPr>
            <w:tcW w:w="1685" w:type="dxa"/>
            <w:noWrap w:val="0"/>
            <w:vAlign w:val="center"/>
          </w:tcPr>
          <w:p>
            <w:pPr>
              <w:widowControl/>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每周擦拭一次（1.8米以下），其余每月擦拭一次</w:t>
            </w:r>
          </w:p>
        </w:tc>
        <w:tc>
          <w:tcPr>
            <w:tcW w:w="2640" w:type="dxa"/>
            <w:noWrap w:val="0"/>
            <w:vAlign w:val="center"/>
          </w:tcPr>
          <w:p>
            <w:pPr>
              <w:widowControl/>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目视无积灰、污迹、无喷漆涂鸦、无关粘贴物</w:t>
            </w:r>
          </w:p>
        </w:tc>
        <w:tc>
          <w:tcPr>
            <w:tcW w:w="3557" w:type="dxa"/>
            <w:vMerge w:val="continue"/>
            <w:noWrap w:val="0"/>
            <w:vAlign w:val="center"/>
          </w:tcPr>
          <w:p>
            <w:pPr>
              <w:jc w:val="left"/>
              <w:rPr>
                <w:rFonts w:hint="eastAsia" w:ascii="宋体" w:hAnsi="宋体" w:cs="宋体"/>
                <w:color w:val="00000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790" w:hRule="atLeast"/>
          <w:jc w:val="center"/>
        </w:trPr>
        <w:tc>
          <w:tcPr>
            <w:tcW w:w="542" w:type="dxa"/>
            <w:vMerge w:val="continue"/>
            <w:noWrap w:val="0"/>
            <w:vAlign w:val="center"/>
          </w:tcPr>
          <w:p>
            <w:pPr>
              <w:jc w:val="center"/>
              <w:rPr>
                <w:rFonts w:hint="eastAsia" w:ascii="宋体" w:hAnsi="宋体" w:cs="宋体"/>
                <w:color w:val="000000"/>
                <w:szCs w:val="21"/>
                <w:highlight w:val="none"/>
              </w:rPr>
            </w:pPr>
          </w:p>
        </w:tc>
        <w:tc>
          <w:tcPr>
            <w:tcW w:w="895" w:type="dxa"/>
            <w:vMerge w:val="continue"/>
            <w:noWrap w:val="0"/>
            <w:vAlign w:val="center"/>
          </w:tcPr>
          <w:p>
            <w:pPr>
              <w:jc w:val="center"/>
              <w:rPr>
                <w:rFonts w:hint="eastAsia" w:ascii="宋体" w:hAnsi="宋体" w:cs="宋体"/>
                <w:color w:val="000000"/>
                <w:szCs w:val="21"/>
                <w:highlight w:val="none"/>
              </w:rPr>
            </w:pPr>
          </w:p>
        </w:tc>
        <w:tc>
          <w:tcPr>
            <w:tcW w:w="781" w:type="dxa"/>
            <w:noWrap w:val="0"/>
            <w:vAlign w:val="center"/>
          </w:tcPr>
          <w:p>
            <w:pPr>
              <w:widowControl/>
              <w:jc w:val="left"/>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消防栓</w:t>
            </w:r>
          </w:p>
        </w:tc>
        <w:tc>
          <w:tcPr>
            <w:tcW w:w="1685" w:type="dxa"/>
            <w:noWrap w:val="0"/>
            <w:vAlign w:val="center"/>
          </w:tcPr>
          <w:p>
            <w:pPr>
              <w:widowControl/>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每半月擦拭一次</w:t>
            </w:r>
          </w:p>
        </w:tc>
        <w:tc>
          <w:tcPr>
            <w:tcW w:w="2640" w:type="dxa"/>
            <w:noWrap w:val="0"/>
            <w:vAlign w:val="center"/>
          </w:tcPr>
          <w:p>
            <w:pPr>
              <w:widowControl/>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目视无积灰、污迹、无喷漆涂鸦、无关粘贴物</w:t>
            </w:r>
          </w:p>
        </w:tc>
        <w:tc>
          <w:tcPr>
            <w:tcW w:w="3557" w:type="dxa"/>
            <w:vMerge w:val="continue"/>
            <w:noWrap w:val="0"/>
            <w:vAlign w:val="center"/>
          </w:tcPr>
          <w:p>
            <w:pPr>
              <w:jc w:val="left"/>
              <w:rPr>
                <w:rFonts w:hint="eastAsia" w:ascii="宋体" w:hAnsi="宋体" w:cs="宋体"/>
                <w:color w:val="00000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796" w:hRule="atLeast"/>
          <w:jc w:val="center"/>
        </w:trPr>
        <w:tc>
          <w:tcPr>
            <w:tcW w:w="542" w:type="dxa"/>
            <w:vMerge w:val="continue"/>
            <w:noWrap w:val="0"/>
            <w:vAlign w:val="center"/>
          </w:tcPr>
          <w:p>
            <w:pPr>
              <w:jc w:val="center"/>
              <w:rPr>
                <w:rFonts w:hint="eastAsia" w:ascii="宋体" w:hAnsi="宋体" w:cs="宋体"/>
                <w:color w:val="000000"/>
                <w:szCs w:val="21"/>
                <w:highlight w:val="none"/>
              </w:rPr>
            </w:pPr>
          </w:p>
        </w:tc>
        <w:tc>
          <w:tcPr>
            <w:tcW w:w="895" w:type="dxa"/>
            <w:vMerge w:val="continue"/>
            <w:noWrap w:val="0"/>
            <w:vAlign w:val="center"/>
          </w:tcPr>
          <w:p>
            <w:pPr>
              <w:jc w:val="center"/>
              <w:rPr>
                <w:rFonts w:hint="eastAsia" w:ascii="宋体" w:hAnsi="宋体" w:cs="宋体"/>
                <w:color w:val="000000"/>
                <w:szCs w:val="21"/>
                <w:highlight w:val="none"/>
              </w:rPr>
            </w:pPr>
          </w:p>
        </w:tc>
        <w:tc>
          <w:tcPr>
            <w:tcW w:w="781" w:type="dxa"/>
            <w:noWrap w:val="0"/>
            <w:vAlign w:val="center"/>
          </w:tcPr>
          <w:p>
            <w:pPr>
              <w:widowControl/>
              <w:jc w:val="left"/>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排水沟</w:t>
            </w:r>
          </w:p>
        </w:tc>
        <w:tc>
          <w:tcPr>
            <w:tcW w:w="1685" w:type="dxa"/>
            <w:noWrap w:val="0"/>
            <w:vAlign w:val="center"/>
          </w:tcPr>
          <w:p>
            <w:pPr>
              <w:widowControl/>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每月清理一次、每季冲洗一次</w:t>
            </w:r>
          </w:p>
        </w:tc>
        <w:tc>
          <w:tcPr>
            <w:tcW w:w="2640" w:type="dxa"/>
            <w:noWrap w:val="0"/>
            <w:vAlign w:val="center"/>
          </w:tcPr>
          <w:p>
            <w:pPr>
              <w:widowControl/>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目视无垃圾、无明显泥沙</w:t>
            </w:r>
          </w:p>
        </w:tc>
        <w:tc>
          <w:tcPr>
            <w:tcW w:w="3557" w:type="dxa"/>
            <w:noWrap w:val="0"/>
            <w:vAlign w:val="center"/>
          </w:tcPr>
          <w:p>
            <w:pPr>
              <w:widowControl/>
              <w:jc w:val="left"/>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没有按照规定频率清扫各扣1分；发现3处以上明显积灰、泥沙等不符合服务标准的情况，一次性扣3分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26" w:hRule="atLeast"/>
          <w:jc w:val="center"/>
        </w:trPr>
        <w:tc>
          <w:tcPr>
            <w:tcW w:w="542" w:type="dxa"/>
            <w:vMerge w:val="restart"/>
            <w:noWrap w:val="0"/>
            <w:vAlign w:val="center"/>
          </w:tcPr>
          <w:p>
            <w:pPr>
              <w:jc w:val="center"/>
              <w:rPr>
                <w:rFonts w:hint="eastAsia" w:ascii="宋体" w:hAnsi="宋体" w:eastAsia="宋体" w:cs="宋体"/>
                <w:color w:val="000000"/>
                <w:szCs w:val="21"/>
                <w:highlight w:val="none"/>
                <w:lang w:val="en-US" w:eastAsia="zh-CN"/>
              </w:rPr>
            </w:pPr>
            <w:r>
              <w:rPr>
                <w:rFonts w:hint="eastAsia" w:ascii="宋体" w:hAnsi="宋体" w:cs="宋体"/>
                <w:color w:val="000000"/>
                <w:szCs w:val="21"/>
                <w:highlight w:val="none"/>
                <w:lang w:val="en-US" w:eastAsia="zh-CN"/>
              </w:rPr>
              <w:t>7</w:t>
            </w:r>
          </w:p>
        </w:tc>
        <w:tc>
          <w:tcPr>
            <w:tcW w:w="895" w:type="dxa"/>
            <w:vMerge w:val="restart"/>
            <w:noWrap w:val="0"/>
            <w:vAlign w:val="center"/>
          </w:tcPr>
          <w:p>
            <w:pPr>
              <w:jc w:val="center"/>
              <w:rPr>
                <w:rFonts w:hint="eastAsia" w:ascii="宋体" w:hAnsi="宋体" w:eastAsia="宋体" w:cs="宋体"/>
                <w:color w:val="000000"/>
                <w:szCs w:val="21"/>
                <w:highlight w:val="none"/>
                <w:lang w:eastAsia="zh-CN"/>
              </w:rPr>
            </w:pPr>
            <w:r>
              <w:rPr>
                <w:rFonts w:hint="eastAsia" w:ascii="宋体" w:hAnsi="宋体" w:cs="宋体"/>
                <w:color w:val="000000"/>
                <w:szCs w:val="21"/>
                <w:highlight w:val="none"/>
                <w:lang w:eastAsia="zh-CN"/>
              </w:rPr>
              <w:t>各类设备用房</w:t>
            </w:r>
          </w:p>
        </w:tc>
        <w:tc>
          <w:tcPr>
            <w:tcW w:w="781" w:type="dxa"/>
            <w:noWrap w:val="0"/>
            <w:vAlign w:val="center"/>
          </w:tcPr>
          <w:p>
            <w:pPr>
              <w:jc w:val="center"/>
              <w:rPr>
                <w:rFonts w:hint="eastAsia" w:ascii="宋体" w:hAnsi="宋体" w:eastAsia="宋体" w:cs="Times New Roman"/>
                <w:color w:val="000000"/>
                <w:kern w:val="2"/>
                <w:sz w:val="21"/>
                <w:szCs w:val="21"/>
                <w:highlight w:val="none"/>
                <w:lang w:val="en-US" w:eastAsia="zh-CN" w:bidi="ar-SA"/>
              </w:rPr>
            </w:pPr>
            <w:r>
              <w:rPr>
                <w:rFonts w:hint="eastAsia" w:ascii="宋体" w:hAnsi="宋体"/>
                <w:color w:val="000000"/>
                <w:szCs w:val="21"/>
                <w:highlight w:val="none"/>
              </w:rPr>
              <w:t>监控房、保安、电工房</w:t>
            </w:r>
          </w:p>
        </w:tc>
        <w:tc>
          <w:tcPr>
            <w:tcW w:w="1685" w:type="dxa"/>
            <w:noWrap w:val="0"/>
            <w:vAlign w:val="center"/>
          </w:tcPr>
          <w:p>
            <w:pPr>
              <w:jc w:val="center"/>
              <w:rPr>
                <w:rFonts w:hint="eastAsia" w:ascii="宋体" w:hAnsi="宋体" w:eastAsia="宋体" w:cs="Times New Roman"/>
                <w:color w:val="000000"/>
                <w:kern w:val="2"/>
                <w:sz w:val="21"/>
                <w:szCs w:val="21"/>
                <w:highlight w:val="none"/>
                <w:lang w:val="en-US" w:eastAsia="zh-CN" w:bidi="ar-SA"/>
              </w:rPr>
            </w:pPr>
            <w:r>
              <w:rPr>
                <w:rFonts w:hint="eastAsia" w:ascii="宋体" w:hAnsi="宋体"/>
                <w:color w:val="000000"/>
                <w:szCs w:val="21"/>
                <w:highlight w:val="none"/>
              </w:rPr>
              <w:t>每天保洁一次</w:t>
            </w:r>
          </w:p>
        </w:tc>
        <w:tc>
          <w:tcPr>
            <w:tcW w:w="2640" w:type="dxa"/>
            <w:vMerge w:val="restart"/>
            <w:noWrap w:val="0"/>
            <w:vAlign w:val="center"/>
          </w:tcPr>
          <w:p>
            <w:pPr>
              <w:widowControl/>
              <w:textAlignment w:val="center"/>
              <w:rPr>
                <w:rFonts w:hint="default" w:ascii="宋体" w:hAnsi="宋体" w:eastAsia="宋体" w:cs="宋体"/>
                <w:color w:val="000000"/>
                <w:kern w:val="0"/>
                <w:szCs w:val="21"/>
                <w:highlight w:val="none"/>
                <w:lang w:val="en-US" w:eastAsia="zh-CN" w:bidi="ar"/>
              </w:rPr>
            </w:pPr>
            <w:r>
              <w:rPr>
                <w:rFonts w:hint="eastAsia" w:ascii="宋体" w:hAnsi="宋体" w:cs="宋体"/>
                <w:color w:val="000000"/>
                <w:kern w:val="0"/>
                <w:szCs w:val="21"/>
                <w:highlight w:val="none"/>
                <w:lang w:eastAsia="zh-CN" w:bidi="ar"/>
              </w:rPr>
              <w:t>无灰尘、无垃圾</w:t>
            </w:r>
            <w:r>
              <w:rPr>
                <w:rFonts w:hint="eastAsia" w:ascii="宋体" w:hAnsi="宋体" w:cs="宋体"/>
                <w:color w:val="000000"/>
                <w:kern w:val="0"/>
                <w:szCs w:val="21"/>
                <w:highlight w:val="none"/>
                <w:lang w:val="en-US" w:eastAsia="zh-CN" w:bidi="ar"/>
              </w:rPr>
              <w:t>、杂物</w:t>
            </w:r>
          </w:p>
        </w:tc>
        <w:tc>
          <w:tcPr>
            <w:tcW w:w="3557" w:type="dxa"/>
            <w:vMerge w:val="restart"/>
            <w:noWrap w:val="0"/>
            <w:vAlign w:val="center"/>
          </w:tcPr>
          <w:p>
            <w:pPr>
              <w:jc w:val="left"/>
              <w:rPr>
                <w:rFonts w:hint="eastAsia" w:ascii="宋体" w:hAnsi="宋体" w:cs="宋体"/>
                <w:color w:val="000000"/>
                <w:szCs w:val="21"/>
                <w:highlight w:val="none"/>
              </w:rPr>
            </w:pPr>
            <w:r>
              <w:rPr>
                <w:rFonts w:hint="eastAsia" w:ascii="宋体" w:hAnsi="宋体" w:cs="宋体"/>
                <w:color w:val="000000"/>
                <w:kern w:val="0"/>
                <w:szCs w:val="21"/>
                <w:highlight w:val="none"/>
                <w:lang w:bidi="ar"/>
              </w:rPr>
              <w:t>没有按照规定频率清扫各扣1分；发现3处以上明显积灰、</w:t>
            </w:r>
            <w:r>
              <w:rPr>
                <w:rFonts w:hint="eastAsia" w:ascii="宋体" w:hAnsi="宋体" w:cs="宋体"/>
                <w:color w:val="000000"/>
                <w:kern w:val="0"/>
                <w:szCs w:val="21"/>
                <w:highlight w:val="none"/>
                <w:lang w:eastAsia="zh-CN" w:bidi="ar"/>
              </w:rPr>
              <w:t>垃圾、杂物</w:t>
            </w:r>
            <w:r>
              <w:rPr>
                <w:rFonts w:hint="eastAsia" w:ascii="宋体" w:hAnsi="宋体" w:cs="宋体"/>
                <w:color w:val="000000"/>
                <w:kern w:val="0"/>
                <w:szCs w:val="21"/>
                <w:highlight w:val="none"/>
                <w:lang w:bidi="ar"/>
              </w:rPr>
              <w:t>等不符合服务标准的情况，一次性扣3分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50" w:hRule="atLeast"/>
          <w:jc w:val="center"/>
        </w:trPr>
        <w:tc>
          <w:tcPr>
            <w:tcW w:w="542" w:type="dxa"/>
            <w:vMerge w:val="continue"/>
            <w:noWrap w:val="0"/>
            <w:vAlign w:val="center"/>
          </w:tcPr>
          <w:p>
            <w:pPr>
              <w:jc w:val="center"/>
              <w:rPr>
                <w:rFonts w:hint="eastAsia" w:ascii="宋体" w:hAnsi="宋体" w:cs="宋体"/>
                <w:color w:val="000000"/>
                <w:szCs w:val="21"/>
                <w:highlight w:val="none"/>
                <w:lang w:val="en-US" w:eastAsia="zh-CN"/>
              </w:rPr>
            </w:pPr>
          </w:p>
        </w:tc>
        <w:tc>
          <w:tcPr>
            <w:tcW w:w="895" w:type="dxa"/>
            <w:vMerge w:val="continue"/>
            <w:noWrap w:val="0"/>
            <w:vAlign w:val="center"/>
          </w:tcPr>
          <w:p>
            <w:pPr>
              <w:jc w:val="center"/>
              <w:rPr>
                <w:rFonts w:hint="eastAsia" w:ascii="宋体" w:hAnsi="宋体" w:cs="宋体"/>
                <w:color w:val="000000"/>
                <w:szCs w:val="21"/>
                <w:highlight w:val="none"/>
                <w:lang w:eastAsia="zh-CN"/>
              </w:rPr>
            </w:pPr>
          </w:p>
        </w:tc>
        <w:tc>
          <w:tcPr>
            <w:tcW w:w="781" w:type="dxa"/>
            <w:noWrap w:val="0"/>
            <w:vAlign w:val="center"/>
          </w:tcPr>
          <w:p>
            <w:pPr>
              <w:jc w:val="center"/>
              <w:rPr>
                <w:rFonts w:hint="eastAsia" w:ascii="宋体" w:hAnsi="宋体" w:eastAsia="宋体" w:cs="Times New Roman"/>
                <w:color w:val="000000"/>
                <w:kern w:val="2"/>
                <w:sz w:val="21"/>
                <w:szCs w:val="21"/>
                <w:highlight w:val="none"/>
                <w:lang w:val="en-US" w:eastAsia="zh-CN" w:bidi="ar-SA"/>
              </w:rPr>
            </w:pPr>
            <w:r>
              <w:rPr>
                <w:rFonts w:hint="eastAsia" w:ascii="宋体" w:hAnsi="宋体"/>
                <w:color w:val="000000"/>
                <w:szCs w:val="21"/>
                <w:highlight w:val="none"/>
                <w:lang w:eastAsia="zh-CN"/>
              </w:rPr>
              <w:t>强弱电机房</w:t>
            </w:r>
            <w:r>
              <w:rPr>
                <w:rFonts w:hint="eastAsia" w:ascii="宋体" w:hAnsi="宋体"/>
                <w:color w:val="000000"/>
                <w:szCs w:val="21"/>
                <w:highlight w:val="none"/>
              </w:rPr>
              <w:t>用房</w:t>
            </w:r>
          </w:p>
        </w:tc>
        <w:tc>
          <w:tcPr>
            <w:tcW w:w="1685" w:type="dxa"/>
            <w:noWrap w:val="0"/>
            <w:vAlign w:val="center"/>
          </w:tcPr>
          <w:p>
            <w:pPr>
              <w:jc w:val="center"/>
              <w:rPr>
                <w:rFonts w:hint="eastAsia" w:ascii="宋体" w:hAnsi="宋体" w:eastAsia="宋体" w:cs="Times New Roman"/>
                <w:color w:val="000000"/>
                <w:kern w:val="2"/>
                <w:sz w:val="21"/>
                <w:szCs w:val="21"/>
                <w:highlight w:val="none"/>
                <w:lang w:val="en-US" w:eastAsia="zh-CN" w:bidi="ar-SA"/>
              </w:rPr>
            </w:pPr>
            <w:r>
              <w:rPr>
                <w:rFonts w:hint="eastAsia" w:ascii="宋体" w:hAnsi="宋体"/>
                <w:color w:val="000000"/>
                <w:szCs w:val="21"/>
                <w:highlight w:val="none"/>
              </w:rPr>
              <w:t>每两周清扫二次</w:t>
            </w:r>
          </w:p>
        </w:tc>
        <w:tc>
          <w:tcPr>
            <w:tcW w:w="2640" w:type="dxa"/>
            <w:vMerge w:val="continue"/>
            <w:noWrap w:val="0"/>
            <w:vAlign w:val="center"/>
          </w:tcPr>
          <w:p>
            <w:pPr>
              <w:widowControl/>
              <w:textAlignment w:val="center"/>
              <w:rPr>
                <w:rFonts w:hint="eastAsia" w:ascii="宋体" w:hAnsi="宋体" w:cs="宋体"/>
                <w:color w:val="000000"/>
                <w:kern w:val="0"/>
                <w:szCs w:val="21"/>
                <w:highlight w:val="none"/>
                <w:lang w:eastAsia="zh-CN" w:bidi="ar"/>
              </w:rPr>
            </w:pPr>
          </w:p>
        </w:tc>
        <w:tc>
          <w:tcPr>
            <w:tcW w:w="3557" w:type="dxa"/>
            <w:vMerge w:val="continue"/>
            <w:noWrap w:val="0"/>
            <w:vAlign w:val="center"/>
          </w:tcPr>
          <w:p>
            <w:pPr>
              <w:jc w:val="left"/>
              <w:rPr>
                <w:rFonts w:hint="eastAsia" w:ascii="宋体" w:hAnsi="宋体" w:cs="宋体"/>
                <w:color w:val="000000"/>
                <w:kern w:val="0"/>
                <w:szCs w:val="21"/>
                <w:highlight w:val="none"/>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98" w:hRule="atLeast"/>
          <w:jc w:val="center"/>
        </w:trPr>
        <w:tc>
          <w:tcPr>
            <w:tcW w:w="542" w:type="dxa"/>
            <w:vMerge w:val="restart"/>
            <w:noWrap w:val="0"/>
            <w:vAlign w:val="center"/>
          </w:tcPr>
          <w:p>
            <w:pPr>
              <w:widowControl/>
              <w:jc w:val="center"/>
              <w:textAlignment w:val="center"/>
              <w:rPr>
                <w:rFonts w:hint="default" w:ascii="宋体" w:hAnsi="宋体" w:cs="宋体"/>
                <w:color w:val="000000"/>
                <w:kern w:val="0"/>
                <w:szCs w:val="21"/>
                <w:highlight w:val="none"/>
                <w:lang w:val="en-US" w:eastAsia="zh-CN" w:bidi="ar"/>
              </w:rPr>
            </w:pPr>
            <w:r>
              <w:rPr>
                <w:rFonts w:hint="eastAsia" w:ascii="宋体" w:hAnsi="宋体" w:cs="宋体"/>
                <w:color w:val="000000"/>
                <w:kern w:val="0"/>
                <w:szCs w:val="21"/>
                <w:highlight w:val="none"/>
                <w:lang w:val="en-US" w:eastAsia="zh-CN" w:bidi="ar"/>
              </w:rPr>
              <w:t>8</w:t>
            </w:r>
          </w:p>
        </w:tc>
        <w:tc>
          <w:tcPr>
            <w:tcW w:w="895" w:type="dxa"/>
            <w:vMerge w:val="restart"/>
            <w:noWrap w:val="0"/>
            <w:vAlign w:val="center"/>
          </w:tcPr>
          <w:p>
            <w:pPr>
              <w:widowControl/>
              <w:jc w:val="center"/>
              <w:textAlignment w:val="center"/>
              <w:rPr>
                <w:rFonts w:hint="eastAsia" w:ascii="宋体" w:hAnsi="宋体" w:eastAsia="宋体" w:cs="宋体"/>
                <w:color w:val="000000"/>
                <w:kern w:val="0"/>
                <w:szCs w:val="21"/>
                <w:highlight w:val="none"/>
                <w:lang w:eastAsia="zh-CN" w:bidi="ar"/>
              </w:rPr>
            </w:pPr>
            <w:r>
              <w:rPr>
                <w:rFonts w:hint="eastAsia" w:ascii="宋体" w:hAnsi="宋体" w:cs="宋体"/>
                <w:color w:val="000000"/>
                <w:kern w:val="0"/>
                <w:szCs w:val="21"/>
                <w:highlight w:val="none"/>
                <w:lang w:eastAsia="zh-CN" w:bidi="ar"/>
              </w:rPr>
              <w:t>开水间</w:t>
            </w:r>
          </w:p>
        </w:tc>
        <w:tc>
          <w:tcPr>
            <w:tcW w:w="781" w:type="dxa"/>
            <w:noWrap w:val="0"/>
            <w:vAlign w:val="center"/>
          </w:tcPr>
          <w:p>
            <w:pPr>
              <w:jc w:val="center"/>
              <w:rPr>
                <w:rFonts w:hint="eastAsia" w:ascii="宋体" w:hAnsi="宋体" w:eastAsia="宋体" w:cs="Times New Roman"/>
                <w:color w:val="000000"/>
                <w:kern w:val="2"/>
                <w:sz w:val="21"/>
                <w:szCs w:val="21"/>
                <w:highlight w:val="none"/>
                <w:lang w:val="en-US" w:eastAsia="zh-CN" w:bidi="ar-SA"/>
              </w:rPr>
            </w:pPr>
            <w:r>
              <w:rPr>
                <w:rFonts w:hint="eastAsia" w:ascii="宋体" w:hAnsi="宋体"/>
                <w:color w:val="000000"/>
                <w:szCs w:val="21"/>
                <w:highlight w:val="none"/>
              </w:rPr>
              <w:t>墙身</w:t>
            </w:r>
          </w:p>
        </w:tc>
        <w:tc>
          <w:tcPr>
            <w:tcW w:w="1685" w:type="dxa"/>
            <w:noWrap w:val="0"/>
            <w:vAlign w:val="center"/>
          </w:tcPr>
          <w:p>
            <w:pPr>
              <w:jc w:val="center"/>
              <w:rPr>
                <w:rFonts w:hint="eastAsia" w:ascii="宋体" w:hAnsi="宋体" w:eastAsia="宋体" w:cs="Times New Roman"/>
                <w:color w:val="000000"/>
                <w:kern w:val="2"/>
                <w:sz w:val="21"/>
                <w:szCs w:val="21"/>
                <w:highlight w:val="none"/>
                <w:lang w:val="en-US" w:eastAsia="zh-CN" w:bidi="ar-SA"/>
              </w:rPr>
            </w:pPr>
            <w:r>
              <w:rPr>
                <w:rFonts w:hint="eastAsia" w:ascii="宋体" w:hAnsi="宋体"/>
                <w:color w:val="000000"/>
                <w:szCs w:val="21"/>
                <w:highlight w:val="none"/>
              </w:rPr>
              <w:t>每天保洁；每两周清洗一次、除污渍</w:t>
            </w:r>
          </w:p>
        </w:tc>
        <w:tc>
          <w:tcPr>
            <w:tcW w:w="2640" w:type="dxa"/>
            <w:noWrap w:val="0"/>
            <w:vAlign w:val="center"/>
          </w:tcPr>
          <w:p>
            <w:pPr>
              <w:widowControl/>
              <w:textAlignment w:val="center"/>
              <w:rPr>
                <w:rFonts w:hint="eastAsia" w:ascii="宋体" w:hAnsi="宋体" w:eastAsia="宋体" w:cs="宋体"/>
                <w:color w:val="000000"/>
                <w:kern w:val="0"/>
                <w:szCs w:val="21"/>
                <w:highlight w:val="none"/>
                <w:lang w:eastAsia="zh-CN" w:bidi="ar"/>
              </w:rPr>
            </w:pPr>
            <w:r>
              <w:rPr>
                <w:rFonts w:hint="eastAsia" w:ascii="宋体" w:hAnsi="宋体" w:cs="宋体"/>
                <w:color w:val="000000"/>
                <w:kern w:val="0"/>
                <w:szCs w:val="21"/>
                <w:highlight w:val="none"/>
                <w:lang w:eastAsia="zh-CN" w:bidi="ar"/>
              </w:rPr>
              <w:t>无污渍</w:t>
            </w:r>
          </w:p>
        </w:tc>
        <w:tc>
          <w:tcPr>
            <w:tcW w:w="3557" w:type="dxa"/>
            <w:vMerge w:val="restart"/>
            <w:noWrap w:val="0"/>
            <w:vAlign w:val="center"/>
          </w:tcPr>
          <w:p>
            <w:pPr>
              <w:widowControl/>
              <w:jc w:val="left"/>
              <w:textAlignment w:val="center"/>
              <w:rPr>
                <w:rFonts w:hint="eastAsia" w:ascii="宋体" w:hAnsi="宋体" w:cs="宋体"/>
                <w:color w:val="000000"/>
                <w:kern w:val="0"/>
                <w:szCs w:val="21"/>
                <w:highlight w:val="none"/>
                <w:lang w:bidi="ar"/>
              </w:rPr>
            </w:pPr>
            <w:r>
              <w:rPr>
                <w:rFonts w:hint="eastAsia" w:ascii="宋体" w:hAnsi="宋体" w:cs="宋体"/>
                <w:color w:val="000000"/>
                <w:kern w:val="0"/>
                <w:szCs w:val="21"/>
                <w:highlight w:val="none"/>
                <w:lang w:bidi="ar"/>
              </w:rPr>
              <w:t>每发现一处不符合扣1分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32" w:hRule="atLeast"/>
          <w:jc w:val="center"/>
        </w:trPr>
        <w:tc>
          <w:tcPr>
            <w:tcW w:w="542" w:type="dxa"/>
            <w:vMerge w:val="continue"/>
            <w:noWrap w:val="0"/>
            <w:vAlign w:val="center"/>
          </w:tcPr>
          <w:p>
            <w:pPr>
              <w:widowControl/>
              <w:jc w:val="center"/>
              <w:textAlignment w:val="center"/>
              <w:rPr>
                <w:rFonts w:hint="eastAsia" w:ascii="宋体" w:hAnsi="宋体" w:cs="宋体"/>
                <w:color w:val="000000"/>
                <w:kern w:val="0"/>
                <w:szCs w:val="21"/>
                <w:highlight w:val="none"/>
                <w:lang w:val="en-US" w:eastAsia="zh-CN" w:bidi="ar"/>
              </w:rPr>
            </w:pPr>
          </w:p>
        </w:tc>
        <w:tc>
          <w:tcPr>
            <w:tcW w:w="895" w:type="dxa"/>
            <w:vMerge w:val="continue"/>
            <w:noWrap w:val="0"/>
            <w:vAlign w:val="center"/>
          </w:tcPr>
          <w:p>
            <w:pPr>
              <w:widowControl/>
              <w:jc w:val="center"/>
              <w:textAlignment w:val="center"/>
              <w:rPr>
                <w:rFonts w:hint="eastAsia" w:ascii="宋体" w:hAnsi="宋体" w:cs="宋体"/>
                <w:color w:val="000000"/>
                <w:kern w:val="0"/>
                <w:szCs w:val="21"/>
                <w:highlight w:val="none"/>
                <w:lang w:bidi="ar"/>
              </w:rPr>
            </w:pPr>
          </w:p>
        </w:tc>
        <w:tc>
          <w:tcPr>
            <w:tcW w:w="781" w:type="dxa"/>
            <w:noWrap w:val="0"/>
            <w:vAlign w:val="center"/>
          </w:tcPr>
          <w:p>
            <w:pPr>
              <w:jc w:val="center"/>
              <w:rPr>
                <w:rFonts w:hint="eastAsia" w:ascii="宋体" w:hAnsi="宋体" w:eastAsia="宋体" w:cs="Times New Roman"/>
                <w:color w:val="000000"/>
                <w:kern w:val="2"/>
                <w:sz w:val="21"/>
                <w:szCs w:val="21"/>
                <w:highlight w:val="none"/>
                <w:lang w:val="en-US" w:eastAsia="zh-CN" w:bidi="ar-SA"/>
              </w:rPr>
            </w:pPr>
            <w:r>
              <w:rPr>
                <w:rFonts w:hint="eastAsia" w:ascii="宋体" w:hAnsi="宋体"/>
                <w:color w:val="000000"/>
                <w:szCs w:val="21"/>
                <w:highlight w:val="none"/>
              </w:rPr>
              <w:t>地面</w:t>
            </w:r>
          </w:p>
        </w:tc>
        <w:tc>
          <w:tcPr>
            <w:tcW w:w="1685" w:type="dxa"/>
            <w:noWrap w:val="0"/>
            <w:vAlign w:val="center"/>
          </w:tcPr>
          <w:p>
            <w:pPr>
              <w:jc w:val="center"/>
              <w:rPr>
                <w:rFonts w:hint="eastAsia" w:ascii="宋体" w:hAnsi="宋体" w:eastAsia="宋体" w:cs="Times New Roman"/>
                <w:color w:val="000000"/>
                <w:kern w:val="2"/>
                <w:sz w:val="21"/>
                <w:szCs w:val="21"/>
                <w:highlight w:val="none"/>
                <w:lang w:val="en-US" w:eastAsia="zh-CN" w:bidi="ar-SA"/>
              </w:rPr>
            </w:pPr>
            <w:r>
              <w:rPr>
                <w:rFonts w:hint="eastAsia" w:ascii="宋体" w:hAnsi="宋体"/>
                <w:color w:val="000000"/>
                <w:szCs w:val="21"/>
                <w:highlight w:val="none"/>
              </w:rPr>
              <w:t>每天随时拖抹、保洁；每两周用洁清剂清洗二次</w:t>
            </w:r>
          </w:p>
        </w:tc>
        <w:tc>
          <w:tcPr>
            <w:tcW w:w="2640" w:type="dxa"/>
            <w:noWrap w:val="0"/>
            <w:vAlign w:val="center"/>
          </w:tcPr>
          <w:p>
            <w:pPr>
              <w:widowControl/>
              <w:textAlignment w:val="center"/>
              <w:rPr>
                <w:rFonts w:hint="eastAsia" w:ascii="宋体" w:hAnsi="宋体" w:eastAsia="宋体" w:cs="宋体"/>
                <w:color w:val="000000"/>
                <w:kern w:val="0"/>
                <w:szCs w:val="21"/>
                <w:highlight w:val="none"/>
                <w:lang w:eastAsia="zh-CN" w:bidi="ar"/>
              </w:rPr>
            </w:pPr>
            <w:r>
              <w:rPr>
                <w:rFonts w:hint="eastAsia" w:ascii="宋体" w:hAnsi="宋体" w:cs="宋体"/>
                <w:color w:val="000000"/>
                <w:kern w:val="0"/>
                <w:szCs w:val="21"/>
                <w:highlight w:val="none"/>
                <w:lang w:eastAsia="zh-CN" w:bidi="ar"/>
              </w:rPr>
              <w:t>无污渍、无水迹及垃圾</w:t>
            </w:r>
          </w:p>
        </w:tc>
        <w:tc>
          <w:tcPr>
            <w:tcW w:w="3557" w:type="dxa"/>
            <w:vMerge w:val="continue"/>
            <w:noWrap w:val="0"/>
            <w:vAlign w:val="center"/>
          </w:tcPr>
          <w:p>
            <w:pPr>
              <w:widowControl/>
              <w:jc w:val="left"/>
              <w:textAlignment w:val="center"/>
              <w:rPr>
                <w:rFonts w:hint="eastAsia" w:ascii="宋体" w:hAnsi="宋体" w:cs="宋体"/>
                <w:color w:val="000000"/>
                <w:kern w:val="0"/>
                <w:szCs w:val="21"/>
                <w:highlight w:val="none"/>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790" w:hRule="atLeast"/>
          <w:jc w:val="center"/>
        </w:trPr>
        <w:tc>
          <w:tcPr>
            <w:tcW w:w="542" w:type="dxa"/>
            <w:vMerge w:val="restart"/>
            <w:noWrap w:val="0"/>
            <w:vAlign w:val="center"/>
          </w:tcPr>
          <w:p>
            <w:pPr>
              <w:widowControl/>
              <w:jc w:val="center"/>
              <w:textAlignment w:val="center"/>
              <w:rPr>
                <w:rFonts w:hint="default" w:ascii="宋体" w:hAnsi="宋体" w:eastAsia="宋体" w:cs="宋体"/>
                <w:color w:val="000000"/>
                <w:szCs w:val="21"/>
                <w:highlight w:val="none"/>
                <w:lang w:val="en-US" w:eastAsia="zh-CN"/>
              </w:rPr>
            </w:pPr>
            <w:r>
              <w:rPr>
                <w:rFonts w:hint="eastAsia" w:ascii="宋体" w:hAnsi="宋体" w:cs="宋体"/>
                <w:color w:val="000000"/>
                <w:kern w:val="0"/>
                <w:szCs w:val="21"/>
                <w:highlight w:val="none"/>
                <w:lang w:val="en-US" w:eastAsia="zh-CN" w:bidi="ar"/>
              </w:rPr>
              <w:t>9</w:t>
            </w:r>
          </w:p>
        </w:tc>
        <w:tc>
          <w:tcPr>
            <w:tcW w:w="895" w:type="dxa"/>
            <w:vMerge w:val="restart"/>
            <w:noWrap w:val="0"/>
            <w:vAlign w:val="center"/>
          </w:tcPr>
          <w:p>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洗手间</w:t>
            </w:r>
          </w:p>
        </w:tc>
        <w:tc>
          <w:tcPr>
            <w:tcW w:w="781" w:type="dxa"/>
            <w:noWrap w:val="0"/>
            <w:vAlign w:val="center"/>
          </w:tcPr>
          <w:p>
            <w:pPr>
              <w:widowControl/>
              <w:jc w:val="left"/>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大小便器</w:t>
            </w:r>
          </w:p>
        </w:tc>
        <w:tc>
          <w:tcPr>
            <w:tcW w:w="1685" w:type="dxa"/>
            <w:noWrap w:val="0"/>
            <w:vAlign w:val="center"/>
          </w:tcPr>
          <w:p>
            <w:pPr>
              <w:widowControl/>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巡回保洁</w:t>
            </w:r>
          </w:p>
        </w:tc>
        <w:tc>
          <w:tcPr>
            <w:tcW w:w="2640" w:type="dxa"/>
            <w:noWrap w:val="0"/>
            <w:vAlign w:val="center"/>
          </w:tcPr>
          <w:p>
            <w:pPr>
              <w:widowControl/>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干净无污渍、无异味、无喷漆涂鸦、无关粘贴物</w:t>
            </w:r>
          </w:p>
        </w:tc>
        <w:tc>
          <w:tcPr>
            <w:tcW w:w="3557" w:type="dxa"/>
            <w:vMerge w:val="restart"/>
            <w:noWrap w:val="0"/>
            <w:vAlign w:val="center"/>
          </w:tcPr>
          <w:p>
            <w:pPr>
              <w:widowControl/>
              <w:jc w:val="left"/>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每发现一处不符合扣1分。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829" w:hRule="atLeast"/>
          <w:jc w:val="center"/>
        </w:trPr>
        <w:tc>
          <w:tcPr>
            <w:tcW w:w="542" w:type="dxa"/>
            <w:vMerge w:val="continue"/>
            <w:noWrap w:val="0"/>
            <w:vAlign w:val="center"/>
          </w:tcPr>
          <w:p>
            <w:pPr>
              <w:jc w:val="center"/>
              <w:rPr>
                <w:rFonts w:hint="eastAsia" w:ascii="宋体" w:hAnsi="宋体" w:cs="宋体"/>
                <w:color w:val="000000"/>
                <w:szCs w:val="21"/>
                <w:highlight w:val="none"/>
              </w:rPr>
            </w:pPr>
          </w:p>
        </w:tc>
        <w:tc>
          <w:tcPr>
            <w:tcW w:w="895" w:type="dxa"/>
            <w:vMerge w:val="continue"/>
            <w:noWrap w:val="0"/>
            <w:vAlign w:val="center"/>
          </w:tcPr>
          <w:p>
            <w:pPr>
              <w:jc w:val="center"/>
              <w:rPr>
                <w:rFonts w:hint="eastAsia" w:ascii="宋体" w:hAnsi="宋体" w:cs="宋体"/>
                <w:color w:val="000000"/>
                <w:szCs w:val="21"/>
                <w:highlight w:val="none"/>
              </w:rPr>
            </w:pPr>
          </w:p>
        </w:tc>
        <w:tc>
          <w:tcPr>
            <w:tcW w:w="781" w:type="dxa"/>
            <w:noWrap w:val="0"/>
            <w:vAlign w:val="center"/>
          </w:tcPr>
          <w:p>
            <w:pPr>
              <w:widowControl/>
              <w:jc w:val="left"/>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洗手池、台面、龙头</w:t>
            </w:r>
          </w:p>
        </w:tc>
        <w:tc>
          <w:tcPr>
            <w:tcW w:w="1685" w:type="dxa"/>
            <w:noWrap w:val="0"/>
            <w:vAlign w:val="center"/>
          </w:tcPr>
          <w:p>
            <w:pPr>
              <w:widowControl/>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巡回保洁</w:t>
            </w:r>
          </w:p>
        </w:tc>
        <w:tc>
          <w:tcPr>
            <w:tcW w:w="2640" w:type="dxa"/>
            <w:noWrap w:val="0"/>
            <w:vAlign w:val="center"/>
          </w:tcPr>
          <w:p>
            <w:pPr>
              <w:widowControl/>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干净无污渍、无异味、无喷漆涂鸦、无关粘贴物</w:t>
            </w:r>
          </w:p>
        </w:tc>
        <w:tc>
          <w:tcPr>
            <w:tcW w:w="3557" w:type="dxa"/>
            <w:vMerge w:val="continue"/>
            <w:noWrap w:val="0"/>
            <w:vAlign w:val="center"/>
          </w:tcPr>
          <w:p>
            <w:pPr>
              <w:jc w:val="left"/>
              <w:rPr>
                <w:rFonts w:hint="eastAsia" w:ascii="宋体" w:hAnsi="宋体" w:cs="宋体"/>
                <w:color w:val="00000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790" w:hRule="atLeast"/>
          <w:jc w:val="center"/>
        </w:trPr>
        <w:tc>
          <w:tcPr>
            <w:tcW w:w="542" w:type="dxa"/>
            <w:vMerge w:val="continue"/>
            <w:noWrap w:val="0"/>
            <w:vAlign w:val="center"/>
          </w:tcPr>
          <w:p>
            <w:pPr>
              <w:jc w:val="center"/>
              <w:rPr>
                <w:rFonts w:hint="eastAsia" w:ascii="宋体" w:hAnsi="宋体" w:cs="宋体"/>
                <w:color w:val="000000"/>
                <w:szCs w:val="21"/>
                <w:highlight w:val="none"/>
              </w:rPr>
            </w:pPr>
          </w:p>
        </w:tc>
        <w:tc>
          <w:tcPr>
            <w:tcW w:w="895" w:type="dxa"/>
            <w:vMerge w:val="continue"/>
            <w:noWrap w:val="0"/>
            <w:vAlign w:val="center"/>
          </w:tcPr>
          <w:p>
            <w:pPr>
              <w:jc w:val="center"/>
              <w:rPr>
                <w:rFonts w:hint="eastAsia" w:ascii="宋体" w:hAnsi="宋体" w:cs="宋体"/>
                <w:color w:val="000000"/>
                <w:szCs w:val="21"/>
                <w:highlight w:val="none"/>
              </w:rPr>
            </w:pPr>
          </w:p>
        </w:tc>
        <w:tc>
          <w:tcPr>
            <w:tcW w:w="781" w:type="dxa"/>
            <w:noWrap w:val="0"/>
            <w:vAlign w:val="center"/>
          </w:tcPr>
          <w:p>
            <w:pPr>
              <w:widowControl/>
              <w:jc w:val="left"/>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镜面</w:t>
            </w:r>
          </w:p>
        </w:tc>
        <w:tc>
          <w:tcPr>
            <w:tcW w:w="1685" w:type="dxa"/>
            <w:noWrap w:val="0"/>
            <w:vAlign w:val="center"/>
          </w:tcPr>
          <w:p>
            <w:pPr>
              <w:widowControl/>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巡回保洁</w:t>
            </w:r>
          </w:p>
        </w:tc>
        <w:tc>
          <w:tcPr>
            <w:tcW w:w="2640" w:type="dxa"/>
            <w:noWrap w:val="0"/>
            <w:vAlign w:val="center"/>
          </w:tcPr>
          <w:p>
            <w:pPr>
              <w:widowControl/>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明亮、无印迹、污渍、喷漆涂鸦、无关粘贴物</w:t>
            </w:r>
          </w:p>
        </w:tc>
        <w:tc>
          <w:tcPr>
            <w:tcW w:w="3557" w:type="dxa"/>
            <w:vMerge w:val="continue"/>
            <w:noWrap w:val="0"/>
            <w:vAlign w:val="center"/>
          </w:tcPr>
          <w:p>
            <w:pPr>
              <w:jc w:val="left"/>
              <w:rPr>
                <w:rFonts w:hint="eastAsia" w:ascii="宋体" w:hAnsi="宋体" w:cs="宋体"/>
                <w:color w:val="00000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790" w:hRule="atLeast"/>
          <w:jc w:val="center"/>
        </w:trPr>
        <w:tc>
          <w:tcPr>
            <w:tcW w:w="542" w:type="dxa"/>
            <w:vMerge w:val="continue"/>
            <w:noWrap w:val="0"/>
            <w:vAlign w:val="center"/>
          </w:tcPr>
          <w:p>
            <w:pPr>
              <w:jc w:val="center"/>
              <w:rPr>
                <w:rFonts w:hint="eastAsia" w:ascii="宋体" w:hAnsi="宋体" w:cs="宋体"/>
                <w:color w:val="000000"/>
                <w:szCs w:val="21"/>
                <w:highlight w:val="none"/>
              </w:rPr>
            </w:pPr>
          </w:p>
        </w:tc>
        <w:tc>
          <w:tcPr>
            <w:tcW w:w="895" w:type="dxa"/>
            <w:vMerge w:val="continue"/>
            <w:noWrap w:val="0"/>
            <w:vAlign w:val="center"/>
          </w:tcPr>
          <w:p>
            <w:pPr>
              <w:jc w:val="center"/>
              <w:rPr>
                <w:rFonts w:hint="eastAsia" w:ascii="宋体" w:hAnsi="宋体" w:cs="宋体"/>
                <w:color w:val="000000"/>
                <w:szCs w:val="21"/>
                <w:highlight w:val="none"/>
              </w:rPr>
            </w:pPr>
          </w:p>
        </w:tc>
        <w:tc>
          <w:tcPr>
            <w:tcW w:w="781" w:type="dxa"/>
            <w:noWrap w:val="0"/>
            <w:vAlign w:val="center"/>
          </w:tcPr>
          <w:p>
            <w:pPr>
              <w:widowControl/>
              <w:jc w:val="left"/>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隔断板、门</w:t>
            </w:r>
          </w:p>
        </w:tc>
        <w:tc>
          <w:tcPr>
            <w:tcW w:w="1685" w:type="dxa"/>
            <w:noWrap w:val="0"/>
            <w:vAlign w:val="center"/>
          </w:tcPr>
          <w:p>
            <w:pPr>
              <w:widowControl/>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巡回保洁</w:t>
            </w:r>
          </w:p>
        </w:tc>
        <w:tc>
          <w:tcPr>
            <w:tcW w:w="2640" w:type="dxa"/>
            <w:noWrap w:val="0"/>
            <w:vAlign w:val="center"/>
          </w:tcPr>
          <w:p>
            <w:pPr>
              <w:widowControl/>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无积灰、污渍、喷漆涂鸦、无关粘贴物</w:t>
            </w:r>
          </w:p>
        </w:tc>
        <w:tc>
          <w:tcPr>
            <w:tcW w:w="3557" w:type="dxa"/>
            <w:vMerge w:val="restart"/>
            <w:noWrap w:val="0"/>
            <w:vAlign w:val="center"/>
          </w:tcPr>
          <w:p>
            <w:pPr>
              <w:widowControl/>
              <w:jc w:val="left"/>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没有按照规定频率清扫各扣1分；发现3处以上明显积灰、污渍等不符合服务标准的情况，一次性扣3分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790" w:hRule="atLeast"/>
          <w:jc w:val="center"/>
        </w:trPr>
        <w:tc>
          <w:tcPr>
            <w:tcW w:w="542" w:type="dxa"/>
            <w:vMerge w:val="continue"/>
            <w:noWrap w:val="0"/>
            <w:vAlign w:val="center"/>
          </w:tcPr>
          <w:p>
            <w:pPr>
              <w:jc w:val="center"/>
              <w:rPr>
                <w:rFonts w:hint="eastAsia" w:ascii="宋体" w:hAnsi="宋体" w:cs="宋体"/>
                <w:color w:val="000000"/>
                <w:szCs w:val="21"/>
                <w:highlight w:val="none"/>
              </w:rPr>
            </w:pPr>
          </w:p>
        </w:tc>
        <w:tc>
          <w:tcPr>
            <w:tcW w:w="895" w:type="dxa"/>
            <w:vMerge w:val="continue"/>
            <w:noWrap w:val="0"/>
            <w:vAlign w:val="center"/>
          </w:tcPr>
          <w:p>
            <w:pPr>
              <w:jc w:val="center"/>
              <w:rPr>
                <w:rFonts w:hint="eastAsia" w:ascii="宋体" w:hAnsi="宋体" w:cs="宋体"/>
                <w:color w:val="000000"/>
                <w:szCs w:val="21"/>
                <w:highlight w:val="none"/>
              </w:rPr>
            </w:pPr>
          </w:p>
        </w:tc>
        <w:tc>
          <w:tcPr>
            <w:tcW w:w="781" w:type="dxa"/>
            <w:noWrap w:val="0"/>
            <w:vAlign w:val="center"/>
          </w:tcPr>
          <w:p>
            <w:pPr>
              <w:widowControl/>
              <w:jc w:val="left"/>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灯具、墙面</w:t>
            </w:r>
          </w:p>
        </w:tc>
        <w:tc>
          <w:tcPr>
            <w:tcW w:w="1685" w:type="dxa"/>
            <w:noWrap w:val="0"/>
            <w:vAlign w:val="center"/>
          </w:tcPr>
          <w:p>
            <w:pPr>
              <w:widowControl/>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每周除尘、每半月擦拭一次</w:t>
            </w:r>
          </w:p>
        </w:tc>
        <w:tc>
          <w:tcPr>
            <w:tcW w:w="2640" w:type="dxa"/>
            <w:noWrap w:val="0"/>
            <w:vAlign w:val="center"/>
          </w:tcPr>
          <w:p>
            <w:pPr>
              <w:widowControl/>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无积灰、积水、污渍、喷漆涂鸦、无关粘贴物</w:t>
            </w:r>
          </w:p>
        </w:tc>
        <w:tc>
          <w:tcPr>
            <w:tcW w:w="3557" w:type="dxa"/>
            <w:vMerge w:val="continue"/>
            <w:noWrap w:val="0"/>
            <w:vAlign w:val="center"/>
          </w:tcPr>
          <w:p>
            <w:pPr>
              <w:jc w:val="left"/>
              <w:rPr>
                <w:rFonts w:hint="eastAsia" w:ascii="宋体" w:hAnsi="宋体" w:cs="宋体"/>
                <w:color w:val="00000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796" w:hRule="atLeast"/>
          <w:jc w:val="center"/>
        </w:trPr>
        <w:tc>
          <w:tcPr>
            <w:tcW w:w="542" w:type="dxa"/>
            <w:vMerge w:val="continue"/>
            <w:noWrap w:val="0"/>
            <w:vAlign w:val="center"/>
          </w:tcPr>
          <w:p>
            <w:pPr>
              <w:jc w:val="center"/>
              <w:rPr>
                <w:rFonts w:hint="eastAsia" w:ascii="宋体" w:hAnsi="宋体" w:cs="宋体"/>
                <w:color w:val="000000"/>
                <w:szCs w:val="21"/>
                <w:highlight w:val="none"/>
              </w:rPr>
            </w:pPr>
          </w:p>
        </w:tc>
        <w:tc>
          <w:tcPr>
            <w:tcW w:w="895" w:type="dxa"/>
            <w:vMerge w:val="continue"/>
            <w:noWrap w:val="0"/>
            <w:vAlign w:val="center"/>
          </w:tcPr>
          <w:p>
            <w:pPr>
              <w:jc w:val="center"/>
              <w:rPr>
                <w:rFonts w:hint="eastAsia" w:ascii="宋体" w:hAnsi="宋体" w:cs="宋体"/>
                <w:color w:val="000000"/>
                <w:szCs w:val="21"/>
                <w:highlight w:val="none"/>
              </w:rPr>
            </w:pPr>
          </w:p>
        </w:tc>
        <w:tc>
          <w:tcPr>
            <w:tcW w:w="781" w:type="dxa"/>
            <w:noWrap w:val="0"/>
            <w:vAlign w:val="center"/>
          </w:tcPr>
          <w:p>
            <w:pPr>
              <w:widowControl/>
              <w:jc w:val="left"/>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地面</w:t>
            </w:r>
          </w:p>
        </w:tc>
        <w:tc>
          <w:tcPr>
            <w:tcW w:w="1685" w:type="dxa"/>
            <w:noWrap w:val="0"/>
            <w:vAlign w:val="center"/>
          </w:tcPr>
          <w:p>
            <w:pPr>
              <w:widowControl/>
              <w:textAlignment w:val="center"/>
              <w:rPr>
                <w:rFonts w:hint="eastAsia" w:ascii="宋体" w:hAnsi="宋体" w:eastAsia="宋体" w:cs="宋体"/>
                <w:color w:val="000000"/>
                <w:szCs w:val="21"/>
                <w:highlight w:val="none"/>
                <w:lang w:eastAsia="zh-CN"/>
              </w:rPr>
            </w:pPr>
            <w:r>
              <w:rPr>
                <w:rFonts w:hint="eastAsia" w:ascii="宋体" w:hAnsi="宋体" w:cs="宋体"/>
                <w:color w:val="000000"/>
                <w:kern w:val="0"/>
                <w:szCs w:val="21"/>
                <w:highlight w:val="none"/>
                <w:lang w:bidi="ar"/>
              </w:rPr>
              <w:t>巡回保洁</w:t>
            </w:r>
            <w:r>
              <w:rPr>
                <w:rFonts w:hint="eastAsia" w:ascii="宋体" w:hAnsi="宋体" w:cs="宋体"/>
                <w:color w:val="000000"/>
                <w:kern w:val="0"/>
                <w:szCs w:val="21"/>
                <w:highlight w:val="none"/>
                <w:lang w:eastAsia="zh-CN" w:bidi="ar"/>
              </w:rPr>
              <w:t>、冲洗</w:t>
            </w:r>
          </w:p>
        </w:tc>
        <w:tc>
          <w:tcPr>
            <w:tcW w:w="2640" w:type="dxa"/>
            <w:noWrap w:val="0"/>
            <w:vAlign w:val="center"/>
          </w:tcPr>
          <w:p>
            <w:pPr>
              <w:widowControl/>
              <w:textAlignment w:val="center"/>
              <w:rPr>
                <w:rFonts w:hint="eastAsia" w:ascii="宋体" w:hAnsi="宋体" w:eastAsia="宋体" w:cs="宋体"/>
                <w:color w:val="000000"/>
                <w:szCs w:val="21"/>
                <w:highlight w:val="none"/>
                <w:lang w:eastAsia="zh-CN"/>
              </w:rPr>
            </w:pPr>
            <w:r>
              <w:rPr>
                <w:rFonts w:hint="eastAsia" w:ascii="宋体" w:hAnsi="宋体" w:cs="宋体"/>
                <w:color w:val="000000"/>
                <w:kern w:val="0"/>
                <w:szCs w:val="21"/>
                <w:highlight w:val="none"/>
                <w:lang w:bidi="ar"/>
              </w:rPr>
              <w:t>无垃圾、积水、污渍、喷漆涂鸦、无关粘贴物</w:t>
            </w:r>
            <w:r>
              <w:rPr>
                <w:rFonts w:hint="eastAsia" w:ascii="宋体" w:hAnsi="宋体" w:cs="宋体"/>
                <w:color w:val="000000"/>
                <w:kern w:val="0"/>
                <w:szCs w:val="21"/>
                <w:highlight w:val="none"/>
                <w:lang w:eastAsia="zh-CN" w:bidi="ar"/>
              </w:rPr>
              <w:t>、无异味</w:t>
            </w:r>
          </w:p>
        </w:tc>
        <w:tc>
          <w:tcPr>
            <w:tcW w:w="3557" w:type="dxa"/>
            <w:vMerge w:val="continue"/>
            <w:noWrap w:val="0"/>
            <w:vAlign w:val="center"/>
          </w:tcPr>
          <w:p>
            <w:pPr>
              <w:jc w:val="left"/>
              <w:rPr>
                <w:rFonts w:hint="eastAsia" w:ascii="宋体" w:hAnsi="宋体" w:cs="宋体"/>
                <w:color w:val="00000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790" w:hRule="atLeast"/>
          <w:jc w:val="center"/>
        </w:trPr>
        <w:tc>
          <w:tcPr>
            <w:tcW w:w="542" w:type="dxa"/>
            <w:vMerge w:val="continue"/>
            <w:noWrap w:val="0"/>
            <w:vAlign w:val="center"/>
          </w:tcPr>
          <w:p>
            <w:pPr>
              <w:jc w:val="center"/>
              <w:rPr>
                <w:rFonts w:hint="eastAsia" w:ascii="宋体" w:hAnsi="宋体" w:cs="宋体"/>
                <w:color w:val="000000"/>
                <w:szCs w:val="21"/>
                <w:highlight w:val="none"/>
              </w:rPr>
            </w:pPr>
          </w:p>
        </w:tc>
        <w:tc>
          <w:tcPr>
            <w:tcW w:w="895" w:type="dxa"/>
            <w:vMerge w:val="continue"/>
            <w:noWrap w:val="0"/>
            <w:vAlign w:val="center"/>
          </w:tcPr>
          <w:p>
            <w:pPr>
              <w:jc w:val="center"/>
              <w:rPr>
                <w:rFonts w:hint="eastAsia" w:ascii="宋体" w:hAnsi="宋体" w:cs="宋体"/>
                <w:color w:val="000000"/>
                <w:szCs w:val="21"/>
                <w:highlight w:val="none"/>
              </w:rPr>
            </w:pPr>
          </w:p>
        </w:tc>
        <w:tc>
          <w:tcPr>
            <w:tcW w:w="781" w:type="dxa"/>
            <w:noWrap w:val="0"/>
            <w:vAlign w:val="center"/>
          </w:tcPr>
          <w:p>
            <w:pPr>
              <w:widowControl/>
              <w:jc w:val="left"/>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玻璃、窗框</w:t>
            </w:r>
          </w:p>
        </w:tc>
        <w:tc>
          <w:tcPr>
            <w:tcW w:w="1685" w:type="dxa"/>
            <w:noWrap w:val="0"/>
            <w:vAlign w:val="center"/>
          </w:tcPr>
          <w:p>
            <w:pPr>
              <w:widowControl/>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巡回保洁</w:t>
            </w:r>
          </w:p>
        </w:tc>
        <w:tc>
          <w:tcPr>
            <w:tcW w:w="2640" w:type="dxa"/>
            <w:noWrap w:val="0"/>
            <w:vAlign w:val="center"/>
          </w:tcPr>
          <w:p>
            <w:pPr>
              <w:widowControl/>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无积灰（发现污渍及时清除）、喷漆涂鸦、无关粘贴物</w:t>
            </w:r>
          </w:p>
        </w:tc>
        <w:tc>
          <w:tcPr>
            <w:tcW w:w="3557" w:type="dxa"/>
            <w:vMerge w:val="continue"/>
            <w:noWrap w:val="0"/>
            <w:vAlign w:val="center"/>
          </w:tcPr>
          <w:p>
            <w:pPr>
              <w:jc w:val="left"/>
              <w:rPr>
                <w:rFonts w:hint="eastAsia" w:ascii="宋体" w:hAnsi="宋体" w:cs="宋体"/>
                <w:color w:val="00000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60" w:hRule="atLeast"/>
          <w:jc w:val="center"/>
        </w:trPr>
        <w:tc>
          <w:tcPr>
            <w:tcW w:w="542" w:type="dxa"/>
            <w:vMerge w:val="continue"/>
            <w:noWrap w:val="0"/>
            <w:vAlign w:val="center"/>
          </w:tcPr>
          <w:p>
            <w:pPr>
              <w:jc w:val="center"/>
              <w:rPr>
                <w:rFonts w:hint="eastAsia" w:ascii="宋体" w:hAnsi="宋体" w:cs="宋体"/>
                <w:color w:val="000000"/>
                <w:szCs w:val="21"/>
                <w:highlight w:val="none"/>
              </w:rPr>
            </w:pPr>
          </w:p>
        </w:tc>
        <w:tc>
          <w:tcPr>
            <w:tcW w:w="895" w:type="dxa"/>
            <w:vMerge w:val="continue"/>
            <w:noWrap w:val="0"/>
            <w:vAlign w:val="center"/>
          </w:tcPr>
          <w:p>
            <w:pPr>
              <w:jc w:val="center"/>
              <w:rPr>
                <w:rFonts w:hint="eastAsia" w:ascii="宋体" w:hAnsi="宋体" w:cs="宋体"/>
                <w:color w:val="000000"/>
                <w:szCs w:val="21"/>
                <w:highlight w:val="none"/>
              </w:rPr>
            </w:pPr>
          </w:p>
        </w:tc>
        <w:tc>
          <w:tcPr>
            <w:tcW w:w="781" w:type="dxa"/>
            <w:noWrap w:val="0"/>
            <w:vAlign w:val="center"/>
          </w:tcPr>
          <w:p>
            <w:pPr>
              <w:widowControl/>
              <w:jc w:val="left"/>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垃圾篓</w:t>
            </w:r>
          </w:p>
        </w:tc>
        <w:tc>
          <w:tcPr>
            <w:tcW w:w="1685" w:type="dxa"/>
            <w:noWrap w:val="0"/>
            <w:vAlign w:val="center"/>
          </w:tcPr>
          <w:p>
            <w:pPr>
              <w:widowControl/>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不超过1/2</w:t>
            </w:r>
          </w:p>
        </w:tc>
        <w:tc>
          <w:tcPr>
            <w:tcW w:w="2640" w:type="dxa"/>
            <w:noWrap w:val="0"/>
            <w:vAlign w:val="center"/>
          </w:tcPr>
          <w:p>
            <w:pPr>
              <w:widowControl/>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及时更换垃圾袋、无异味</w:t>
            </w:r>
          </w:p>
        </w:tc>
        <w:tc>
          <w:tcPr>
            <w:tcW w:w="3557" w:type="dxa"/>
            <w:noWrap w:val="0"/>
            <w:vAlign w:val="center"/>
          </w:tcPr>
          <w:p>
            <w:pPr>
              <w:widowControl/>
              <w:jc w:val="left"/>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不符合扣1分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762" w:hRule="atLeast"/>
          <w:jc w:val="center"/>
        </w:trPr>
        <w:tc>
          <w:tcPr>
            <w:tcW w:w="542" w:type="dxa"/>
            <w:noWrap w:val="0"/>
            <w:vAlign w:val="center"/>
          </w:tcPr>
          <w:p>
            <w:pPr>
              <w:widowControl/>
              <w:jc w:val="center"/>
              <w:textAlignment w:val="center"/>
              <w:rPr>
                <w:rFonts w:hint="default" w:ascii="宋体" w:hAnsi="宋体" w:eastAsia="宋体" w:cs="宋体"/>
                <w:color w:val="000000"/>
                <w:kern w:val="0"/>
                <w:sz w:val="21"/>
                <w:szCs w:val="21"/>
                <w:highlight w:val="none"/>
                <w:lang w:val="en-US" w:eastAsia="zh-CN" w:bidi="ar"/>
              </w:rPr>
            </w:pPr>
            <w:r>
              <w:rPr>
                <w:rFonts w:hint="eastAsia" w:ascii="宋体" w:hAnsi="宋体" w:cs="宋体"/>
                <w:color w:val="000000"/>
                <w:kern w:val="0"/>
                <w:szCs w:val="21"/>
                <w:highlight w:val="none"/>
                <w:lang w:val="en-US" w:eastAsia="zh-CN" w:bidi="ar"/>
              </w:rPr>
              <w:t>10</w:t>
            </w:r>
          </w:p>
        </w:tc>
        <w:tc>
          <w:tcPr>
            <w:tcW w:w="1676" w:type="dxa"/>
            <w:gridSpan w:val="2"/>
            <w:noWrap w:val="0"/>
            <w:vAlign w:val="center"/>
          </w:tcPr>
          <w:p>
            <w:pPr>
              <w:widowControl/>
              <w:jc w:val="left"/>
              <w:textAlignment w:val="center"/>
              <w:rPr>
                <w:rFonts w:hint="eastAsia" w:ascii="宋体" w:hAnsi="宋体" w:eastAsia="宋体" w:cs="宋体"/>
                <w:color w:val="000000"/>
                <w:kern w:val="0"/>
                <w:sz w:val="21"/>
                <w:szCs w:val="21"/>
                <w:highlight w:val="none"/>
                <w:lang w:val="en-US" w:eastAsia="zh-CN" w:bidi="ar"/>
              </w:rPr>
            </w:pPr>
            <w:r>
              <w:rPr>
                <w:rFonts w:hint="eastAsia" w:ascii="宋体" w:hAnsi="宋体"/>
                <w:color w:val="000000"/>
                <w:szCs w:val="21"/>
                <w:highlight w:val="none"/>
              </w:rPr>
              <w:t>屋面、平台、檐沟</w:t>
            </w:r>
          </w:p>
        </w:tc>
        <w:tc>
          <w:tcPr>
            <w:tcW w:w="1685" w:type="dxa"/>
            <w:noWrap w:val="0"/>
            <w:vAlign w:val="center"/>
          </w:tcPr>
          <w:p>
            <w:pPr>
              <w:widowControl/>
              <w:textAlignment w:val="center"/>
              <w:rPr>
                <w:rFonts w:hint="eastAsia" w:ascii="宋体" w:hAnsi="宋体" w:eastAsia="宋体" w:cs="宋体"/>
                <w:color w:val="000000"/>
                <w:kern w:val="0"/>
                <w:sz w:val="21"/>
                <w:szCs w:val="21"/>
                <w:highlight w:val="none"/>
                <w:lang w:val="en-US" w:eastAsia="zh-CN" w:bidi="ar"/>
              </w:rPr>
            </w:pPr>
            <w:r>
              <w:rPr>
                <w:rFonts w:hint="eastAsia" w:ascii="宋体" w:hAnsi="宋体"/>
                <w:color w:val="000000"/>
                <w:szCs w:val="21"/>
                <w:highlight w:val="none"/>
              </w:rPr>
              <w:t>每两周清抹二次</w:t>
            </w:r>
          </w:p>
        </w:tc>
        <w:tc>
          <w:tcPr>
            <w:tcW w:w="2640" w:type="dxa"/>
            <w:noWrap w:val="0"/>
            <w:vAlign w:val="center"/>
          </w:tcPr>
          <w:p>
            <w:pPr>
              <w:widowControl/>
              <w:textAlignment w:val="center"/>
              <w:rPr>
                <w:rFonts w:hint="eastAsia" w:ascii="宋体" w:hAnsi="宋体" w:eastAsia="宋体" w:cs="宋体"/>
                <w:color w:val="000000"/>
                <w:kern w:val="0"/>
                <w:sz w:val="21"/>
                <w:szCs w:val="21"/>
                <w:highlight w:val="none"/>
                <w:lang w:val="en-US" w:eastAsia="zh-CN" w:bidi="ar"/>
              </w:rPr>
            </w:pPr>
            <w:r>
              <w:rPr>
                <w:rFonts w:hint="eastAsia" w:ascii="宋体" w:hAnsi="宋体"/>
                <w:color w:val="000000"/>
                <w:szCs w:val="21"/>
                <w:highlight w:val="none"/>
              </w:rPr>
              <w:t>无杂物、无积水</w:t>
            </w:r>
            <w:r>
              <w:rPr>
                <w:rFonts w:hint="eastAsia" w:ascii="宋体" w:hAnsi="宋体"/>
                <w:color w:val="000000"/>
                <w:szCs w:val="21"/>
                <w:highlight w:val="none"/>
                <w:lang w:eastAsia="zh-CN"/>
              </w:rPr>
              <w:t>、无积雪</w:t>
            </w:r>
          </w:p>
        </w:tc>
        <w:tc>
          <w:tcPr>
            <w:tcW w:w="3557" w:type="dxa"/>
            <w:noWrap w:val="0"/>
            <w:vAlign w:val="center"/>
          </w:tcPr>
          <w:p>
            <w:pPr>
              <w:widowControl/>
              <w:jc w:val="left"/>
              <w:textAlignment w:val="center"/>
              <w:rPr>
                <w:rFonts w:hint="eastAsia" w:ascii="宋体" w:hAnsi="宋体" w:eastAsia="宋体" w:cs="宋体"/>
                <w:color w:val="000000"/>
                <w:kern w:val="0"/>
                <w:sz w:val="21"/>
                <w:szCs w:val="21"/>
                <w:highlight w:val="none"/>
                <w:lang w:val="en-US" w:eastAsia="zh-CN" w:bidi="ar"/>
              </w:rPr>
            </w:pPr>
            <w:r>
              <w:rPr>
                <w:rFonts w:hint="eastAsia" w:ascii="宋体" w:hAnsi="宋体" w:cs="宋体"/>
                <w:color w:val="000000"/>
                <w:kern w:val="0"/>
                <w:szCs w:val="21"/>
                <w:highlight w:val="none"/>
                <w:lang w:bidi="ar"/>
              </w:rPr>
              <w:t>每发现一处不符合扣1分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93" w:hRule="atLeast"/>
          <w:jc w:val="center"/>
        </w:trPr>
        <w:tc>
          <w:tcPr>
            <w:tcW w:w="542" w:type="dxa"/>
            <w:noWrap w:val="0"/>
            <w:vAlign w:val="center"/>
          </w:tcPr>
          <w:p>
            <w:pPr>
              <w:widowControl/>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cs="宋体"/>
                <w:color w:val="auto"/>
                <w:kern w:val="0"/>
                <w:szCs w:val="21"/>
                <w:highlight w:val="none"/>
                <w:lang w:bidi="ar"/>
              </w:rPr>
              <w:t>1</w:t>
            </w:r>
            <w:r>
              <w:rPr>
                <w:rFonts w:hint="eastAsia" w:ascii="宋体" w:hAnsi="宋体" w:cs="宋体"/>
                <w:color w:val="auto"/>
                <w:kern w:val="0"/>
                <w:szCs w:val="21"/>
                <w:highlight w:val="none"/>
                <w:lang w:val="en-US" w:eastAsia="zh-CN" w:bidi="ar"/>
              </w:rPr>
              <w:t>1</w:t>
            </w:r>
          </w:p>
        </w:tc>
        <w:tc>
          <w:tcPr>
            <w:tcW w:w="1676" w:type="dxa"/>
            <w:gridSpan w:val="2"/>
            <w:noWrap w:val="0"/>
            <w:vAlign w:val="center"/>
          </w:tcPr>
          <w:p>
            <w:pPr>
              <w:jc w:val="center"/>
              <w:rPr>
                <w:rFonts w:hint="eastAsia" w:ascii="宋体" w:hAnsi="宋体" w:eastAsia="宋体" w:cs="Times New Roman"/>
                <w:color w:val="auto"/>
                <w:kern w:val="2"/>
                <w:sz w:val="21"/>
                <w:szCs w:val="21"/>
                <w:highlight w:val="none"/>
                <w:lang w:val="en-US" w:eastAsia="zh-CN" w:bidi="ar-SA"/>
              </w:rPr>
            </w:pPr>
            <w:r>
              <w:rPr>
                <w:rFonts w:hint="eastAsia" w:ascii="宋体" w:hAnsi="宋体"/>
                <w:color w:val="auto"/>
                <w:szCs w:val="21"/>
                <w:highlight w:val="none"/>
              </w:rPr>
              <w:t>外墙、玻璃雨棚</w:t>
            </w:r>
          </w:p>
        </w:tc>
        <w:tc>
          <w:tcPr>
            <w:tcW w:w="1685" w:type="dxa"/>
            <w:noWrap w:val="0"/>
            <w:vAlign w:val="center"/>
          </w:tcPr>
          <w:p>
            <w:pPr>
              <w:rPr>
                <w:rFonts w:hint="eastAsia" w:ascii="宋体" w:hAnsi="宋体" w:eastAsia="宋体" w:cs="Times New Roman"/>
                <w:color w:val="auto"/>
                <w:kern w:val="2"/>
                <w:sz w:val="21"/>
                <w:szCs w:val="21"/>
                <w:highlight w:val="none"/>
                <w:lang w:val="en-US" w:eastAsia="zh-CN" w:bidi="ar-SA"/>
              </w:rPr>
            </w:pPr>
            <w:r>
              <w:rPr>
                <w:rFonts w:hint="eastAsia" w:ascii="宋体" w:hAnsi="宋体"/>
                <w:color w:val="auto"/>
                <w:szCs w:val="21"/>
                <w:highlight w:val="none"/>
              </w:rPr>
              <w:t>2米以下外墙每半月清洁一次；园区玻璃雨棚每周清洗一次</w:t>
            </w:r>
          </w:p>
        </w:tc>
        <w:tc>
          <w:tcPr>
            <w:tcW w:w="2640" w:type="dxa"/>
            <w:noWrap w:val="0"/>
            <w:vAlign w:val="center"/>
          </w:tcPr>
          <w:p>
            <w:pPr>
              <w:rPr>
                <w:rFonts w:hint="eastAsia" w:ascii="宋体" w:hAnsi="宋体" w:eastAsia="宋体" w:cs="Times New Roman"/>
                <w:color w:val="auto"/>
                <w:kern w:val="2"/>
                <w:sz w:val="21"/>
                <w:szCs w:val="21"/>
                <w:highlight w:val="none"/>
                <w:lang w:val="en-US" w:eastAsia="zh-CN" w:bidi="ar-SA"/>
              </w:rPr>
            </w:pPr>
            <w:r>
              <w:rPr>
                <w:rFonts w:hint="eastAsia" w:ascii="宋体" w:hAnsi="宋体" w:cs="宋体"/>
                <w:color w:val="auto"/>
                <w:kern w:val="0"/>
                <w:szCs w:val="21"/>
                <w:highlight w:val="none"/>
                <w:lang w:bidi="ar"/>
              </w:rPr>
              <w:t>无污渍、无积灰、无虫网、无喷漆涂鸦、无积雪、无杂物、无关粘贴物</w:t>
            </w:r>
          </w:p>
        </w:tc>
        <w:tc>
          <w:tcPr>
            <w:tcW w:w="3557" w:type="dxa"/>
            <w:noWrap w:val="0"/>
            <w:vAlign w:val="center"/>
          </w:tcPr>
          <w:p>
            <w:pPr>
              <w:widowControl/>
              <w:jc w:val="left"/>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cs="宋体"/>
                <w:color w:val="auto"/>
                <w:kern w:val="0"/>
                <w:szCs w:val="21"/>
                <w:highlight w:val="none"/>
                <w:lang w:bidi="ar"/>
              </w:rPr>
              <w:t>每发现一处不符合扣1分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38" w:hRule="atLeast"/>
          <w:jc w:val="center"/>
        </w:trPr>
        <w:tc>
          <w:tcPr>
            <w:tcW w:w="10100" w:type="dxa"/>
            <w:gridSpan w:val="6"/>
            <w:noWrap w:val="0"/>
            <w:vAlign w:val="center"/>
          </w:tcPr>
          <w:p>
            <w:pPr>
              <w:widowControl/>
              <w:jc w:val="left"/>
              <w:textAlignment w:val="center"/>
              <w:rPr>
                <w:rFonts w:hint="eastAsia" w:ascii="宋体" w:hAnsi="宋体" w:cs="宋体"/>
                <w:b/>
                <w:color w:val="000000"/>
                <w:szCs w:val="21"/>
                <w:highlight w:val="none"/>
              </w:rPr>
            </w:pPr>
            <w:r>
              <w:rPr>
                <w:rFonts w:hint="eastAsia" w:ascii="宋体" w:hAnsi="宋体" w:cs="宋体"/>
                <w:b/>
                <w:color w:val="000000"/>
                <w:kern w:val="0"/>
                <w:szCs w:val="21"/>
                <w:highlight w:val="none"/>
                <w:lang w:bidi="ar"/>
              </w:rPr>
              <w:t>三、安保及秩序维护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38" w:hRule="atLeast"/>
          <w:jc w:val="center"/>
        </w:trPr>
        <w:tc>
          <w:tcPr>
            <w:tcW w:w="542" w:type="dxa"/>
            <w:noWrap w:val="0"/>
            <w:vAlign w:val="center"/>
          </w:tcPr>
          <w:p>
            <w:pPr>
              <w:widowControl/>
              <w:jc w:val="center"/>
              <w:textAlignment w:val="center"/>
              <w:rPr>
                <w:rFonts w:hint="eastAsia" w:ascii="宋体" w:hAnsi="宋体" w:cs="宋体"/>
                <w:b/>
                <w:color w:val="000000"/>
                <w:szCs w:val="21"/>
                <w:highlight w:val="none"/>
              </w:rPr>
            </w:pPr>
            <w:r>
              <w:rPr>
                <w:rFonts w:hint="eastAsia" w:ascii="宋体" w:hAnsi="宋体" w:cs="宋体"/>
                <w:b/>
                <w:color w:val="000000"/>
                <w:kern w:val="0"/>
                <w:szCs w:val="21"/>
                <w:highlight w:val="none"/>
                <w:lang w:bidi="ar"/>
              </w:rPr>
              <w:t>序号</w:t>
            </w:r>
          </w:p>
        </w:tc>
        <w:tc>
          <w:tcPr>
            <w:tcW w:w="6001" w:type="dxa"/>
            <w:gridSpan w:val="4"/>
            <w:noWrap w:val="0"/>
            <w:vAlign w:val="center"/>
          </w:tcPr>
          <w:p>
            <w:pPr>
              <w:widowControl/>
              <w:jc w:val="center"/>
              <w:textAlignment w:val="center"/>
              <w:rPr>
                <w:rFonts w:hint="eastAsia" w:ascii="宋体" w:hAnsi="宋体" w:cs="宋体"/>
                <w:b/>
                <w:color w:val="000000"/>
                <w:szCs w:val="21"/>
                <w:highlight w:val="none"/>
              </w:rPr>
            </w:pPr>
            <w:r>
              <w:rPr>
                <w:rFonts w:hint="eastAsia" w:ascii="宋体" w:hAnsi="宋体" w:cs="宋体"/>
                <w:b/>
                <w:color w:val="000000"/>
                <w:kern w:val="0"/>
                <w:szCs w:val="21"/>
                <w:highlight w:val="none"/>
                <w:lang w:bidi="ar"/>
              </w:rPr>
              <w:t>服务标准</w:t>
            </w:r>
          </w:p>
        </w:tc>
        <w:tc>
          <w:tcPr>
            <w:tcW w:w="3557" w:type="dxa"/>
            <w:noWrap w:val="0"/>
            <w:vAlign w:val="center"/>
          </w:tcPr>
          <w:p>
            <w:pPr>
              <w:widowControl/>
              <w:jc w:val="center"/>
              <w:textAlignment w:val="center"/>
              <w:rPr>
                <w:rFonts w:hint="eastAsia" w:ascii="宋体" w:hAnsi="宋体" w:cs="宋体"/>
                <w:b/>
                <w:color w:val="000000"/>
                <w:szCs w:val="21"/>
                <w:highlight w:val="none"/>
              </w:rPr>
            </w:pPr>
            <w:r>
              <w:rPr>
                <w:rFonts w:hint="eastAsia" w:ascii="宋体" w:hAnsi="宋体" w:cs="宋体"/>
                <w:b/>
                <w:color w:val="000000"/>
                <w:kern w:val="0"/>
                <w:szCs w:val="21"/>
                <w:highlight w:val="none"/>
                <w:lang w:bidi="ar"/>
              </w:rPr>
              <w:t>评分细则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847" w:hRule="atLeast"/>
          <w:jc w:val="center"/>
        </w:trPr>
        <w:tc>
          <w:tcPr>
            <w:tcW w:w="542" w:type="dxa"/>
            <w:vMerge w:val="restart"/>
            <w:noWrap w:val="0"/>
            <w:vAlign w:val="center"/>
          </w:tcPr>
          <w:p>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1</w:t>
            </w:r>
          </w:p>
        </w:tc>
        <w:tc>
          <w:tcPr>
            <w:tcW w:w="895" w:type="dxa"/>
            <w:vMerge w:val="restart"/>
            <w:noWrap w:val="0"/>
            <w:vAlign w:val="center"/>
          </w:tcPr>
          <w:p>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门岗</w:t>
            </w:r>
          </w:p>
        </w:tc>
        <w:tc>
          <w:tcPr>
            <w:tcW w:w="5106" w:type="dxa"/>
            <w:gridSpan w:val="3"/>
            <w:noWrap w:val="0"/>
            <w:vAlign w:val="center"/>
          </w:tcPr>
          <w:p>
            <w:pPr>
              <w:widowControl/>
              <w:jc w:val="left"/>
              <w:textAlignment w:val="center"/>
              <w:rPr>
                <w:rFonts w:hint="eastAsia" w:ascii="宋体" w:hAnsi="宋体" w:eastAsia="宋体" w:cs="宋体"/>
                <w:color w:val="auto"/>
                <w:szCs w:val="21"/>
                <w:highlight w:val="none"/>
                <w:lang w:val="en-US" w:eastAsia="zh-CN"/>
              </w:rPr>
            </w:pPr>
            <w:r>
              <w:rPr>
                <w:rFonts w:hint="eastAsia" w:ascii="宋体" w:hAnsi="宋体" w:cs="宋体"/>
                <w:color w:val="auto"/>
                <w:kern w:val="0"/>
                <w:szCs w:val="21"/>
                <w:highlight w:val="none"/>
                <w:lang w:bidi="ar"/>
              </w:rPr>
              <w:t>1、服务时间：</w:t>
            </w:r>
            <w:r>
              <w:rPr>
                <w:rFonts w:hint="eastAsia" w:ascii="宋体" w:hAnsi="宋体" w:cs="宋体"/>
                <w:color w:val="auto"/>
                <w:kern w:val="0"/>
                <w:szCs w:val="21"/>
                <w:highlight w:val="none"/>
                <w:lang w:eastAsia="zh-CN" w:bidi="ar"/>
              </w:rPr>
              <w:t>大门</w:t>
            </w:r>
            <w:r>
              <w:rPr>
                <w:rFonts w:hint="eastAsia" w:ascii="宋体" w:hAnsi="宋体" w:cs="宋体"/>
                <w:color w:val="auto"/>
                <w:kern w:val="0"/>
                <w:szCs w:val="21"/>
                <w:highlight w:val="none"/>
                <w:lang w:bidi="ar"/>
              </w:rPr>
              <w:t>出入口24小时值班看守</w:t>
            </w:r>
            <w:r>
              <w:rPr>
                <w:rFonts w:hint="eastAsia" w:ascii="宋体" w:hAnsi="宋体" w:cs="宋体"/>
                <w:color w:val="auto"/>
                <w:kern w:val="0"/>
                <w:szCs w:val="21"/>
                <w:highlight w:val="none"/>
                <w:lang w:eastAsia="zh-CN" w:bidi="ar"/>
              </w:rPr>
              <w:t>。</w:t>
            </w:r>
          </w:p>
        </w:tc>
        <w:tc>
          <w:tcPr>
            <w:tcW w:w="3557" w:type="dxa"/>
            <w:noWrap w:val="0"/>
            <w:vAlign w:val="center"/>
          </w:tcPr>
          <w:p>
            <w:pPr>
              <w:widowControl/>
              <w:jc w:val="left"/>
              <w:textAlignment w:val="center"/>
              <w:rPr>
                <w:rFonts w:hint="eastAsia" w:ascii="宋体" w:hAnsi="宋体" w:cs="宋体"/>
                <w:color w:val="auto"/>
                <w:szCs w:val="21"/>
                <w:highlight w:val="none"/>
              </w:rPr>
            </w:pPr>
            <w:r>
              <w:rPr>
                <w:rFonts w:hint="eastAsia" w:ascii="宋体" w:hAnsi="宋体" w:cs="宋体"/>
                <w:color w:val="auto"/>
                <w:kern w:val="0"/>
                <w:szCs w:val="21"/>
                <w:highlight w:val="none"/>
                <w:lang w:bidi="ar"/>
              </w:rPr>
              <w:t>每发现一处不符合扣2分，上不封顶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864" w:hRule="atLeast"/>
          <w:jc w:val="center"/>
        </w:trPr>
        <w:tc>
          <w:tcPr>
            <w:tcW w:w="542" w:type="dxa"/>
            <w:vMerge w:val="continue"/>
            <w:noWrap w:val="0"/>
            <w:vAlign w:val="center"/>
          </w:tcPr>
          <w:p>
            <w:pPr>
              <w:jc w:val="center"/>
              <w:rPr>
                <w:rFonts w:hint="eastAsia" w:ascii="宋体" w:hAnsi="宋体" w:cs="宋体"/>
                <w:color w:val="000000"/>
                <w:szCs w:val="21"/>
                <w:highlight w:val="none"/>
              </w:rPr>
            </w:pPr>
          </w:p>
        </w:tc>
        <w:tc>
          <w:tcPr>
            <w:tcW w:w="895" w:type="dxa"/>
            <w:vMerge w:val="continue"/>
            <w:noWrap w:val="0"/>
            <w:vAlign w:val="center"/>
          </w:tcPr>
          <w:p>
            <w:pPr>
              <w:jc w:val="center"/>
              <w:rPr>
                <w:rFonts w:hint="eastAsia" w:ascii="宋体" w:hAnsi="宋体" w:cs="宋体"/>
                <w:color w:val="000000"/>
                <w:szCs w:val="21"/>
                <w:highlight w:val="none"/>
              </w:rPr>
            </w:pPr>
          </w:p>
        </w:tc>
        <w:tc>
          <w:tcPr>
            <w:tcW w:w="5106" w:type="dxa"/>
            <w:gridSpan w:val="3"/>
            <w:noWrap w:val="0"/>
            <w:vAlign w:val="center"/>
          </w:tcPr>
          <w:p>
            <w:pPr>
              <w:widowControl/>
              <w:jc w:val="left"/>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2、实施24小时全面防范，巡逻岗、守卫岗联合防范，做好点、线、面的配合与互动，确保无治安死角。</w:t>
            </w:r>
          </w:p>
        </w:tc>
        <w:tc>
          <w:tcPr>
            <w:tcW w:w="3557" w:type="dxa"/>
            <w:noWrap w:val="0"/>
            <w:vAlign w:val="center"/>
          </w:tcPr>
          <w:p>
            <w:pPr>
              <w:widowControl/>
              <w:jc w:val="left"/>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不符合扣2分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661" w:hRule="atLeast"/>
          <w:jc w:val="center"/>
        </w:trPr>
        <w:tc>
          <w:tcPr>
            <w:tcW w:w="542" w:type="dxa"/>
            <w:vMerge w:val="continue"/>
            <w:noWrap w:val="0"/>
            <w:vAlign w:val="center"/>
          </w:tcPr>
          <w:p>
            <w:pPr>
              <w:jc w:val="center"/>
              <w:rPr>
                <w:rFonts w:hint="eastAsia" w:ascii="宋体" w:hAnsi="宋体" w:cs="宋体"/>
                <w:color w:val="000000"/>
                <w:szCs w:val="21"/>
                <w:highlight w:val="none"/>
              </w:rPr>
            </w:pPr>
          </w:p>
        </w:tc>
        <w:tc>
          <w:tcPr>
            <w:tcW w:w="895" w:type="dxa"/>
            <w:vMerge w:val="continue"/>
            <w:noWrap w:val="0"/>
            <w:vAlign w:val="center"/>
          </w:tcPr>
          <w:p>
            <w:pPr>
              <w:jc w:val="center"/>
              <w:rPr>
                <w:rFonts w:hint="eastAsia" w:ascii="宋体" w:hAnsi="宋体" w:cs="宋体"/>
                <w:color w:val="000000"/>
                <w:szCs w:val="21"/>
                <w:highlight w:val="none"/>
              </w:rPr>
            </w:pPr>
          </w:p>
        </w:tc>
        <w:tc>
          <w:tcPr>
            <w:tcW w:w="5106" w:type="dxa"/>
            <w:gridSpan w:val="3"/>
            <w:noWrap w:val="0"/>
            <w:vAlign w:val="center"/>
          </w:tcPr>
          <w:p>
            <w:pPr>
              <w:widowControl/>
              <w:jc w:val="left"/>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3、交接班：有详细完整的交接班记录。</w:t>
            </w:r>
          </w:p>
        </w:tc>
        <w:tc>
          <w:tcPr>
            <w:tcW w:w="3557" w:type="dxa"/>
            <w:noWrap w:val="0"/>
            <w:vAlign w:val="center"/>
          </w:tcPr>
          <w:p>
            <w:pPr>
              <w:widowControl/>
              <w:jc w:val="left"/>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不符合扣1分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695" w:hRule="atLeast"/>
          <w:jc w:val="center"/>
        </w:trPr>
        <w:tc>
          <w:tcPr>
            <w:tcW w:w="542" w:type="dxa"/>
            <w:vMerge w:val="continue"/>
            <w:noWrap w:val="0"/>
            <w:vAlign w:val="center"/>
          </w:tcPr>
          <w:p>
            <w:pPr>
              <w:jc w:val="center"/>
              <w:rPr>
                <w:rFonts w:hint="eastAsia" w:ascii="宋体" w:hAnsi="宋体" w:cs="宋体"/>
                <w:color w:val="000000"/>
                <w:szCs w:val="21"/>
                <w:highlight w:val="none"/>
              </w:rPr>
            </w:pPr>
          </w:p>
        </w:tc>
        <w:tc>
          <w:tcPr>
            <w:tcW w:w="895" w:type="dxa"/>
            <w:vMerge w:val="continue"/>
            <w:noWrap w:val="0"/>
            <w:vAlign w:val="center"/>
          </w:tcPr>
          <w:p>
            <w:pPr>
              <w:jc w:val="center"/>
              <w:rPr>
                <w:rFonts w:hint="eastAsia" w:ascii="宋体" w:hAnsi="宋体" w:cs="宋体"/>
                <w:color w:val="000000"/>
                <w:szCs w:val="21"/>
                <w:highlight w:val="none"/>
              </w:rPr>
            </w:pPr>
          </w:p>
        </w:tc>
        <w:tc>
          <w:tcPr>
            <w:tcW w:w="5106" w:type="dxa"/>
            <w:gridSpan w:val="3"/>
            <w:noWrap w:val="0"/>
            <w:vAlign w:val="center"/>
          </w:tcPr>
          <w:p>
            <w:pPr>
              <w:widowControl/>
              <w:jc w:val="left"/>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4、物品出门：对大型物件搬出实行确认制度、并进行记录。</w:t>
            </w:r>
          </w:p>
        </w:tc>
        <w:tc>
          <w:tcPr>
            <w:tcW w:w="3557" w:type="dxa"/>
            <w:noWrap w:val="0"/>
            <w:vAlign w:val="center"/>
          </w:tcPr>
          <w:p>
            <w:pPr>
              <w:widowControl/>
              <w:jc w:val="left"/>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不符合扣2分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731" w:hRule="atLeast"/>
          <w:jc w:val="center"/>
        </w:trPr>
        <w:tc>
          <w:tcPr>
            <w:tcW w:w="542" w:type="dxa"/>
            <w:vMerge w:val="continue"/>
            <w:noWrap w:val="0"/>
            <w:vAlign w:val="center"/>
          </w:tcPr>
          <w:p>
            <w:pPr>
              <w:jc w:val="center"/>
              <w:rPr>
                <w:rFonts w:hint="eastAsia" w:ascii="宋体" w:hAnsi="宋体" w:cs="宋体"/>
                <w:color w:val="000000"/>
                <w:szCs w:val="21"/>
                <w:highlight w:val="none"/>
              </w:rPr>
            </w:pPr>
          </w:p>
        </w:tc>
        <w:tc>
          <w:tcPr>
            <w:tcW w:w="895" w:type="dxa"/>
            <w:vMerge w:val="continue"/>
            <w:noWrap w:val="0"/>
            <w:vAlign w:val="center"/>
          </w:tcPr>
          <w:p>
            <w:pPr>
              <w:jc w:val="center"/>
              <w:rPr>
                <w:rFonts w:hint="eastAsia" w:ascii="宋体" w:hAnsi="宋体" w:cs="宋体"/>
                <w:color w:val="000000"/>
                <w:szCs w:val="21"/>
                <w:highlight w:val="none"/>
              </w:rPr>
            </w:pPr>
          </w:p>
        </w:tc>
        <w:tc>
          <w:tcPr>
            <w:tcW w:w="5106" w:type="dxa"/>
            <w:gridSpan w:val="3"/>
            <w:noWrap w:val="0"/>
            <w:vAlign w:val="center"/>
          </w:tcPr>
          <w:p>
            <w:pPr>
              <w:widowControl/>
              <w:jc w:val="left"/>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5、值班室、出入口清洁：保持值班室、出入口环境整洁、有序、道路畅通。</w:t>
            </w:r>
          </w:p>
        </w:tc>
        <w:tc>
          <w:tcPr>
            <w:tcW w:w="3557" w:type="dxa"/>
            <w:noWrap w:val="0"/>
            <w:vAlign w:val="center"/>
          </w:tcPr>
          <w:p>
            <w:pPr>
              <w:widowControl/>
              <w:jc w:val="left"/>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不符合扣1分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864" w:hRule="atLeast"/>
          <w:jc w:val="center"/>
        </w:trPr>
        <w:tc>
          <w:tcPr>
            <w:tcW w:w="542" w:type="dxa"/>
            <w:vMerge w:val="restart"/>
            <w:noWrap w:val="0"/>
            <w:vAlign w:val="center"/>
          </w:tcPr>
          <w:p>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3</w:t>
            </w:r>
          </w:p>
        </w:tc>
        <w:tc>
          <w:tcPr>
            <w:tcW w:w="895" w:type="dxa"/>
            <w:vMerge w:val="restart"/>
            <w:noWrap w:val="0"/>
            <w:vAlign w:val="center"/>
          </w:tcPr>
          <w:p>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巡逻岗</w:t>
            </w:r>
          </w:p>
        </w:tc>
        <w:tc>
          <w:tcPr>
            <w:tcW w:w="5106" w:type="dxa"/>
            <w:gridSpan w:val="3"/>
            <w:noWrap w:val="0"/>
            <w:vAlign w:val="center"/>
          </w:tcPr>
          <w:p>
            <w:pPr>
              <w:widowControl/>
              <w:jc w:val="left"/>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1、维护人员手持巡更采集器，白天每两小时巡查一次，夜间每小时巡查一次，重点部位设有巡更点，监控中心有巡更记录。</w:t>
            </w:r>
          </w:p>
        </w:tc>
        <w:tc>
          <w:tcPr>
            <w:tcW w:w="3557" w:type="dxa"/>
            <w:vMerge w:val="restart"/>
            <w:noWrap w:val="0"/>
            <w:vAlign w:val="center"/>
          </w:tcPr>
          <w:p>
            <w:pPr>
              <w:jc w:val="left"/>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每发现一处不符合扣1分，上不封顶，如因此造成重大事故或损失，我方可追究物业公司责任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731" w:hRule="atLeast"/>
          <w:jc w:val="center"/>
        </w:trPr>
        <w:tc>
          <w:tcPr>
            <w:tcW w:w="542" w:type="dxa"/>
            <w:vMerge w:val="continue"/>
            <w:noWrap w:val="0"/>
            <w:vAlign w:val="center"/>
          </w:tcPr>
          <w:p>
            <w:pPr>
              <w:jc w:val="center"/>
              <w:rPr>
                <w:rFonts w:hint="eastAsia" w:ascii="宋体" w:hAnsi="宋体" w:cs="宋体"/>
                <w:color w:val="000000"/>
                <w:szCs w:val="21"/>
                <w:highlight w:val="none"/>
              </w:rPr>
            </w:pPr>
          </w:p>
        </w:tc>
        <w:tc>
          <w:tcPr>
            <w:tcW w:w="895" w:type="dxa"/>
            <w:vMerge w:val="continue"/>
            <w:noWrap w:val="0"/>
            <w:vAlign w:val="center"/>
          </w:tcPr>
          <w:p>
            <w:pPr>
              <w:jc w:val="center"/>
              <w:rPr>
                <w:rFonts w:hint="eastAsia" w:ascii="宋体" w:hAnsi="宋体" w:cs="宋体"/>
                <w:color w:val="000000"/>
                <w:szCs w:val="21"/>
                <w:highlight w:val="none"/>
              </w:rPr>
            </w:pPr>
          </w:p>
        </w:tc>
        <w:tc>
          <w:tcPr>
            <w:tcW w:w="5106" w:type="dxa"/>
            <w:gridSpan w:val="3"/>
            <w:noWrap w:val="0"/>
            <w:vAlign w:val="center"/>
          </w:tcPr>
          <w:p>
            <w:pPr>
              <w:widowControl/>
              <w:jc w:val="left"/>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2、接到火警、警情后三分钟内到达现场，协助保护现场，并报告服务中心与警方。</w:t>
            </w:r>
          </w:p>
        </w:tc>
        <w:tc>
          <w:tcPr>
            <w:tcW w:w="3557" w:type="dxa"/>
            <w:vMerge w:val="continue"/>
            <w:noWrap w:val="0"/>
            <w:vAlign w:val="center"/>
          </w:tcPr>
          <w:p>
            <w:pPr>
              <w:widowControl/>
              <w:jc w:val="left"/>
              <w:textAlignment w:val="center"/>
              <w:rPr>
                <w:rFonts w:hint="eastAsia" w:ascii="宋体" w:hAnsi="宋体" w:cs="宋体"/>
                <w:color w:val="00000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731" w:hRule="atLeast"/>
          <w:jc w:val="center"/>
        </w:trPr>
        <w:tc>
          <w:tcPr>
            <w:tcW w:w="542" w:type="dxa"/>
            <w:vMerge w:val="continue"/>
            <w:noWrap w:val="0"/>
            <w:vAlign w:val="center"/>
          </w:tcPr>
          <w:p>
            <w:pPr>
              <w:jc w:val="center"/>
              <w:rPr>
                <w:rFonts w:hint="eastAsia" w:ascii="宋体" w:hAnsi="宋体" w:cs="宋体"/>
                <w:color w:val="000000"/>
                <w:szCs w:val="21"/>
                <w:highlight w:val="none"/>
              </w:rPr>
            </w:pPr>
          </w:p>
        </w:tc>
        <w:tc>
          <w:tcPr>
            <w:tcW w:w="895" w:type="dxa"/>
            <w:vMerge w:val="continue"/>
            <w:noWrap w:val="0"/>
            <w:vAlign w:val="center"/>
          </w:tcPr>
          <w:p>
            <w:pPr>
              <w:jc w:val="center"/>
              <w:rPr>
                <w:rFonts w:hint="eastAsia" w:ascii="宋体" w:hAnsi="宋体" w:cs="宋体"/>
                <w:color w:val="000000"/>
                <w:szCs w:val="21"/>
                <w:highlight w:val="none"/>
              </w:rPr>
            </w:pPr>
          </w:p>
        </w:tc>
        <w:tc>
          <w:tcPr>
            <w:tcW w:w="5106" w:type="dxa"/>
            <w:gridSpan w:val="3"/>
            <w:noWrap w:val="0"/>
            <w:vAlign w:val="center"/>
          </w:tcPr>
          <w:p>
            <w:pPr>
              <w:widowControl/>
              <w:jc w:val="left"/>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3、在遇到异常情况或住户紧急求助时，三分钟内赶到现场，采取相应措施。</w:t>
            </w:r>
          </w:p>
        </w:tc>
        <w:tc>
          <w:tcPr>
            <w:tcW w:w="3557" w:type="dxa"/>
            <w:vMerge w:val="continue"/>
            <w:noWrap w:val="0"/>
            <w:vAlign w:val="center"/>
          </w:tcPr>
          <w:p>
            <w:pPr>
              <w:jc w:val="left"/>
              <w:rPr>
                <w:rFonts w:hint="eastAsia" w:ascii="宋体" w:hAnsi="宋体" w:cs="宋体"/>
                <w:color w:val="00000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075" w:hRule="atLeast"/>
          <w:jc w:val="center"/>
        </w:trPr>
        <w:tc>
          <w:tcPr>
            <w:tcW w:w="542" w:type="dxa"/>
            <w:vMerge w:val="restart"/>
            <w:noWrap w:val="0"/>
            <w:vAlign w:val="center"/>
          </w:tcPr>
          <w:p>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4</w:t>
            </w:r>
          </w:p>
        </w:tc>
        <w:tc>
          <w:tcPr>
            <w:tcW w:w="895" w:type="dxa"/>
            <w:vMerge w:val="restart"/>
            <w:noWrap w:val="0"/>
            <w:vAlign w:val="center"/>
          </w:tcPr>
          <w:p>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技防设施和救助（监控岗）</w:t>
            </w:r>
          </w:p>
        </w:tc>
        <w:tc>
          <w:tcPr>
            <w:tcW w:w="5106" w:type="dxa"/>
            <w:gridSpan w:val="3"/>
            <w:noWrap w:val="0"/>
            <w:vAlign w:val="center"/>
          </w:tcPr>
          <w:p>
            <w:pPr>
              <w:widowControl/>
              <w:jc w:val="left"/>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1、园区设有监控中心，具备部分录像监控、可视、周界报警（如有）、（对讲功能）等技防设施，24小时开通，并有人驻守，注视各设备所传达的信息。</w:t>
            </w:r>
          </w:p>
        </w:tc>
        <w:tc>
          <w:tcPr>
            <w:tcW w:w="3557" w:type="dxa"/>
            <w:vMerge w:val="continue"/>
            <w:noWrap w:val="0"/>
            <w:vAlign w:val="center"/>
          </w:tcPr>
          <w:p>
            <w:pPr>
              <w:jc w:val="left"/>
              <w:rPr>
                <w:rFonts w:hint="eastAsia" w:ascii="宋体" w:hAnsi="宋体" w:cs="宋体"/>
                <w:color w:val="00000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829" w:hRule="atLeast"/>
          <w:jc w:val="center"/>
        </w:trPr>
        <w:tc>
          <w:tcPr>
            <w:tcW w:w="542" w:type="dxa"/>
            <w:vMerge w:val="continue"/>
            <w:noWrap w:val="0"/>
            <w:vAlign w:val="center"/>
          </w:tcPr>
          <w:p>
            <w:pPr>
              <w:jc w:val="center"/>
              <w:rPr>
                <w:rFonts w:hint="eastAsia" w:ascii="宋体" w:hAnsi="宋体" w:cs="宋体"/>
                <w:color w:val="000000"/>
                <w:szCs w:val="21"/>
                <w:highlight w:val="none"/>
              </w:rPr>
            </w:pPr>
          </w:p>
        </w:tc>
        <w:tc>
          <w:tcPr>
            <w:tcW w:w="895" w:type="dxa"/>
            <w:vMerge w:val="continue"/>
            <w:noWrap w:val="0"/>
            <w:vAlign w:val="center"/>
          </w:tcPr>
          <w:p>
            <w:pPr>
              <w:jc w:val="center"/>
              <w:rPr>
                <w:rFonts w:hint="eastAsia" w:ascii="宋体" w:hAnsi="宋体" w:cs="宋体"/>
                <w:color w:val="000000"/>
                <w:szCs w:val="21"/>
                <w:highlight w:val="none"/>
              </w:rPr>
            </w:pPr>
          </w:p>
        </w:tc>
        <w:tc>
          <w:tcPr>
            <w:tcW w:w="5106" w:type="dxa"/>
            <w:gridSpan w:val="3"/>
            <w:noWrap w:val="0"/>
            <w:vAlign w:val="center"/>
          </w:tcPr>
          <w:p>
            <w:pPr>
              <w:widowControl/>
              <w:jc w:val="left"/>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2、监控中心接到报警信号后，秩序维护人员三分钟内赶到现场进行处理，同时中心应接受用户救助的要求，解答用户的询问。</w:t>
            </w:r>
          </w:p>
        </w:tc>
        <w:tc>
          <w:tcPr>
            <w:tcW w:w="3557" w:type="dxa"/>
            <w:vMerge w:val="continue"/>
            <w:noWrap w:val="0"/>
            <w:vAlign w:val="center"/>
          </w:tcPr>
          <w:p>
            <w:pPr>
              <w:jc w:val="left"/>
              <w:rPr>
                <w:rFonts w:hint="eastAsia" w:ascii="宋体" w:hAnsi="宋体" w:cs="宋体"/>
                <w:color w:val="00000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762" w:hRule="atLeast"/>
          <w:jc w:val="center"/>
        </w:trPr>
        <w:tc>
          <w:tcPr>
            <w:tcW w:w="542" w:type="dxa"/>
            <w:vMerge w:val="continue"/>
            <w:noWrap w:val="0"/>
            <w:vAlign w:val="center"/>
          </w:tcPr>
          <w:p>
            <w:pPr>
              <w:jc w:val="center"/>
              <w:rPr>
                <w:rFonts w:hint="eastAsia" w:ascii="宋体" w:hAnsi="宋体" w:cs="宋体"/>
                <w:color w:val="000000"/>
                <w:szCs w:val="21"/>
                <w:highlight w:val="none"/>
              </w:rPr>
            </w:pPr>
          </w:p>
        </w:tc>
        <w:tc>
          <w:tcPr>
            <w:tcW w:w="895" w:type="dxa"/>
            <w:vMerge w:val="continue"/>
            <w:noWrap w:val="0"/>
            <w:vAlign w:val="center"/>
          </w:tcPr>
          <w:p>
            <w:pPr>
              <w:jc w:val="center"/>
              <w:rPr>
                <w:rFonts w:hint="eastAsia" w:ascii="宋体" w:hAnsi="宋体" w:cs="宋体"/>
                <w:color w:val="000000"/>
                <w:szCs w:val="21"/>
                <w:highlight w:val="none"/>
              </w:rPr>
            </w:pPr>
          </w:p>
        </w:tc>
        <w:tc>
          <w:tcPr>
            <w:tcW w:w="5106" w:type="dxa"/>
            <w:gridSpan w:val="3"/>
            <w:noWrap w:val="0"/>
            <w:vAlign w:val="center"/>
          </w:tcPr>
          <w:p>
            <w:pPr>
              <w:widowControl/>
              <w:jc w:val="left"/>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3、有应急预案，每年应组织不少于</w:t>
            </w:r>
            <w:r>
              <w:rPr>
                <w:rFonts w:hint="eastAsia" w:ascii="宋体" w:hAnsi="宋体" w:cs="宋体"/>
                <w:color w:val="000000"/>
                <w:kern w:val="0"/>
                <w:szCs w:val="21"/>
                <w:highlight w:val="none"/>
                <w:lang w:val="en-US" w:eastAsia="zh-CN" w:bidi="ar"/>
              </w:rPr>
              <w:t>2</w:t>
            </w:r>
            <w:r>
              <w:rPr>
                <w:rFonts w:hint="eastAsia" w:ascii="宋体" w:hAnsi="宋体" w:cs="宋体"/>
                <w:color w:val="000000"/>
                <w:kern w:val="0"/>
                <w:szCs w:val="21"/>
                <w:highlight w:val="none"/>
                <w:lang w:bidi="ar"/>
              </w:rPr>
              <w:t>次的应急预案演习。</w:t>
            </w:r>
          </w:p>
        </w:tc>
        <w:tc>
          <w:tcPr>
            <w:tcW w:w="3557" w:type="dxa"/>
            <w:vMerge w:val="continue"/>
            <w:noWrap w:val="0"/>
            <w:vAlign w:val="center"/>
          </w:tcPr>
          <w:p>
            <w:pPr>
              <w:jc w:val="left"/>
              <w:rPr>
                <w:rFonts w:hint="eastAsia" w:ascii="宋体" w:hAnsi="宋体" w:cs="宋体"/>
                <w:color w:val="00000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790" w:hRule="atLeast"/>
          <w:jc w:val="center"/>
        </w:trPr>
        <w:tc>
          <w:tcPr>
            <w:tcW w:w="542" w:type="dxa"/>
            <w:vMerge w:val="restart"/>
            <w:noWrap w:val="0"/>
            <w:vAlign w:val="center"/>
          </w:tcPr>
          <w:p>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5</w:t>
            </w:r>
          </w:p>
        </w:tc>
        <w:tc>
          <w:tcPr>
            <w:tcW w:w="895" w:type="dxa"/>
            <w:vMerge w:val="restart"/>
            <w:noWrap w:val="0"/>
            <w:vAlign w:val="center"/>
          </w:tcPr>
          <w:p>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车辆管理</w:t>
            </w:r>
          </w:p>
        </w:tc>
        <w:tc>
          <w:tcPr>
            <w:tcW w:w="5106" w:type="dxa"/>
            <w:gridSpan w:val="3"/>
            <w:noWrap w:val="0"/>
            <w:vAlign w:val="center"/>
          </w:tcPr>
          <w:p>
            <w:pPr>
              <w:widowControl/>
              <w:jc w:val="left"/>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1、地面、墙面按车辆道路行驶要求设立指示牌和地标，机动车与非机动车车辆停放有序。</w:t>
            </w:r>
          </w:p>
        </w:tc>
        <w:tc>
          <w:tcPr>
            <w:tcW w:w="3557" w:type="dxa"/>
            <w:vMerge w:val="restart"/>
            <w:noWrap w:val="0"/>
            <w:vAlign w:val="center"/>
          </w:tcPr>
          <w:p>
            <w:pPr>
              <w:widowControl/>
              <w:jc w:val="left"/>
              <w:textAlignment w:val="center"/>
              <w:rPr>
                <w:rFonts w:hint="eastAsia" w:ascii="宋体" w:hAnsi="宋体" w:eastAsia="宋体" w:cs="宋体"/>
                <w:color w:val="000000"/>
                <w:szCs w:val="21"/>
                <w:highlight w:val="none"/>
                <w:lang w:eastAsia="zh-CN"/>
              </w:rPr>
            </w:pPr>
            <w:r>
              <w:rPr>
                <w:rFonts w:hint="eastAsia" w:ascii="宋体" w:hAnsi="宋体" w:cs="宋体"/>
                <w:color w:val="000000"/>
                <w:kern w:val="0"/>
                <w:szCs w:val="21"/>
                <w:highlight w:val="none"/>
                <w:lang w:bidi="ar"/>
              </w:rPr>
              <w:t>不符合扣1分</w:t>
            </w:r>
            <w:r>
              <w:rPr>
                <w:rFonts w:hint="eastAsia" w:ascii="宋体" w:hAnsi="宋体" w:cs="宋体"/>
                <w:color w:val="000000"/>
                <w:kern w:val="0"/>
                <w:szCs w:val="21"/>
                <w:highlight w:val="none"/>
                <w:lang w:eastAsia="zh-CN" w:bidi="ar"/>
              </w:rPr>
              <w:t>，发现机动车和非机动车未停放在划线车位内</w:t>
            </w:r>
            <w:r>
              <w:rPr>
                <w:rFonts w:hint="eastAsia" w:ascii="宋体" w:hAnsi="宋体" w:cs="宋体"/>
                <w:color w:val="000000"/>
                <w:kern w:val="0"/>
                <w:szCs w:val="21"/>
                <w:highlight w:val="none"/>
                <w:lang w:bidi="ar"/>
              </w:rPr>
              <w:t>5处以上，一次性扣5分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38" w:hRule="atLeast"/>
          <w:jc w:val="center"/>
        </w:trPr>
        <w:tc>
          <w:tcPr>
            <w:tcW w:w="542" w:type="dxa"/>
            <w:vMerge w:val="continue"/>
            <w:noWrap w:val="0"/>
            <w:vAlign w:val="center"/>
          </w:tcPr>
          <w:p>
            <w:pPr>
              <w:jc w:val="center"/>
              <w:rPr>
                <w:rFonts w:hint="eastAsia" w:ascii="宋体" w:hAnsi="宋体" w:cs="宋体"/>
                <w:color w:val="000000"/>
                <w:szCs w:val="21"/>
                <w:highlight w:val="none"/>
              </w:rPr>
            </w:pPr>
          </w:p>
        </w:tc>
        <w:tc>
          <w:tcPr>
            <w:tcW w:w="895" w:type="dxa"/>
            <w:vMerge w:val="continue"/>
            <w:noWrap w:val="0"/>
            <w:vAlign w:val="center"/>
          </w:tcPr>
          <w:p>
            <w:pPr>
              <w:jc w:val="center"/>
              <w:rPr>
                <w:rFonts w:hint="eastAsia" w:ascii="宋体" w:hAnsi="宋体" w:cs="宋体"/>
                <w:color w:val="000000"/>
                <w:szCs w:val="21"/>
                <w:highlight w:val="none"/>
              </w:rPr>
            </w:pPr>
          </w:p>
        </w:tc>
        <w:tc>
          <w:tcPr>
            <w:tcW w:w="5106" w:type="dxa"/>
            <w:gridSpan w:val="3"/>
            <w:noWrap w:val="0"/>
            <w:vAlign w:val="center"/>
          </w:tcPr>
          <w:p>
            <w:pPr>
              <w:widowControl/>
              <w:jc w:val="left"/>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2、24小时巡视和管理停车事宜。</w:t>
            </w:r>
          </w:p>
        </w:tc>
        <w:tc>
          <w:tcPr>
            <w:tcW w:w="3557" w:type="dxa"/>
            <w:vMerge w:val="continue"/>
            <w:noWrap w:val="0"/>
            <w:vAlign w:val="center"/>
          </w:tcPr>
          <w:p>
            <w:pPr>
              <w:jc w:val="left"/>
              <w:rPr>
                <w:rFonts w:hint="eastAsia" w:ascii="宋体" w:hAnsi="宋体" w:cs="宋体"/>
                <w:color w:val="00000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731" w:hRule="atLeast"/>
          <w:jc w:val="center"/>
        </w:trPr>
        <w:tc>
          <w:tcPr>
            <w:tcW w:w="542" w:type="dxa"/>
            <w:vMerge w:val="restart"/>
            <w:noWrap w:val="0"/>
            <w:vAlign w:val="center"/>
          </w:tcPr>
          <w:p>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6</w:t>
            </w:r>
          </w:p>
        </w:tc>
        <w:tc>
          <w:tcPr>
            <w:tcW w:w="895" w:type="dxa"/>
            <w:vMerge w:val="restart"/>
            <w:noWrap w:val="0"/>
            <w:vAlign w:val="center"/>
          </w:tcPr>
          <w:p>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消防管理</w:t>
            </w:r>
          </w:p>
        </w:tc>
        <w:tc>
          <w:tcPr>
            <w:tcW w:w="5106" w:type="dxa"/>
            <w:gridSpan w:val="3"/>
            <w:noWrap w:val="0"/>
            <w:vAlign w:val="center"/>
          </w:tcPr>
          <w:p>
            <w:pPr>
              <w:widowControl/>
              <w:jc w:val="left"/>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1、负责具体的消防管理工作，对消防设施设备进行巡检，确保正常使用。</w:t>
            </w:r>
          </w:p>
        </w:tc>
        <w:tc>
          <w:tcPr>
            <w:tcW w:w="3557" w:type="dxa"/>
            <w:vMerge w:val="restart"/>
            <w:noWrap w:val="0"/>
            <w:vAlign w:val="center"/>
          </w:tcPr>
          <w:p>
            <w:pPr>
              <w:widowControl/>
              <w:jc w:val="left"/>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每发现一处不符合扣1分，上不封顶，如因此造成重大事故或损失，我方可追究物业公司责任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762" w:hRule="atLeast"/>
          <w:jc w:val="center"/>
        </w:trPr>
        <w:tc>
          <w:tcPr>
            <w:tcW w:w="542" w:type="dxa"/>
            <w:vMerge w:val="continue"/>
            <w:noWrap w:val="0"/>
            <w:vAlign w:val="center"/>
          </w:tcPr>
          <w:p>
            <w:pPr>
              <w:jc w:val="center"/>
              <w:rPr>
                <w:rFonts w:hint="eastAsia" w:ascii="宋体" w:hAnsi="宋体" w:cs="宋体"/>
                <w:color w:val="000000"/>
                <w:szCs w:val="21"/>
                <w:highlight w:val="none"/>
              </w:rPr>
            </w:pPr>
          </w:p>
        </w:tc>
        <w:tc>
          <w:tcPr>
            <w:tcW w:w="895" w:type="dxa"/>
            <w:vMerge w:val="continue"/>
            <w:noWrap w:val="0"/>
            <w:vAlign w:val="center"/>
          </w:tcPr>
          <w:p>
            <w:pPr>
              <w:jc w:val="center"/>
              <w:rPr>
                <w:rFonts w:hint="eastAsia" w:ascii="宋体" w:hAnsi="宋体" w:cs="宋体"/>
                <w:color w:val="000000"/>
                <w:szCs w:val="21"/>
                <w:highlight w:val="none"/>
              </w:rPr>
            </w:pPr>
          </w:p>
        </w:tc>
        <w:tc>
          <w:tcPr>
            <w:tcW w:w="5106" w:type="dxa"/>
            <w:gridSpan w:val="3"/>
            <w:noWrap w:val="0"/>
            <w:vAlign w:val="center"/>
          </w:tcPr>
          <w:p>
            <w:pPr>
              <w:widowControl/>
              <w:jc w:val="left"/>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2、接到火警后三分钟内到达现场，协助保护现场，并报告服务中心与警方。</w:t>
            </w:r>
          </w:p>
        </w:tc>
        <w:tc>
          <w:tcPr>
            <w:tcW w:w="3557" w:type="dxa"/>
            <w:vMerge w:val="continue"/>
            <w:noWrap w:val="0"/>
            <w:vAlign w:val="center"/>
          </w:tcPr>
          <w:p>
            <w:pPr>
              <w:widowControl/>
              <w:jc w:val="left"/>
              <w:textAlignment w:val="center"/>
              <w:rPr>
                <w:rFonts w:hint="eastAsia" w:ascii="宋体" w:hAnsi="宋体" w:cs="宋体"/>
                <w:color w:val="00000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97" w:hRule="atLeast"/>
          <w:jc w:val="center"/>
        </w:trPr>
        <w:tc>
          <w:tcPr>
            <w:tcW w:w="542" w:type="dxa"/>
            <w:vMerge w:val="continue"/>
            <w:noWrap w:val="0"/>
            <w:vAlign w:val="center"/>
          </w:tcPr>
          <w:p>
            <w:pPr>
              <w:jc w:val="center"/>
              <w:rPr>
                <w:rFonts w:hint="eastAsia" w:ascii="宋体" w:hAnsi="宋体" w:cs="宋体"/>
                <w:color w:val="000000"/>
                <w:szCs w:val="21"/>
                <w:highlight w:val="none"/>
              </w:rPr>
            </w:pPr>
          </w:p>
        </w:tc>
        <w:tc>
          <w:tcPr>
            <w:tcW w:w="895" w:type="dxa"/>
            <w:vMerge w:val="continue"/>
            <w:noWrap w:val="0"/>
            <w:vAlign w:val="center"/>
          </w:tcPr>
          <w:p>
            <w:pPr>
              <w:jc w:val="center"/>
              <w:rPr>
                <w:rFonts w:hint="eastAsia" w:ascii="宋体" w:hAnsi="宋体" w:cs="宋体"/>
                <w:color w:val="000000"/>
                <w:szCs w:val="21"/>
                <w:highlight w:val="none"/>
              </w:rPr>
            </w:pPr>
          </w:p>
        </w:tc>
        <w:tc>
          <w:tcPr>
            <w:tcW w:w="5106" w:type="dxa"/>
            <w:gridSpan w:val="3"/>
            <w:noWrap w:val="0"/>
            <w:vAlign w:val="center"/>
          </w:tcPr>
          <w:p>
            <w:pPr>
              <w:widowControl/>
              <w:jc w:val="left"/>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3、制定火灾应急预案，每年应组织不少于</w:t>
            </w:r>
            <w:r>
              <w:rPr>
                <w:rFonts w:hint="eastAsia" w:ascii="宋体" w:hAnsi="宋体" w:cs="宋体"/>
                <w:color w:val="000000"/>
                <w:kern w:val="0"/>
                <w:szCs w:val="21"/>
                <w:highlight w:val="none"/>
                <w:lang w:val="en-US" w:eastAsia="zh-CN" w:bidi="ar"/>
              </w:rPr>
              <w:t>2</w:t>
            </w:r>
            <w:r>
              <w:rPr>
                <w:rFonts w:hint="eastAsia" w:ascii="宋体" w:hAnsi="宋体" w:cs="宋体"/>
                <w:color w:val="000000"/>
                <w:kern w:val="0"/>
                <w:szCs w:val="21"/>
                <w:highlight w:val="none"/>
                <w:lang w:bidi="ar"/>
              </w:rPr>
              <w:t>次的应急预案演习。</w:t>
            </w:r>
          </w:p>
        </w:tc>
        <w:tc>
          <w:tcPr>
            <w:tcW w:w="3557" w:type="dxa"/>
            <w:vMerge w:val="continue"/>
            <w:noWrap w:val="0"/>
            <w:vAlign w:val="center"/>
          </w:tcPr>
          <w:p>
            <w:pPr>
              <w:jc w:val="left"/>
              <w:rPr>
                <w:rFonts w:hint="eastAsia" w:ascii="宋体" w:hAnsi="宋体" w:cs="宋体"/>
                <w:color w:val="00000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67" w:hRule="atLeast"/>
          <w:jc w:val="center"/>
        </w:trPr>
        <w:tc>
          <w:tcPr>
            <w:tcW w:w="542" w:type="dxa"/>
            <w:vMerge w:val="continue"/>
            <w:noWrap w:val="0"/>
            <w:vAlign w:val="center"/>
          </w:tcPr>
          <w:p>
            <w:pPr>
              <w:jc w:val="center"/>
              <w:rPr>
                <w:rFonts w:hint="eastAsia" w:ascii="宋体" w:hAnsi="宋体" w:cs="宋体"/>
                <w:color w:val="000000"/>
                <w:szCs w:val="21"/>
                <w:highlight w:val="none"/>
              </w:rPr>
            </w:pPr>
          </w:p>
        </w:tc>
        <w:tc>
          <w:tcPr>
            <w:tcW w:w="895" w:type="dxa"/>
            <w:vMerge w:val="continue"/>
            <w:noWrap w:val="0"/>
            <w:vAlign w:val="center"/>
          </w:tcPr>
          <w:p>
            <w:pPr>
              <w:jc w:val="center"/>
              <w:rPr>
                <w:rFonts w:hint="eastAsia" w:ascii="宋体" w:hAnsi="宋体" w:cs="宋体"/>
                <w:color w:val="000000"/>
                <w:szCs w:val="21"/>
                <w:highlight w:val="none"/>
              </w:rPr>
            </w:pPr>
          </w:p>
        </w:tc>
        <w:tc>
          <w:tcPr>
            <w:tcW w:w="5106" w:type="dxa"/>
            <w:gridSpan w:val="3"/>
            <w:noWrap w:val="0"/>
            <w:vAlign w:val="center"/>
          </w:tcPr>
          <w:p>
            <w:pPr>
              <w:widowControl/>
              <w:jc w:val="left"/>
              <w:textAlignment w:val="center"/>
              <w:rPr>
                <w:rFonts w:hint="default" w:ascii="宋体" w:hAnsi="宋体" w:eastAsia="宋体" w:cs="宋体"/>
                <w:color w:val="000000"/>
                <w:kern w:val="0"/>
                <w:szCs w:val="21"/>
                <w:highlight w:val="none"/>
                <w:lang w:val="en-US" w:eastAsia="zh-CN" w:bidi="ar"/>
              </w:rPr>
            </w:pPr>
            <w:r>
              <w:rPr>
                <w:rFonts w:hint="eastAsia" w:ascii="宋体" w:hAnsi="宋体" w:cs="宋体"/>
                <w:color w:val="000000"/>
                <w:kern w:val="0"/>
                <w:szCs w:val="21"/>
                <w:highlight w:val="none"/>
                <w:lang w:val="en-US" w:eastAsia="zh-CN" w:bidi="ar"/>
              </w:rPr>
              <w:t>4.</w:t>
            </w:r>
            <w:r>
              <w:rPr>
                <w:rFonts w:hint="eastAsia" w:ascii="宋体" w:hAnsi="宋体" w:cs="宋体"/>
                <w:color w:val="000000"/>
                <w:sz w:val="22"/>
                <w:szCs w:val="22"/>
                <w:highlight w:val="none"/>
              </w:rPr>
              <w:t>对公寓住房</w:t>
            </w:r>
            <w:r>
              <w:rPr>
                <w:rFonts w:hint="eastAsia" w:ascii="宋体" w:hAnsi="宋体" w:cs="宋体"/>
                <w:color w:val="000000"/>
                <w:sz w:val="22"/>
                <w:szCs w:val="22"/>
                <w:highlight w:val="none"/>
                <w:lang w:eastAsia="zh-CN"/>
              </w:rPr>
              <w:t>定期</w:t>
            </w:r>
            <w:r>
              <w:rPr>
                <w:rFonts w:hint="eastAsia" w:ascii="宋体" w:hAnsi="宋体" w:cs="宋体"/>
                <w:color w:val="000000"/>
                <w:sz w:val="22"/>
                <w:szCs w:val="22"/>
                <w:highlight w:val="none"/>
              </w:rPr>
              <w:t>进行消防安全检查</w:t>
            </w:r>
            <w:r>
              <w:rPr>
                <w:rFonts w:hint="eastAsia" w:ascii="宋体" w:hAnsi="宋体" w:cs="宋体"/>
                <w:color w:val="000000"/>
                <w:sz w:val="22"/>
                <w:szCs w:val="22"/>
                <w:highlight w:val="none"/>
                <w:lang w:eastAsia="zh-CN"/>
              </w:rPr>
              <w:t>及</w:t>
            </w:r>
            <w:r>
              <w:rPr>
                <w:rFonts w:hint="eastAsia" w:ascii="宋体" w:hAnsi="宋体" w:cs="宋体"/>
                <w:color w:val="000000"/>
                <w:sz w:val="22"/>
                <w:szCs w:val="22"/>
                <w:highlight w:val="none"/>
              </w:rPr>
              <w:t>宣教</w:t>
            </w:r>
            <w:r>
              <w:rPr>
                <w:rFonts w:hint="eastAsia" w:ascii="宋体" w:hAnsi="宋体" w:cs="宋体"/>
                <w:color w:val="000000"/>
                <w:sz w:val="22"/>
                <w:szCs w:val="22"/>
                <w:highlight w:val="none"/>
                <w:lang w:eastAsia="zh-CN"/>
              </w:rPr>
              <w:t>，</w:t>
            </w:r>
            <w:r>
              <w:rPr>
                <w:rFonts w:hint="eastAsia" w:ascii="宋体" w:hAnsi="宋体" w:cs="宋体"/>
                <w:color w:val="000000"/>
                <w:sz w:val="22"/>
                <w:szCs w:val="22"/>
                <w:highlight w:val="none"/>
              </w:rPr>
              <w:t>并做好记录。</w:t>
            </w:r>
          </w:p>
        </w:tc>
        <w:tc>
          <w:tcPr>
            <w:tcW w:w="3557" w:type="dxa"/>
            <w:noWrap w:val="0"/>
            <w:vAlign w:val="center"/>
          </w:tcPr>
          <w:p>
            <w:pPr>
              <w:jc w:val="left"/>
              <w:rPr>
                <w:rFonts w:hint="eastAsia" w:ascii="宋体" w:hAnsi="宋体" w:eastAsia="宋体" w:cs="宋体"/>
                <w:color w:val="000000"/>
                <w:szCs w:val="21"/>
                <w:highlight w:val="none"/>
                <w:lang w:eastAsia="zh-CN"/>
              </w:rPr>
            </w:pPr>
            <w:r>
              <w:rPr>
                <w:rFonts w:hint="eastAsia" w:ascii="宋体" w:hAnsi="宋体" w:cs="宋体"/>
                <w:color w:val="000000"/>
                <w:sz w:val="22"/>
                <w:szCs w:val="22"/>
                <w:highlight w:val="none"/>
                <w:lang w:eastAsia="zh-CN"/>
              </w:rPr>
              <w:t>每月开展消防安全检查及宣教工作，有记录，不符扣</w:t>
            </w:r>
            <w:r>
              <w:rPr>
                <w:rFonts w:hint="eastAsia" w:ascii="宋体" w:hAnsi="宋体" w:cs="宋体"/>
                <w:color w:val="000000"/>
                <w:sz w:val="22"/>
                <w:szCs w:val="22"/>
                <w:highlight w:val="none"/>
                <w:lang w:val="en-US" w:eastAsia="zh-CN"/>
              </w:rPr>
              <w:t>2分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05" w:hRule="atLeast"/>
          <w:jc w:val="center"/>
        </w:trPr>
        <w:tc>
          <w:tcPr>
            <w:tcW w:w="542" w:type="dxa"/>
            <w:noWrap w:val="0"/>
            <w:vAlign w:val="center"/>
          </w:tcPr>
          <w:p>
            <w:pPr>
              <w:jc w:val="center"/>
              <w:rPr>
                <w:rFonts w:hint="eastAsia" w:ascii="宋体" w:hAnsi="宋体" w:eastAsia="宋体" w:cs="宋体"/>
                <w:color w:val="000000"/>
                <w:szCs w:val="21"/>
                <w:highlight w:val="none"/>
                <w:lang w:val="en-US" w:eastAsia="zh-CN"/>
              </w:rPr>
            </w:pPr>
            <w:r>
              <w:rPr>
                <w:rFonts w:hint="eastAsia" w:ascii="宋体" w:hAnsi="宋体" w:cs="宋体"/>
                <w:color w:val="000000"/>
                <w:szCs w:val="21"/>
                <w:highlight w:val="none"/>
                <w:lang w:val="en-US" w:eastAsia="zh-CN"/>
              </w:rPr>
              <w:t>7</w:t>
            </w:r>
          </w:p>
        </w:tc>
        <w:tc>
          <w:tcPr>
            <w:tcW w:w="895" w:type="dxa"/>
            <w:noWrap w:val="0"/>
            <w:vAlign w:val="center"/>
          </w:tcPr>
          <w:p>
            <w:pPr>
              <w:jc w:val="center"/>
              <w:rPr>
                <w:rFonts w:hint="eastAsia" w:ascii="宋体" w:hAnsi="宋体" w:eastAsia="宋体" w:cs="宋体"/>
                <w:color w:val="000000"/>
                <w:szCs w:val="21"/>
                <w:highlight w:val="none"/>
                <w:lang w:eastAsia="zh-CN"/>
              </w:rPr>
            </w:pPr>
            <w:r>
              <w:rPr>
                <w:rFonts w:hint="eastAsia" w:ascii="宋体" w:hAnsi="宋体" w:cs="宋体"/>
                <w:color w:val="000000"/>
                <w:szCs w:val="21"/>
                <w:highlight w:val="none"/>
                <w:lang w:eastAsia="zh-CN"/>
              </w:rPr>
              <w:t>宿舍楼入住人员信息管理</w:t>
            </w:r>
          </w:p>
        </w:tc>
        <w:tc>
          <w:tcPr>
            <w:tcW w:w="5106" w:type="dxa"/>
            <w:gridSpan w:val="3"/>
            <w:noWrap w:val="0"/>
            <w:vAlign w:val="center"/>
          </w:tcPr>
          <w:p>
            <w:pPr>
              <w:widowControl/>
              <w:jc w:val="left"/>
              <w:textAlignment w:val="center"/>
              <w:rPr>
                <w:rFonts w:hint="eastAsia" w:ascii="宋体" w:hAnsi="宋体" w:eastAsia="宋体" w:cs="宋体"/>
                <w:b/>
                <w:color w:val="000000"/>
                <w:kern w:val="0"/>
                <w:sz w:val="21"/>
                <w:szCs w:val="21"/>
                <w:highlight w:val="none"/>
                <w:lang w:val="en-US" w:eastAsia="zh-CN" w:bidi="ar"/>
              </w:rPr>
            </w:pPr>
            <w:r>
              <w:rPr>
                <w:rFonts w:hint="eastAsia" w:ascii="宋体" w:hAnsi="宋体" w:cs="宋体"/>
                <w:color w:val="000000"/>
                <w:sz w:val="22"/>
                <w:szCs w:val="22"/>
                <w:highlight w:val="none"/>
              </w:rPr>
              <w:t>根据公安</w:t>
            </w:r>
            <w:r>
              <w:rPr>
                <w:rFonts w:hint="eastAsia" w:ascii="宋体" w:hAnsi="宋体" w:cs="宋体"/>
                <w:color w:val="000000"/>
                <w:sz w:val="22"/>
                <w:szCs w:val="22"/>
                <w:highlight w:val="none"/>
                <w:lang w:eastAsia="zh-CN"/>
              </w:rPr>
              <w:t>机关等相关部门的</w:t>
            </w:r>
            <w:r>
              <w:rPr>
                <w:rFonts w:hint="eastAsia" w:ascii="宋体" w:hAnsi="宋体" w:cs="宋体"/>
                <w:color w:val="000000"/>
                <w:sz w:val="22"/>
                <w:szCs w:val="22"/>
                <w:highlight w:val="none"/>
              </w:rPr>
              <w:t>要求</w:t>
            </w:r>
            <w:r>
              <w:rPr>
                <w:rFonts w:hint="eastAsia" w:ascii="宋体" w:hAnsi="宋体" w:cs="宋体"/>
                <w:color w:val="000000"/>
                <w:sz w:val="22"/>
                <w:szCs w:val="22"/>
                <w:highlight w:val="none"/>
                <w:lang w:eastAsia="zh-CN"/>
              </w:rPr>
              <w:t>，落实宿舍楼</w:t>
            </w:r>
            <w:r>
              <w:rPr>
                <w:rFonts w:hint="eastAsia" w:ascii="宋体" w:hAnsi="宋体" w:cs="宋体"/>
                <w:color w:val="000000"/>
                <w:sz w:val="22"/>
                <w:szCs w:val="22"/>
                <w:highlight w:val="none"/>
              </w:rPr>
              <w:t>住客</w:t>
            </w:r>
            <w:r>
              <w:rPr>
                <w:rFonts w:hint="eastAsia" w:ascii="宋体" w:hAnsi="宋体" w:cs="宋体"/>
                <w:color w:val="000000"/>
                <w:sz w:val="22"/>
                <w:szCs w:val="22"/>
                <w:highlight w:val="none"/>
                <w:lang w:eastAsia="zh-CN"/>
              </w:rPr>
              <w:t>的</w:t>
            </w:r>
            <w:r>
              <w:rPr>
                <w:rFonts w:hint="eastAsia" w:ascii="宋体" w:hAnsi="宋体" w:cs="宋体"/>
                <w:color w:val="000000"/>
                <w:sz w:val="22"/>
                <w:szCs w:val="22"/>
                <w:highlight w:val="none"/>
              </w:rPr>
              <w:t>实名登记</w:t>
            </w:r>
            <w:r>
              <w:rPr>
                <w:rFonts w:hint="eastAsia" w:ascii="宋体" w:hAnsi="宋体" w:cs="宋体"/>
                <w:color w:val="000000"/>
                <w:sz w:val="22"/>
                <w:szCs w:val="22"/>
                <w:highlight w:val="none"/>
                <w:lang w:eastAsia="zh-CN"/>
              </w:rPr>
              <w:t>，建立</w:t>
            </w:r>
            <w:r>
              <w:rPr>
                <w:rFonts w:hint="eastAsia" w:ascii="宋体" w:hAnsi="宋体" w:cs="宋体"/>
                <w:color w:val="000000"/>
                <w:sz w:val="22"/>
                <w:szCs w:val="22"/>
                <w:highlight w:val="none"/>
              </w:rPr>
              <w:t>实名登记检查及访客登记</w:t>
            </w:r>
            <w:r>
              <w:rPr>
                <w:rFonts w:hint="eastAsia" w:ascii="宋体" w:hAnsi="宋体" w:cs="宋体"/>
                <w:color w:val="000000"/>
                <w:sz w:val="22"/>
                <w:szCs w:val="22"/>
                <w:highlight w:val="none"/>
                <w:lang w:eastAsia="zh-CN"/>
              </w:rPr>
              <w:t>工作台账</w:t>
            </w:r>
            <w:r>
              <w:rPr>
                <w:rFonts w:hint="eastAsia" w:ascii="宋体" w:hAnsi="宋体" w:cs="宋体"/>
                <w:color w:val="000000"/>
                <w:sz w:val="22"/>
                <w:szCs w:val="22"/>
                <w:highlight w:val="none"/>
              </w:rPr>
              <w:t>。</w:t>
            </w:r>
          </w:p>
        </w:tc>
        <w:tc>
          <w:tcPr>
            <w:tcW w:w="3557" w:type="dxa"/>
            <w:noWrap w:val="0"/>
            <w:vAlign w:val="center"/>
          </w:tcPr>
          <w:p>
            <w:pPr>
              <w:widowControl/>
              <w:jc w:val="center"/>
              <w:textAlignment w:val="center"/>
              <w:rPr>
                <w:rFonts w:hint="eastAsia" w:ascii="宋体" w:hAnsi="宋体" w:eastAsia="宋体" w:cs="宋体"/>
                <w:b/>
                <w:color w:val="000000"/>
                <w:kern w:val="0"/>
                <w:sz w:val="21"/>
                <w:szCs w:val="21"/>
                <w:highlight w:val="none"/>
                <w:lang w:val="en-US" w:eastAsia="zh-CN" w:bidi="ar"/>
              </w:rPr>
            </w:pPr>
            <w:r>
              <w:rPr>
                <w:rFonts w:hint="eastAsia" w:ascii="宋体" w:hAnsi="宋体" w:cs="宋体"/>
                <w:color w:val="000000"/>
                <w:sz w:val="22"/>
                <w:szCs w:val="22"/>
                <w:highlight w:val="none"/>
                <w:lang w:eastAsia="zh-CN"/>
              </w:rPr>
              <w:t>宿舍楼</w:t>
            </w:r>
            <w:r>
              <w:rPr>
                <w:rFonts w:hint="eastAsia" w:ascii="宋体" w:hAnsi="宋体" w:cs="宋体"/>
                <w:color w:val="000000"/>
                <w:sz w:val="22"/>
                <w:szCs w:val="22"/>
                <w:highlight w:val="none"/>
              </w:rPr>
              <w:t>在住人员</w:t>
            </w:r>
            <w:r>
              <w:rPr>
                <w:rFonts w:hint="eastAsia" w:ascii="宋体" w:hAnsi="宋体" w:cs="宋体"/>
                <w:color w:val="000000"/>
                <w:sz w:val="22"/>
                <w:szCs w:val="22"/>
                <w:highlight w:val="none"/>
                <w:lang w:eastAsia="zh-CN"/>
              </w:rPr>
              <w:t>、访客等人员信息情况能</w:t>
            </w:r>
            <w:r>
              <w:rPr>
                <w:rFonts w:hint="eastAsia" w:ascii="宋体" w:hAnsi="宋体" w:cs="宋体"/>
                <w:color w:val="000000"/>
                <w:sz w:val="22"/>
                <w:szCs w:val="22"/>
                <w:highlight w:val="none"/>
              </w:rPr>
              <w:t>及时登记，及时更新。不符合一处扣1分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72" w:hRule="atLeast"/>
          <w:jc w:val="center"/>
        </w:trPr>
        <w:tc>
          <w:tcPr>
            <w:tcW w:w="10100" w:type="dxa"/>
            <w:gridSpan w:val="6"/>
            <w:noWrap w:val="0"/>
            <w:vAlign w:val="center"/>
          </w:tcPr>
          <w:p>
            <w:pPr>
              <w:widowControl/>
              <w:ind w:firstLine="2951" w:firstLineChars="1400"/>
              <w:jc w:val="left"/>
              <w:textAlignment w:val="center"/>
              <w:rPr>
                <w:rFonts w:hint="eastAsia" w:ascii="宋体" w:hAnsi="宋体" w:cs="宋体"/>
                <w:color w:val="000000"/>
                <w:kern w:val="0"/>
                <w:szCs w:val="21"/>
                <w:highlight w:val="none"/>
                <w:lang w:bidi="ar"/>
              </w:rPr>
            </w:pPr>
            <w:r>
              <w:rPr>
                <w:rFonts w:hint="eastAsia" w:ascii="宋体" w:hAnsi="宋体" w:cs="宋体"/>
                <w:b/>
                <w:color w:val="000000"/>
                <w:kern w:val="0"/>
                <w:szCs w:val="21"/>
                <w:highlight w:val="none"/>
                <w:lang w:eastAsia="zh-CN" w:bidi="ar"/>
              </w:rPr>
              <w:t>四、</w:t>
            </w:r>
            <w:r>
              <w:rPr>
                <w:rFonts w:hint="eastAsia" w:ascii="宋体" w:hAnsi="宋体" w:cs="宋体"/>
                <w:b/>
                <w:color w:val="000000"/>
                <w:kern w:val="0"/>
                <w:szCs w:val="21"/>
                <w:highlight w:val="none"/>
                <w:lang w:bidi="ar"/>
              </w:rPr>
              <w:t>房屋及共用设施设备管理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679" w:hRule="atLeast"/>
          <w:jc w:val="center"/>
        </w:trPr>
        <w:tc>
          <w:tcPr>
            <w:tcW w:w="542" w:type="dxa"/>
            <w:noWrap w:val="0"/>
            <w:vAlign w:val="center"/>
          </w:tcPr>
          <w:p>
            <w:pPr>
              <w:widowControl/>
              <w:jc w:val="center"/>
              <w:textAlignment w:val="center"/>
              <w:rPr>
                <w:rFonts w:hint="eastAsia" w:ascii="宋体" w:hAnsi="宋体" w:cs="宋体"/>
                <w:b/>
                <w:color w:val="000000"/>
                <w:kern w:val="2"/>
                <w:sz w:val="21"/>
                <w:szCs w:val="21"/>
                <w:highlight w:val="none"/>
                <w:lang w:val="en-US" w:eastAsia="zh-CN" w:bidi="ar-SA"/>
              </w:rPr>
            </w:pPr>
            <w:r>
              <w:rPr>
                <w:rFonts w:hint="eastAsia" w:ascii="宋体" w:hAnsi="宋体" w:cs="宋体"/>
                <w:b/>
                <w:color w:val="000000"/>
                <w:kern w:val="0"/>
                <w:szCs w:val="21"/>
                <w:highlight w:val="none"/>
                <w:lang w:bidi="ar"/>
              </w:rPr>
              <w:t>序号</w:t>
            </w:r>
          </w:p>
        </w:tc>
        <w:tc>
          <w:tcPr>
            <w:tcW w:w="895" w:type="dxa"/>
            <w:noWrap w:val="0"/>
            <w:vAlign w:val="center"/>
          </w:tcPr>
          <w:p>
            <w:pPr>
              <w:widowControl/>
              <w:jc w:val="center"/>
              <w:textAlignment w:val="center"/>
              <w:rPr>
                <w:rFonts w:hint="eastAsia" w:ascii="宋体" w:hAnsi="宋体" w:cs="宋体"/>
                <w:b/>
                <w:color w:val="000000"/>
                <w:kern w:val="2"/>
                <w:sz w:val="21"/>
                <w:szCs w:val="21"/>
                <w:highlight w:val="none"/>
                <w:lang w:val="en-US" w:eastAsia="zh-CN" w:bidi="ar-SA"/>
              </w:rPr>
            </w:pPr>
            <w:r>
              <w:rPr>
                <w:rFonts w:hint="eastAsia" w:ascii="宋体" w:hAnsi="宋体" w:cs="宋体"/>
                <w:b/>
                <w:color w:val="000000"/>
                <w:kern w:val="2"/>
                <w:sz w:val="21"/>
                <w:szCs w:val="21"/>
                <w:highlight w:val="none"/>
                <w:lang w:val="en-US" w:eastAsia="zh-CN" w:bidi="ar-SA"/>
              </w:rPr>
              <w:t>项目内容</w:t>
            </w:r>
          </w:p>
        </w:tc>
        <w:tc>
          <w:tcPr>
            <w:tcW w:w="5106" w:type="dxa"/>
            <w:gridSpan w:val="3"/>
            <w:noWrap w:val="0"/>
            <w:vAlign w:val="center"/>
          </w:tcPr>
          <w:p>
            <w:pPr>
              <w:widowControl/>
              <w:jc w:val="center"/>
              <w:textAlignment w:val="center"/>
              <w:rPr>
                <w:rFonts w:hint="eastAsia" w:ascii="宋体" w:hAnsi="宋体" w:cs="宋体"/>
                <w:b/>
                <w:color w:val="000000"/>
                <w:kern w:val="0"/>
                <w:szCs w:val="21"/>
                <w:highlight w:val="none"/>
                <w:lang w:bidi="ar"/>
              </w:rPr>
            </w:pPr>
            <w:r>
              <w:rPr>
                <w:rFonts w:hint="eastAsia" w:ascii="宋体" w:hAnsi="宋体" w:cs="宋体"/>
                <w:b/>
                <w:color w:val="000000"/>
                <w:kern w:val="0"/>
                <w:szCs w:val="21"/>
                <w:highlight w:val="none"/>
                <w:lang w:bidi="ar"/>
              </w:rPr>
              <w:t>服务标准</w:t>
            </w:r>
          </w:p>
        </w:tc>
        <w:tc>
          <w:tcPr>
            <w:tcW w:w="3557" w:type="dxa"/>
            <w:noWrap w:val="0"/>
            <w:vAlign w:val="center"/>
          </w:tcPr>
          <w:p>
            <w:pPr>
              <w:widowControl/>
              <w:jc w:val="center"/>
              <w:textAlignment w:val="center"/>
              <w:rPr>
                <w:rFonts w:hint="eastAsia" w:ascii="宋体" w:hAnsi="宋体" w:cs="宋体"/>
                <w:b/>
                <w:color w:val="000000"/>
                <w:kern w:val="2"/>
                <w:sz w:val="21"/>
                <w:szCs w:val="21"/>
                <w:highlight w:val="none"/>
                <w:lang w:val="en-US" w:eastAsia="zh-CN" w:bidi="ar-SA"/>
              </w:rPr>
            </w:pPr>
            <w:r>
              <w:rPr>
                <w:rFonts w:hint="eastAsia" w:ascii="宋体" w:hAnsi="宋体" w:cs="宋体"/>
                <w:b/>
                <w:color w:val="000000"/>
                <w:kern w:val="0"/>
                <w:szCs w:val="21"/>
                <w:highlight w:val="none"/>
                <w:lang w:bidi="ar"/>
              </w:rPr>
              <w:t>评分细则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589" w:hRule="atLeast"/>
          <w:jc w:val="center"/>
        </w:trPr>
        <w:tc>
          <w:tcPr>
            <w:tcW w:w="542" w:type="dxa"/>
            <w:noWrap w:val="0"/>
            <w:vAlign w:val="center"/>
          </w:tcPr>
          <w:p>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1</w:t>
            </w:r>
          </w:p>
        </w:tc>
        <w:tc>
          <w:tcPr>
            <w:tcW w:w="895" w:type="dxa"/>
            <w:noWrap w:val="0"/>
            <w:vAlign w:val="center"/>
          </w:tcPr>
          <w:p>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公共部位、各房间的玻璃门窗</w:t>
            </w:r>
          </w:p>
        </w:tc>
        <w:tc>
          <w:tcPr>
            <w:tcW w:w="5106" w:type="dxa"/>
            <w:gridSpan w:val="3"/>
            <w:noWrap w:val="0"/>
            <w:vAlign w:val="center"/>
          </w:tcPr>
          <w:p>
            <w:pPr>
              <w:widowControl/>
              <w:jc w:val="left"/>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对楼内公共部位门窗进行巡视，保持玻璃、门窗配件完好，开闭灵活并无异常声响。</w:t>
            </w:r>
          </w:p>
        </w:tc>
        <w:tc>
          <w:tcPr>
            <w:tcW w:w="3557" w:type="dxa"/>
            <w:noWrap w:val="0"/>
            <w:vAlign w:val="center"/>
          </w:tcPr>
          <w:p>
            <w:pPr>
              <w:widowControl/>
              <w:jc w:val="left"/>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每发现一处不符合扣1分；发现3处以上不符合，一次性扣3分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213" w:hRule="atLeast"/>
          <w:jc w:val="center"/>
        </w:trPr>
        <w:tc>
          <w:tcPr>
            <w:tcW w:w="542" w:type="dxa"/>
            <w:noWrap w:val="0"/>
            <w:vAlign w:val="center"/>
          </w:tcPr>
          <w:p>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2</w:t>
            </w:r>
          </w:p>
        </w:tc>
        <w:tc>
          <w:tcPr>
            <w:tcW w:w="895" w:type="dxa"/>
            <w:noWrap w:val="0"/>
            <w:vAlign w:val="center"/>
          </w:tcPr>
          <w:p>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屋面外观、幕墙玻璃、楼内墙面、顶面、地面</w:t>
            </w:r>
          </w:p>
        </w:tc>
        <w:tc>
          <w:tcPr>
            <w:tcW w:w="5106" w:type="dxa"/>
            <w:gridSpan w:val="3"/>
            <w:noWrap w:val="0"/>
            <w:vAlign w:val="center"/>
          </w:tcPr>
          <w:p>
            <w:pPr>
              <w:widowControl/>
              <w:jc w:val="left"/>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 xml:space="preserve">房屋外观、幕墙玻璃完好、整洁，面砖、地砖平整，无大面积起壳、缺损；墙面、顶面粉刷层无大面积剥落，面砖、地砖平整，无大面积起壳、缺损现象。 </w:t>
            </w:r>
          </w:p>
        </w:tc>
        <w:tc>
          <w:tcPr>
            <w:tcW w:w="3557" w:type="dxa"/>
            <w:noWrap w:val="0"/>
            <w:vAlign w:val="center"/>
          </w:tcPr>
          <w:p>
            <w:pPr>
              <w:widowControl/>
              <w:jc w:val="left"/>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每发现一处不符合扣1分；发现3处以上不符合，一次性扣3分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914" w:hRule="atLeast"/>
          <w:jc w:val="center"/>
        </w:trPr>
        <w:tc>
          <w:tcPr>
            <w:tcW w:w="542" w:type="dxa"/>
            <w:noWrap w:val="0"/>
            <w:vAlign w:val="center"/>
          </w:tcPr>
          <w:p>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3</w:t>
            </w:r>
          </w:p>
        </w:tc>
        <w:tc>
          <w:tcPr>
            <w:tcW w:w="895" w:type="dxa"/>
            <w:noWrap w:val="0"/>
            <w:vAlign w:val="center"/>
          </w:tcPr>
          <w:p>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路灯</w:t>
            </w:r>
          </w:p>
        </w:tc>
        <w:tc>
          <w:tcPr>
            <w:tcW w:w="5106" w:type="dxa"/>
            <w:gridSpan w:val="3"/>
            <w:noWrap w:val="0"/>
            <w:vAlign w:val="center"/>
          </w:tcPr>
          <w:p>
            <w:pPr>
              <w:widowControl/>
              <w:jc w:val="left"/>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完好率不低于95%。</w:t>
            </w:r>
          </w:p>
        </w:tc>
        <w:tc>
          <w:tcPr>
            <w:tcW w:w="3557" w:type="dxa"/>
            <w:noWrap w:val="0"/>
            <w:vAlign w:val="center"/>
          </w:tcPr>
          <w:p>
            <w:pPr>
              <w:widowControl/>
              <w:jc w:val="left"/>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不符合扣2分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032" w:hRule="atLeast"/>
          <w:jc w:val="center"/>
        </w:trPr>
        <w:tc>
          <w:tcPr>
            <w:tcW w:w="542" w:type="dxa"/>
            <w:noWrap w:val="0"/>
            <w:vAlign w:val="center"/>
          </w:tcPr>
          <w:p>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4</w:t>
            </w:r>
          </w:p>
        </w:tc>
        <w:tc>
          <w:tcPr>
            <w:tcW w:w="895" w:type="dxa"/>
            <w:noWrap w:val="0"/>
            <w:vAlign w:val="center"/>
          </w:tcPr>
          <w:p>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雨、污水管道</w:t>
            </w:r>
          </w:p>
        </w:tc>
        <w:tc>
          <w:tcPr>
            <w:tcW w:w="5106" w:type="dxa"/>
            <w:gridSpan w:val="3"/>
            <w:noWrap w:val="0"/>
            <w:vAlign w:val="center"/>
          </w:tcPr>
          <w:p>
            <w:pPr>
              <w:widowControl/>
              <w:jc w:val="left"/>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每年通一次，雨、污水井每月检查一次，并视检查情况及时清掏。</w:t>
            </w:r>
          </w:p>
        </w:tc>
        <w:tc>
          <w:tcPr>
            <w:tcW w:w="3557" w:type="dxa"/>
            <w:vMerge w:val="restart"/>
            <w:noWrap w:val="0"/>
            <w:vAlign w:val="center"/>
          </w:tcPr>
          <w:p>
            <w:pPr>
              <w:widowControl/>
              <w:jc w:val="left"/>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不符合扣2分；每发现一处不符合扣1分；发现3处以上不符合，一次性扣3分；5处以上不符合，一次性扣5分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695" w:hRule="atLeast"/>
          <w:jc w:val="center"/>
        </w:trPr>
        <w:tc>
          <w:tcPr>
            <w:tcW w:w="542" w:type="dxa"/>
            <w:noWrap w:val="0"/>
            <w:vAlign w:val="center"/>
          </w:tcPr>
          <w:p>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5</w:t>
            </w:r>
          </w:p>
        </w:tc>
        <w:tc>
          <w:tcPr>
            <w:tcW w:w="895" w:type="dxa"/>
            <w:noWrap w:val="0"/>
            <w:vAlign w:val="center"/>
          </w:tcPr>
          <w:p>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化粪池</w:t>
            </w:r>
          </w:p>
        </w:tc>
        <w:tc>
          <w:tcPr>
            <w:tcW w:w="5106" w:type="dxa"/>
            <w:gridSpan w:val="3"/>
            <w:noWrap w:val="0"/>
            <w:vAlign w:val="center"/>
          </w:tcPr>
          <w:p>
            <w:pPr>
              <w:widowControl/>
              <w:jc w:val="left"/>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每月度检查一次，每年清掏不少于</w:t>
            </w:r>
            <w:r>
              <w:rPr>
                <w:rFonts w:hint="eastAsia" w:ascii="宋体" w:hAnsi="宋体" w:cs="宋体"/>
                <w:color w:val="000000"/>
                <w:kern w:val="0"/>
                <w:szCs w:val="21"/>
                <w:highlight w:val="none"/>
                <w:lang w:eastAsia="zh-CN" w:bidi="ar"/>
              </w:rPr>
              <w:t>二</w:t>
            </w:r>
            <w:r>
              <w:rPr>
                <w:rFonts w:hint="eastAsia" w:ascii="宋体" w:hAnsi="宋体" w:cs="宋体"/>
                <w:color w:val="000000"/>
                <w:kern w:val="0"/>
                <w:szCs w:val="21"/>
                <w:highlight w:val="none"/>
                <w:lang w:bidi="ar"/>
              </w:rPr>
              <w:t>次，发现异常及时清掏。</w:t>
            </w:r>
          </w:p>
        </w:tc>
        <w:tc>
          <w:tcPr>
            <w:tcW w:w="3557" w:type="dxa"/>
            <w:vMerge w:val="continue"/>
            <w:noWrap w:val="0"/>
            <w:vAlign w:val="center"/>
          </w:tcPr>
          <w:p>
            <w:pPr>
              <w:jc w:val="left"/>
              <w:rPr>
                <w:rFonts w:hint="eastAsia" w:ascii="宋体" w:hAnsi="宋体" w:cs="宋体"/>
                <w:color w:val="00000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075" w:hRule="atLeast"/>
          <w:jc w:val="center"/>
        </w:trPr>
        <w:tc>
          <w:tcPr>
            <w:tcW w:w="542" w:type="dxa"/>
            <w:noWrap w:val="0"/>
            <w:vAlign w:val="center"/>
          </w:tcPr>
          <w:p>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6</w:t>
            </w:r>
          </w:p>
        </w:tc>
        <w:tc>
          <w:tcPr>
            <w:tcW w:w="895" w:type="dxa"/>
            <w:noWrap w:val="0"/>
            <w:vAlign w:val="center"/>
          </w:tcPr>
          <w:p>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道路、场地等</w:t>
            </w:r>
          </w:p>
        </w:tc>
        <w:tc>
          <w:tcPr>
            <w:tcW w:w="5106" w:type="dxa"/>
            <w:gridSpan w:val="3"/>
            <w:noWrap w:val="0"/>
            <w:vAlign w:val="center"/>
          </w:tcPr>
          <w:p>
            <w:pPr>
              <w:widowControl/>
              <w:jc w:val="left"/>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每周二次巡查道路、路面、侧石、井盖等，场地、步道、路面、侧石、井盖等：道路畅通，路面平整；井盖无缺损、无丢失，路面井盖不影响车辆和行人通行。</w:t>
            </w:r>
          </w:p>
        </w:tc>
        <w:tc>
          <w:tcPr>
            <w:tcW w:w="3557" w:type="dxa"/>
            <w:vMerge w:val="continue"/>
            <w:noWrap w:val="0"/>
            <w:vAlign w:val="center"/>
          </w:tcPr>
          <w:p>
            <w:pPr>
              <w:jc w:val="left"/>
              <w:rPr>
                <w:rFonts w:hint="eastAsia" w:ascii="宋体" w:hAnsi="宋体" w:cs="宋体"/>
                <w:color w:val="00000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075" w:hRule="atLeast"/>
          <w:jc w:val="center"/>
        </w:trPr>
        <w:tc>
          <w:tcPr>
            <w:tcW w:w="542" w:type="dxa"/>
            <w:noWrap w:val="0"/>
            <w:vAlign w:val="center"/>
          </w:tcPr>
          <w:p>
            <w:pPr>
              <w:widowControl/>
              <w:jc w:val="center"/>
              <w:textAlignment w:val="center"/>
              <w:rPr>
                <w:rFonts w:hint="eastAsia" w:ascii="宋体" w:hAnsi="宋体" w:eastAsia="宋体" w:cs="宋体"/>
                <w:color w:val="000000"/>
                <w:szCs w:val="21"/>
                <w:highlight w:val="none"/>
                <w:lang w:eastAsia="zh-CN"/>
              </w:rPr>
            </w:pPr>
            <w:r>
              <w:rPr>
                <w:rFonts w:hint="eastAsia" w:ascii="宋体" w:hAnsi="宋体" w:cs="宋体"/>
                <w:color w:val="000000"/>
                <w:kern w:val="0"/>
                <w:szCs w:val="21"/>
                <w:highlight w:val="none"/>
                <w:lang w:val="en-US" w:eastAsia="zh-CN" w:bidi="ar"/>
              </w:rPr>
              <w:t>7</w:t>
            </w:r>
          </w:p>
        </w:tc>
        <w:tc>
          <w:tcPr>
            <w:tcW w:w="895" w:type="dxa"/>
            <w:noWrap w:val="0"/>
            <w:vAlign w:val="center"/>
          </w:tcPr>
          <w:p>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安全标志等</w:t>
            </w:r>
          </w:p>
        </w:tc>
        <w:tc>
          <w:tcPr>
            <w:tcW w:w="5106" w:type="dxa"/>
            <w:gridSpan w:val="3"/>
            <w:noWrap w:val="0"/>
            <w:vAlign w:val="center"/>
          </w:tcPr>
          <w:p>
            <w:pPr>
              <w:widowControl/>
              <w:jc w:val="left"/>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对危险隐患部位设置安全防范警示标志，并在主要通道设置安全疏散指示和事故照明设施。每半月检查一次，保证标志清晰完整，设施运行正常。</w:t>
            </w:r>
          </w:p>
        </w:tc>
        <w:tc>
          <w:tcPr>
            <w:tcW w:w="3557" w:type="dxa"/>
            <w:vMerge w:val="restart"/>
            <w:noWrap w:val="0"/>
            <w:vAlign w:val="center"/>
          </w:tcPr>
          <w:p>
            <w:pPr>
              <w:widowControl/>
              <w:jc w:val="left"/>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没有按时检查维护扣1分；每发现一处不符合扣1分；发现3处以上不符合，一次性扣3分；5处以上不符合，一次性扣5分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77" w:hRule="atLeast"/>
          <w:jc w:val="center"/>
        </w:trPr>
        <w:tc>
          <w:tcPr>
            <w:tcW w:w="542" w:type="dxa"/>
            <w:noWrap w:val="0"/>
            <w:vAlign w:val="center"/>
          </w:tcPr>
          <w:p>
            <w:pPr>
              <w:widowControl/>
              <w:jc w:val="center"/>
              <w:textAlignment w:val="center"/>
              <w:rPr>
                <w:rFonts w:hint="eastAsia" w:ascii="宋体" w:hAnsi="宋体" w:eastAsia="宋体" w:cs="宋体"/>
                <w:color w:val="000000"/>
                <w:szCs w:val="21"/>
                <w:highlight w:val="none"/>
                <w:lang w:eastAsia="zh-CN"/>
              </w:rPr>
            </w:pPr>
            <w:r>
              <w:rPr>
                <w:rFonts w:hint="eastAsia" w:ascii="宋体" w:hAnsi="宋体" w:cs="宋体"/>
                <w:color w:val="000000"/>
                <w:kern w:val="0"/>
                <w:szCs w:val="21"/>
                <w:highlight w:val="none"/>
                <w:lang w:val="en-US" w:eastAsia="zh-CN" w:bidi="ar"/>
              </w:rPr>
              <w:t>8</w:t>
            </w:r>
          </w:p>
        </w:tc>
        <w:tc>
          <w:tcPr>
            <w:tcW w:w="895" w:type="dxa"/>
            <w:noWrap w:val="0"/>
            <w:vAlign w:val="center"/>
          </w:tcPr>
          <w:p>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标识</w:t>
            </w:r>
          </w:p>
        </w:tc>
        <w:tc>
          <w:tcPr>
            <w:tcW w:w="5106" w:type="dxa"/>
            <w:gridSpan w:val="3"/>
            <w:noWrap w:val="0"/>
            <w:vAlign w:val="center"/>
          </w:tcPr>
          <w:p>
            <w:pPr>
              <w:widowControl/>
              <w:jc w:val="left"/>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每年维护，确保无破损无缺失。</w:t>
            </w:r>
          </w:p>
        </w:tc>
        <w:tc>
          <w:tcPr>
            <w:tcW w:w="3557" w:type="dxa"/>
            <w:vMerge w:val="continue"/>
            <w:noWrap w:val="0"/>
            <w:vAlign w:val="center"/>
          </w:tcPr>
          <w:p>
            <w:pPr>
              <w:jc w:val="left"/>
              <w:rPr>
                <w:rFonts w:hint="eastAsia" w:ascii="宋体" w:hAnsi="宋体" w:cs="宋体"/>
                <w:color w:val="00000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914" w:hRule="atLeast"/>
          <w:jc w:val="center"/>
        </w:trPr>
        <w:tc>
          <w:tcPr>
            <w:tcW w:w="542" w:type="dxa"/>
            <w:noWrap w:val="0"/>
            <w:vAlign w:val="center"/>
          </w:tcPr>
          <w:p>
            <w:pPr>
              <w:widowControl/>
              <w:jc w:val="center"/>
              <w:textAlignment w:val="center"/>
              <w:rPr>
                <w:rFonts w:hint="eastAsia" w:ascii="宋体" w:hAnsi="宋体" w:eastAsia="宋体" w:cs="宋体"/>
                <w:color w:val="000000"/>
                <w:szCs w:val="21"/>
                <w:highlight w:val="none"/>
                <w:lang w:eastAsia="zh-CN"/>
              </w:rPr>
            </w:pPr>
            <w:r>
              <w:rPr>
                <w:rFonts w:hint="eastAsia" w:ascii="宋体" w:hAnsi="宋体" w:cs="宋体"/>
                <w:color w:val="000000"/>
                <w:kern w:val="0"/>
                <w:szCs w:val="21"/>
                <w:highlight w:val="none"/>
                <w:lang w:val="en-US" w:eastAsia="zh-CN" w:bidi="ar"/>
              </w:rPr>
              <w:t>9</w:t>
            </w:r>
          </w:p>
        </w:tc>
        <w:tc>
          <w:tcPr>
            <w:tcW w:w="6001" w:type="dxa"/>
            <w:gridSpan w:val="4"/>
            <w:noWrap w:val="0"/>
            <w:vAlign w:val="center"/>
          </w:tcPr>
          <w:p>
            <w:pPr>
              <w:widowControl/>
              <w:jc w:val="left"/>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共用楼梯、天台、通道、卸货平台等处无堆放工业原料、 废料、杂物及违章占用等。天台隔热层无破损</w:t>
            </w:r>
          </w:p>
        </w:tc>
        <w:tc>
          <w:tcPr>
            <w:tcW w:w="3557" w:type="dxa"/>
            <w:vMerge w:val="continue"/>
            <w:noWrap w:val="0"/>
            <w:vAlign w:val="center"/>
          </w:tcPr>
          <w:p>
            <w:pPr>
              <w:jc w:val="left"/>
              <w:rPr>
                <w:rFonts w:hint="eastAsia" w:ascii="宋体" w:hAnsi="宋体" w:cs="宋体"/>
                <w:color w:val="00000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796" w:hRule="atLeast"/>
          <w:jc w:val="center"/>
        </w:trPr>
        <w:tc>
          <w:tcPr>
            <w:tcW w:w="542" w:type="dxa"/>
            <w:vMerge w:val="restart"/>
            <w:noWrap w:val="0"/>
            <w:vAlign w:val="center"/>
          </w:tcPr>
          <w:p>
            <w:pPr>
              <w:widowControl/>
              <w:jc w:val="center"/>
              <w:textAlignment w:val="center"/>
              <w:rPr>
                <w:rFonts w:hint="default" w:ascii="宋体" w:hAnsi="宋体" w:eastAsia="宋体" w:cs="宋体"/>
                <w:color w:val="000000"/>
                <w:szCs w:val="21"/>
                <w:highlight w:val="none"/>
                <w:lang w:val="en-US" w:eastAsia="zh-CN"/>
              </w:rPr>
            </w:pPr>
            <w:r>
              <w:rPr>
                <w:rFonts w:hint="eastAsia" w:ascii="宋体" w:hAnsi="宋体" w:cs="宋体"/>
                <w:color w:val="000000"/>
                <w:kern w:val="0"/>
                <w:szCs w:val="21"/>
                <w:highlight w:val="none"/>
                <w:lang w:val="en-US" w:eastAsia="zh-CN" w:bidi="ar"/>
              </w:rPr>
              <w:t>10</w:t>
            </w:r>
          </w:p>
        </w:tc>
        <w:tc>
          <w:tcPr>
            <w:tcW w:w="895" w:type="dxa"/>
            <w:vMerge w:val="restart"/>
            <w:noWrap w:val="0"/>
            <w:vAlign w:val="center"/>
          </w:tcPr>
          <w:p>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供电及强电系统</w:t>
            </w:r>
          </w:p>
        </w:tc>
        <w:tc>
          <w:tcPr>
            <w:tcW w:w="5106" w:type="dxa"/>
            <w:gridSpan w:val="3"/>
            <w:noWrap w:val="0"/>
            <w:vAlign w:val="center"/>
          </w:tcPr>
          <w:p>
            <w:pPr>
              <w:widowControl/>
              <w:jc w:val="left"/>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1、供电运行和维修人员必须持证上岗；严格执行用电安全规范，确保用电安全；每天巡查一次，发现问题及时处理。</w:t>
            </w:r>
          </w:p>
        </w:tc>
        <w:tc>
          <w:tcPr>
            <w:tcW w:w="3557" w:type="dxa"/>
            <w:vMerge w:val="restart"/>
            <w:noWrap w:val="0"/>
            <w:vAlign w:val="center"/>
          </w:tcPr>
          <w:p>
            <w:pPr>
              <w:widowControl/>
              <w:jc w:val="left"/>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每发现一处不符合扣1分；发现3处以上不符合，一次性扣5分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075" w:hRule="atLeast"/>
          <w:jc w:val="center"/>
        </w:trPr>
        <w:tc>
          <w:tcPr>
            <w:tcW w:w="542" w:type="dxa"/>
            <w:vMerge w:val="continue"/>
            <w:noWrap w:val="0"/>
            <w:vAlign w:val="center"/>
          </w:tcPr>
          <w:p>
            <w:pPr>
              <w:jc w:val="center"/>
              <w:rPr>
                <w:rFonts w:hint="eastAsia" w:ascii="宋体" w:hAnsi="宋体" w:cs="宋体"/>
                <w:color w:val="000000"/>
                <w:szCs w:val="21"/>
                <w:highlight w:val="none"/>
              </w:rPr>
            </w:pPr>
          </w:p>
        </w:tc>
        <w:tc>
          <w:tcPr>
            <w:tcW w:w="895" w:type="dxa"/>
            <w:vMerge w:val="continue"/>
            <w:noWrap w:val="0"/>
            <w:vAlign w:val="center"/>
          </w:tcPr>
          <w:p>
            <w:pPr>
              <w:jc w:val="center"/>
              <w:rPr>
                <w:rFonts w:hint="eastAsia" w:ascii="宋体" w:hAnsi="宋体" w:cs="宋体"/>
                <w:color w:val="000000"/>
                <w:szCs w:val="21"/>
                <w:highlight w:val="none"/>
              </w:rPr>
            </w:pPr>
          </w:p>
        </w:tc>
        <w:tc>
          <w:tcPr>
            <w:tcW w:w="5106" w:type="dxa"/>
            <w:gridSpan w:val="3"/>
            <w:noWrap w:val="0"/>
            <w:vAlign w:val="center"/>
          </w:tcPr>
          <w:p>
            <w:pPr>
              <w:widowControl/>
              <w:jc w:val="left"/>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2、配电箱、配电柜及每层管线分线盒：无积尘，接头无松动现象；每季清洁一次，主要用电线路的绝缘状况，每半年测试一次，绝缘良好。</w:t>
            </w:r>
          </w:p>
        </w:tc>
        <w:tc>
          <w:tcPr>
            <w:tcW w:w="3557" w:type="dxa"/>
            <w:vMerge w:val="continue"/>
            <w:noWrap w:val="0"/>
            <w:vAlign w:val="center"/>
          </w:tcPr>
          <w:p>
            <w:pPr>
              <w:jc w:val="left"/>
              <w:rPr>
                <w:rFonts w:hint="eastAsia" w:ascii="宋体" w:hAnsi="宋体" w:cs="宋体"/>
                <w:color w:val="00000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38" w:hRule="atLeast"/>
          <w:jc w:val="center"/>
        </w:trPr>
        <w:tc>
          <w:tcPr>
            <w:tcW w:w="542" w:type="dxa"/>
            <w:vMerge w:val="continue"/>
            <w:noWrap w:val="0"/>
            <w:vAlign w:val="center"/>
          </w:tcPr>
          <w:p>
            <w:pPr>
              <w:jc w:val="center"/>
              <w:rPr>
                <w:rFonts w:hint="eastAsia" w:ascii="宋体" w:hAnsi="宋体" w:cs="宋体"/>
                <w:color w:val="000000"/>
                <w:szCs w:val="21"/>
                <w:highlight w:val="none"/>
              </w:rPr>
            </w:pPr>
          </w:p>
        </w:tc>
        <w:tc>
          <w:tcPr>
            <w:tcW w:w="895" w:type="dxa"/>
            <w:vMerge w:val="continue"/>
            <w:noWrap w:val="0"/>
            <w:vAlign w:val="center"/>
          </w:tcPr>
          <w:p>
            <w:pPr>
              <w:jc w:val="center"/>
              <w:rPr>
                <w:rFonts w:hint="eastAsia" w:ascii="宋体" w:hAnsi="宋体" w:cs="宋体"/>
                <w:color w:val="000000"/>
                <w:szCs w:val="21"/>
                <w:highlight w:val="none"/>
              </w:rPr>
            </w:pPr>
          </w:p>
        </w:tc>
        <w:tc>
          <w:tcPr>
            <w:tcW w:w="5106" w:type="dxa"/>
            <w:gridSpan w:val="3"/>
            <w:noWrap w:val="0"/>
            <w:vAlign w:val="center"/>
          </w:tcPr>
          <w:p>
            <w:pPr>
              <w:widowControl/>
              <w:jc w:val="left"/>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3、总配电箱：每年保养，无积尘，接头无松动现象。</w:t>
            </w:r>
          </w:p>
        </w:tc>
        <w:tc>
          <w:tcPr>
            <w:tcW w:w="3557" w:type="dxa"/>
            <w:vMerge w:val="continue"/>
            <w:noWrap w:val="0"/>
            <w:vAlign w:val="center"/>
          </w:tcPr>
          <w:p>
            <w:pPr>
              <w:jc w:val="left"/>
              <w:rPr>
                <w:rFonts w:hint="eastAsia" w:ascii="宋体" w:hAnsi="宋体" w:cs="宋体"/>
                <w:color w:val="00000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731" w:hRule="atLeast"/>
          <w:jc w:val="center"/>
        </w:trPr>
        <w:tc>
          <w:tcPr>
            <w:tcW w:w="542" w:type="dxa"/>
            <w:vMerge w:val="continue"/>
            <w:noWrap w:val="0"/>
            <w:vAlign w:val="center"/>
          </w:tcPr>
          <w:p>
            <w:pPr>
              <w:jc w:val="center"/>
              <w:rPr>
                <w:rFonts w:hint="eastAsia" w:ascii="宋体" w:hAnsi="宋体" w:cs="宋体"/>
                <w:color w:val="000000"/>
                <w:szCs w:val="21"/>
                <w:highlight w:val="none"/>
              </w:rPr>
            </w:pPr>
          </w:p>
        </w:tc>
        <w:tc>
          <w:tcPr>
            <w:tcW w:w="895" w:type="dxa"/>
            <w:vMerge w:val="continue"/>
            <w:noWrap w:val="0"/>
            <w:vAlign w:val="center"/>
          </w:tcPr>
          <w:p>
            <w:pPr>
              <w:jc w:val="center"/>
              <w:rPr>
                <w:rFonts w:hint="eastAsia" w:ascii="宋体" w:hAnsi="宋体" w:cs="宋体"/>
                <w:color w:val="000000"/>
                <w:szCs w:val="21"/>
                <w:highlight w:val="none"/>
              </w:rPr>
            </w:pPr>
          </w:p>
        </w:tc>
        <w:tc>
          <w:tcPr>
            <w:tcW w:w="5106" w:type="dxa"/>
            <w:gridSpan w:val="3"/>
            <w:noWrap w:val="0"/>
            <w:vAlign w:val="center"/>
          </w:tcPr>
          <w:p>
            <w:pPr>
              <w:widowControl/>
              <w:jc w:val="left"/>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val="en-US" w:eastAsia="zh-CN" w:bidi="ar"/>
              </w:rPr>
              <w:t>4</w:t>
            </w:r>
            <w:r>
              <w:rPr>
                <w:rFonts w:hint="eastAsia" w:ascii="宋体" w:hAnsi="宋体" w:cs="宋体"/>
                <w:color w:val="000000"/>
                <w:kern w:val="0"/>
                <w:szCs w:val="21"/>
                <w:highlight w:val="none"/>
                <w:lang w:bidi="ar"/>
              </w:rPr>
              <w:t>、楼道灯、</w:t>
            </w:r>
            <w:r>
              <w:rPr>
                <w:rFonts w:hint="eastAsia" w:ascii="宋体" w:hAnsi="宋体" w:cs="宋体"/>
                <w:color w:val="000000"/>
                <w:kern w:val="0"/>
                <w:szCs w:val="21"/>
                <w:highlight w:val="none"/>
                <w:lang w:eastAsia="zh-CN" w:bidi="ar"/>
              </w:rPr>
              <w:t>地下车库等公共区域</w:t>
            </w:r>
            <w:r>
              <w:rPr>
                <w:rFonts w:hint="eastAsia" w:ascii="宋体" w:hAnsi="宋体" w:cs="宋体"/>
                <w:color w:val="000000"/>
                <w:kern w:val="0"/>
                <w:szCs w:val="21"/>
                <w:highlight w:val="none"/>
                <w:lang w:bidi="ar"/>
              </w:rPr>
              <w:t>的照明灯，亮灯率不低于95﹪，公共照明设备完好。</w:t>
            </w:r>
          </w:p>
        </w:tc>
        <w:tc>
          <w:tcPr>
            <w:tcW w:w="3557" w:type="dxa"/>
            <w:vMerge w:val="restart"/>
            <w:noWrap w:val="0"/>
            <w:vAlign w:val="center"/>
          </w:tcPr>
          <w:p>
            <w:pPr>
              <w:widowControl/>
              <w:jc w:val="left"/>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不符合扣2分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731" w:hRule="atLeast"/>
          <w:jc w:val="center"/>
        </w:trPr>
        <w:tc>
          <w:tcPr>
            <w:tcW w:w="542" w:type="dxa"/>
            <w:vMerge w:val="continue"/>
            <w:noWrap w:val="0"/>
            <w:vAlign w:val="center"/>
          </w:tcPr>
          <w:p>
            <w:pPr>
              <w:jc w:val="center"/>
              <w:rPr>
                <w:rFonts w:hint="eastAsia" w:ascii="宋体" w:hAnsi="宋体" w:cs="宋体"/>
                <w:color w:val="000000"/>
                <w:szCs w:val="21"/>
                <w:highlight w:val="none"/>
              </w:rPr>
            </w:pPr>
          </w:p>
        </w:tc>
        <w:tc>
          <w:tcPr>
            <w:tcW w:w="895" w:type="dxa"/>
            <w:vMerge w:val="continue"/>
            <w:noWrap w:val="0"/>
            <w:vAlign w:val="center"/>
          </w:tcPr>
          <w:p>
            <w:pPr>
              <w:jc w:val="center"/>
              <w:rPr>
                <w:rFonts w:hint="eastAsia" w:ascii="宋体" w:hAnsi="宋体" w:cs="宋体"/>
                <w:color w:val="000000"/>
                <w:szCs w:val="21"/>
                <w:highlight w:val="none"/>
              </w:rPr>
            </w:pPr>
          </w:p>
        </w:tc>
        <w:tc>
          <w:tcPr>
            <w:tcW w:w="5106" w:type="dxa"/>
            <w:gridSpan w:val="3"/>
            <w:noWrap w:val="0"/>
            <w:vAlign w:val="center"/>
          </w:tcPr>
          <w:p>
            <w:pPr>
              <w:widowControl/>
              <w:jc w:val="left"/>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val="en-US" w:eastAsia="zh-CN" w:bidi="ar"/>
              </w:rPr>
              <w:t>5</w:t>
            </w:r>
            <w:r>
              <w:rPr>
                <w:rFonts w:hint="eastAsia" w:ascii="宋体" w:hAnsi="宋体" w:cs="宋体"/>
                <w:color w:val="000000"/>
                <w:kern w:val="0"/>
                <w:szCs w:val="21"/>
                <w:highlight w:val="none"/>
                <w:lang w:bidi="ar"/>
              </w:rPr>
              <w:t>、保证空调设备的正常使用，并对设备进行擦洗，每年保养不少于2次。</w:t>
            </w:r>
          </w:p>
        </w:tc>
        <w:tc>
          <w:tcPr>
            <w:tcW w:w="3557" w:type="dxa"/>
            <w:vMerge w:val="continue"/>
            <w:noWrap w:val="0"/>
            <w:vAlign w:val="center"/>
          </w:tcPr>
          <w:p>
            <w:pPr>
              <w:jc w:val="left"/>
              <w:rPr>
                <w:rFonts w:hint="eastAsia" w:ascii="宋体" w:hAnsi="宋体" w:cs="宋体"/>
                <w:color w:val="00000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864" w:hRule="atLeast"/>
          <w:jc w:val="center"/>
        </w:trPr>
        <w:tc>
          <w:tcPr>
            <w:tcW w:w="542" w:type="dxa"/>
            <w:vMerge w:val="continue"/>
            <w:noWrap w:val="0"/>
            <w:vAlign w:val="center"/>
          </w:tcPr>
          <w:p>
            <w:pPr>
              <w:jc w:val="center"/>
              <w:rPr>
                <w:rFonts w:hint="eastAsia" w:ascii="宋体" w:hAnsi="宋体" w:cs="宋体"/>
                <w:color w:val="000000"/>
                <w:szCs w:val="21"/>
                <w:highlight w:val="none"/>
              </w:rPr>
            </w:pPr>
          </w:p>
        </w:tc>
        <w:tc>
          <w:tcPr>
            <w:tcW w:w="895" w:type="dxa"/>
            <w:vMerge w:val="continue"/>
            <w:noWrap w:val="0"/>
            <w:vAlign w:val="center"/>
          </w:tcPr>
          <w:p>
            <w:pPr>
              <w:jc w:val="center"/>
              <w:rPr>
                <w:rFonts w:hint="eastAsia" w:ascii="宋体" w:hAnsi="宋体" w:cs="宋体"/>
                <w:color w:val="000000"/>
                <w:szCs w:val="21"/>
                <w:highlight w:val="none"/>
              </w:rPr>
            </w:pPr>
          </w:p>
        </w:tc>
        <w:tc>
          <w:tcPr>
            <w:tcW w:w="5106" w:type="dxa"/>
            <w:gridSpan w:val="3"/>
            <w:noWrap w:val="0"/>
            <w:vAlign w:val="center"/>
          </w:tcPr>
          <w:p>
            <w:pPr>
              <w:widowControl/>
              <w:jc w:val="left"/>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val="en-US" w:eastAsia="zh-CN" w:bidi="ar"/>
              </w:rPr>
              <w:t>6</w:t>
            </w:r>
            <w:r>
              <w:rPr>
                <w:rFonts w:hint="eastAsia" w:ascii="宋体" w:hAnsi="宋体" w:cs="宋体"/>
                <w:color w:val="000000"/>
                <w:kern w:val="0"/>
                <w:szCs w:val="21"/>
                <w:highlight w:val="none"/>
                <w:lang w:bidi="ar"/>
              </w:rPr>
              <w:t>、设备出现故障时，维修人员应在接到报修后5分钟内到达现场，设备零修合格率达到100%，一般性维修不过夜。</w:t>
            </w:r>
          </w:p>
        </w:tc>
        <w:tc>
          <w:tcPr>
            <w:tcW w:w="3557" w:type="dxa"/>
            <w:noWrap w:val="0"/>
            <w:vAlign w:val="center"/>
          </w:tcPr>
          <w:p>
            <w:pPr>
              <w:widowControl/>
              <w:jc w:val="left"/>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不符合扣2分；合格率每降低1个百分点扣0.3分，上不封顶；无特殊情况，维修过夜扣2分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77" w:hRule="atLeast"/>
          <w:jc w:val="center"/>
        </w:trPr>
        <w:tc>
          <w:tcPr>
            <w:tcW w:w="542" w:type="dxa"/>
            <w:vMerge w:val="continue"/>
            <w:noWrap w:val="0"/>
            <w:vAlign w:val="center"/>
          </w:tcPr>
          <w:p>
            <w:pPr>
              <w:jc w:val="center"/>
              <w:rPr>
                <w:rFonts w:hint="eastAsia" w:ascii="宋体" w:hAnsi="宋体" w:cs="宋体"/>
                <w:color w:val="000000"/>
                <w:szCs w:val="21"/>
                <w:highlight w:val="none"/>
              </w:rPr>
            </w:pPr>
          </w:p>
        </w:tc>
        <w:tc>
          <w:tcPr>
            <w:tcW w:w="895" w:type="dxa"/>
            <w:vMerge w:val="continue"/>
            <w:noWrap w:val="0"/>
            <w:vAlign w:val="center"/>
          </w:tcPr>
          <w:p>
            <w:pPr>
              <w:jc w:val="center"/>
              <w:rPr>
                <w:rFonts w:hint="eastAsia" w:ascii="宋体" w:hAnsi="宋体" w:cs="宋体"/>
                <w:color w:val="000000"/>
                <w:szCs w:val="21"/>
                <w:highlight w:val="none"/>
              </w:rPr>
            </w:pPr>
          </w:p>
        </w:tc>
        <w:tc>
          <w:tcPr>
            <w:tcW w:w="5106" w:type="dxa"/>
            <w:gridSpan w:val="3"/>
            <w:noWrap w:val="0"/>
            <w:vAlign w:val="center"/>
          </w:tcPr>
          <w:p>
            <w:pPr>
              <w:widowControl/>
              <w:jc w:val="left"/>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val="en-US" w:eastAsia="zh-CN" w:bidi="ar"/>
              </w:rPr>
              <w:t>7</w:t>
            </w:r>
            <w:r>
              <w:rPr>
                <w:rFonts w:hint="eastAsia" w:ascii="宋体" w:hAnsi="宋体" w:cs="宋体"/>
                <w:color w:val="000000"/>
                <w:kern w:val="0"/>
                <w:szCs w:val="21"/>
                <w:highlight w:val="none"/>
                <w:lang w:bidi="ar"/>
              </w:rPr>
              <w:t>、避雷设备完好、有效、安全。</w:t>
            </w:r>
          </w:p>
        </w:tc>
        <w:tc>
          <w:tcPr>
            <w:tcW w:w="3557" w:type="dxa"/>
            <w:vMerge w:val="restart"/>
            <w:noWrap w:val="0"/>
            <w:vAlign w:val="center"/>
          </w:tcPr>
          <w:p>
            <w:pPr>
              <w:widowControl/>
              <w:jc w:val="left"/>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不符合扣3分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731" w:hRule="atLeast"/>
          <w:jc w:val="center"/>
        </w:trPr>
        <w:tc>
          <w:tcPr>
            <w:tcW w:w="542" w:type="dxa"/>
            <w:vMerge w:val="restart"/>
            <w:noWrap w:val="0"/>
            <w:vAlign w:val="center"/>
          </w:tcPr>
          <w:p>
            <w:pPr>
              <w:widowControl/>
              <w:jc w:val="center"/>
              <w:textAlignment w:val="center"/>
              <w:rPr>
                <w:rFonts w:hint="eastAsia" w:ascii="宋体" w:hAnsi="宋体" w:eastAsia="宋体" w:cs="宋体"/>
                <w:color w:val="000000"/>
                <w:szCs w:val="21"/>
                <w:highlight w:val="none"/>
                <w:lang w:eastAsia="zh-CN"/>
              </w:rPr>
            </w:pPr>
            <w:r>
              <w:rPr>
                <w:rFonts w:hint="eastAsia" w:ascii="宋体" w:hAnsi="宋体" w:cs="宋体"/>
                <w:color w:val="000000"/>
                <w:kern w:val="0"/>
                <w:szCs w:val="21"/>
                <w:highlight w:val="none"/>
                <w:lang w:bidi="ar"/>
              </w:rPr>
              <w:t>1</w:t>
            </w:r>
            <w:r>
              <w:rPr>
                <w:rFonts w:hint="eastAsia" w:ascii="宋体" w:hAnsi="宋体" w:cs="宋体"/>
                <w:color w:val="000000"/>
                <w:kern w:val="0"/>
                <w:szCs w:val="21"/>
                <w:highlight w:val="none"/>
                <w:lang w:val="en-US" w:eastAsia="zh-CN" w:bidi="ar"/>
              </w:rPr>
              <w:t>1</w:t>
            </w:r>
          </w:p>
        </w:tc>
        <w:tc>
          <w:tcPr>
            <w:tcW w:w="895" w:type="dxa"/>
            <w:vMerge w:val="restart"/>
            <w:noWrap w:val="0"/>
            <w:vAlign w:val="center"/>
          </w:tcPr>
          <w:p>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弱电系统</w:t>
            </w:r>
          </w:p>
        </w:tc>
        <w:tc>
          <w:tcPr>
            <w:tcW w:w="5106" w:type="dxa"/>
            <w:gridSpan w:val="3"/>
            <w:noWrap w:val="0"/>
            <w:vAlign w:val="center"/>
          </w:tcPr>
          <w:p>
            <w:pPr>
              <w:widowControl/>
              <w:jc w:val="left"/>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1、做好视频监控系统中的智能化专网非主干段维护、监控相关设备维护。</w:t>
            </w:r>
          </w:p>
        </w:tc>
        <w:tc>
          <w:tcPr>
            <w:tcW w:w="3557" w:type="dxa"/>
            <w:vMerge w:val="continue"/>
            <w:noWrap w:val="0"/>
            <w:vAlign w:val="center"/>
          </w:tcPr>
          <w:p>
            <w:pPr>
              <w:jc w:val="left"/>
              <w:rPr>
                <w:rFonts w:hint="eastAsia" w:ascii="宋体" w:hAnsi="宋体" w:cs="宋体"/>
                <w:color w:val="00000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075" w:hRule="atLeast"/>
          <w:jc w:val="center"/>
        </w:trPr>
        <w:tc>
          <w:tcPr>
            <w:tcW w:w="542" w:type="dxa"/>
            <w:vMerge w:val="continue"/>
            <w:noWrap w:val="0"/>
            <w:vAlign w:val="center"/>
          </w:tcPr>
          <w:p>
            <w:pPr>
              <w:jc w:val="center"/>
              <w:rPr>
                <w:rFonts w:hint="eastAsia" w:ascii="宋体" w:hAnsi="宋体" w:cs="宋体"/>
                <w:color w:val="000000"/>
                <w:szCs w:val="21"/>
                <w:highlight w:val="none"/>
              </w:rPr>
            </w:pPr>
          </w:p>
        </w:tc>
        <w:tc>
          <w:tcPr>
            <w:tcW w:w="895" w:type="dxa"/>
            <w:vMerge w:val="continue"/>
            <w:noWrap w:val="0"/>
            <w:vAlign w:val="center"/>
          </w:tcPr>
          <w:p>
            <w:pPr>
              <w:jc w:val="center"/>
              <w:rPr>
                <w:rFonts w:hint="eastAsia" w:ascii="宋体" w:hAnsi="宋体" w:cs="宋体"/>
                <w:color w:val="000000"/>
                <w:szCs w:val="21"/>
                <w:highlight w:val="none"/>
              </w:rPr>
            </w:pPr>
          </w:p>
        </w:tc>
        <w:tc>
          <w:tcPr>
            <w:tcW w:w="5106" w:type="dxa"/>
            <w:gridSpan w:val="3"/>
            <w:noWrap w:val="0"/>
            <w:vAlign w:val="center"/>
          </w:tcPr>
          <w:p>
            <w:pPr>
              <w:widowControl/>
              <w:jc w:val="left"/>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2、做好楼宇自控系统中的楼宇自控系统监控中心、空调主机维护、新风系统</w:t>
            </w:r>
            <w:r>
              <w:rPr>
                <w:rFonts w:hint="eastAsia" w:ascii="宋体" w:hAnsi="宋体" w:cs="宋体"/>
                <w:color w:val="000000"/>
                <w:kern w:val="0"/>
                <w:szCs w:val="21"/>
                <w:highlight w:val="none"/>
                <w:lang w:eastAsia="zh-CN" w:bidi="ar"/>
              </w:rPr>
              <w:t>、</w:t>
            </w:r>
            <w:r>
              <w:rPr>
                <w:rFonts w:hint="eastAsia" w:ascii="宋体" w:hAnsi="宋体" w:cs="宋体"/>
                <w:color w:val="000000"/>
                <w:kern w:val="0"/>
                <w:szCs w:val="21"/>
                <w:highlight w:val="none"/>
                <w:lang w:bidi="ar"/>
              </w:rPr>
              <w:t>变配电、电梯、扶梯、楼宇自控系统相关配件维护。</w:t>
            </w:r>
          </w:p>
        </w:tc>
        <w:tc>
          <w:tcPr>
            <w:tcW w:w="3557" w:type="dxa"/>
            <w:vMerge w:val="continue"/>
            <w:noWrap w:val="0"/>
            <w:vAlign w:val="center"/>
          </w:tcPr>
          <w:p>
            <w:pPr>
              <w:jc w:val="left"/>
              <w:rPr>
                <w:rFonts w:hint="eastAsia" w:ascii="宋体" w:hAnsi="宋体" w:cs="宋体"/>
                <w:color w:val="00000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075" w:hRule="atLeast"/>
          <w:jc w:val="center"/>
        </w:trPr>
        <w:tc>
          <w:tcPr>
            <w:tcW w:w="542" w:type="dxa"/>
            <w:vMerge w:val="continue"/>
            <w:noWrap w:val="0"/>
            <w:vAlign w:val="center"/>
          </w:tcPr>
          <w:p>
            <w:pPr>
              <w:jc w:val="center"/>
              <w:rPr>
                <w:rFonts w:hint="eastAsia" w:ascii="宋体" w:hAnsi="宋体" w:cs="宋体"/>
                <w:color w:val="000000"/>
                <w:szCs w:val="21"/>
                <w:highlight w:val="none"/>
              </w:rPr>
            </w:pPr>
          </w:p>
        </w:tc>
        <w:tc>
          <w:tcPr>
            <w:tcW w:w="895" w:type="dxa"/>
            <w:vMerge w:val="continue"/>
            <w:noWrap w:val="0"/>
            <w:vAlign w:val="center"/>
          </w:tcPr>
          <w:p>
            <w:pPr>
              <w:jc w:val="center"/>
              <w:rPr>
                <w:rFonts w:hint="eastAsia" w:ascii="宋体" w:hAnsi="宋体" w:cs="宋体"/>
                <w:color w:val="000000"/>
                <w:szCs w:val="21"/>
                <w:highlight w:val="none"/>
              </w:rPr>
            </w:pPr>
          </w:p>
        </w:tc>
        <w:tc>
          <w:tcPr>
            <w:tcW w:w="5106" w:type="dxa"/>
            <w:gridSpan w:val="3"/>
            <w:noWrap w:val="0"/>
            <w:vAlign w:val="center"/>
          </w:tcPr>
          <w:p>
            <w:pPr>
              <w:widowControl/>
              <w:jc w:val="left"/>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3、监视系统：不定期进行调试与保养，保证各项监控设备24小时正常运行，能清楚显示出入人员的面部特征和车辆的车牌号，录像功能正常。</w:t>
            </w:r>
          </w:p>
        </w:tc>
        <w:tc>
          <w:tcPr>
            <w:tcW w:w="3557" w:type="dxa"/>
            <w:vMerge w:val="continue"/>
            <w:noWrap w:val="0"/>
            <w:vAlign w:val="center"/>
          </w:tcPr>
          <w:p>
            <w:pPr>
              <w:jc w:val="left"/>
              <w:rPr>
                <w:rFonts w:hint="eastAsia" w:ascii="宋体" w:hAnsi="宋体" w:cs="宋体"/>
                <w:color w:val="00000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628" w:hRule="atLeast"/>
          <w:jc w:val="center"/>
        </w:trPr>
        <w:tc>
          <w:tcPr>
            <w:tcW w:w="542" w:type="dxa"/>
            <w:vMerge w:val="continue"/>
            <w:noWrap w:val="0"/>
            <w:vAlign w:val="center"/>
          </w:tcPr>
          <w:p>
            <w:pPr>
              <w:jc w:val="center"/>
              <w:rPr>
                <w:rFonts w:hint="eastAsia" w:ascii="宋体" w:hAnsi="宋体" w:cs="宋体"/>
                <w:color w:val="000000"/>
                <w:szCs w:val="21"/>
                <w:highlight w:val="none"/>
              </w:rPr>
            </w:pPr>
          </w:p>
        </w:tc>
        <w:tc>
          <w:tcPr>
            <w:tcW w:w="895" w:type="dxa"/>
            <w:vMerge w:val="continue"/>
            <w:noWrap w:val="0"/>
            <w:vAlign w:val="center"/>
          </w:tcPr>
          <w:p>
            <w:pPr>
              <w:jc w:val="center"/>
              <w:rPr>
                <w:rFonts w:hint="eastAsia" w:ascii="宋体" w:hAnsi="宋体" w:cs="宋体"/>
                <w:color w:val="000000"/>
                <w:szCs w:val="21"/>
                <w:highlight w:val="none"/>
              </w:rPr>
            </w:pPr>
          </w:p>
        </w:tc>
        <w:tc>
          <w:tcPr>
            <w:tcW w:w="5106" w:type="dxa"/>
            <w:gridSpan w:val="3"/>
            <w:noWrap w:val="0"/>
            <w:vAlign w:val="center"/>
          </w:tcPr>
          <w:p>
            <w:pPr>
              <w:widowControl/>
              <w:jc w:val="left"/>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4、车辆管理系统：每周进行一次检查保养，保证系统正常运行。</w:t>
            </w:r>
          </w:p>
        </w:tc>
        <w:tc>
          <w:tcPr>
            <w:tcW w:w="3557" w:type="dxa"/>
            <w:vMerge w:val="continue"/>
            <w:noWrap w:val="0"/>
            <w:vAlign w:val="center"/>
          </w:tcPr>
          <w:p>
            <w:pPr>
              <w:jc w:val="left"/>
              <w:rPr>
                <w:rFonts w:hint="eastAsia" w:ascii="宋体" w:hAnsi="宋体" w:cs="宋体"/>
                <w:color w:val="00000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12" w:hRule="atLeast"/>
          <w:jc w:val="center"/>
        </w:trPr>
        <w:tc>
          <w:tcPr>
            <w:tcW w:w="542" w:type="dxa"/>
            <w:vMerge w:val="continue"/>
            <w:noWrap w:val="0"/>
            <w:vAlign w:val="center"/>
          </w:tcPr>
          <w:p>
            <w:pPr>
              <w:jc w:val="center"/>
              <w:rPr>
                <w:rFonts w:hint="eastAsia" w:ascii="宋体" w:hAnsi="宋体" w:cs="宋体"/>
                <w:color w:val="000000"/>
                <w:szCs w:val="21"/>
                <w:highlight w:val="none"/>
              </w:rPr>
            </w:pPr>
          </w:p>
        </w:tc>
        <w:tc>
          <w:tcPr>
            <w:tcW w:w="895" w:type="dxa"/>
            <w:vMerge w:val="continue"/>
            <w:noWrap w:val="0"/>
            <w:vAlign w:val="center"/>
          </w:tcPr>
          <w:p>
            <w:pPr>
              <w:jc w:val="center"/>
              <w:rPr>
                <w:rFonts w:hint="eastAsia" w:ascii="宋体" w:hAnsi="宋体" w:cs="宋体"/>
                <w:color w:val="000000"/>
                <w:szCs w:val="21"/>
                <w:highlight w:val="none"/>
              </w:rPr>
            </w:pPr>
          </w:p>
        </w:tc>
        <w:tc>
          <w:tcPr>
            <w:tcW w:w="5106" w:type="dxa"/>
            <w:gridSpan w:val="3"/>
            <w:noWrap w:val="0"/>
            <w:vAlign w:val="center"/>
          </w:tcPr>
          <w:p>
            <w:pPr>
              <w:widowControl/>
              <w:jc w:val="left"/>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val="en-US" w:eastAsia="zh-CN" w:bidi="ar"/>
              </w:rPr>
              <w:t>5</w:t>
            </w:r>
            <w:r>
              <w:rPr>
                <w:rFonts w:hint="eastAsia" w:ascii="宋体" w:hAnsi="宋体" w:cs="宋体"/>
                <w:color w:val="000000"/>
                <w:kern w:val="0"/>
                <w:szCs w:val="21"/>
                <w:highlight w:val="none"/>
                <w:lang w:bidi="ar"/>
              </w:rPr>
              <w:t>、做好防盗报警系统相关设备、维护。</w:t>
            </w:r>
          </w:p>
        </w:tc>
        <w:tc>
          <w:tcPr>
            <w:tcW w:w="3557" w:type="dxa"/>
            <w:noWrap w:val="0"/>
            <w:vAlign w:val="center"/>
          </w:tcPr>
          <w:p>
            <w:pPr>
              <w:widowControl/>
              <w:jc w:val="left"/>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不符合扣3分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796" w:hRule="atLeast"/>
          <w:jc w:val="center"/>
        </w:trPr>
        <w:tc>
          <w:tcPr>
            <w:tcW w:w="542" w:type="dxa"/>
            <w:vMerge w:val="restart"/>
            <w:noWrap w:val="0"/>
            <w:vAlign w:val="center"/>
          </w:tcPr>
          <w:p>
            <w:pPr>
              <w:widowControl/>
              <w:jc w:val="center"/>
              <w:textAlignment w:val="center"/>
              <w:rPr>
                <w:rFonts w:hint="eastAsia" w:ascii="宋体" w:hAnsi="宋体" w:eastAsia="宋体" w:cs="宋体"/>
                <w:color w:val="000000"/>
                <w:szCs w:val="21"/>
                <w:highlight w:val="none"/>
                <w:lang w:eastAsia="zh-CN"/>
              </w:rPr>
            </w:pPr>
            <w:r>
              <w:rPr>
                <w:rFonts w:hint="eastAsia" w:ascii="宋体" w:hAnsi="宋体" w:cs="宋体"/>
                <w:color w:val="000000"/>
                <w:kern w:val="0"/>
                <w:szCs w:val="21"/>
                <w:highlight w:val="none"/>
                <w:lang w:bidi="ar"/>
              </w:rPr>
              <w:t>1</w:t>
            </w:r>
            <w:r>
              <w:rPr>
                <w:rFonts w:hint="eastAsia" w:ascii="宋体" w:hAnsi="宋体" w:cs="宋体"/>
                <w:color w:val="000000"/>
                <w:kern w:val="0"/>
                <w:szCs w:val="21"/>
                <w:highlight w:val="none"/>
                <w:lang w:val="en-US" w:eastAsia="zh-CN" w:bidi="ar"/>
              </w:rPr>
              <w:t>2</w:t>
            </w:r>
          </w:p>
        </w:tc>
        <w:tc>
          <w:tcPr>
            <w:tcW w:w="895" w:type="dxa"/>
            <w:vMerge w:val="restart"/>
            <w:noWrap w:val="0"/>
            <w:vAlign w:val="center"/>
          </w:tcPr>
          <w:p>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供水系统</w:t>
            </w:r>
          </w:p>
        </w:tc>
        <w:tc>
          <w:tcPr>
            <w:tcW w:w="5106" w:type="dxa"/>
            <w:gridSpan w:val="3"/>
            <w:noWrap w:val="0"/>
            <w:vAlign w:val="center"/>
          </w:tcPr>
          <w:p>
            <w:pPr>
              <w:widowControl/>
              <w:jc w:val="left"/>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1、供水设备：设施设备完好、无渗漏、无污染；水泵：每季对润滑点加油，保证二次供水正常。</w:t>
            </w:r>
          </w:p>
        </w:tc>
        <w:tc>
          <w:tcPr>
            <w:tcW w:w="3557" w:type="dxa"/>
            <w:noWrap w:val="0"/>
            <w:vAlign w:val="center"/>
          </w:tcPr>
          <w:p>
            <w:pPr>
              <w:widowControl/>
              <w:jc w:val="left"/>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不符合扣3分，如因此造成重大事故或损失，我方可追究物业公司责任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38" w:hRule="atLeast"/>
          <w:jc w:val="center"/>
        </w:trPr>
        <w:tc>
          <w:tcPr>
            <w:tcW w:w="542" w:type="dxa"/>
            <w:vMerge w:val="continue"/>
            <w:noWrap w:val="0"/>
            <w:vAlign w:val="center"/>
          </w:tcPr>
          <w:p>
            <w:pPr>
              <w:jc w:val="center"/>
              <w:rPr>
                <w:rFonts w:hint="eastAsia" w:ascii="宋体" w:hAnsi="宋体" w:cs="宋体"/>
                <w:color w:val="000000"/>
                <w:szCs w:val="21"/>
                <w:highlight w:val="none"/>
              </w:rPr>
            </w:pPr>
          </w:p>
        </w:tc>
        <w:tc>
          <w:tcPr>
            <w:tcW w:w="895" w:type="dxa"/>
            <w:vMerge w:val="continue"/>
            <w:noWrap w:val="0"/>
            <w:vAlign w:val="center"/>
          </w:tcPr>
          <w:p>
            <w:pPr>
              <w:jc w:val="center"/>
              <w:rPr>
                <w:rFonts w:hint="eastAsia" w:ascii="宋体" w:hAnsi="宋体" w:cs="宋体"/>
                <w:color w:val="000000"/>
                <w:szCs w:val="21"/>
                <w:highlight w:val="none"/>
              </w:rPr>
            </w:pPr>
          </w:p>
        </w:tc>
        <w:tc>
          <w:tcPr>
            <w:tcW w:w="5106" w:type="dxa"/>
            <w:gridSpan w:val="3"/>
            <w:noWrap w:val="0"/>
            <w:vAlign w:val="center"/>
          </w:tcPr>
          <w:p>
            <w:pPr>
              <w:widowControl/>
              <w:jc w:val="left"/>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2、泵房管道：每季一次除锈、油漆。</w:t>
            </w:r>
          </w:p>
        </w:tc>
        <w:tc>
          <w:tcPr>
            <w:tcW w:w="3557" w:type="dxa"/>
            <w:vMerge w:val="restart"/>
            <w:noWrap w:val="0"/>
            <w:vAlign w:val="center"/>
          </w:tcPr>
          <w:p>
            <w:pPr>
              <w:widowControl/>
              <w:jc w:val="left"/>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每发现一处不符合扣1分；发现3处以上不符合，一次性扣3分；如因此造成重大事故或损失，我方可追究物业公司责任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38" w:hRule="atLeast"/>
          <w:jc w:val="center"/>
        </w:trPr>
        <w:tc>
          <w:tcPr>
            <w:tcW w:w="542" w:type="dxa"/>
            <w:vMerge w:val="continue"/>
            <w:noWrap w:val="0"/>
            <w:vAlign w:val="center"/>
          </w:tcPr>
          <w:p>
            <w:pPr>
              <w:jc w:val="center"/>
              <w:rPr>
                <w:rFonts w:hint="eastAsia" w:ascii="宋体" w:hAnsi="宋体" w:cs="宋体"/>
                <w:color w:val="000000"/>
                <w:szCs w:val="21"/>
                <w:highlight w:val="none"/>
              </w:rPr>
            </w:pPr>
          </w:p>
        </w:tc>
        <w:tc>
          <w:tcPr>
            <w:tcW w:w="895" w:type="dxa"/>
            <w:vMerge w:val="continue"/>
            <w:noWrap w:val="0"/>
            <w:vAlign w:val="center"/>
          </w:tcPr>
          <w:p>
            <w:pPr>
              <w:jc w:val="center"/>
              <w:rPr>
                <w:rFonts w:hint="eastAsia" w:ascii="宋体" w:hAnsi="宋体" w:cs="宋体"/>
                <w:color w:val="000000"/>
                <w:szCs w:val="21"/>
                <w:highlight w:val="none"/>
              </w:rPr>
            </w:pPr>
          </w:p>
        </w:tc>
        <w:tc>
          <w:tcPr>
            <w:tcW w:w="5106" w:type="dxa"/>
            <w:gridSpan w:val="3"/>
            <w:noWrap w:val="0"/>
            <w:vAlign w:val="center"/>
          </w:tcPr>
          <w:p>
            <w:pPr>
              <w:widowControl/>
              <w:jc w:val="left"/>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val="en-US" w:eastAsia="zh-CN" w:bidi="ar"/>
              </w:rPr>
              <w:t>3、</w:t>
            </w:r>
            <w:r>
              <w:rPr>
                <w:rFonts w:hint="eastAsia" w:ascii="宋体" w:hAnsi="宋体" w:cs="宋体"/>
                <w:color w:val="000000"/>
                <w:kern w:val="0"/>
                <w:szCs w:val="21"/>
                <w:highlight w:val="none"/>
                <w:lang w:bidi="ar"/>
              </w:rPr>
              <w:t>水箱、蓄水池：每年定期二次清洗和检测。</w:t>
            </w:r>
          </w:p>
        </w:tc>
        <w:tc>
          <w:tcPr>
            <w:tcW w:w="3557" w:type="dxa"/>
            <w:vMerge w:val="continue"/>
            <w:noWrap w:val="0"/>
            <w:vAlign w:val="center"/>
          </w:tcPr>
          <w:p>
            <w:pPr>
              <w:jc w:val="left"/>
              <w:rPr>
                <w:rFonts w:hint="eastAsia" w:ascii="宋体" w:hAnsi="宋体" w:cs="宋体"/>
                <w:color w:val="00000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38" w:hRule="atLeast"/>
          <w:jc w:val="center"/>
        </w:trPr>
        <w:tc>
          <w:tcPr>
            <w:tcW w:w="542" w:type="dxa"/>
            <w:vMerge w:val="continue"/>
            <w:noWrap w:val="0"/>
            <w:vAlign w:val="center"/>
          </w:tcPr>
          <w:p>
            <w:pPr>
              <w:jc w:val="center"/>
              <w:rPr>
                <w:rFonts w:hint="eastAsia" w:ascii="宋体" w:hAnsi="宋体" w:cs="宋体"/>
                <w:color w:val="000000"/>
                <w:szCs w:val="21"/>
                <w:highlight w:val="none"/>
              </w:rPr>
            </w:pPr>
          </w:p>
        </w:tc>
        <w:tc>
          <w:tcPr>
            <w:tcW w:w="895" w:type="dxa"/>
            <w:vMerge w:val="continue"/>
            <w:noWrap w:val="0"/>
            <w:vAlign w:val="center"/>
          </w:tcPr>
          <w:p>
            <w:pPr>
              <w:jc w:val="center"/>
              <w:rPr>
                <w:rFonts w:hint="eastAsia" w:ascii="宋体" w:hAnsi="宋体" w:cs="宋体"/>
                <w:color w:val="000000"/>
                <w:szCs w:val="21"/>
                <w:highlight w:val="none"/>
              </w:rPr>
            </w:pPr>
          </w:p>
        </w:tc>
        <w:tc>
          <w:tcPr>
            <w:tcW w:w="5106" w:type="dxa"/>
            <w:gridSpan w:val="3"/>
            <w:noWrap w:val="0"/>
            <w:vAlign w:val="center"/>
          </w:tcPr>
          <w:p>
            <w:pPr>
              <w:widowControl/>
              <w:jc w:val="left"/>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val="en-US" w:eastAsia="zh-CN" w:bidi="ar"/>
              </w:rPr>
              <w:t>4、</w:t>
            </w:r>
            <w:r>
              <w:rPr>
                <w:rFonts w:hint="eastAsia" w:ascii="宋体" w:hAnsi="宋体" w:cs="宋体"/>
                <w:color w:val="000000"/>
                <w:kern w:val="0"/>
                <w:szCs w:val="21"/>
                <w:highlight w:val="none"/>
                <w:lang w:bidi="ar"/>
              </w:rPr>
              <w:t>水泵：一级保养，每年一次，保证其运行正常。</w:t>
            </w:r>
          </w:p>
        </w:tc>
        <w:tc>
          <w:tcPr>
            <w:tcW w:w="3557" w:type="dxa"/>
            <w:vMerge w:val="continue"/>
            <w:noWrap w:val="0"/>
            <w:vAlign w:val="center"/>
          </w:tcPr>
          <w:p>
            <w:pPr>
              <w:jc w:val="left"/>
              <w:rPr>
                <w:rFonts w:hint="eastAsia" w:ascii="宋体" w:hAnsi="宋体" w:cs="宋体"/>
                <w:color w:val="00000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38" w:hRule="atLeast"/>
          <w:jc w:val="center"/>
        </w:trPr>
        <w:tc>
          <w:tcPr>
            <w:tcW w:w="542" w:type="dxa"/>
            <w:vMerge w:val="continue"/>
            <w:noWrap w:val="0"/>
            <w:vAlign w:val="center"/>
          </w:tcPr>
          <w:p>
            <w:pPr>
              <w:jc w:val="center"/>
              <w:rPr>
                <w:rFonts w:hint="eastAsia" w:ascii="宋体" w:hAnsi="宋体" w:cs="宋体"/>
                <w:color w:val="000000"/>
                <w:szCs w:val="21"/>
                <w:highlight w:val="none"/>
              </w:rPr>
            </w:pPr>
          </w:p>
        </w:tc>
        <w:tc>
          <w:tcPr>
            <w:tcW w:w="895" w:type="dxa"/>
            <w:vMerge w:val="continue"/>
            <w:noWrap w:val="0"/>
            <w:vAlign w:val="center"/>
          </w:tcPr>
          <w:p>
            <w:pPr>
              <w:jc w:val="center"/>
              <w:rPr>
                <w:rFonts w:hint="eastAsia" w:ascii="宋体" w:hAnsi="宋体" w:cs="宋体"/>
                <w:color w:val="000000"/>
                <w:szCs w:val="21"/>
                <w:highlight w:val="none"/>
              </w:rPr>
            </w:pPr>
          </w:p>
        </w:tc>
        <w:tc>
          <w:tcPr>
            <w:tcW w:w="5106" w:type="dxa"/>
            <w:gridSpan w:val="3"/>
            <w:noWrap w:val="0"/>
            <w:vAlign w:val="center"/>
          </w:tcPr>
          <w:p>
            <w:pPr>
              <w:widowControl/>
              <w:jc w:val="left"/>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val="en-US" w:eastAsia="zh-CN" w:bidi="ar"/>
              </w:rPr>
              <w:t>5、</w:t>
            </w:r>
            <w:r>
              <w:rPr>
                <w:rFonts w:hint="eastAsia" w:ascii="宋体" w:hAnsi="宋体" w:cs="宋体"/>
                <w:color w:val="000000"/>
                <w:kern w:val="0"/>
                <w:szCs w:val="21"/>
                <w:highlight w:val="none"/>
                <w:lang w:bidi="ar"/>
              </w:rPr>
              <w:t>控制柜：每月检查一次，控制柜电器性能完好，运作正常。</w:t>
            </w:r>
          </w:p>
        </w:tc>
        <w:tc>
          <w:tcPr>
            <w:tcW w:w="3557" w:type="dxa"/>
            <w:vMerge w:val="continue"/>
            <w:noWrap w:val="0"/>
            <w:vAlign w:val="center"/>
          </w:tcPr>
          <w:p>
            <w:pPr>
              <w:jc w:val="left"/>
              <w:rPr>
                <w:rFonts w:hint="eastAsia" w:ascii="宋体" w:hAnsi="宋体" w:cs="宋体"/>
                <w:color w:val="00000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38" w:hRule="atLeast"/>
          <w:jc w:val="center"/>
        </w:trPr>
        <w:tc>
          <w:tcPr>
            <w:tcW w:w="542" w:type="dxa"/>
            <w:vMerge w:val="continue"/>
            <w:noWrap w:val="0"/>
            <w:vAlign w:val="center"/>
          </w:tcPr>
          <w:p>
            <w:pPr>
              <w:jc w:val="center"/>
              <w:rPr>
                <w:rFonts w:hint="eastAsia" w:ascii="宋体" w:hAnsi="宋体" w:cs="宋体"/>
                <w:color w:val="000000"/>
                <w:szCs w:val="21"/>
                <w:highlight w:val="none"/>
              </w:rPr>
            </w:pPr>
          </w:p>
        </w:tc>
        <w:tc>
          <w:tcPr>
            <w:tcW w:w="895" w:type="dxa"/>
            <w:vMerge w:val="continue"/>
            <w:noWrap w:val="0"/>
            <w:vAlign w:val="center"/>
          </w:tcPr>
          <w:p>
            <w:pPr>
              <w:jc w:val="center"/>
              <w:rPr>
                <w:rFonts w:hint="eastAsia" w:ascii="宋体" w:hAnsi="宋体" w:cs="宋体"/>
                <w:color w:val="000000"/>
                <w:szCs w:val="21"/>
                <w:highlight w:val="none"/>
              </w:rPr>
            </w:pPr>
          </w:p>
        </w:tc>
        <w:tc>
          <w:tcPr>
            <w:tcW w:w="5106" w:type="dxa"/>
            <w:gridSpan w:val="3"/>
            <w:noWrap w:val="0"/>
            <w:vAlign w:val="center"/>
          </w:tcPr>
          <w:p>
            <w:pPr>
              <w:widowControl/>
              <w:jc w:val="left"/>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val="en-US" w:eastAsia="zh-CN" w:bidi="ar"/>
              </w:rPr>
              <w:t>6</w:t>
            </w:r>
            <w:r>
              <w:rPr>
                <w:rFonts w:hint="eastAsia" w:ascii="宋体" w:hAnsi="宋体" w:cs="宋体"/>
                <w:color w:val="000000"/>
                <w:kern w:val="0"/>
                <w:szCs w:val="21"/>
                <w:highlight w:val="none"/>
                <w:lang w:bidi="ar"/>
              </w:rPr>
              <w:t>、阀门接口及减压阀：每季检查一次，无渗漏现象。</w:t>
            </w:r>
          </w:p>
        </w:tc>
        <w:tc>
          <w:tcPr>
            <w:tcW w:w="3557" w:type="dxa"/>
            <w:vMerge w:val="continue"/>
            <w:noWrap w:val="0"/>
            <w:vAlign w:val="center"/>
          </w:tcPr>
          <w:p>
            <w:pPr>
              <w:jc w:val="left"/>
              <w:rPr>
                <w:rFonts w:hint="eastAsia" w:ascii="宋体" w:hAnsi="宋体" w:cs="宋体"/>
                <w:color w:val="00000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38" w:hRule="atLeast"/>
          <w:jc w:val="center"/>
        </w:trPr>
        <w:tc>
          <w:tcPr>
            <w:tcW w:w="542" w:type="dxa"/>
            <w:vMerge w:val="continue"/>
            <w:noWrap w:val="0"/>
            <w:vAlign w:val="center"/>
          </w:tcPr>
          <w:p>
            <w:pPr>
              <w:jc w:val="center"/>
              <w:rPr>
                <w:rFonts w:hint="eastAsia" w:ascii="宋体" w:hAnsi="宋体" w:cs="宋体"/>
                <w:color w:val="000000"/>
                <w:szCs w:val="21"/>
                <w:highlight w:val="none"/>
              </w:rPr>
            </w:pPr>
          </w:p>
        </w:tc>
        <w:tc>
          <w:tcPr>
            <w:tcW w:w="895" w:type="dxa"/>
            <w:vMerge w:val="continue"/>
            <w:noWrap w:val="0"/>
            <w:vAlign w:val="center"/>
          </w:tcPr>
          <w:p>
            <w:pPr>
              <w:jc w:val="center"/>
              <w:rPr>
                <w:rFonts w:hint="eastAsia" w:ascii="宋体" w:hAnsi="宋体" w:cs="宋体"/>
                <w:color w:val="000000"/>
                <w:szCs w:val="21"/>
                <w:highlight w:val="none"/>
              </w:rPr>
            </w:pPr>
          </w:p>
        </w:tc>
        <w:tc>
          <w:tcPr>
            <w:tcW w:w="5106" w:type="dxa"/>
            <w:gridSpan w:val="3"/>
            <w:noWrap w:val="0"/>
            <w:vAlign w:val="center"/>
          </w:tcPr>
          <w:p>
            <w:pPr>
              <w:widowControl/>
              <w:jc w:val="left"/>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val="en-US" w:eastAsia="zh-CN" w:bidi="ar"/>
              </w:rPr>
              <w:t>7</w:t>
            </w:r>
            <w:r>
              <w:rPr>
                <w:rFonts w:hint="eastAsia" w:ascii="宋体" w:hAnsi="宋体" w:cs="宋体"/>
                <w:color w:val="000000"/>
                <w:kern w:val="0"/>
                <w:szCs w:val="21"/>
                <w:highlight w:val="none"/>
                <w:lang w:bidi="ar"/>
              </w:rPr>
              <w:t>、管网及闸阀：每年保养，无明显锈蚀、无渗漏。</w:t>
            </w:r>
          </w:p>
        </w:tc>
        <w:tc>
          <w:tcPr>
            <w:tcW w:w="3557" w:type="dxa"/>
            <w:vMerge w:val="continue"/>
            <w:noWrap w:val="0"/>
            <w:vAlign w:val="center"/>
          </w:tcPr>
          <w:p>
            <w:pPr>
              <w:jc w:val="left"/>
              <w:rPr>
                <w:rFonts w:hint="eastAsia" w:ascii="宋体" w:hAnsi="宋体" w:cs="宋体"/>
                <w:color w:val="00000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790" w:hRule="atLeast"/>
          <w:jc w:val="center"/>
        </w:trPr>
        <w:tc>
          <w:tcPr>
            <w:tcW w:w="542" w:type="dxa"/>
            <w:vMerge w:val="continue"/>
            <w:noWrap w:val="0"/>
            <w:vAlign w:val="center"/>
          </w:tcPr>
          <w:p>
            <w:pPr>
              <w:jc w:val="center"/>
              <w:rPr>
                <w:rFonts w:hint="eastAsia" w:ascii="宋体" w:hAnsi="宋体" w:cs="宋体"/>
                <w:color w:val="000000"/>
                <w:szCs w:val="21"/>
                <w:highlight w:val="none"/>
              </w:rPr>
            </w:pPr>
          </w:p>
        </w:tc>
        <w:tc>
          <w:tcPr>
            <w:tcW w:w="895" w:type="dxa"/>
            <w:vMerge w:val="continue"/>
            <w:noWrap w:val="0"/>
            <w:vAlign w:val="center"/>
          </w:tcPr>
          <w:p>
            <w:pPr>
              <w:jc w:val="center"/>
              <w:rPr>
                <w:rFonts w:hint="eastAsia" w:ascii="宋体" w:hAnsi="宋体" w:cs="宋体"/>
                <w:color w:val="000000"/>
                <w:szCs w:val="21"/>
                <w:highlight w:val="none"/>
              </w:rPr>
            </w:pPr>
          </w:p>
        </w:tc>
        <w:tc>
          <w:tcPr>
            <w:tcW w:w="5106" w:type="dxa"/>
            <w:gridSpan w:val="3"/>
            <w:noWrap w:val="0"/>
            <w:vAlign w:val="center"/>
          </w:tcPr>
          <w:p>
            <w:pPr>
              <w:widowControl/>
              <w:jc w:val="left"/>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val="en-US" w:eastAsia="zh-CN" w:bidi="ar"/>
              </w:rPr>
              <w:t>8</w:t>
            </w:r>
            <w:r>
              <w:rPr>
                <w:rFonts w:hint="eastAsia" w:ascii="宋体" w:hAnsi="宋体" w:cs="宋体"/>
                <w:color w:val="000000"/>
                <w:kern w:val="0"/>
                <w:szCs w:val="21"/>
                <w:highlight w:val="none"/>
                <w:lang w:bidi="ar"/>
              </w:rPr>
              <w:t>、设备出现故障时，维修人员应在接到报修后5分钟内到达现场，零修合格率100%，一般性故障排除不过夜。</w:t>
            </w:r>
          </w:p>
        </w:tc>
        <w:tc>
          <w:tcPr>
            <w:tcW w:w="3557" w:type="dxa"/>
            <w:noWrap w:val="0"/>
            <w:vAlign w:val="center"/>
          </w:tcPr>
          <w:p>
            <w:pPr>
              <w:widowControl/>
              <w:jc w:val="left"/>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不符合扣1分；合格率每降低1个百分点扣0.3分，上不封顶；无特殊情况，维修过夜扣2分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790" w:hRule="atLeast"/>
          <w:jc w:val="center"/>
        </w:trPr>
        <w:tc>
          <w:tcPr>
            <w:tcW w:w="542" w:type="dxa"/>
            <w:vMerge w:val="restart"/>
            <w:noWrap w:val="0"/>
            <w:vAlign w:val="center"/>
          </w:tcPr>
          <w:p>
            <w:pPr>
              <w:widowControl/>
              <w:jc w:val="center"/>
              <w:textAlignment w:val="center"/>
              <w:rPr>
                <w:rFonts w:hint="eastAsia" w:ascii="宋体" w:hAnsi="宋体" w:eastAsia="宋体" w:cs="宋体"/>
                <w:color w:val="000000"/>
                <w:szCs w:val="21"/>
                <w:highlight w:val="none"/>
                <w:lang w:eastAsia="zh-CN"/>
              </w:rPr>
            </w:pPr>
            <w:r>
              <w:rPr>
                <w:rFonts w:hint="eastAsia" w:ascii="宋体" w:hAnsi="宋体" w:cs="宋体"/>
                <w:color w:val="000000"/>
                <w:kern w:val="0"/>
                <w:szCs w:val="21"/>
                <w:highlight w:val="none"/>
                <w:lang w:bidi="ar"/>
              </w:rPr>
              <w:t>1</w:t>
            </w:r>
            <w:r>
              <w:rPr>
                <w:rFonts w:hint="eastAsia" w:ascii="宋体" w:hAnsi="宋体" w:cs="宋体"/>
                <w:color w:val="000000"/>
                <w:kern w:val="0"/>
                <w:szCs w:val="21"/>
                <w:highlight w:val="none"/>
                <w:lang w:val="en-US" w:eastAsia="zh-CN" w:bidi="ar"/>
              </w:rPr>
              <w:t>3</w:t>
            </w:r>
          </w:p>
        </w:tc>
        <w:tc>
          <w:tcPr>
            <w:tcW w:w="895" w:type="dxa"/>
            <w:vMerge w:val="restart"/>
            <w:noWrap w:val="0"/>
            <w:vAlign w:val="center"/>
          </w:tcPr>
          <w:p>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排水系统</w:t>
            </w:r>
          </w:p>
        </w:tc>
        <w:tc>
          <w:tcPr>
            <w:tcW w:w="5106" w:type="dxa"/>
            <w:gridSpan w:val="3"/>
            <w:noWrap w:val="0"/>
            <w:vAlign w:val="center"/>
          </w:tcPr>
          <w:p>
            <w:pPr>
              <w:widowControl/>
              <w:jc w:val="left"/>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1、污水泵、排水泵：能正常运行，无渗漏水现象；每季一次润滑加油；一级保养每年一次。</w:t>
            </w:r>
          </w:p>
        </w:tc>
        <w:tc>
          <w:tcPr>
            <w:tcW w:w="3557" w:type="dxa"/>
            <w:vMerge w:val="restart"/>
            <w:noWrap w:val="0"/>
            <w:vAlign w:val="center"/>
          </w:tcPr>
          <w:p>
            <w:pPr>
              <w:widowControl/>
              <w:jc w:val="left"/>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每发现一处不符合扣1分；发现3处以上不符合，一次性扣3分；5处以上不符合，一次性扣5分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075" w:hRule="atLeast"/>
          <w:jc w:val="center"/>
        </w:trPr>
        <w:tc>
          <w:tcPr>
            <w:tcW w:w="542" w:type="dxa"/>
            <w:vMerge w:val="continue"/>
            <w:noWrap w:val="0"/>
            <w:vAlign w:val="center"/>
          </w:tcPr>
          <w:p>
            <w:pPr>
              <w:jc w:val="center"/>
              <w:rPr>
                <w:rFonts w:hint="eastAsia" w:ascii="宋体" w:hAnsi="宋体" w:cs="宋体"/>
                <w:color w:val="000000"/>
                <w:szCs w:val="21"/>
                <w:highlight w:val="none"/>
              </w:rPr>
            </w:pPr>
          </w:p>
        </w:tc>
        <w:tc>
          <w:tcPr>
            <w:tcW w:w="895" w:type="dxa"/>
            <w:vMerge w:val="continue"/>
            <w:noWrap w:val="0"/>
            <w:vAlign w:val="center"/>
          </w:tcPr>
          <w:p>
            <w:pPr>
              <w:jc w:val="center"/>
              <w:rPr>
                <w:rFonts w:hint="eastAsia" w:ascii="宋体" w:hAnsi="宋体" w:cs="宋体"/>
                <w:color w:val="000000"/>
                <w:szCs w:val="21"/>
                <w:highlight w:val="none"/>
              </w:rPr>
            </w:pPr>
          </w:p>
        </w:tc>
        <w:tc>
          <w:tcPr>
            <w:tcW w:w="5106" w:type="dxa"/>
            <w:gridSpan w:val="3"/>
            <w:noWrap w:val="0"/>
            <w:vAlign w:val="center"/>
          </w:tcPr>
          <w:p>
            <w:pPr>
              <w:widowControl/>
              <w:jc w:val="left"/>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2、污水处理系统：每年二次全面维护保养；污水处理系统正常运行，周边基本无异味和明显噪声，过滤隔栅无堵塞，污水排放符合环保要求。</w:t>
            </w:r>
          </w:p>
        </w:tc>
        <w:tc>
          <w:tcPr>
            <w:tcW w:w="3557" w:type="dxa"/>
            <w:vMerge w:val="continue"/>
            <w:noWrap w:val="0"/>
            <w:vAlign w:val="center"/>
          </w:tcPr>
          <w:p>
            <w:pPr>
              <w:jc w:val="left"/>
              <w:rPr>
                <w:rFonts w:hint="eastAsia" w:ascii="宋体" w:hAnsi="宋体" w:cs="宋体"/>
                <w:color w:val="00000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38" w:hRule="atLeast"/>
          <w:jc w:val="center"/>
        </w:trPr>
        <w:tc>
          <w:tcPr>
            <w:tcW w:w="542" w:type="dxa"/>
            <w:vMerge w:val="continue"/>
            <w:noWrap w:val="0"/>
            <w:vAlign w:val="center"/>
          </w:tcPr>
          <w:p>
            <w:pPr>
              <w:jc w:val="center"/>
              <w:rPr>
                <w:rFonts w:hint="eastAsia" w:ascii="宋体" w:hAnsi="宋体" w:cs="宋体"/>
                <w:color w:val="000000"/>
                <w:szCs w:val="21"/>
                <w:highlight w:val="none"/>
              </w:rPr>
            </w:pPr>
          </w:p>
        </w:tc>
        <w:tc>
          <w:tcPr>
            <w:tcW w:w="895" w:type="dxa"/>
            <w:vMerge w:val="continue"/>
            <w:noWrap w:val="0"/>
            <w:vAlign w:val="center"/>
          </w:tcPr>
          <w:p>
            <w:pPr>
              <w:jc w:val="center"/>
              <w:rPr>
                <w:rFonts w:hint="eastAsia" w:ascii="宋体" w:hAnsi="宋体" w:cs="宋体"/>
                <w:color w:val="000000"/>
                <w:szCs w:val="21"/>
                <w:highlight w:val="none"/>
              </w:rPr>
            </w:pPr>
          </w:p>
        </w:tc>
        <w:tc>
          <w:tcPr>
            <w:tcW w:w="5106" w:type="dxa"/>
            <w:gridSpan w:val="3"/>
            <w:noWrap w:val="0"/>
            <w:vAlign w:val="center"/>
          </w:tcPr>
          <w:p>
            <w:pPr>
              <w:widowControl/>
              <w:jc w:val="left"/>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3、控制柜：每月检查一次，控制柜电器性能完好，运作正常。</w:t>
            </w:r>
          </w:p>
        </w:tc>
        <w:tc>
          <w:tcPr>
            <w:tcW w:w="3557" w:type="dxa"/>
            <w:vMerge w:val="continue"/>
            <w:noWrap w:val="0"/>
            <w:vAlign w:val="center"/>
          </w:tcPr>
          <w:p>
            <w:pPr>
              <w:jc w:val="left"/>
              <w:rPr>
                <w:rFonts w:hint="eastAsia" w:ascii="宋体" w:hAnsi="宋体" w:cs="宋体"/>
                <w:color w:val="00000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38" w:hRule="atLeast"/>
          <w:jc w:val="center"/>
        </w:trPr>
        <w:tc>
          <w:tcPr>
            <w:tcW w:w="542" w:type="dxa"/>
            <w:vMerge w:val="continue"/>
            <w:noWrap w:val="0"/>
            <w:vAlign w:val="center"/>
          </w:tcPr>
          <w:p>
            <w:pPr>
              <w:jc w:val="center"/>
              <w:rPr>
                <w:rFonts w:hint="eastAsia" w:ascii="宋体" w:hAnsi="宋体" w:cs="宋体"/>
                <w:color w:val="000000"/>
                <w:szCs w:val="21"/>
                <w:highlight w:val="none"/>
              </w:rPr>
            </w:pPr>
          </w:p>
        </w:tc>
        <w:tc>
          <w:tcPr>
            <w:tcW w:w="895" w:type="dxa"/>
            <w:vMerge w:val="continue"/>
            <w:noWrap w:val="0"/>
            <w:vAlign w:val="center"/>
          </w:tcPr>
          <w:p>
            <w:pPr>
              <w:jc w:val="center"/>
              <w:rPr>
                <w:rFonts w:hint="eastAsia" w:ascii="宋体" w:hAnsi="宋体" w:cs="宋体"/>
                <w:color w:val="000000"/>
                <w:szCs w:val="21"/>
                <w:highlight w:val="none"/>
              </w:rPr>
            </w:pPr>
          </w:p>
        </w:tc>
        <w:tc>
          <w:tcPr>
            <w:tcW w:w="5106" w:type="dxa"/>
            <w:gridSpan w:val="3"/>
            <w:noWrap w:val="0"/>
            <w:vAlign w:val="center"/>
          </w:tcPr>
          <w:p>
            <w:pPr>
              <w:widowControl/>
              <w:jc w:val="left"/>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4、窨井、窨沟、排水沟、集水井：管道通畅，无堵塞外溢现象。</w:t>
            </w:r>
          </w:p>
        </w:tc>
        <w:tc>
          <w:tcPr>
            <w:tcW w:w="3557" w:type="dxa"/>
            <w:vMerge w:val="continue"/>
            <w:noWrap w:val="0"/>
            <w:vAlign w:val="center"/>
          </w:tcPr>
          <w:p>
            <w:pPr>
              <w:jc w:val="left"/>
              <w:rPr>
                <w:rFonts w:hint="eastAsia" w:ascii="宋体" w:hAnsi="宋体" w:cs="宋体"/>
                <w:color w:val="00000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38" w:hRule="atLeast"/>
          <w:jc w:val="center"/>
        </w:trPr>
        <w:tc>
          <w:tcPr>
            <w:tcW w:w="542" w:type="dxa"/>
            <w:vMerge w:val="continue"/>
            <w:noWrap w:val="0"/>
            <w:vAlign w:val="center"/>
          </w:tcPr>
          <w:p>
            <w:pPr>
              <w:jc w:val="center"/>
              <w:rPr>
                <w:rFonts w:hint="eastAsia" w:ascii="宋体" w:hAnsi="宋体" w:cs="宋体"/>
                <w:color w:val="000000"/>
                <w:szCs w:val="21"/>
                <w:highlight w:val="none"/>
              </w:rPr>
            </w:pPr>
          </w:p>
        </w:tc>
        <w:tc>
          <w:tcPr>
            <w:tcW w:w="895" w:type="dxa"/>
            <w:vMerge w:val="continue"/>
            <w:noWrap w:val="0"/>
            <w:vAlign w:val="center"/>
          </w:tcPr>
          <w:p>
            <w:pPr>
              <w:jc w:val="center"/>
              <w:rPr>
                <w:rFonts w:hint="eastAsia" w:ascii="宋体" w:hAnsi="宋体" w:cs="宋体"/>
                <w:color w:val="000000"/>
                <w:szCs w:val="21"/>
                <w:highlight w:val="none"/>
              </w:rPr>
            </w:pPr>
          </w:p>
        </w:tc>
        <w:tc>
          <w:tcPr>
            <w:tcW w:w="5106" w:type="dxa"/>
            <w:gridSpan w:val="3"/>
            <w:noWrap w:val="0"/>
            <w:vAlign w:val="center"/>
          </w:tcPr>
          <w:p>
            <w:pPr>
              <w:widowControl/>
              <w:jc w:val="left"/>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5、排污泵、排气扇：每月试运行，运转灵活。</w:t>
            </w:r>
          </w:p>
        </w:tc>
        <w:tc>
          <w:tcPr>
            <w:tcW w:w="3557" w:type="dxa"/>
            <w:vMerge w:val="continue"/>
            <w:noWrap w:val="0"/>
            <w:vAlign w:val="center"/>
          </w:tcPr>
          <w:p>
            <w:pPr>
              <w:jc w:val="left"/>
              <w:rPr>
                <w:rFonts w:hint="eastAsia" w:ascii="宋体" w:hAnsi="宋体" w:cs="宋体"/>
                <w:color w:val="00000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032" w:hRule="atLeast"/>
          <w:jc w:val="center"/>
        </w:trPr>
        <w:tc>
          <w:tcPr>
            <w:tcW w:w="542" w:type="dxa"/>
            <w:vMerge w:val="restart"/>
            <w:noWrap w:val="0"/>
            <w:vAlign w:val="center"/>
          </w:tcPr>
          <w:p>
            <w:pPr>
              <w:widowControl/>
              <w:jc w:val="center"/>
              <w:textAlignment w:val="center"/>
              <w:rPr>
                <w:rFonts w:hint="eastAsia" w:ascii="宋体" w:hAnsi="宋体" w:eastAsia="宋体" w:cs="宋体"/>
                <w:color w:val="000000"/>
                <w:szCs w:val="21"/>
                <w:highlight w:val="none"/>
                <w:lang w:eastAsia="zh-CN"/>
              </w:rPr>
            </w:pPr>
            <w:r>
              <w:rPr>
                <w:rFonts w:hint="eastAsia" w:ascii="宋体" w:hAnsi="宋体" w:cs="宋体"/>
                <w:color w:val="000000"/>
                <w:kern w:val="0"/>
                <w:szCs w:val="21"/>
                <w:highlight w:val="none"/>
                <w:lang w:bidi="ar"/>
              </w:rPr>
              <w:t>1</w:t>
            </w:r>
            <w:r>
              <w:rPr>
                <w:rFonts w:hint="eastAsia" w:ascii="宋体" w:hAnsi="宋体" w:cs="宋体"/>
                <w:color w:val="000000"/>
                <w:kern w:val="0"/>
                <w:szCs w:val="21"/>
                <w:highlight w:val="none"/>
                <w:lang w:val="en-US" w:eastAsia="zh-CN" w:bidi="ar"/>
              </w:rPr>
              <w:t>4</w:t>
            </w:r>
          </w:p>
        </w:tc>
        <w:tc>
          <w:tcPr>
            <w:tcW w:w="895" w:type="dxa"/>
            <w:vMerge w:val="restart"/>
            <w:noWrap w:val="0"/>
            <w:vAlign w:val="center"/>
          </w:tcPr>
          <w:p>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消防系统</w:t>
            </w:r>
          </w:p>
        </w:tc>
        <w:tc>
          <w:tcPr>
            <w:tcW w:w="5106" w:type="dxa"/>
            <w:gridSpan w:val="3"/>
            <w:noWrap w:val="0"/>
            <w:vAlign w:val="center"/>
          </w:tcPr>
          <w:p>
            <w:pPr>
              <w:widowControl/>
              <w:jc w:val="left"/>
              <w:textAlignment w:val="center"/>
              <w:rPr>
                <w:rFonts w:hint="eastAsia" w:ascii="宋体" w:hAnsi="宋体" w:eastAsia="宋体" w:cs="宋体"/>
                <w:color w:val="000000"/>
                <w:szCs w:val="21"/>
                <w:highlight w:val="none"/>
                <w:lang w:eastAsia="zh-CN"/>
              </w:rPr>
            </w:pPr>
            <w:r>
              <w:rPr>
                <w:rFonts w:hint="eastAsia" w:ascii="宋体" w:hAnsi="宋体" w:cs="宋体"/>
                <w:color w:val="000000"/>
                <w:kern w:val="0"/>
                <w:szCs w:val="21"/>
                <w:highlight w:val="none"/>
                <w:lang w:bidi="ar"/>
              </w:rPr>
              <w:t>1、消防泵：启动检查每月一次并记录，运行正常，设施完好、无渗漏</w:t>
            </w:r>
            <w:r>
              <w:rPr>
                <w:rFonts w:hint="eastAsia" w:ascii="宋体" w:hAnsi="宋体" w:cs="宋体"/>
                <w:color w:val="000000"/>
                <w:kern w:val="0"/>
                <w:szCs w:val="21"/>
                <w:highlight w:val="none"/>
                <w:lang w:eastAsia="zh-CN" w:bidi="ar"/>
              </w:rPr>
              <w:t>。</w:t>
            </w:r>
          </w:p>
        </w:tc>
        <w:tc>
          <w:tcPr>
            <w:tcW w:w="3557" w:type="dxa"/>
            <w:vMerge w:val="restart"/>
            <w:noWrap w:val="0"/>
            <w:vAlign w:val="center"/>
          </w:tcPr>
          <w:p>
            <w:pPr>
              <w:widowControl/>
              <w:jc w:val="left"/>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每发现一处不符合扣1分；发现3处以上不符合，一次性扣3分；5处以上不符合，一次性扣5分；如因此造成重大事故或损失，我方可追究物业公司责任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075" w:hRule="atLeast"/>
          <w:jc w:val="center"/>
        </w:trPr>
        <w:tc>
          <w:tcPr>
            <w:tcW w:w="542" w:type="dxa"/>
            <w:vMerge w:val="continue"/>
            <w:noWrap w:val="0"/>
            <w:vAlign w:val="center"/>
          </w:tcPr>
          <w:p>
            <w:pPr>
              <w:jc w:val="center"/>
              <w:rPr>
                <w:rFonts w:hint="eastAsia" w:ascii="宋体" w:hAnsi="宋体" w:cs="宋体"/>
                <w:color w:val="000000"/>
                <w:szCs w:val="21"/>
                <w:highlight w:val="none"/>
              </w:rPr>
            </w:pPr>
          </w:p>
        </w:tc>
        <w:tc>
          <w:tcPr>
            <w:tcW w:w="895" w:type="dxa"/>
            <w:vMerge w:val="continue"/>
            <w:noWrap w:val="0"/>
            <w:vAlign w:val="center"/>
          </w:tcPr>
          <w:p>
            <w:pPr>
              <w:jc w:val="center"/>
              <w:rPr>
                <w:rFonts w:hint="eastAsia" w:ascii="宋体" w:hAnsi="宋体" w:cs="宋体"/>
                <w:color w:val="000000"/>
                <w:szCs w:val="21"/>
                <w:highlight w:val="none"/>
              </w:rPr>
            </w:pPr>
          </w:p>
        </w:tc>
        <w:tc>
          <w:tcPr>
            <w:tcW w:w="5106" w:type="dxa"/>
            <w:gridSpan w:val="3"/>
            <w:noWrap w:val="0"/>
            <w:vAlign w:val="center"/>
          </w:tcPr>
          <w:p>
            <w:pPr>
              <w:widowControl/>
              <w:jc w:val="left"/>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2、消防栓：每月巡查一次，消防栓箱内各种配件完好。每年保养一次，表面无生锈现象，颜色一致；阀杆每半年加注润滑油，启动灵活运行正常，每半年放水检查。</w:t>
            </w:r>
          </w:p>
        </w:tc>
        <w:tc>
          <w:tcPr>
            <w:tcW w:w="3557" w:type="dxa"/>
            <w:vMerge w:val="continue"/>
            <w:noWrap w:val="0"/>
            <w:vAlign w:val="center"/>
          </w:tcPr>
          <w:p>
            <w:pPr>
              <w:jc w:val="left"/>
              <w:rPr>
                <w:rFonts w:hint="eastAsia" w:ascii="宋体" w:hAnsi="宋体" w:cs="宋体"/>
                <w:color w:val="00000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644" w:hRule="atLeast"/>
          <w:jc w:val="center"/>
        </w:trPr>
        <w:tc>
          <w:tcPr>
            <w:tcW w:w="542" w:type="dxa"/>
            <w:vMerge w:val="continue"/>
            <w:noWrap w:val="0"/>
            <w:vAlign w:val="center"/>
          </w:tcPr>
          <w:p>
            <w:pPr>
              <w:jc w:val="center"/>
              <w:rPr>
                <w:rFonts w:hint="eastAsia" w:ascii="宋体" w:hAnsi="宋体" w:cs="宋体"/>
                <w:color w:val="000000"/>
                <w:szCs w:val="21"/>
                <w:highlight w:val="none"/>
              </w:rPr>
            </w:pPr>
          </w:p>
        </w:tc>
        <w:tc>
          <w:tcPr>
            <w:tcW w:w="895" w:type="dxa"/>
            <w:vMerge w:val="continue"/>
            <w:noWrap w:val="0"/>
            <w:vAlign w:val="center"/>
          </w:tcPr>
          <w:p>
            <w:pPr>
              <w:jc w:val="center"/>
              <w:rPr>
                <w:rFonts w:hint="eastAsia" w:ascii="宋体" w:hAnsi="宋体" w:cs="宋体"/>
                <w:color w:val="000000"/>
                <w:szCs w:val="21"/>
                <w:highlight w:val="none"/>
              </w:rPr>
            </w:pPr>
          </w:p>
        </w:tc>
        <w:tc>
          <w:tcPr>
            <w:tcW w:w="5106" w:type="dxa"/>
            <w:gridSpan w:val="3"/>
            <w:noWrap w:val="0"/>
            <w:vAlign w:val="center"/>
          </w:tcPr>
          <w:p>
            <w:pPr>
              <w:widowControl/>
              <w:jc w:val="left"/>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3、火警、报警、探测器功能：功能正常。</w:t>
            </w:r>
          </w:p>
        </w:tc>
        <w:tc>
          <w:tcPr>
            <w:tcW w:w="3557" w:type="dxa"/>
            <w:vMerge w:val="continue"/>
            <w:noWrap w:val="0"/>
            <w:vAlign w:val="center"/>
          </w:tcPr>
          <w:p>
            <w:pPr>
              <w:jc w:val="left"/>
              <w:rPr>
                <w:rFonts w:hint="eastAsia" w:ascii="宋体" w:hAnsi="宋体" w:cs="宋体"/>
                <w:color w:val="00000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661" w:hRule="atLeast"/>
          <w:jc w:val="center"/>
        </w:trPr>
        <w:tc>
          <w:tcPr>
            <w:tcW w:w="542" w:type="dxa"/>
            <w:vMerge w:val="continue"/>
            <w:noWrap w:val="0"/>
            <w:vAlign w:val="center"/>
          </w:tcPr>
          <w:p>
            <w:pPr>
              <w:jc w:val="center"/>
              <w:rPr>
                <w:rFonts w:hint="eastAsia" w:ascii="宋体" w:hAnsi="宋体" w:cs="宋体"/>
                <w:color w:val="000000"/>
                <w:szCs w:val="21"/>
                <w:highlight w:val="none"/>
              </w:rPr>
            </w:pPr>
          </w:p>
        </w:tc>
        <w:tc>
          <w:tcPr>
            <w:tcW w:w="895" w:type="dxa"/>
            <w:vMerge w:val="continue"/>
            <w:noWrap w:val="0"/>
            <w:vAlign w:val="center"/>
          </w:tcPr>
          <w:p>
            <w:pPr>
              <w:jc w:val="center"/>
              <w:rPr>
                <w:rFonts w:hint="eastAsia" w:ascii="宋体" w:hAnsi="宋体" w:cs="宋体"/>
                <w:color w:val="000000"/>
                <w:szCs w:val="21"/>
                <w:highlight w:val="none"/>
              </w:rPr>
            </w:pPr>
          </w:p>
        </w:tc>
        <w:tc>
          <w:tcPr>
            <w:tcW w:w="5106" w:type="dxa"/>
            <w:gridSpan w:val="3"/>
            <w:noWrap w:val="0"/>
            <w:vAlign w:val="center"/>
          </w:tcPr>
          <w:p>
            <w:pPr>
              <w:widowControl/>
              <w:jc w:val="left"/>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4、消防水带：每半年检查一次完好无缺，无霉变。</w:t>
            </w:r>
          </w:p>
        </w:tc>
        <w:tc>
          <w:tcPr>
            <w:tcW w:w="3557" w:type="dxa"/>
            <w:vMerge w:val="continue"/>
            <w:noWrap w:val="0"/>
            <w:vAlign w:val="center"/>
          </w:tcPr>
          <w:p>
            <w:pPr>
              <w:jc w:val="left"/>
              <w:rPr>
                <w:rFonts w:hint="eastAsia" w:ascii="宋体" w:hAnsi="宋体" w:cs="宋体"/>
                <w:color w:val="00000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661" w:hRule="atLeast"/>
          <w:jc w:val="center"/>
        </w:trPr>
        <w:tc>
          <w:tcPr>
            <w:tcW w:w="542" w:type="dxa"/>
            <w:vMerge w:val="continue"/>
            <w:noWrap w:val="0"/>
            <w:vAlign w:val="center"/>
          </w:tcPr>
          <w:p>
            <w:pPr>
              <w:jc w:val="center"/>
              <w:rPr>
                <w:rFonts w:hint="eastAsia" w:ascii="宋体" w:hAnsi="宋体" w:cs="宋体"/>
                <w:color w:val="000000"/>
                <w:szCs w:val="21"/>
                <w:highlight w:val="none"/>
              </w:rPr>
            </w:pPr>
          </w:p>
        </w:tc>
        <w:tc>
          <w:tcPr>
            <w:tcW w:w="895" w:type="dxa"/>
            <w:vMerge w:val="continue"/>
            <w:noWrap w:val="0"/>
            <w:vAlign w:val="center"/>
          </w:tcPr>
          <w:p>
            <w:pPr>
              <w:jc w:val="center"/>
              <w:rPr>
                <w:rFonts w:hint="eastAsia" w:ascii="宋体" w:hAnsi="宋体" w:cs="宋体"/>
                <w:color w:val="000000"/>
                <w:szCs w:val="21"/>
                <w:highlight w:val="none"/>
              </w:rPr>
            </w:pPr>
          </w:p>
        </w:tc>
        <w:tc>
          <w:tcPr>
            <w:tcW w:w="5106" w:type="dxa"/>
            <w:gridSpan w:val="3"/>
            <w:noWrap w:val="0"/>
            <w:vAlign w:val="center"/>
          </w:tcPr>
          <w:p>
            <w:pPr>
              <w:widowControl/>
              <w:jc w:val="left"/>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5、灭火器：检查及时，发现问题更新或充压。</w:t>
            </w:r>
          </w:p>
        </w:tc>
        <w:tc>
          <w:tcPr>
            <w:tcW w:w="3557" w:type="dxa"/>
            <w:vMerge w:val="continue"/>
            <w:noWrap w:val="0"/>
            <w:vAlign w:val="center"/>
          </w:tcPr>
          <w:p>
            <w:pPr>
              <w:jc w:val="left"/>
              <w:rPr>
                <w:rFonts w:hint="eastAsia" w:ascii="宋体" w:hAnsi="宋体" w:cs="宋体"/>
                <w:color w:val="00000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77" w:hRule="atLeast"/>
          <w:jc w:val="center"/>
        </w:trPr>
        <w:tc>
          <w:tcPr>
            <w:tcW w:w="542" w:type="dxa"/>
            <w:vMerge w:val="continue"/>
            <w:noWrap w:val="0"/>
            <w:vAlign w:val="center"/>
          </w:tcPr>
          <w:p>
            <w:pPr>
              <w:jc w:val="center"/>
              <w:rPr>
                <w:rFonts w:hint="eastAsia" w:ascii="宋体" w:hAnsi="宋体" w:cs="宋体"/>
                <w:color w:val="000000"/>
                <w:szCs w:val="21"/>
                <w:highlight w:val="none"/>
              </w:rPr>
            </w:pPr>
          </w:p>
        </w:tc>
        <w:tc>
          <w:tcPr>
            <w:tcW w:w="895" w:type="dxa"/>
            <w:vMerge w:val="continue"/>
            <w:noWrap w:val="0"/>
            <w:vAlign w:val="center"/>
          </w:tcPr>
          <w:p>
            <w:pPr>
              <w:jc w:val="center"/>
              <w:rPr>
                <w:rFonts w:hint="eastAsia" w:ascii="宋体" w:hAnsi="宋体" w:cs="宋体"/>
                <w:color w:val="000000"/>
                <w:szCs w:val="21"/>
                <w:highlight w:val="none"/>
              </w:rPr>
            </w:pPr>
          </w:p>
        </w:tc>
        <w:tc>
          <w:tcPr>
            <w:tcW w:w="5106" w:type="dxa"/>
            <w:gridSpan w:val="3"/>
            <w:noWrap w:val="0"/>
            <w:vAlign w:val="center"/>
          </w:tcPr>
          <w:p>
            <w:pPr>
              <w:widowControl/>
              <w:jc w:val="left"/>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6、消防喷淋：每年保养一次，管道表面无生锈现象，颜色一致。</w:t>
            </w:r>
          </w:p>
        </w:tc>
        <w:tc>
          <w:tcPr>
            <w:tcW w:w="3557" w:type="dxa"/>
            <w:vMerge w:val="continue"/>
            <w:noWrap w:val="0"/>
            <w:vAlign w:val="center"/>
          </w:tcPr>
          <w:p>
            <w:pPr>
              <w:jc w:val="left"/>
              <w:rPr>
                <w:rFonts w:hint="eastAsia" w:ascii="宋体" w:hAnsi="宋体" w:cs="宋体"/>
                <w:color w:val="00000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94" w:hRule="atLeast"/>
          <w:jc w:val="center"/>
        </w:trPr>
        <w:tc>
          <w:tcPr>
            <w:tcW w:w="542" w:type="dxa"/>
            <w:vMerge w:val="continue"/>
            <w:noWrap w:val="0"/>
            <w:vAlign w:val="center"/>
          </w:tcPr>
          <w:p>
            <w:pPr>
              <w:jc w:val="center"/>
              <w:rPr>
                <w:rFonts w:hint="eastAsia" w:ascii="宋体" w:hAnsi="宋体" w:cs="宋体"/>
                <w:color w:val="000000"/>
                <w:szCs w:val="21"/>
                <w:highlight w:val="none"/>
              </w:rPr>
            </w:pPr>
          </w:p>
        </w:tc>
        <w:tc>
          <w:tcPr>
            <w:tcW w:w="895" w:type="dxa"/>
            <w:vMerge w:val="continue"/>
            <w:noWrap w:val="0"/>
            <w:vAlign w:val="center"/>
          </w:tcPr>
          <w:p>
            <w:pPr>
              <w:jc w:val="center"/>
              <w:rPr>
                <w:rFonts w:hint="eastAsia" w:ascii="宋体" w:hAnsi="宋体" w:cs="宋体"/>
                <w:color w:val="000000"/>
                <w:szCs w:val="21"/>
                <w:highlight w:val="none"/>
              </w:rPr>
            </w:pPr>
          </w:p>
        </w:tc>
        <w:tc>
          <w:tcPr>
            <w:tcW w:w="5106" w:type="dxa"/>
            <w:gridSpan w:val="3"/>
            <w:noWrap w:val="0"/>
            <w:vAlign w:val="center"/>
          </w:tcPr>
          <w:p>
            <w:pPr>
              <w:widowControl/>
              <w:jc w:val="left"/>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7、消防仪表：每周巡查，压力正常。</w:t>
            </w:r>
          </w:p>
        </w:tc>
        <w:tc>
          <w:tcPr>
            <w:tcW w:w="3557" w:type="dxa"/>
            <w:vMerge w:val="continue"/>
            <w:noWrap w:val="0"/>
            <w:vAlign w:val="center"/>
          </w:tcPr>
          <w:p>
            <w:pPr>
              <w:jc w:val="left"/>
              <w:rPr>
                <w:rFonts w:hint="eastAsia" w:ascii="宋体" w:hAnsi="宋体" w:cs="宋体"/>
                <w:color w:val="00000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657" w:hRule="atLeast"/>
          <w:jc w:val="center"/>
        </w:trPr>
        <w:tc>
          <w:tcPr>
            <w:tcW w:w="542" w:type="dxa"/>
            <w:vMerge w:val="continue"/>
            <w:tcBorders>
              <w:bottom w:val="single" w:color="auto" w:sz="4" w:space="0"/>
            </w:tcBorders>
            <w:noWrap w:val="0"/>
            <w:vAlign w:val="center"/>
          </w:tcPr>
          <w:p>
            <w:pPr>
              <w:jc w:val="center"/>
              <w:rPr>
                <w:rFonts w:hint="eastAsia" w:ascii="宋体" w:hAnsi="宋体" w:cs="宋体"/>
                <w:color w:val="000000"/>
                <w:szCs w:val="21"/>
                <w:highlight w:val="none"/>
              </w:rPr>
            </w:pPr>
          </w:p>
        </w:tc>
        <w:tc>
          <w:tcPr>
            <w:tcW w:w="895" w:type="dxa"/>
            <w:vMerge w:val="continue"/>
            <w:tcBorders>
              <w:bottom w:val="single" w:color="auto" w:sz="4" w:space="0"/>
            </w:tcBorders>
            <w:noWrap w:val="0"/>
            <w:vAlign w:val="center"/>
          </w:tcPr>
          <w:p>
            <w:pPr>
              <w:jc w:val="center"/>
              <w:rPr>
                <w:rFonts w:hint="eastAsia" w:ascii="宋体" w:hAnsi="宋体" w:cs="宋体"/>
                <w:color w:val="000000"/>
                <w:szCs w:val="21"/>
                <w:highlight w:val="none"/>
              </w:rPr>
            </w:pPr>
          </w:p>
        </w:tc>
        <w:tc>
          <w:tcPr>
            <w:tcW w:w="5106" w:type="dxa"/>
            <w:gridSpan w:val="3"/>
            <w:tcBorders>
              <w:bottom w:val="single" w:color="auto" w:sz="4" w:space="0"/>
            </w:tcBorders>
            <w:noWrap w:val="0"/>
            <w:vAlign w:val="center"/>
          </w:tcPr>
          <w:p>
            <w:pPr>
              <w:widowControl/>
              <w:jc w:val="left"/>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8、消控室：保证监控系统、灯光系统、消防系统、背景音乐系统运行正常，各系统工作稳定；一般性故障立即排除，维修合格率100%，暂时不能处理的需4小时内通知有关部门采取应急措施，应急措施得当有效；定期进行消防普查；设备机房整洁；保证设备机房的安全。</w:t>
            </w:r>
          </w:p>
        </w:tc>
        <w:tc>
          <w:tcPr>
            <w:tcW w:w="3557" w:type="dxa"/>
            <w:tcBorders>
              <w:bottom w:val="single" w:color="auto" w:sz="4" w:space="0"/>
            </w:tcBorders>
            <w:noWrap w:val="0"/>
            <w:vAlign w:val="center"/>
          </w:tcPr>
          <w:p>
            <w:pPr>
              <w:widowControl/>
              <w:jc w:val="left"/>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每发现一处不符合扣1分；发现3处以上不符合，一次性扣3分；5处以上不符合，一次性扣5分；合格率每降低1个百分点扣0.3分，上不封顶；如因此造成重大事故或损失，我方可追究物业公司责任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14" w:hRule="atLeast"/>
          <w:jc w:val="center"/>
        </w:trPr>
        <w:tc>
          <w:tcPr>
            <w:tcW w:w="10100" w:type="dxa"/>
            <w:gridSpan w:val="6"/>
            <w:tcBorders>
              <w:bottom w:val="single" w:color="auto" w:sz="4" w:space="0"/>
            </w:tcBorders>
            <w:noWrap w:val="0"/>
            <w:vAlign w:val="center"/>
          </w:tcPr>
          <w:p>
            <w:pPr>
              <w:widowControl/>
              <w:jc w:val="center"/>
              <w:textAlignment w:val="center"/>
              <w:rPr>
                <w:rFonts w:hint="eastAsia" w:ascii="宋体" w:hAnsi="宋体" w:cs="宋体"/>
                <w:b/>
                <w:color w:val="000000"/>
                <w:kern w:val="0"/>
                <w:szCs w:val="21"/>
                <w:highlight w:val="none"/>
                <w:lang w:eastAsia="zh-CN" w:bidi="ar"/>
              </w:rPr>
            </w:pPr>
            <w:r>
              <w:rPr>
                <w:rFonts w:hint="eastAsia" w:ascii="宋体" w:hAnsi="宋体" w:cs="宋体"/>
                <w:b/>
                <w:color w:val="000000"/>
                <w:kern w:val="0"/>
                <w:szCs w:val="21"/>
                <w:highlight w:val="none"/>
                <w:lang w:eastAsia="zh-CN" w:bidi="ar"/>
              </w:rPr>
              <w:t>五</w:t>
            </w:r>
            <w:r>
              <w:rPr>
                <w:rFonts w:hint="eastAsia" w:ascii="宋体" w:hAnsi="宋体" w:cs="宋体"/>
                <w:b/>
                <w:color w:val="000000"/>
                <w:kern w:val="0"/>
                <w:szCs w:val="21"/>
                <w:highlight w:val="none"/>
                <w:lang w:bidi="ar"/>
              </w:rPr>
              <w:t>、加分项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94" w:hRule="atLeast"/>
          <w:jc w:val="center"/>
        </w:trPr>
        <w:tc>
          <w:tcPr>
            <w:tcW w:w="1437" w:type="dxa"/>
            <w:gridSpan w:val="2"/>
            <w:noWrap w:val="0"/>
            <w:vAlign w:val="center"/>
          </w:tcPr>
          <w:p>
            <w:pPr>
              <w:jc w:val="center"/>
              <w:rPr>
                <w:rFonts w:hint="eastAsia" w:ascii="宋体" w:hAnsi="宋体" w:cs="宋体"/>
                <w:b/>
                <w:color w:val="000000"/>
                <w:szCs w:val="21"/>
                <w:highlight w:val="none"/>
              </w:rPr>
            </w:pPr>
            <w:r>
              <w:rPr>
                <w:rFonts w:hint="eastAsia" w:ascii="宋体" w:hAnsi="宋体" w:cs="宋体"/>
                <w:b/>
                <w:color w:val="000000"/>
                <w:szCs w:val="21"/>
                <w:highlight w:val="none"/>
              </w:rPr>
              <w:t>序号</w:t>
            </w:r>
          </w:p>
        </w:tc>
        <w:tc>
          <w:tcPr>
            <w:tcW w:w="5106" w:type="dxa"/>
            <w:gridSpan w:val="3"/>
            <w:noWrap w:val="0"/>
            <w:vAlign w:val="center"/>
          </w:tcPr>
          <w:p>
            <w:pPr>
              <w:widowControl/>
              <w:jc w:val="center"/>
              <w:textAlignment w:val="center"/>
              <w:rPr>
                <w:rFonts w:hint="eastAsia" w:ascii="宋体" w:hAnsi="宋体" w:cs="宋体"/>
                <w:b/>
                <w:kern w:val="0"/>
                <w:szCs w:val="21"/>
                <w:highlight w:val="none"/>
                <w:lang w:bidi="ar"/>
              </w:rPr>
            </w:pPr>
            <w:r>
              <w:rPr>
                <w:rFonts w:hint="eastAsia" w:ascii="宋体" w:hAnsi="宋体" w:cs="宋体"/>
                <w:b/>
                <w:kern w:val="0"/>
                <w:szCs w:val="21"/>
                <w:highlight w:val="none"/>
                <w:lang w:bidi="ar"/>
              </w:rPr>
              <w:t>加分内容</w:t>
            </w:r>
          </w:p>
        </w:tc>
        <w:tc>
          <w:tcPr>
            <w:tcW w:w="3557" w:type="dxa"/>
            <w:noWrap w:val="0"/>
            <w:vAlign w:val="center"/>
          </w:tcPr>
          <w:p>
            <w:pPr>
              <w:widowControl/>
              <w:jc w:val="center"/>
              <w:textAlignment w:val="center"/>
              <w:rPr>
                <w:rFonts w:hint="eastAsia" w:ascii="宋体" w:hAnsi="宋体" w:cs="宋体"/>
                <w:b/>
                <w:color w:val="000000"/>
                <w:kern w:val="0"/>
                <w:szCs w:val="21"/>
                <w:highlight w:val="none"/>
                <w:lang w:bidi="ar"/>
              </w:rPr>
            </w:pPr>
            <w:r>
              <w:rPr>
                <w:rFonts w:hint="eastAsia" w:ascii="宋体" w:hAnsi="宋体" w:cs="宋体"/>
                <w:b/>
                <w:color w:val="000000"/>
                <w:kern w:val="0"/>
                <w:szCs w:val="21"/>
                <w:highlight w:val="none"/>
                <w:lang w:bidi="ar"/>
              </w:rPr>
              <w:t>评分细则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97" w:hRule="exact"/>
          <w:jc w:val="center"/>
        </w:trPr>
        <w:tc>
          <w:tcPr>
            <w:tcW w:w="1437" w:type="dxa"/>
            <w:gridSpan w:val="2"/>
            <w:noWrap w:val="0"/>
            <w:vAlign w:val="center"/>
          </w:tcPr>
          <w:p>
            <w:pPr>
              <w:widowControl/>
              <w:jc w:val="center"/>
              <w:textAlignment w:val="center"/>
              <w:rPr>
                <w:rFonts w:hint="eastAsia" w:ascii="宋体" w:hAnsi="宋体" w:cs="宋体"/>
                <w:color w:val="000000"/>
                <w:kern w:val="0"/>
                <w:szCs w:val="21"/>
                <w:highlight w:val="none"/>
                <w:lang w:bidi="ar"/>
              </w:rPr>
            </w:pPr>
            <w:r>
              <w:rPr>
                <w:rFonts w:hint="eastAsia" w:ascii="宋体" w:hAnsi="宋体" w:cs="宋体"/>
                <w:color w:val="000000"/>
                <w:kern w:val="0"/>
                <w:szCs w:val="21"/>
                <w:highlight w:val="none"/>
                <w:lang w:bidi="ar"/>
              </w:rPr>
              <w:t>1</w:t>
            </w:r>
          </w:p>
        </w:tc>
        <w:tc>
          <w:tcPr>
            <w:tcW w:w="5106" w:type="dxa"/>
            <w:gridSpan w:val="3"/>
            <w:noWrap w:val="0"/>
            <w:vAlign w:val="center"/>
          </w:tcPr>
          <w:p>
            <w:pPr>
              <w:widowControl/>
              <w:jc w:val="left"/>
              <w:textAlignment w:val="center"/>
              <w:rPr>
                <w:rFonts w:hint="eastAsia" w:ascii="宋体" w:hAnsi="宋体" w:cs="宋体"/>
                <w:color w:val="000000"/>
                <w:kern w:val="0"/>
                <w:szCs w:val="21"/>
                <w:highlight w:val="none"/>
                <w:lang w:bidi="ar"/>
              </w:rPr>
            </w:pPr>
            <w:r>
              <w:rPr>
                <w:rFonts w:hint="eastAsia" w:ascii="宋体" w:hAnsi="宋体" w:cs="宋体"/>
                <w:color w:val="000000"/>
                <w:kern w:val="0"/>
                <w:szCs w:val="21"/>
                <w:highlight w:val="none"/>
                <w:lang w:bidi="ar"/>
              </w:rPr>
              <w:t>受政府机关等服务对象书面表扬。</w:t>
            </w:r>
          </w:p>
        </w:tc>
        <w:tc>
          <w:tcPr>
            <w:tcW w:w="3557" w:type="dxa"/>
            <w:vMerge w:val="restart"/>
            <w:noWrap w:val="0"/>
            <w:vAlign w:val="center"/>
          </w:tcPr>
          <w:p>
            <w:pPr>
              <w:widowControl/>
              <w:jc w:val="left"/>
              <w:textAlignment w:val="center"/>
              <w:rPr>
                <w:rFonts w:hint="eastAsia" w:ascii="宋体" w:hAnsi="宋体" w:cs="宋体"/>
                <w:color w:val="000000"/>
                <w:kern w:val="0"/>
                <w:szCs w:val="21"/>
                <w:highlight w:val="none"/>
                <w:lang w:bidi="ar"/>
              </w:rPr>
            </w:pPr>
            <w:r>
              <w:rPr>
                <w:rFonts w:hint="eastAsia" w:ascii="宋体" w:hAnsi="宋体" w:cs="宋体"/>
                <w:color w:val="000000"/>
                <w:kern w:val="0"/>
                <w:szCs w:val="21"/>
                <w:highlight w:val="none"/>
                <w:lang w:bidi="ar"/>
              </w:rPr>
              <w:t>核实1处，加一分，每月上限加5分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97" w:hRule="exact"/>
          <w:jc w:val="center"/>
        </w:trPr>
        <w:tc>
          <w:tcPr>
            <w:tcW w:w="1437" w:type="dxa"/>
            <w:gridSpan w:val="2"/>
            <w:noWrap w:val="0"/>
            <w:vAlign w:val="center"/>
          </w:tcPr>
          <w:p>
            <w:pPr>
              <w:widowControl/>
              <w:jc w:val="center"/>
              <w:textAlignment w:val="center"/>
              <w:rPr>
                <w:rFonts w:hint="eastAsia" w:ascii="宋体" w:hAnsi="宋体" w:cs="宋体"/>
                <w:color w:val="000000"/>
                <w:kern w:val="0"/>
                <w:szCs w:val="21"/>
                <w:highlight w:val="none"/>
                <w:lang w:bidi="ar"/>
              </w:rPr>
            </w:pPr>
            <w:r>
              <w:rPr>
                <w:rFonts w:hint="eastAsia" w:ascii="宋体" w:hAnsi="宋体" w:cs="宋体"/>
                <w:color w:val="000000"/>
                <w:kern w:val="0"/>
                <w:szCs w:val="21"/>
                <w:highlight w:val="none"/>
                <w:lang w:bidi="ar"/>
              </w:rPr>
              <w:t>2</w:t>
            </w:r>
          </w:p>
        </w:tc>
        <w:tc>
          <w:tcPr>
            <w:tcW w:w="5106" w:type="dxa"/>
            <w:gridSpan w:val="3"/>
            <w:noWrap w:val="0"/>
            <w:vAlign w:val="center"/>
          </w:tcPr>
          <w:p>
            <w:pPr>
              <w:widowControl/>
              <w:jc w:val="left"/>
              <w:textAlignment w:val="center"/>
              <w:rPr>
                <w:rFonts w:hint="eastAsia" w:ascii="宋体" w:hAnsi="宋体" w:cs="宋体"/>
                <w:color w:val="000000"/>
                <w:kern w:val="0"/>
                <w:szCs w:val="21"/>
                <w:highlight w:val="none"/>
                <w:lang w:bidi="ar"/>
              </w:rPr>
            </w:pPr>
            <w:r>
              <w:rPr>
                <w:rFonts w:hint="eastAsia" w:ascii="宋体" w:hAnsi="宋体" w:cs="宋体"/>
                <w:color w:val="000000"/>
                <w:kern w:val="0"/>
                <w:szCs w:val="21"/>
                <w:highlight w:val="none"/>
                <w:lang w:bidi="ar"/>
              </w:rPr>
              <w:t>因好人好事、拾金不昧、见义勇为等收到感谢信、锦旗。</w:t>
            </w:r>
          </w:p>
        </w:tc>
        <w:tc>
          <w:tcPr>
            <w:tcW w:w="3557" w:type="dxa"/>
            <w:vMerge w:val="continue"/>
            <w:noWrap w:val="0"/>
            <w:vAlign w:val="center"/>
          </w:tcPr>
          <w:p>
            <w:pPr>
              <w:widowControl/>
              <w:jc w:val="left"/>
              <w:textAlignment w:val="center"/>
              <w:rPr>
                <w:rFonts w:hint="eastAsia" w:ascii="宋体" w:hAnsi="宋体" w:cs="宋体"/>
                <w:color w:val="000000"/>
                <w:kern w:val="0"/>
                <w:szCs w:val="21"/>
                <w:highlight w:val="none"/>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97" w:hRule="exact"/>
          <w:jc w:val="center"/>
        </w:trPr>
        <w:tc>
          <w:tcPr>
            <w:tcW w:w="1437" w:type="dxa"/>
            <w:gridSpan w:val="2"/>
            <w:noWrap w:val="0"/>
            <w:vAlign w:val="center"/>
          </w:tcPr>
          <w:p>
            <w:pPr>
              <w:widowControl/>
              <w:jc w:val="center"/>
              <w:textAlignment w:val="center"/>
              <w:rPr>
                <w:rFonts w:hint="eastAsia" w:ascii="宋体" w:hAnsi="宋体" w:cs="宋体"/>
                <w:color w:val="000000"/>
                <w:kern w:val="0"/>
                <w:szCs w:val="21"/>
                <w:highlight w:val="none"/>
                <w:lang w:bidi="ar"/>
              </w:rPr>
            </w:pPr>
            <w:r>
              <w:rPr>
                <w:rFonts w:hint="eastAsia" w:ascii="宋体" w:hAnsi="宋体" w:cs="宋体"/>
                <w:color w:val="000000"/>
                <w:kern w:val="0"/>
                <w:szCs w:val="21"/>
                <w:highlight w:val="none"/>
                <w:lang w:bidi="ar"/>
              </w:rPr>
              <w:t>3</w:t>
            </w:r>
          </w:p>
        </w:tc>
        <w:tc>
          <w:tcPr>
            <w:tcW w:w="5106" w:type="dxa"/>
            <w:gridSpan w:val="3"/>
            <w:noWrap w:val="0"/>
            <w:vAlign w:val="center"/>
          </w:tcPr>
          <w:p>
            <w:pPr>
              <w:widowControl/>
              <w:jc w:val="left"/>
              <w:textAlignment w:val="center"/>
              <w:rPr>
                <w:rFonts w:hint="eastAsia" w:ascii="宋体" w:hAnsi="宋体" w:cs="宋体"/>
                <w:color w:val="000000"/>
                <w:kern w:val="0"/>
                <w:szCs w:val="21"/>
                <w:highlight w:val="none"/>
                <w:lang w:bidi="ar"/>
              </w:rPr>
            </w:pPr>
            <w:r>
              <w:rPr>
                <w:rFonts w:hint="eastAsia" w:ascii="宋体" w:hAnsi="宋体" w:cs="宋体"/>
                <w:color w:val="000000"/>
                <w:kern w:val="0"/>
                <w:szCs w:val="21"/>
                <w:highlight w:val="none"/>
                <w:shd w:val="clear" w:color="auto" w:fill="FFFFFF"/>
                <w:lang w:bidi="ar"/>
              </w:rPr>
              <w:t>配合完成重大接待、活动等事宜。</w:t>
            </w:r>
          </w:p>
        </w:tc>
        <w:tc>
          <w:tcPr>
            <w:tcW w:w="3557" w:type="dxa"/>
            <w:vMerge w:val="continue"/>
            <w:noWrap w:val="0"/>
            <w:vAlign w:val="center"/>
          </w:tcPr>
          <w:p>
            <w:pPr>
              <w:widowControl/>
              <w:jc w:val="left"/>
              <w:textAlignment w:val="center"/>
              <w:rPr>
                <w:rFonts w:hint="eastAsia" w:ascii="宋体" w:hAnsi="宋体" w:cs="宋体"/>
                <w:color w:val="000000"/>
                <w:kern w:val="0"/>
                <w:szCs w:val="21"/>
                <w:highlight w:val="none"/>
                <w:lang w:bidi="ar"/>
              </w:rPr>
            </w:pPr>
          </w:p>
        </w:tc>
      </w:tr>
    </w:tbl>
    <w:p>
      <w:pPr>
        <w:rPr>
          <w:bCs/>
          <w:highlight w:val="none"/>
        </w:rPr>
      </w:pPr>
      <w:r>
        <w:rPr>
          <w:rFonts w:hint="eastAsia"/>
          <w:bCs/>
          <w:highlight w:val="none"/>
        </w:rPr>
        <w:t>备注：</w:t>
      </w:r>
    </w:p>
    <w:p>
      <w:pPr>
        <w:rPr>
          <w:bCs/>
          <w:color w:val="auto"/>
          <w:highlight w:val="none"/>
        </w:rPr>
      </w:pPr>
      <w:r>
        <w:rPr>
          <w:rFonts w:hint="eastAsia"/>
          <w:bCs/>
          <w:highlight w:val="none"/>
        </w:rPr>
        <w:t>1.对发生重大安全事故实行一票否决制（即甲方可单方面解除《物业服务合同》），并追究物业管理公司班子相关成员及直接责任</w:t>
      </w:r>
      <w:r>
        <w:rPr>
          <w:rFonts w:hint="eastAsia"/>
          <w:bCs/>
          <w:color w:val="auto"/>
          <w:highlight w:val="none"/>
        </w:rPr>
        <w:t>人的责任，同时由乙方承担该事故对甲方造成的一切损失。</w:t>
      </w:r>
    </w:p>
    <w:p>
      <w:pPr>
        <w:rPr>
          <w:bCs/>
          <w:color w:val="auto"/>
          <w:highlight w:val="none"/>
        </w:rPr>
      </w:pPr>
      <w:r>
        <w:rPr>
          <w:rFonts w:hint="eastAsia"/>
          <w:bCs/>
          <w:color w:val="auto"/>
          <w:highlight w:val="none"/>
        </w:rPr>
        <w:t>2.对检查考核中发现的问题，如乙方未能在限期内整改完毕，可按本办法对乙方进行加倍处罚。</w:t>
      </w:r>
    </w:p>
    <w:p>
      <w:pPr>
        <w:rPr>
          <w:bCs/>
          <w:color w:val="auto"/>
          <w:highlight w:val="none"/>
        </w:rPr>
      </w:pPr>
      <w:r>
        <w:rPr>
          <w:rFonts w:hint="eastAsia"/>
          <w:bCs/>
          <w:color w:val="auto"/>
          <w:highlight w:val="none"/>
        </w:rPr>
        <w:t>3.若</w:t>
      </w:r>
      <w:r>
        <w:rPr>
          <w:rFonts w:hint="eastAsia"/>
          <w:bCs/>
          <w:color w:val="auto"/>
          <w:highlight w:val="none"/>
          <w:lang w:val="en-US" w:eastAsia="zh-CN"/>
        </w:rPr>
        <w:t>采购方</w:t>
      </w:r>
      <w:r>
        <w:rPr>
          <w:rFonts w:hint="eastAsia"/>
          <w:bCs/>
          <w:color w:val="auto"/>
          <w:highlight w:val="none"/>
        </w:rPr>
        <w:t>集团公司或相关上级部门在检查过程中发现有不符合服务标准的内容，分数按评分细则标准的三倍扣除。</w:t>
      </w:r>
    </w:p>
    <w:p>
      <w:pPr>
        <w:rPr>
          <w:bCs/>
          <w:color w:val="auto"/>
          <w:highlight w:val="none"/>
        </w:rPr>
      </w:pPr>
      <w:r>
        <w:rPr>
          <w:rFonts w:hint="eastAsia"/>
          <w:bCs/>
          <w:color w:val="auto"/>
          <w:highlight w:val="none"/>
        </w:rPr>
        <w:t>4.物业服务人员数量不得少于招标文件要求</w:t>
      </w:r>
      <w:r>
        <w:rPr>
          <w:rFonts w:hint="eastAsia"/>
          <w:color w:val="auto"/>
          <w:highlight w:val="none"/>
        </w:rPr>
        <w:t>。</w:t>
      </w:r>
    </w:p>
    <w:p>
      <w:pPr>
        <w:rPr>
          <w:rFonts w:hint="eastAsia" w:ascii="Times New Roman" w:hAnsi="Times New Roman" w:eastAsia="宋体" w:cs="Times New Roman"/>
          <w:bCs/>
          <w:color w:val="auto"/>
          <w:highlight w:val="none"/>
        </w:rPr>
      </w:pPr>
      <w:r>
        <w:rPr>
          <w:rFonts w:hint="eastAsia"/>
          <w:bCs/>
          <w:color w:val="auto"/>
          <w:highlight w:val="none"/>
        </w:rPr>
        <w:t>5.每月基</w:t>
      </w:r>
      <w:r>
        <w:rPr>
          <w:rFonts w:hint="eastAsia" w:ascii="Times New Roman" w:hAnsi="Times New Roman" w:eastAsia="宋体" w:cs="Times New Roman"/>
          <w:bCs/>
          <w:color w:val="auto"/>
          <w:highlight w:val="none"/>
        </w:rPr>
        <w:t>础分为100分，考核分数为</w:t>
      </w:r>
      <w:r>
        <w:rPr>
          <w:rFonts w:hint="eastAsia" w:ascii="Times New Roman" w:hAnsi="Times New Roman" w:eastAsia="宋体" w:cs="Times New Roman"/>
          <w:bCs/>
          <w:color w:val="auto"/>
          <w:highlight w:val="none"/>
          <w:lang w:val="en-US" w:eastAsia="zh-CN"/>
        </w:rPr>
        <w:t>8</w:t>
      </w:r>
      <w:r>
        <w:rPr>
          <w:rFonts w:hint="eastAsia" w:ascii="Times New Roman" w:hAnsi="Times New Roman" w:eastAsia="宋体" w:cs="Times New Roman"/>
          <w:bCs/>
          <w:color w:val="auto"/>
          <w:highlight w:val="none"/>
        </w:rPr>
        <w:t>0分（含）以上的为合格；考核分数低于</w:t>
      </w:r>
      <w:r>
        <w:rPr>
          <w:rFonts w:hint="eastAsia" w:ascii="Times New Roman" w:hAnsi="Times New Roman" w:eastAsia="宋体" w:cs="Times New Roman"/>
          <w:bCs/>
          <w:color w:val="auto"/>
          <w:highlight w:val="none"/>
          <w:lang w:val="en-US" w:eastAsia="zh-CN"/>
        </w:rPr>
        <w:t>8</w:t>
      </w:r>
      <w:r>
        <w:rPr>
          <w:rFonts w:hint="eastAsia" w:ascii="Times New Roman" w:hAnsi="Times New Roman" w:eastAsia="宋体" w:cs="Times New Roman"/>
          <w:bCs/>
          <w:color w:val="auto"/>
          <w:highlight w:val="none"/>
        </w:rPr>
        <w:t>0分，在</w:t>
      </w:r>
      <w:r>
        <w:rPr>
          <w:rFonts w:hint="eastAsia" w:ascii="Times New Roman" w:hAnsi="Times New Roman" w:eastAsia="宋体" w:cs="Times New Roman"/>
          <w:bCs/>
          <w:color w:val="auto"/>
          <w:highlight w:val="none"/>
          <w:lang w:val="en-US" w:eastAsia="zh-CN"/>
        </w:rPr>
        <w:t>7</w:t>
      </w:r>
      <w:r>
        <w:rPr>
          <w:rFonts w:hint="eastAsia" w:ascii="Times New Roman" w:hAnsi="Times New Roman" w:eastAsia="宋体" w:cs="Times New Roman"/>
          <w:bCs/>
          <w:color w:val="auto"/>
          <w:highlight w:val="none"/>
        </w:rPr>
        <w:t>5分（含）以上的，以</w:t>
      </w:r>
      <w:r>
        <w:rPr>
          <w:rFonts w:hint="eastAsia" w:ascii="Times New Roman" w:hAnsi="Times New Roman" w:eastAsia="宋体" w:cs="Times New Roman"/>
          <w:bCs/>
          <w:color w:val="auto"/>
          <w:highlight w:val="none"/>
          <w:lang w:val="en-US" w:eastAsia="zh-CN"/>
        </w:rPr>
        <w:t>8</w:t>
      </w:r>
      <w:r>
        <w:rPr>
          <w:rFonts w:hint="eastAsia" w:ascii="Times New Roman" w:hAnsi="Times New Roman" w:eastAsia="宋体" w:cs="Times New Roman"/>
          <w:bCs/>
          <w:color w:val="auto"/>
          <w:highlight w:val="none"/>
        </w:rPr>
        <w:t>0分为扣款基数每少1分扣</w:t>
      </w:r>
      <w:r>
        <w:rPr>
          <w:rFonts w:hint="eastAsia" w:ascii="Times New Roman" w:hAnsi="Times New Roman" w:eastAsia="宋体" w:cs="Times New Roman"/>
          <w:bCs/>
          <w:color w:val="auto"/>
          <w:highlight w:val="none"/>
          <w:lang w:val="en-US" w:eastAsia="zh-CN"/>
        </w:rPr>
        <w:t>2</w:t>
      </w:r>
      <w:r>
        <w:rPr>
          <w:rFonts w:hint="eastAsia" w:ascii="Times New Roman" w:hAnsi="Times New Roman" w:eastAsia="宋体" w:cs="Times New Roman"/>
          <w:bCs/>
          <w:color w:val="auto"/>
          <w:highlight w:val="none"/>
        </w:rPr>
        <w:t>000元；考核分数低于</w:t>
      </w:r>
      <w:r>
        <w:rPr>
          <w:rFonts w:hint="eastAsia" w:ascii="Times New Roman" w:hAnsi="Times New Roman" w:eastAsia="宋体" w:cs="Times New Roman"/>
          <w:bCs/>
          <w:color w:val="auto"/>
          <w:highlight w:val="none"/>
          <w:lang w:val="en-US" w:eastAsia="zh-CN"/>
        </w:rPr>
        <w:t>7</w:t>
      </w:r>
      <w:r>
        <w:rPr>
          <w:rFonts w:hint="eastAsia" w:ascii="Times New Roman" w:hAnsi="Times New Roman" w:eastAsia="宋体" w:cs="Times New Roman"/>
          <w:bCs/>
          <w:color w:val="auto"/>
          <w:highlight w:val="none"/>
        </w:rPr>
        <w:t>5分（不含）的，以</w:t>
      </w:r>
      <w:r>
        <w:rPr>
          <w:rFonts w:hint="eastAsia" w:ascii="Times New Roman" w:hAnsi="Times New Roman" w:eastAsia="宋体" w:cs="Times New Roman"/>
          <w:bCs/>
          <w:color w:val="auto"/>
          <w:highlight w:val="none"/>
          <w:lang w:val="en-US" w:eastAsia="zh-CN"/>
        </w:rPr>
        <w:t>8</w:t>
      </w:r>
      <w:r>
        <w:rPr>
          <w:rFonts w:hint="eastAsia" w:ascii="Times New Roman" w:hAnsi="Times New Roman" w:eastAsia="宋体" w:cs="Times New Roman"/>
          <w:bCs/>
          <w:color w:val="auto"/>
          <w:highlight w:val="none"/>
        </w:rPr>
        <w:t>0分为扣款基数，每少1分扣</w:t>
      </w:r>
      <w:r>
        <w:rPr>
          <w:rFonts w:hint="eastAsia" w:ascii="Times New Roman" w:hAnsi="Times New Roman" w:eastAsia="宋体" w:cs="Times New Roman"/>
          <w:bCs/>
          <w:color w:val="auto"/>
          <w:highlight w:val="none"/>
          <w:lang w:val="en-US" w:eastAsia="zh-CN"/>
        </w:rPr>
        <w:t>4</w:t>
      </w:r>
      <w:r>
        <w:rPr>
          <w:rFonts w:hint="eastAsia" w:ascii="Times New Roman" w:hAnsi="Times New Roman" w:eastAsia="宋体" w:cs="Times New Roman"/>
          <w:bCs/>
          <w:color w:val="auto"/>
          <w:highlight w:val="none"/>
        </w:rPr>
        <w:t>000元。年度累计三个月或连续两个月的月度考核结果低于</w:t>
      </w:r>
      <w:r>
        <w:rPr>
          <w:rFonts w:hint="eastAsia" w:ascii="Times New Roman" w:hAnsi="Times New Roman" w:eastAsia="宋体" w:cs="Times New Roman"/>
          <w:bCs/>
          <w:color w:val="auto"/>
          <w:highlight w:val="none"/>
          <w:lang w:val="en-US" w:eastAsia="zh-CN"/>
        </w:rPr>
        <w:t>7</w:t>
      </w:r>
      <w:r>
        <w:rPr>
          <w:rFonts w:hint="eastAsia" w:ascii="Times New Roman" w:hAnsi="Times New Roman" w:eastAsia="宋体" w:cs="Times New Roman"/>
          <w:bCs/>
          <w:color w:val="auto"/>
          <w:highlight w:val="none"/>
        </w:rPr>
        <w:t>5分的，甲方有权终止合同，并不再</w:t>
      </w:r>
      <w:r>
        <w:rPr>
          <w:rFonts w:hint="eastAsia" w:ascii="Times New Roman" w:hAnsi="Times New Roman" w:eastAsia="宋体" w:cs="Times New Roman"/>
          <w:bCs/>
          <w:color w:val="auto"/>
          <w:highlight w:val="none"/>
          <w:lang w:eastAsia="zh-CN"/>
        </w:rPr>
        <w:t>签订</w:t>
      </w:r>
      <w:r>
        <w:rPr>
          <w:rFonts w:hint="eastAsia" w:ascii="Times New Roman" w:hAnsi="Times New Roman" w:eastAsia="宋体" w:cs="Times New Roman"/>
          <w:bCs/>
          <w:color w:val="auto"/>
          <w:highlight w:val="none"/>
        </w:rPr>
        <w:t>下一年度合同。</w:t>
      </w:r>
    </w:p>
    <w:p>
      <w:pPr>
        <w:rPr>
          <w:rFonts w:hint="eastAsia" w:ascii="Times New Roman" w:hAnsi="Times New Roman" w:eastAsia="宋体" w:cs="Times New Roman"/>
          <w:bCs/>
          <w:highlight w:val="yellow"/>
        </w:rPr>
        <w:sectPr>
          <w:headerReference r:id="rId5" w:type="default"/>
          <w:footerReference r:id="rId6" w:type="default"/>
          <w:pgSz w:w="11906" w:h="16838"/>
          <w:pgMar w:top="993" w:right="1021" w:bottom="1361" w:left="1077" w:header="851" w:footer="992" w:gutter="0"/>
          <w:cols w:space="720" w:num="1"/>
          <w:titlePg/>
          <w:docGrid w:type="lines" w:linePitch="312" w:charSpace="0"/>
        </w:sectPr>
      </w:pPr>
    </w:p>
    <w:p>
      <w:pPr>
        <w:spacing w:line="570" w:lineRule="exact"/>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物业考核评分表</w:t>
      </w:r>
    </w:p>
    <w:p>
      <w:pPr>
        <w:spacing w:line="570" w:lineRule="exact"/>
        <w:jc w:val="right"/>
        <w:rPr>
          <w:rFonts w:hint="eastAsia" w:ascii="仿宋" w:hAnsi="仿宋" w:eastAsia="仿宋" w:cs="仿宋"/>
          <w:sz w:val="24"/>
        </w:rPr>
      </w:pPr>
      <w:r>
        <w:rPr>
          <w:rFonts w:hint="eastAsia" w:ascii="仿宋" w:hAnsi="仿宋" w:eastAsia="仿宋" w:cs="仿宋"/>
          <w:sz w:val="24"/>
        </w:rPr>
        <w:t>时间：      年  月  日</w:t>
      </w:r>
    </w:p>
    <w:tbl>
      <w:tblPr>
        <w:tblStyle w:val="3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9"/>
        <w:gridCol w:w="2107"/>
        <w:gridCol w:w="5063"/>
        <w:gridCol w:w="16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1" w:hRule="atLeast"/>
        </w:trPr>
        <w:tc>
          <w:tcPr>
            <w:tcW w:w="989"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 w:hAnsi="仿宋" w:eastAsia="仿宋" w:cs="仿宋"/>
                <w:b/>
                <w:sz w:val="24"/>
              </w:rPr>
            </w:pPr>
            <w:r>
              <w:rPr>
                <w:rFonts w:hint="eastAsia" w:ascii="仿宋" w:hAnsi="仿宋" w:eastAsia="仿宋" w:cs="仿宋"/>
                <w:b/>
                <w:sz w:val="24"/>
              </w:rPr>
              <w:t>项目</w:t>
            </w:r>
          </w:p>
        </w:tc>
        <w:tc>
          <w:tcPr>
            <w:tcW w:w="2107"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 w:hAnsi="仿宋" w:eastAsia="仿宋" w:cs="仿宋"/>
                <w:b/>
                <w:sz w:val="24"/>
              </w:rPr>
            </w:pPr>
            <w:r>
              <w:rPr>
                <w:rFonts w:hint="eastAsia" w:ascii="仿宋" w:hAnsi="仿宋" w:eastAsia="仿宋" w:cs="仿宋"/>
                <w:b/>
                <w:sz w:val="24"/>
              </w:rPr>
              <w:t>考核内容</w:t>
            </w:r>
          </w:p>
        </w:tc>
        <w:tc>
          <w:tcPr>
            <w:tcW w:w="5063"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 w:hAnsi="仿宋" w:eastAsia="仿宋" w:cs="仿宋"/>
                <w:b/>
                <w:sz w:val="24"/>
              </w:rPr>
            </w:pPr>
            <w:r>
              <w:rPr>
                <w:rFonts w:hint="eastAsia" w:ascii="仿宋" w:hAnsi="仿宋" w:eastAsia="仿宋" w:cs="仿宋"/>
                <w:b/>
                <w:sz w:val="24"/>
              </w:rPr>
              <w:t>扣分原因</w:t>
            </w:r>
          </w:p>
        </w:tc>
        <w:tc>
          <w:tcPr>
            <w:tcW w:w="1644"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 w:hAnsi="仿宋" w:eastAsia="仿宋" w:cs="仿宋"/>
                <w:b/>
                <w:sz w:val="24"/>
              </w:rPr>
            </w:pPr>
            <w:r>
              <w:rPr>
                <w:rFonts w:hint="eastAsia" w:ascii="仿宋" w:hAnsi="仿宋" w:eastAsia="仿宋" w:cs="仿宋"/>
                <w:b/>
                <w:sz w:val="24"/>
              </w:rPr>
              <w:t>扣分情况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3" w:hRule="exact"/>
        </w:trPr>
        <w:tc>
          <w:tcPr>
            <w:tcW w:w="989"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 w:hAnsi="仿宋" w:eastAsia="仿宋" w:cs="仿宋"/>
                <w:sz w:val="24"/>
              </w:rPr>
            </w:pPr>
            <w:r>
              <w:rPr>
                <w:rFonts w:hint="eastAsia" w:ascii="仿宋" w:hAnsi="仿宋" w:eastAsia="仿宋" w:cs="仿宋"/>
                <w:sz w:val="24"/>
              </w:rPr>
              <w:t>一</w:t>
            </w:r>
          </w:p>
        </w:tc>
        <w:tc>
          <w:tcPr>
            <w:tcW w:w="2107"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 w:hAnsi="仿宋" w:eastAsia="仿宋" w:cs="仿宋"/>
                <w:sz w:val="24"/>
              </w:rPr>
            </w:pPr>
            <w:r>
              <w:rPr>
                <w:rFonts w:hint="eastAsia" w:ascii="仿宋" w:hAnsi="仿宋" w:eastAsia="仿宋" w:cs="仿宋"/>
                <w:sz w:val="24"/>
              </w:rPr>
              <w:t>基础管理</w:t>
            </w:r>
          </w:p>
        </w:tc>
        <w:tc>
          <w:tcPr>
            <w:tcW w:w="5063"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 w:hAnsi="仿宋" w:eastAsia="仿宋" w:cs="仿宋"/>
                <w:sz w:val="24"/>
              </w:rPr>
            </w:pPr>
          </w:p>
        </w:tc>
        <w:tc>
          <w:tcPr>
            <w:tcW w:w="1644"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1" w:hRule="atLeast"/>
        </w:trPr>
        <w:tc>
          <w:tcPr>
            <w:tcW w:w="989"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 w:hAnsi="仿宋" w:eastAsia="仿宋" w:cs="仿宋"/>
                <w:sz w:val="24"/>
              </w:rPr>
            </w:pPr>
            <w:r>
              <w:rPr>
                <w:rFonts w:hint="eastAsia" w:ascii="仿宋" w:hAnsi="仿宋" w:eastAsia="仿宋" w:cs="仿宋"/>
                <w:sz w:val="24"/>
              </w:rPr>
              <w:t>二</w:t>
            </w:r>
          </w:p>
        </w:tc>
        <w:tc>
          <w:tcPr>
            <w:tcW w:w="2107"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 w:hAnsi="仿宋" w:eastAsia="仿宋" w:cs="仿宋"/>
                <w:sz w:val="24"/>
              </w:rPr>
            </w:pPr>
            <w:r>
              <w:rPr>
                <w:rFonts w:hint="eastAsia" w:ascii="仿宋" w:hAnsi="仿宋" w:eastAsia="仿宋" w:cs="仿宋"/>
                <w:sz w:val="24"/>
              </w:rPr>
              <w:t>环境卫生管理</w:t>
            </w:r>
          </w:p>
        </w:tc>
        <w:tc>
          <w:tcPr>
            <w:tcW w:w="5063"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 w:hAnsi="仿宋" w:eastAsia="仿宋" w:cs="仿宋"/>
                <w:sz w:val="24"/>
              </w:rPr>
            </w:pPr>
          </w:p>
        </w:tc>
        <w:tc>
          <w:tcPr>
            <w:tcW w:w="1644"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3" w:hRule="atLeast"/>
        </w:trPr>
        <w:tc>
          <w:tcPr>
            <w:tcW w:w="989"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 w:hAnsi="仿宋" w:eastAsia="仿宋" w:cs="仿宋"/>
                <w:sz w:val="24"/>
              </w:rPr>
            </w:pPr>
            <w:r>
              <w:rPr>
                <w:rFonts w:hint="eastAsia" w:ascii="仿宋" w:hAnsi="仿宋" w:eastAsia="仿宋" w:cs="仿宋"/>
                <w:sz w:val="24"/>
              </w:rPr>
              <w:t>三</w:t>
            </w:r>
          </w:p>
        </w:tc>
        <w:tc>
          <w:tcPr>
            <w:tcW w:w="2107"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 w:hAnsi="仿宋" w:eastAsia="仿宋" w:cs="仿宋"/>
                <w:sz w:val="24"/>
              </w:rPr>
            </w:pPr>
            <w:r>
              <w:rPr>
                <w:rFonts w:hint="eastAsia" w:ascii="仿宋" w:hAnsi="仿宋" w:eastAsia="仿宋" w:cs="仿宋"/>
                <w:sz w:val="24"/>
              </w:rPr>
              <w:t>安保及秩序维护</w:t>
            </w:r>
          </w:p>
        </w:tc>
        <w:tc>
          <w:tcPr>
            <w:tcW w:w="5063"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 w:hAnsi="仿宋" w:eastAsia="仿宋" w:cs="仿宋"/>
                <w:sz w:val="24"/>
              </w:rPr>
            </w:pPr>
          </w:p>
        </w:tc>
        <w:tc>
          <w:tcPr>
            <w:tcW w:w="1644"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9" w:hRule="atLeast"/>
        </w:trPr>
        <w:tc>
          <w:tcPr>
            <w:tcW w:w="989"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 w:hAnsi="仿宋" w:eastAsia="仿宋" w:cs="仿宋"/>
                <w:sz w:val="24"/>
              </w:rPr>
            </w:pPr>
            <w:r>
              <w:rPr>
                <w:rFonts w:hint="eastAsia" w:ascii="仿宋" w:hAnsi="仿宋" w:eastAsia="仿宋" w:cs="仿宋"/>
                <w:sz w:val="24"/>
              </w:rPr>
              <w:t>四</w:t>
            </w:r>
          </w:p>
        </w:tc>
        <w:tc>
          <w:tcPr>
            <w:tcW w:w="2107"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 w:hAnsi="仿宋" w:eastAsia="仿宋" w:cs="仿宋"/>
                <w:sz w:val="24"/>
              </w:rPr>
            </w:pPr>
            <w:r>
              <w:rPr>
                <w:rFonts w:hint="eastAsia" w:ascii="仿宋" w:hAnsi="仿宋" w:eastAsia="仿宋" w:cs="仿宋"/>
                <w:sz w:val="24"/>
              </w:rPr>
              <w:t>绿化养护</w:t>
            </w:r>
          </w:p>
        </w:tc>
        <w:tc>
          <w:tcPr>
            <w:tcW w:w="5063"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 w:hAnsi="仿宋" w:eastAsia="仿宋" w:cs="仿宋"/>
                <w:sz w:val="24"/>
              </w:rPr>
            </w:pPr>
          </w:p>
        </w:tc>
        <w:tc>
          <w:tcPr>
            <w:tcW w:w="1644"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2" w:hRule="atLeast"/>
        </w:trPr>
        <w:tc>
          <w:tcPr>
            <w:tcW w:w="989"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 w:hAnsi="仿宋" w:eastAsia="仿宋" w:cs="仿宋"/>
                <w:sz w:val="24"/>
              </w:rPr>
            </w:pPr>
            <w:r>
              <w:rPr>
                <w:rFonts w:hint="eastAsia" w:ascii="仿宋" w:hAnsi="仿宋" w:eastAsia="仿宋" w:cs="仿宋"/>
                <w:sz w:val="24"/>
              </w:rPr>
              <w:t>五</w:t>
            </w:r>
          </w:p>
        </w:tc>
        <w:tc>
          <w:tcPr>
            <w:tcW w:w="2107"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 w:hAnsi="仿宋" w:eastAsia="仿宋" w:cs="仿宋"/>
                <w:sz w:val="24"/>
              </w:rPr>
            </w:pPr>
            <w:r>
              <w:rPr>
                <w:rFonts w:hint="eastAsia" w:ascii="仿宋" w:hAnsi="仿宋" w:eastAsia="仿宋" w:cs="仿宋"/>
                <w:sz w:val="24"/>
              </w:rPr>
              <w:t>房屋及</w:t>
            </w:r>
            <w:r>
              <w:rPr>
                <w:rFonts w:hint="eastAsia" w:ascii="仿宋" w:hAnsi="仿宋" w:eastAsia="仿宋" w:cs="仿宋"/>
                <w:sz w:val="24"/>
                <w:lang w:eastAsia="zh-CN"/>
              </w:rPr>
              <w:t>公用设施</w:t>
            </w:r>
            <w:r>
              <w:rPr>
                <w:rFonts w:hint="eastAsia" w:ascii="仿宋" w:hAnsi="仿宋" w:eastAsia="仿宋" w:cs="仿宋"/>
                <w:sz w:val="24"/>
              </w:rPr>
              <w:t>设备管理</w:t>
            </w:r>
          </w:p>
        </w:tc>
        <w:tc>
          <w:tcPr>
            <w:tcW w:w="5063"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 w:hAnsi="仿宋" w:eastAsia="仿宋" w:cs="仿宋"/>
                <w:sz w:val="24"/>
              </w:rPr>
            </w:pPr>
          </w:p>
        </w:tc>
        <w:tc>
          <w:tcPr>
            <w:tcW w:w="1644"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2" w:hRule="atLeast"/>
        </w:trPr>
        <w:tc>
          <w:tcPr>
            <w:tcW w:w="989"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 w:hAnsi="仿宋" w:eastAsia="仿宋" w:cs="仿宋"/>
                <w:sz w:val="24"/>
              </w:rPr>
            </w:pPr>
            <w:r>
              <w:rPr>
                <w:rFonts w:hint="eastAsia" w:ascii="仿宋" w:hAnsi="仿宋" w:eastAsia="仿宋" w:cs="仿宋"/>
                <w:sz w:val="24"/>
              </w:rPr>
              <w:t>六</w:t>
            </w:r>
          </w:p>
        </w:tc>
        <w:tc>
          <w:tcPr>
            <w:tcW w:w="2107"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 w:hAnsi="仿宋" w:eastAsia="仿宋" w:cs="仿宋"/>
                <w:sz w:val="24"/>
              </w:rPr>
            </w:pPr>
            <w:r>
              <w:rPr>
                <w:rFonts w:hint="eastAsia" w:ascii="仿宋" w:hAnsi="仿宋" w:eastAsia="仿宋" w:cs="仿宋"/>
                <w:sz w:val="24"/>
              </w:rPr>
              <w:t>其他</w:t>
            </w:r>
          </w:p>
        </w:tc>
        <w:tc>
          <w:tcPr>
            <w:tcW w:w="5063"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 w:hAnsi="仿宋" w:eastAsia="仿宋" w:cs="仿宋"/>
                <w:sz w:val="24"/>
              </w:rPr>
            </w:pPr>
          </w:p>
        </w:tc>
        <w:tc>
          <w:tcPr>
            <w:tcW w:w="1644"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4" w:hRule="atLeast"/>
        </w:trPr>
        <w:tc>
          <w:tcPr>
            <w:tcW w:w="989"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 w:hAnsi="仿宋" w:eastAsia="仿宋" w:cs="仿宋"/>
                <w:sz w:val="24"/>
              </w:rPr>
            </w:pPr>
            <w:r>
              <w:rPr>
                <w:rFonts w:hint="eastAsia" w:ascii="仿宋" w:hAnsi="仿宋" w:eastAsia="仿宋" w:cs="仿宋"/>
                <w:sz w:val="24"/>
              </w:rPr>
              <w:t>七</w:t>
            </w:r>
          </w:p>
        </w:tc>
        <w:tc>
          <w:tcPr>
            <w:tcW w:w="2107"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 w:hAnsi="仿宋" w:eastAsia="仿宋" w:cs="仿宋"/>
                <w:sz w:val="24"/>
              </w:rPr>
            </w:pPr>
            <w:r>
              <w:rPr>
                <w:rFonts w:hint="eastAsia" w:ascii="仿宋" w:hAnsi="仿宋" w:eastAsia="仿宋" w:cs="仿宋"/>
                <w:sz w:val="24"/>
              </w:rPr>
              <w:t>加分项</w:t>
            </w:r>
          </w:p>
        </w:tc>
        <w:tc>
          <w:tcPr>
            <w:tcW w:w="5063"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 w:hAnsi="仿宋" w:eastAsia="仿宋" w:cs="仿宋"/>
                <w:sz w:val="24"/>
              </w:rPr>
            </w:pPr>
          </w:p>
        </w:tc>
        <w:tc>
          <w:tcPr>
            <w:tcW w:w="1644"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6" w:hRule="atLeast"/>
        </w:trPr>
        <w:tc>
          <w:tcPr>
            <w:tcW w:w="3096"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 w:hAnsi="仿宋" w:eastAsia="仿宋" w:cs="仿宋"/>
                <w:sz w:val="24"/>
              </w:rPr>
            </w:pPr>
            <w:r>
              <w:rPr>
                <w:rFonts w:hint="eastAsia" w:ascii="仿宋" w:hAnsi="仿宋" w:eastAsia="仿宋" w:cs="仿宋"/>
                <w:sz w:val="24"/>
              </w:rPr>
              <w:t>最后得分</w:t>
            </w:r>
            <w:r>
              <w:rPr>
                <w:rFonts w:hint="eastAsia" w:ascii="仿宋" w:hAnsi="仿宋" w:eastAsia="仿宋" w:cs="仿宋"/>
                <w:bCs/>
                <w:sz w:val="24"/>
              </w:rPr>
              <w:t>（100分制）</w:t>
            </w:r>
          </w:p>
        </w:tc>
        <w:tc>
          <w:tcPr>
            <w:tcW w:w="6707"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trPr>
        <w:tc>
          <w:tcPr>
            <w:tcW w:w="3096"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 w:hAnsi="仿宋" w:eastAsia="仿宋" w:cs="仿宋"/>
                <w:sz w:val="24"/>
              </w:rPr>
            </w:pPr>
            <w:r>
              <w:rPr>
                <w:rFonts w:hint="eastAsia" w:ascii="仿宋" w:hAnsi="仿宋" w:eastAsia="仿宋" w:cs="仿宋"/>
                <w:sz w:val="24"/>
              </w:rPr>
              <w:t>物业负责人签字</w:t>
            </w:r>
          </w:p>
        </w:tc>
        <w:tc>
          <w:tcPr>
            <w:tcW w:w="6707"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5" w:hRule="atLeast"/>
        </w:trPr>
        <w:tc>
          <w:tcPr>
            <w:tcW w:w="3096"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 w:hAnsi="仿宋" w:eastAsia="仿宋" w:cs="仿宋"/>
                <w:sz w:val="24"/>
              </w:rPr>
            </w:pPr>
            <w:r>
              <w:rPr>
                <w:rFonts w:hint="eastAsia" w:ascii="仿宋" w:hAnsi="仿宋" w:eastAsia="仿宋" w:cs="仿宋"/>
                <w:sz w:val="24"/>
              </w:rPr>
              <w:t>考核小组成员签字</w:t>
            </w:r>
          </w:p>
        </w:tc>
        <w:tc>
          <w:tcPr>
            <w:tcW w:w="6707"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 w:hAnsi="仿宋" w:eastAsia="仿宋" w:cs="仿宋"/>
                <w:sz w:val="24"/>
              </w:rPr>
            </w:pPr>
          </w:p>
        </w:tc>
      </w:tr>
    </w:tbl>
    <w:p>
      <w:pPr>
        <w:spacing w:line="590" w:lineRule="exact"/>
        <w:rPr>
          <w:rFonts w:ascii="仿宋_GB2312" w:eastAsia="仿宋_GB2312"/>
          <w:color w:val="000000"/>
          <w:sz w:val="24"/>
        </w:rPr>
      </w:pPr>
      <w:r>
        <w:rPr>
          <w:rFonts w:hint="eastAsia" w:ascii="仿宋_GB2312" w:eastAsia="仿宋_GB2312"/>
          <w:color w:val="000000"/>
          <w:sz w:val="24"/>
        </w:rPr>
        <w:t>公司分管领导：                         公司主要领导：</w:t>
      </w:r>
    </w:p>
    <w:p>
      <w:pPr>
        <w:widowControl/>
        <w:spacing w:line="360" w:lineRule="auto"/>
        <w:ind w:firstLine="361" w:firstLineChars="100"/>
        <w:jc w:val="center"/>
        <w:rPr>
          <w:rFonts w:hint="eastAsia" w:ascii="宋体" w:hAnsi="宋体" w:cs="宋体"/>
          <w:b/>
          <w:sz w:val="36"/>
          <w:szCs w:val="36"/>
        </w:rPr>
      </w:pPr>
    </w:p>
    <w:p>
      <w:pPr>
        <w:widowControl/>
        <w:spacing w:line="360" w:lineRule="auto"/>
        <w:ind w:firstLine="361" w:firstLineChars="100"/>
        <w:jc w:val="center"/>
        <w:rPr>
          <w:rFonts w:hint="eastAsia" w:ascii="宋体" w:hAnsi="宋体" w:cs="宋体"/>
          <w:b/>
          <w:sz w:val="36"/>
          <w:szCs w:val="36"/>
        </w:rPr>
      </w:pPr>
    </w:p>
    <w:p>
      <w:pPr>
        <w:widowControl/>
        <w:spacing w:line="360" w:lineRule="auto"/>
        <w:ind w:firstLine="361" w:firstLineChars="100"/>
        <w:jc w:val="center"/>
        <w:rPr>
          <w:rFonts w:hint="eastAsia" w:ascii="宋体" w:hAnsi="宋体" w:cs="宋体"/>
          <w:b/>
          <w:sz w:val="36"/>
          <w:szCs w:val="36"/>
        </w:rPr>
      </w:pPr>
    </w:p>
    <w:p>
      <w:pPr>
        <w:widowControl/>
        <w:spacing w:line="360" w:lineRule="auto"/>
        <w:jc w:val="center"/>
        <w:outlineLvl w:val="0"/>
        <w:rPr>
          <w:rFonts w:ascii="宋体" w:hAnsi="宋体" w:cs="宋体"/>
          <w:b/>
          <w:sz w:val="36"/>
          <w:szCs w:val="36"/>
        </w:rPr>
      </w:pPr>
      <w:bookmarkStart w:id="71" w:name="_Toc12603"/>
      <w:r>
        <w:rPr>
          <w:rFonts w:hint="eastAsia" w:ascii="宋体" w:hAnsi="宋体" w:cs="宋体"/>
          <w:b/>
          <w:sz w:val="36"/>
          <w:szCs w:val="36"/>
        </w:rPr>
        <w:t>第八章  投标文件部分格式</w:t>
      </w:r>
      <w:bookmarkEnd w:id="71"/>
    </w:p>
    <w:p>
      <w:pPr>
        <w:pStyle w:val="23"/>
        <w:spacing w:before="156" w:beforeLines="50" w:after="156" w:afterLines="50" w:line="600" w:lineRule="exact"/>
        <w:rPr>
          <w:rFonts w:hint="eastAsia"/>
          <w:sz w:val="21"/>
          <w:szCs w:val="21"/>
          <w:highlight w:val="none"/>
        </w:rPr>
      </w:pPr>
    </w:p>
    <w:p>
      <w:pPr>
        <w:pStyle w:val="23"/>
        <w:keepNext w:val="0"/>
        <w:keepLines w:val="0"/>
        <w:pageBreakBefore w:val="0"/>
        <w:widowControl w:val="0"/>
        <w:kinsoku/>
        <w:wordWrap/>
        <w:overflowPunct/>
        <w:topLinePunct w:val="0"/>
        <w:autoSpaceDE/>
        <w:autoSpaceDN/>
        <w:bidi w:val="0"/>
        <w:adjustRightInd/>
        <w:snapToGrid/>
        <w:spacing w:before="156" w:beforeLines="50" w:after="156" w:afterLines="50" w:line="360" w:lineRule="auto"/>
        <w:textAlignment w:val="auto"/>
        <w:outlineLvl w:val="1"/>
        <w:rPr>
          <w:sz w:val="24"/>
          <w:szCs w:val="24"/>
        </w:rPr>
      </w:pPr>
      <w:r>
        <w:rPr>
          <w:rFonts w:hint="eastAsia"/>
          <w:sz w:val="24"/>
          <w:szCs w:val="24"/>
          <w:highlight w:val="none"/>
        </w:rPr>
        <w:t>一、资格响应文件</w:t>
      </w:r>
      <w:r>
        <w:rPr>
          <w:rFonts w:hint="eastAsia"/>
          <w:sz w:val="24"/>
          <w:szCs w:val="24"/>
          <w:highlight w:val="none"/>
          <w:lang w:eastAsia="zh-CN"/>
        </w:rPr>
        <w:t>、商务技术响应文件</w:t>
      </w:r>
      <w:r>
        <w:rPr>
          <w:rFonts w:hint="eastAsia"/>
          <w:sz w:val="24"/>
          <w:szCs w:val="24"/>
          <w:highlight w:val="none"/>
        </w:rPr>
        <w:t>部分格式</w:t>
      </w:r>
      <w:r>
        <w:rPr>
          <w:rFonts w:hint="eastAsia"/>
          <w:sz w:val="24"/>
          <w:szCs w:val="24"/>
        </w:rPr>
        <w:t>：</w:t>
      </w:r>
    </w:p>
    <w:p>
      <w:pPr>
        <w:pStyle w:val="79"/>
        <w:keepNext w:val="0"/>
        <w:keepLines w:val="0"/>
        <w:pageBreakBefore w:val="0"/>
        <w:widowControl w:val="0"/>
        <w:kinsoku/>
        <w:wordWrap/>
        <w:overflowPunct/>
        <w:topLinePunct w:val="0"/>
        <w:autoSpaceDE/>
        <w:autoSpaceDN/>
        <w:bidi w:val="0"/>
        <w:adjustRightInd/>
        <w:snapToGrid/>
        <w:spacing w:line="360" w:lineRule="auto"/>
        <w:ind w:left="0"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1.</w:t>
      </w:r>
      <w:r>
        <w:rPr>
          <w:rFonts w:hint="eastAsia" w:ascii="宋体" w:hAnsi="宋体" w:eastAsia="宋体" w:cs="宋体"/>
          <w:sz w:val="24"/>
          <w:szCs w:val="24"/>
        </w:rPr>
        <w:t>义乌市国企采购项目投标承诺书</w:t>
      </w:r>
    </w:p>
    <w:p>
      <w:pPr>
        <w:pStyle w:val="79"/>
        <w:keepNext w:val="0"/>
        <w:keepLines w:val="0"/>
        <w:pageBreakBefore w:val="0"/>
        <w:widowControl w:val="0"/>
        <w:kinsoku/>
        <w:wordWrap/>
        <w:overflowPunct/>
        <w:topLinePunct w:val="0"/>
        <w:autoSpaceDE/>
        <w:autoSpaceDN/>
        <w:bidi w:val="0"/>
        <w:adjustRightInd/>
        <w:snapToGrid/>
        <w:spacing w:line="360" w:lineRule="auto"/>
        <w:ind w:left="0" w:firstLine="480" w:firstLineChars="200"/>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2.法定代表人授权委托书</w:t>
      </w:r>
    </w:p>
    <w:p>
      <w:pPr>
        <w:keepNext w:val="0"/>
        <w:keepLines w:val="0"/>
        <w:pageBreakBefore w:val="0"/>
        <w:widowControl w:val="0"/>
        <w:tabs>
          <w:tab w:val="left" w:pos="1050"/>
        </w:tabs>
        <w:kinsoku/>
        <w:wordWrap/>
        <w:overflowPunct/>
        <w:topLinePunct w:val="0"/>
        <w:autoSpaceDE/>
        <w:autoSpaceDN/>
        <w:bidi w:val="0"/>
        <w:adjustRightInd/>
        <w:snapToGrid/>
        <w:spacing w:line="360" w:lineRule="auto"/>
        <w:ind w:left="0"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3.</w:t>
      </w:r>
      <w:r>
        <w:rPr>
          <w:rFonts w:hint="eastAsia" w:ascii="宋体" w:hAnsi="宋体" w:eastAsia="宋体" w:cs="宋体"/>
          <w:sz w:val="24"/>
          <w:szCs w:val="24"/>
        </w:rPr>
        <w:t>规范偏离表</w:t>
      </w:r>
    </w:p>
    <w:p>
      <w:pPr>
        <w:keepNext w:val="0"/>
        <w:keepLines w:val="0"/>
        <w:pageBreakBefore w:val="0"/>
        <w:kinsoku/>
        <w:wordWrap/>
        <w:topLinePunct w:val="0"/>
        <w:bidi w:val="0"/>
        <w:snapToGrid/>
        <w:spacing w:line="480" w:lineRule="exact"/>
        <w:ind w:firstLine="480" w:firstLineChars="200"/>
        <w:textAlignment w:val="auto"/>
        <w:rPr>
          <w:rFonts w:hint="eastAsia" w:ascii="宋体" w:hAnsi="宋体" w:eastAsia="宋体" w:cs="宋体"/>
          <w:b w:val="0"/>
          <w:bCs w:val="0"/>
          <w:strike w:val="0"/>
          <w:dstrike w:val="0"/>
          <w:color w:val="auto"/>
          <w:sz w:val="24"/>
          <w:szCs w:val="24"/>
          <w:highlight w:val="none"/>
        </w:rPr>
      </w:pPr>
      <w:r>
        <w:rPr>
          <w:rFonts w:hint="eastAsia" w:ascii="宋体" w:hAnsi="宋体" w:eastAsia="宋体" w:cs="宋体"/>
          <w:b w:val="0"/>
          <w:bCs w:val="0"/>
          <w:strike w:val="0"/>
          <w:dstrike w:val="0"/>
          <w:color w:val="auto"/>
          <w:sz w:val="24"/>
          <w:szCs w:val="24"/>
          <w:highlight w:val="none"/>
          <w:lang w:val="en-US" w:eastAsia="zh-CN"/>
        </w:rPr>
        <w:t>4</w:t>
      </w:r>
      <w:r>
        <w:rPr>
          <w:rFonts w:hint="eastAsia" w:ascii="宋体" w:hAnsi="宋体" w:eastAsia="宋体" w:cs="宋体"/>
          <w:b w:val="0"/>
          <w:bCs w:val="0"/>
          <w:strike w:val="0"/>
          <w:dstrike w:val="0"/>
          <w:color w:val="auto"/>
          <w:sz w:val="24"/>
          <w:szCs w:val="24"/>
          <w:highlight w:val="none"/>
        </w:rPr>
        <w:t>、服务</w:t>
      </w:r>
      <w:r>
        <w:rPr>
          <w:rFonts w:hint="eastAsia" w:ascii="宋体" w:hAnsi="宋体" w:eastAsia="宋体" w:cs="宋体"/>
          <w:b w:val="0"/>
          <w:bCs w:val="0"/>
          <w:strike w:val="0"/>
          <w:dstrike w:val="0"/>
          <w:color w:val="auto"/>
          <w:kern w:val="0"/>
          <w:sz w:val="24"/>
          <w:szCs w:val="24"/>
          <w:highlight w:val="none"/>
        </w:rPr>
        <w:t>质量保证承诺书</w:t>
      </w:r>
    </w:p>
    <w:p>
      <w:pPr>
        <w:keepNext w:val="0"/>
        <w:keepLines w:val="0"/>
        <w:pageBreakBefore w:val="0"/>
        <w:widowControl w:val="0"/>
        <w:tabs>
          <w:tab w:val="left" w:pos="1050"/>
        </w:tabs>
        <w:kinsoku/>
        <w:wordWrap/>
        <w:overflowPunct/>
        <w:topLinePunct w:val="0"/>
        <w:autoSpaceDE/>
        <w:autoSpaceDN/>
        <w:bidi w:val="0"/>
        <w:adjustRightInd/>
        <w:snapToGrid/>
        <w:spacing w:line="360" w:lineRule="auto"/>
        <w:ind w:left="0" w:firstLine="480" w:firstLineChars="200"/>
        <w:textAlignment w:val="auto"/>
        <w:rPr>
          <w:rFonts w:hint="eastAsia" w:ascii="宋体" w:hAnsi="宋体" w:eastAsia="宋体" w:cs="宋体"/>
          <w:bCs/>
          <w:sz w:val="24"/>
          <w:szCs w:val="24"/>
        </w:rPr>
      </w:pPr>
      <w:r>
        <w:rPr>
          <w:rFonts w:hint="eastAsia" w:ascii="宋体" w:hAnsi="宋体" w:eastAsia="宋体" w:cs="宋体"/>
          <w:b w:val="0"/>
          <w:bCs w:val="0"/>
          <w:strike w:val="0"/>
          <w:dstrike w:val="0"/>
          <w:color w:val="auto"/>
          <w:sz w:val="24"/>
          <w:szCs w:val="24"/>
          <w:highlight w:val="none"/>
          <w:lang w:val="en-US" w:eastAsia="zh-CN"/>
        </w:rPr>
        <w:t>5</w:t>
      </w:r>
      <w:r>
        <w:rPr>
          <w:rFonts w:hint="eastAsia" w:ascii="宋体" w:hAnsi="宋体" w:eastAsia="宋体" w:cs="宋体"/>
          <w:b w:val="0"/>
          <w:bCs w:val="0"/>
          <w:strike w:val="0"/>
          <w:dstrike w:val="0"/>
          <w:color w:val="auto"/>
          <w:sz w:val="24"/>
          <w:szCs w:val="24"/>
          <w:highlight w:val="none"/>
        </w:rPr>
        <w:t>、设备工具材料简要说明一览表</w:t>
      </w:r>
    </w:p>
    <w:p>
      <w:pPr>
        <w:pStyle w:val="79"/>
        <w:keepNext w:val="0"/>
        <w:keepLines w:val="0"/>
        <w:pageBreakBefore w:val="0"/>
        <w:widowControl w:val="0"/>
        <w:kinsoku/>
        <w:wordWrap/>
        <w:overflowPunct/>
        <w:topLinePunct w:val="0"/>
        <w:autoSpaceDE/>
        <w:autoSpaceDN/>
        <w:bidi w:val="0"/>
        <w:adjustRightInd/>
        <w:snapToGrid/>
        <w:spacing w:line="360" w:lineRule="auto"/>
        <w:ind w:left="0" w:firstLine="480" w:firstLineChars="200"/>
        <w:textAlignment w:val="auto"/>
        <w:rPr>
          <w:rFonts w:hint="default" w:ascii="宋体" w:hAnsi="宋体" w:eastAsia="宋体" w:cs="宋体"/>
          <w:kern w:val="2"/>
          <w:sz w:val="24"/>
          <w:szCs w:val="24"/>
          <w:lang w:val="en-US" w:eastAsia="zh-CN" w:bidi="ar-SA"/>
        </w:rPr>
      </w:pPr>
    </w:p>
    <w:p>
      <w:pPr>
        <w:tabs>
          <w:tab w:val="left" w:pos="1050"/>
        </w:tabs>
        <w:spacing w:line="520" w:lineRule="exact"/>
        <w:ind w:left="528"/>
        <w:rPr>
          <w:rFonts w:ascii="宋体" w:hAnsi="宋体" w:cs="宋体"/>
          <w:sz w:val="24"/>
          <w:szCs w:val="24"/>
        </w:rPr>
      </w:pPr>
    </w:p>
    <w:p>
      <w:pPr>
        <w:keepNext w:val="0"/>
        <w:keepLines w:val="0"/>
        <w:pageBreakBefore w:val="0"/>
        <w:widowControl w:val="0"/>
        <w:tabs>
          <w:tab w:val="left" w:pos="1050"/>
        </w:tabs>
        <w:kinsoku/>
        <w:wordWrap/>
        <w:overflowPunct/>
        <w:topLinePunct w:val="0"/>
        <w:autoSpaceDE/>
        <w:autoSpaceDN/>
        <w:bidi w:val="0"/>
        <w:adjustRightInd/>
        <w:snapToGrid/>
        <w:spacing w:line="360" w:lineRule="auto"/>
        <w:ind w:left="528"/>
        <w:textAlignment w:val="auto"/>
        <w:rPr>
          <w:rFonts w:ascii="宋体" w:hAnsi="宋体" w:cs="宋体"/>
          <w:sz w:val="24"/>
        </w:rPr>
      </w:pPr>
    </w:p>
    <w:p>
      <w:pPr>
        <w:keepNext w:val="0"/>
        <w:keepLines w:val="0"/>
        <w:pageBreakBefore w:val="0"/>
        <w:widowControl w:val="0"/>
        <w:tabs>
          <w:tab w:val="left" w:pos="1050"/>
        </w:tabs>
        <w:kinsoku/>
        <w:wordWrap/>
        <w:overflowPunct/>
        <w:topLinePunct w:val="0"/>
        <w:autoSpaceDE/>
        <w:autoSpaceDN/>
        <w:bidi w:val="0"/>
        <w:adjustRightInd/>
        <w:snapToGrid/>
        <w:spacing w:line="360" w:lineRule="auto"/>
        <w:ind w:left="528"/>
        <w:textAlignment w:val="auto"/>
        <w:rPr>
          <w:rFonts w:ascii="宋体" w:hAnsi="宋体" w:cs="宋体"/>
          <w:sz w:val="24"/>
        </w:rPr>
      </w:pPr>
    </w:p>
    <w:p>
      <w:pPr>
        <w:pStyle w:val="23"/>
        <w:keepNext w:val="0"/>
        <w:keepLines w:val="0"/>
        <w:pageBreakBefore w:val="0"/>
        <w:widowControl w:val="0"/>
        <w:kinsoku/>
        <w:wordWrap/>
        <w:overflowPunct/>
        <w:topLinePunct w:val="0"/>
        <w:autoSpaceDE/>
        <w:autoSpaceDN/>
        <w:bidi w:val="0"/>
        <w:adjustRightInd/>
        <w:snapToGrid/>
        <w:spacing w:before="156" w:beforeLines="50" w:after="156" w:afterLines="50" w:line="360" w:lineRule="auto"/>
        <w:textAlignment w:val="auto"/>
        <w:outlineLvl w:val="1"/>
        <w:rPr>
          <w:sz w:val="24"/>
          <w:szCs w:val="24"/>
          <w:highlight w:val="none"/>
        </w:rPr>
      </w:pPr>
      <w:r>
        <w:rPr>
          <w:rFonts w:hint="eastAsia"/>
          <w:sz w:val="24"/>
          <w:szCs w:val="24"/>
          <w:highlight w:val="none"/>
        </w:rPr>
        <w:t>二、报价响应文件部分格式：</w:t>
      </w:r>
    </w:p>
    <w:p>
      <w:pPr>
        <w:keepNext w:val="0"/>
        <w:keepLines w:val="0"/>
        <w:pageBreakBefore w:val="0"/>
        <w:widowControl w:val="0"/>
        <w:tabs>
          <w:tab w:val="left" w:pos="1080"/>
        </w:tabs>
        <w:kinsoku/>
        <w:wordWrap/>
        <w:overflowPunct/>
        <w:topLinePunct w:val="0"/>
        <w:autoSpaceDE/>
        <w:autoSpaceDN/>
        <w:bidi w:val="0"/>
        <w:adjustRightInd/>
        <w:snapToGrid/>
        <w:spacing w:line="360" w:lineRule="auto"/>
        <w:ind w:left="528"/>
        <w:textAlignment w:val="auto"/>
        <w:rPr>
          <w:rFonts w:ascii="宋体"/>
          <w:sz w:val="24"/>
          <w:szCs w:val="24"/>
        </w:rPr>
      </w:pPr>
      <w:r>
        <w:rPr>
          <w:rFonts w:hint="eastAsia" w:ascii="宋体" w:hAnsi="宋体"/>
          <w:sz w:val="24"/>
          <w:szCs w:val="24"/>
          <w:lang w:val="en-US" w:eastAsia="zh-CN"/>
        </w:rPr>
        <w:t>1.开标</w:t>
      </w:r>
      <w:r>
        <w:rPr>
          <w:rFonts w:hint="eastAsia" w:ascii="宋体" w:hAnsi="宋体"/>
          <w:sz w:val="24"/>
          <w:szCs w:val="24"/>
        </w:rPr>
        <w:t>一览表</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ascii="宋体" w:cs="宋体"/>
          <w:sz w:val="24"/>
          <w:szCs w:val="24"/>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ascii="宋体" w:cs="宋体"/>
          <w:sz w:val="24"/>
          <w:szCs w:val="24"/>
        </w:rPr>
      </w:pPr>
    </w:p>
    <w:p>
      <w:pPr>
        <w:pStyle w:val="53"/>
        <w:keepNext w:val="0"/>
        <w:keepLines w:val="0"/>
        <w:pageBreakBefore w:val="0"/>
        <w:widowControl w:val="0"/>
        <w:kinsoku/>
        <w:wordWrap/>
        <w:overflowPunct/>
        <w:topLinePunct w:val="0"/>
        <w:autoSpaceDE/>
        <w:autoSpaceDN/>
        <w:bidi w:val="0"/>
        <w:adjustRightInd/>
        <w:snapToGrid/>
        <w:spacing w:line="360" w:lineRule="auto"/>
        <w:textAlignment w:val="auto"/>
        <w:rPr>
          <w:sz w:val="24"/>
          <w:szCs w:val="24"/>
        </w:rPr>
      </w:pPr>
    </w:p>
    <w:p>
      <w:pPr>
        <w:keepNext w:val="0"/>
        <w:keepLines w:val="0"/>
        <w:pageBreakBefore w:val="0"/>
        <w:widowControl w:val="0"/>
        <w:kinsoku/>
        <w:wordWrap/>
        <w:overflowPunct/>
        <w:topLinePunct w:val="0"/>
        <w:autoSpaceDE/>
        <w:autoSpaceDN/>
        <w:bidi w:val="0"/>
        <w:adjustRightInd/>
        <w:snapToGrid/>
        <w:spacing w:line="360" w:lineRule="auto"/>
        <w:textAlignment w:val="auto"/>
        <w:outlineLvl w:val="1"/>
        <w:rPr>
          <w:rFonts w:ascii="宋体" w:cs="宋体"/>
          <w:b/>
          <w:bCs/>
          <w:sz w:val="24"/>
          <w:szCs w:val="24"/>
        </w:rPr>
      </w:pPr>
      <w:r>
        <w:rPr>
          <w:rFonts w:hint="eastAsia" w:ascii="宋体" w:cs="宋体"/>
          <w:b/>
          <w:bCs/>
          <w:sz w:val="24"/>
          <w:szCs w:val="24"/>
        </w:rPr>
        <w:t>三、质疑函范本</w:t>
      </w:r>
    </w:p>
    <w:p>
      <w:pPr>
        <w:spacing w:line="340" w:lineRule="exact"/>
        <w:rPr>
          <w:rFonts w:ascii="宋体" w:cs="宋体"/>
          <w:sz w:val="24"/>
        </w:rPr>
      </w:pPr>
    </w:p>
    <w:p>
      <w:pPr>
        <w:spacing w:line="340" w:lineRule="exact"/>
        <w:rPr>
          <w:rFonts w:ascii="宋体" w:cs="宋体"/>
          <w:sz w:val="24"/>
        </w:rPr>
      </w:pPr>
    </w:p>
    <w:p>
      <w:pPr>
        <w:spacing w:line="340" w:lineRule="exact"/>
        <w:rPr>
          <w:rFonts w:ascii="宋体" w:cs="宋体"/>
          <w:sz w:val="24"/>
        </w:rPr>
      </w:pPr>
    </w:p>
    <w:p>
      <w:pPr>
        <w:spacing w:line="340" w:lineRule="exact"/>
        <w:rPr>
          <w:rFonts w:ascii="宋体" w:cs="宋体"/>
          <w:sz w:val="24"/>
        </w:rPr>
      </w:pPr>
    </w:p>
    <w:p>
      <w:pPr>
        <w:spacing w:line="340" w:lineRule="exact"/>
        <w:rPr>
          <w:rFonts w:ascii="宋体" w:cs="宋体"/>
          <w:sz w:val="24"/>
        </w:rPr>
      </w:pPr>
    </w:p>
    <w:p>
      <w:pPr>
        <w:spacing w:line="340" w:lineRule="exact"/>
        <w:rPr>
          <w:rFonts w:ascii="宋体" w:cs="宋体"/>
          <w:sz w:val="24"/>
        </w:rPr>
      </w:pPr>
    </w:p>
    <w:p>
      <w:pPr>
        <w:pStyle w:val="2"/>
      </w:pPr>
    </w:p>
    <w:p>
      <w:pPr>
        <w:spacing w:line="340" w:lineRule="exact"/>
        <w:rPr>
          <w:rFonts w:ascii="宋体" w:cs="宋体"/>
          <w:sz w:val="24"/>
        </w:rPr>
      </w:pPr>
    </w:p>
    <w:p>
      <w:pPr>
        <w:spacing w:line="340" w:lineRule="exact"/>
        <w:rPr>
          <w:rFonts w:ascii="宋体" w:cs="宋体"/>
          <w:sz w:val="24"/>
        </w:rPr>
      </w:pPr>
    </w:p>
    <w:p>
      <w:pPr>
        <w:spacing w:line="340" w:lineRule="exact"/>
        <w:rPr>
          <w:rFonts w:ascii="宋体" w:cs="宋体"/>
          <w:sz w:val="24"/>
        </w:rPr>
      </w:pPr>
    </w:p>
    <w:p>
      <w:pPr>
        <w:spacing w:line="340" w:lineRule="exact"/>
        <w:rPr>
          <w:rFonts w:ascii="宋体" w:cs="宋体"/>
          <w:sz w:val="24"/>
        </w:rPr>
      </w:pPr>
    </w:p>
    <w:p>
      <w:pPr>
        <w:rPr>
          <w:rFonts w:ascii="宋体" w:hAnsi="宋体"/>
          <w:sz w:val="52"/>
          <w:u w:val="single"/>
        </w:rPr>
      </w:pPr>
      <w:r>
        <w:rPr>
          <w:rFonts w:hint="eastAsia" w:ascii="宋体" w:hAnsi="宋体"/>
          <w:b/>
          <w:bCs/>
          <w:sz w:val="28"/>
        </w:rPr>
        <w:t>封面格式</w:t>
      </w:r>
    </w:p>
    <w:p>
      <w:pPr>
        <w:jc w:val="right"/>
        <w:rPr>
          <w:rFonts w:ascii="宋体" w:hAnsi="宋体"/>
          <w:b/>
          <w:sz w:val="30"/>
          <w:szCs w:val="30"/>
        </w:rPr>
      </w:pPr>
      <w:r>
        <w:rPr>
          <w:rFonts w:hint="eastAsia" w:ascii="宋体" w:hAnsi="宋体"/>
          <w:b/>
          <w:sz w:val="30"/>
          <w:szCs w:val="30"/>
        </w:rPr>
        <w:t>正本（副本）</w:t>
      </w:r>
    </w:p>
    <w:p>
      <w:pPr>
        <w:jc w:val="center"/>
        <w:rPr>
          <w:rFonts w:ascii="宋体" w:hAnsi="宋体"/>
          <w:sz w:val="24"/>
          <w:u w:val="single"/>
        </w:rPr>
      </w:pPr>
    </w:p>
    <w:p>
      <w:pPr>
        <w:jc w:val="center"/>
        <w:rPr>
          <w:rFonts w:ascii="宋体" w:hAnsi="宋体"/>
          <w:sz w:val="24"/>
          <w:u w:val="single"/>
        </w:rPr>
      </w:pPr>
    </w:p>
    <w:p>
      <w:pPr>
        <w:jc w:val="center"/>
        <w:rPr>
          <w:rFonts w:hint="eastAsia" w:ascii="宋体" w:hAnsi="宋体" w:eastAsia="宋体"/>
          <w:sz w:val="52"/>
          <w:lang w:val="en-US" w:eastAsia="zh-CN"/>
        </w:rPr>
      </w:pPr>
      <w:r>
        <w:rPr>
          <w:rFonts w:hint="eastAsia" w:ascii="宋体" w:hAnsi="宋体"/>
          <w:sz w:val="52"/>
          <w:u w:val="single"/>
        </w:rPr>
        <w:t xml:space="preserve">                        </w:t>
      </w:r>
      <w:r>
        <w:rPr>
          <w:rFonts w:hint="eastAsia" w:ascii="宋体" w:hAnsi="宋体"/>
          <w:sz w:val="52"/>
        </w:rPr>
        <w:t>项目</w:t>
      </w:r>
    </w:p>
    <w:p>
      <w:pPr>
        <w:rPr>
          <w:rFonts w:ascii="宋体" w:hAnsi="宋体"/>
          <w:sz w:val="52"/>
        </w:rPr>
      </w:pPr>
    </w:p>
    <w:p>
      <w:pPr>
        <w:jc w:val="center"/>
        <w:rPr>
          <w:rFonts w:ascii="宋体" w:hAnsi="宋体"/>
          <w:b/>
          <w:bCs/>
          <w:sz w:val="72"/>
        </w:rPr>
      </w:pPr>
      <w:r>
        <w:rPr>
          <w:rFonts w:hint="eastAsia" w:ascii="宋体" w:hAnsi="宋体"/>
          <w:b/>
          <w:bCs/>
          <w:sz w:val="72"/>
        </w:rPr>
        <w:t>投标文件</w:t>
      </w:r>
    </w:p>
    <w:p>
      <w:pPr>
        <w:jc w:val="center"/>
        <w:rPr>
          <w:rFonts w:ascii="宋体" w:hAnsi="宋体"/>
          <w:b/>
          <w:bCs/>
          <w:sz w:val="28"/>
        </w:rPr>
      </w:pPr>
      <w:r>
        <w:rPr>
          <w:rFonts w:hint="eastAsia" w:ascii="宋体" w:hAnsi="宋体"/>
          <w:b/>
          <w:bCs/>
          <w:sz w:val="28"/>
        </w:rPr>
        <w:t>（采购编号）</w:t>
      </w:r>
    </w:p>
    <w:p>
      <w:pPr>
        <w:jc w:val="center"/>
        <w:rPr>
          <w:rFonts w:ascii="宋体" w:hAnsi="宋体"/>
          <w:b/>
          <w:bCs/>
          <w:sz w:val="28"/>
        </w:rPr>
      </w:pPr>
    </w:p>
    <w:p>
      <w:pPr>
        <w:jc w:val="center"/>
        <w:rPr>
          <w:rFonts w:ascii="宋体" w:hAnsi="宋体"/>
          <w:b/>
          <w:bCs/>
          <w:sz w:val="28"/>
        </w:rPr>
      </w:pPr>
    </w:p>
    <w:p>
      <w:pPr>
        <w:jc w:val="center"/>
        <w:rPr>
          <w:rFonts w:ascii="宋体" w:hAnsi="宋体"/>
          <w:b/>
          <w:bCs/>
          <w:sz w:val="28"/>
        </w:rPr>
      </w:pPr>
    </w:p>
    <w:p>
      <w:pPr>
        <w:jc w:val="center"/>
        <w:rPr>
          <w:rFonts w:ascii="宋体" w:hAnsi="宋体"/>
          <w:b/>
          <w:bCs/>
          <w:sz w:val="28"/>
        </w:rPr>
      </w:pPr>
    </w:p>
    <w:p>
      <w:pPr>
        <w:jc w:val="both"/>
        <w:rPr>
          <w:rFonts w:ascii="宋体" w:hAnsi="宋体"/>
          <w:b/>
          <w:bCs/>
          <w:sz w:val="28"/>
        </w:rPr>
      </w:pPr>
    </w:p>
    <w:p>
      <w:pPr>
        <w:spacing w:line="900" w:lineRule="exact"/>
        <w:ind w:firstLine="320" w:firstLineChars="100"/>
        <w:rPr>
          <w:rFonts w:hint="eastAsia" w:ascii="宋体" w:hAnsi="宋体"/>
          <w:sz w:val="32"/>
          <w:u w:val="single"/>
        </w:rPr>
      </w:pPr>
      <w:r>
        <w:rPr>
          <w:rFonts w:hint="eastAsia" w:ascii="宋体" w:hAnsi="宋体"/>
          <w:sz w:val="32"/>
        </w:rPr>
        <w:t>投标文件内容：</w:t>
      </w:r>
      <w:r>
        <w:rPr>
          <w:rFonts w:hint="eastAsia" w:ascii="宋体" w:hAnsi="宋体"/>
          <w:sz w:val="32"/>
          <w:u w:val="single"/>
        </w:rPr>
        <w:t xml:space="preserve">           （资格</w:t>
      </w:r>
      <w:r>
        <w:rPr>
          <w:rFonts w:hint="eastAsia" w:ascii="宋体" w:hAnsi="宋体"/>
          <w:sz w:val="32"/>
          <w:u w:val="single"/>
          <w:lang w:eastAsia="zh-CN"/>
        </w:rPr>
        <w:t>、商务技术</w:t>
      </w:r>
      <w:r>
        <w:rPr>
          <w:rFonts w:hint="eastAsia" w:ascii="宋体" w:hAnsi="宋体"/>
          <w:sz w:val="32"/>
          <w:u w:val="single"/>
          <w:lang w:val="en-US" w:eastAsia="zh-CN"/>
        </w:rPr>
        <w:t>或报价响应文件</w:t>
      </w:r>
      <w:r>
        <w:rPr>
          <w:rFonts w:hint="eastAsia" w:ascii="宋体" w:hAnsi="宋体"/>
          <w:sz w:val="32"/>
          <w:u w:val="single"/>
        </w:rPr>
        <w:t xml:space="preserve">）                    </w:t>
      </w:r>
    </w:p>
    <w:p>
      <w:pPr>
        <w:spacing w:line="900" w:lineRule="exact"/>
        <w:ind w:firstLine="313" w:firstLineChars="98"/>
        <w:rPr>
          <w:rFonts w:hint="eastAsia" w:ascii="宋体" w:hAnsi="宋体"/>
          <w:sz w:val="32"/>
          <w:u w:val="single"/>
        </w:rPr>
      </w:pPr>
      <w:r>
        <w:rPr>
          <w:rFonts w:hint="eastAsia" w:ascii="宋体" w:hAnsi="宋体"/>
          <w:sz w:val="32"/>
        </w:rPr>
        <w:t>投   标   人：</w:t>
      </w:r>
      <w:r>
        <w:rPr>
          <w:rFonts w:hint="eastAsia" w:ascii="宋体" w:hAnsi="宋体"/>
          <w:sz w:val="32"/>
          <w:u w:val="single"/>
        </w:rPr>
        <w:t xml:space="preserve">                           </w:t>
      </w:r>
      <w:r>
        <w:rPr>
          <w:rFonts w:hint="eastAsia" w:ascii="宋体" w:hAnsi="宋体"/>
          <w:sz w:val="32"/>
          <w:highlight w:val="none"/>
          <w:u w:val="single"/>
        </w:rPr>
        <w:t xml:space="preserve">   （</w:t>
      </w:r>
      <w:r>
        <w:rPr>
          <w:rFonts w:hint="eastAsia" w:ascii="宋体" w:hAnsi="宋体"/>
          <w:sz w:val="32"/>
          <w:highlight w:val="none"/>
          <w:u w:val="single"/>
          <w:lang w:val="en-US" w:eastAsia="zh-CN"/>
        </w:rPr>
        <w:t>电子签章</w:t>
      </w:r>
      <w:r>
        <w:rPr>
          <w:rFonts w:hint="eastAsia" w:ascii="宋体" w:hAnsi="宋体"/>
          <w:sz w:val="32"/>
          <w:highlight w:val="none"/>
          <w:u w:val="single"/>
        </w:rPr>
        <w:t xml:space="preserve">） </w:t>
      </w:r>
      <w:r>
        <w:rPr>
          <w:rFonts w:hint="eastAsia" w:ascii="宋体" w:hAnsi="宋体"/>
          <w:sz w:val="32"/>
          <w:u w:val="single"/>
        </w:rPr>
        <w:t xml:space="preserve"> </w:t>
      </w:r>
    </w:p>
    <w:p>
      <w:pPr>
        <w:spacing w:line="900" w:lineRule="exact"/>
        <w:ind w:left="-4" w:leftChars="-2" w:firstLine="320" w:firstLineChars="100"/>
        <w:rPr>
          <w:rFonts w:hint="eastAsia" w:ascii="宋体" w:hAnsi="宋体"/>
          <w:sz w:val="32"/>
          <w:u w:val="single"/>
        </w:rPr>
      </w:pPr>
      <w:r>
        <w:rPr>
          <w:rFonts w:hint="eastAsia" w:ascii="宋体" w:hAnsi="宋体"/>
          <w:sz w:val="32"/>
        </w:rPr>
        <w:t>法定代表人或其委托代理人：</w:t>
      </w:r>
      <w:r>
        <w:rPr>
          <w:rFonts w:hint="eastAsia" w:ascii="宋体" w:hAnsi="宋体"/>
          <w:sz w:val="32"/>
          <w:u w:val="single"/>
        </w:rPr>
        <w:t xml:space="preserve">                （签字或盖章） </w:t>
      </w:r>
    </w:p>
    <w:p>
      <w:pPr>
        <w:spacing w:line="900" w:lineRule="exact"/>
        <w:ind w:firstLine="160" w:firstLineChars="50"/>
        <w:rPr>
          <w:rFonts w:hint="eastAsia" w:ascii="宋体" w:hAnsi="宋体"/>
          <w:sz w:val="32"/>
        </w:rPr>
      </w:pPr>
      <w:r>
        <w:rPr>
          <w:rFonts w:hint="eastAsia" w:ascii="宋体" w:hAnsi="宋体"/>
          <w:sz w:val="32"/>
        </w:rPr>
        <w:t xml:space="preserve"> 日 期：</w:t>
      </w:r>
      <w:r>
        <w:rPr>
          <w:rFonts w:hint="eastAsia" w:ascii="宋体" w:hAnsi="宋体"/>
          <w:sz w:val="32"/>
          <w:u w:val="single"/>
        </w:rPr>
        <w:t xml:space="preserve">            </w:t>
      </w:r>
      <w:r>
        <w:rPr>
          <w:rFonts w:hint="eastAsia" w:ascii="宋体" w:hAnsi="宋体"/>
          <w:sz w:val="32"/>
        </w:rPr>
        <w:t>年</w:t>
      </w:r>
      <w:r>
        <w:rPr>
          <w:rFonts w:hint="eastAsia" w:ascii="宋体" w:hAnsi="宋体"/>
          <w:sz w:val="32"/>
          <w:u w:val="single"/>
        </w:rPr>
        <w:t xml:space="preserve">            </w:t>
      </w:r>
      <w:r>
        <w:rPr>
          <w:rFonts w:hint="eastAsia" w:ascii="宋体" w:hAnsi="宋体"/>
          <w:sz w:val="32"/>
        </w:rPr>
        <w:t>月</w:t>
      </w:r>
      <w:r>
        <w:rPr>
          <w:rFonts w:hint="eastAsia" w:ascii="宋体" w:hAnsi="宋体"/>
          <w:sz w:val="32"/>
          <w:u w:val="single"/>
        </w:rPr>
        <w:t xml:space="preserve">               </w:t>
      </w:r>
      <w:r>
        <w:rPr>
          <w:rFonts w:hint="eastAsia" w:ascii="宋体" w:hAnsi="宋体"/>
          <w:sz w:val="32"/>
        </w:rPr>
        <w:t>日</w:t>
      </w:r>
    </w:p>
    <w:p>
      <w:pPr>
        <w:spacing w:line="360" w:lineRule="auto"/>
        <w:jc w:val="center"/>
        <w:outlineLvl w:val="2"/>
        <w:rPr>
          <w:rFonts w:ascii="宋体" w:hAnsi="宋体" w:cs="宋体"/>
          <w:b/>
          <w:sz w:val="32"/>
          <w:szCs w:val="32"/>
        </w:rPr>
      </w:pPr>
      <w:r>
        <w:rPr>
          <w:rFonts w:hint="eastAsia" w:ascii="宋体" w:hAnsi="宋体"/>
          <w:sz w:val="32"/>
        </w:rPr>
        <w:br w:type="page"/>
      </w:r>
      <w:r>
        <w:rPr>
          <w:rFonts w:hint="eastAsia" w:ascii="宋体" w:hAnsi="宋体" w:cs="宋体"/>
          <w:b/>
          <w:sz w:val="32"/>
          <w:szCs w:val="32"/>
        </w:rPr>
        <w:t>义乌市国企采购项目投标承诺书</w:t>
      </w:r>
    </w:p>
    <w:p>
      <w:pPr>
        <w:pStyle w:val="17"/>
        <w:spacing w:line="360" w:lineRule="exact"/>
        <w:ind w:firstLine="480" w:firstLineChars="200"/>
        <w:rPr>
          <w:rFonts w:hint="eastAsia" w:hAnsi="宋体" w:cs="宋体"/>
          <w:sz w:val="24"/>
          <w:szCs w:val="24"/>
        </w:rPr>
      </w:pPr>
      <w:r>
        <w:rPr>
          <w:rFonts w:hint="eastAsia" w:hAnsi="宋体" w:cs="宋体"/>
          <w:sz w:val="24"/>
          <w:szCs w:val="24"/>
        </w:rPr>
        <w:t>1.我单位已认真阅读了本项目的招标公告、招标文件、技术要求、图纸、招标补充（答疑）文件及相关资料，对其全部内容和要求有实质性了解，并对这些内容表示理解且无任何异议，接受其全部内容及要求，承诺本单位的投标文件已经完全响应并符合其全部条件和要求，愿意参加投标并愿意中标；</w:t>
      </w:r>
    </w:p>
    <w:p>
      <w:pPr>
        <w:pStyle w:val="17"/>
        <w:spacing w:line="360" w:lineRule="exact"/>
        <w:ind w:firstLine="480" w:firstLineChars="200"/>
        <w:rPr>
          <w:rFonts w:hint="eastAsia" w:hAnsi="宋体" w:cs="宋体"/>
          <w:sz w:val="24"/>
          <w:szCs w:val="24"/>
        </w:rPr>
      </w:pPr>
      <w:r>
        <w:rPr>
          <w:rFonts w:hint="eastAsia" w:hAnsi="宋体" w:cs="宋体"/>
          <w:sz w:val="24"/>
          <w:szCs w:val="24"/>
        </w:rPr>
        <w:t>2.自愿接受义乌市财政局（以下简称市财政局）的管理，并严格遵守市财政局制定的招投标管理制度、规范和纪律。</w:t>
      </w:r>
    </w:p>
    <w:p>
      <w:pPr>
        <w:pStyle w:val="17"/>
        <w:spacing w:line="360" w:lineRule="exact"/>
        <w:ind w:firstLine="464" w:firstLineChars="200"/>
        <w:rPr>
          <w:rFonts w:hint="eastAsia" w:hAnsi="宋体" w:cs="宋体"/>
          <w:w w:val="97"/>
          <w:sz w:val="24"/>
          <w:szCs w:val="24"/>
        </w:rPr>
      </w:pPr>
      <w:r>
        <w:rPr>
          <w:rFonts w:hint="eastAsia" w:hAnsi="宋体" w:cs="宋体"/>
          <w:w w:val="97"/>
          <w:sz w:val="24"/>
          <w:szCs w:val="24"/>
        </w:rPr>
        <w:t>3.我单位承诺参与本次投标的资格符合《义乌市国有企业采购管理办法（试行）》的规定，并承诺近三年内，在经营活动中没有重大违法记录，承诺财务状况良好，并已依法按时缴纳税收和社会保障资金。我单位承诺具备履行本项目合同所必需的设备和专业技术能力。</w:t>
      </w:r>
    </w:p>
    <w:p>
      <w:pPr>
        <w:pStyle w:val="17"/>
        <w:spacing w:line="360" w:lineRule="exact"/>
        <w:ind w:firstLine="480" w:firstLineChars="200"/>
        <w:rPr>
          <w:rFonts w:hint="eastAsia" w:hAnsi="宋体" w:cs="宋体"/>
          <w:sz w:val="24"/>
          <w:szCs w:val="24"/>
        </w:rPr>
      </w:pPr>
      <w:r>
        <w:rPr>
          <w:rFonts w:hint="eastAsia" w:hAnsi="宋体" w:cs="宋体"/>
          <w:sz w:val="24"/>
          <w:szCs w:val="24"/>
        </w:rPr>
        <w:t>4.积极主动配合市财政局的调查。及时、如实、全面地回答市财政局提出的问题，并在调查笔录中签字确认。如拒绝签字确认的，则视为我单位及有关工作人员认可调查笔录中的全部内容，并对最终的调查结果无任何异议，且自愿放弃一切救济途径。</w:t>
      </w:r>
    </w:p>
    <w:p>
      <w:pPr>
        <w:pStyle w:val="17"/>
        <w:spacing w:line="360" w:lineRule="exact"/>
        <w:ind w:firstLine="480" w:firstLineChars="200"/>
        <w:rPr>
          <w:rFonts w:hint="eastAsia" w:hAnsi="宋体" w:cs="宋体"/>
          <w:sz w:val="24"/>
          <w:szCs w:val="24"/>
        </w:rPr>
      </w:pPr>
      <w:r>
        <w:rPr>
          <w:rFonts w:hint="eastAsia" w:hAnsi="宋体" w:cs="宋体"/>
          <w:sz w:val="24"/>
          <w:szCs w:val="24"/>
        </w:rPr>
        <w:t>5.不转让、出借、涂改、伪造资质（资格）证书或者以其他方式允许其他单位（个人）以我单位（本人）名义承接业务。</w:t>
      </w:r>
    </w:p>
    <w:p>
      <w:pPr>
        <w:pStyle w:val="17"/>
        <w:spacing w:line="360" w:lineRule="exact"/>
        <w:ind w:firstLine="480" w:firstLineChars="200"/>
        <w:rPr>
          <w:rFonts w:hint="eastAsia" w:hAnsi="宋体" w:cs="宋体"/>
          <w:sz w:val="24"/>
          <w:szCs w:val="24"/>
        </w:rPr>
      </w:pPr>
      <w:r>
        <w:rPr>
          <w:rFonts w:hint="eastAsia" w:hAnsi="宋体" w:cs="宋体"/>
          <w:sz w:val="24"/>
          <w:szCs w:val="24"/>
        </w:rPr>
        <w:t>6.不与采购人或者其他投标人相互串通投标，围标，不以行贿等不正当手段谋取中标。</w:t>
      </w:r>
    </w:p>
    <w:p>
      <w:pPr>
        <w:pStyle w:val="17"/>
        <w:spacing w:line="360" w:lineRule="exact"/>
        <w:ind w:firstLine="480" w:firstLineChars="200"/>
        <w:rPr>
          <w:rFonts w:hint="eastAsia" w:hAnsi="宋体" w:cs="宋体"/>
          <w:sz w:val="24"/>
          <w:szCs w:val="24"/>
        </w:rPr>
      </w:pPr>
      <w:r>
        <w:rPr>
          <w:rFonts w:hint="eastAsia" w:hAnsi="宋体" w:cs="宋体"/>
          <w:sz w:val="24"/>
          <w:szCs w:val="24"/>
        </w:rPr>
        <w:t>7.在备案、招标、投标、报名、开标、评标、询标、中标、签订合同、合同备案等招投标预备和进行的全过程中提供的资料均真实、有效，不弄虚作假。</w:t>
      </w:r>
    </w:p>
    <w:p>
      <w:pPr>
        <w:pStyle w:val="17"/>
        <w:spacing w:line="360" w:lineRule="exact"/>
        <w:ind w:firstLine="480" w:firstLineChars="200"/>
        <w:rPr>
          <w:rFonts w:hint="eastAsia" w:hAnsi="宋体" w:cs="宋体"/>
          <w:sz w:val="24"/>
          <w:szCs w:val="24"/>
        </w:rPr>
      </w:pPr>
      <w:r>
        <w:rPr>
          <w:rFonts w:hint="eastAsia" w:hAnsi="宋体" w:cs="宋体"/>
          <w:sz w:val="24"/>
          <w:szCs w:val="24"/>
        </w:rPr>
        <w:t>8.我方已详细审核全部招标文件，包括修改文件(如果有的话)，及有关附件，我方同意放弃提出含糊不清或误解的权力。 </w:t>
      </w:r>
    </w:p>
    <w:p>
      <w:pPr>
        <w:pStyle w:val="17"/>
        <w:spacing w:line="360" w:lineRule="exact"/>
        <w:ind w:firstLine="480" w:firstLineChars="200"/>
        <w:rPr>
          <w:rFonts w:hint="eastAsia" w:hAnsi="宋体" w:cs="宋体"/>
          <w:sz w:val="24"/>
          <w:szCs w:val="24"/>
        </w:rPr>
      </w:pPr>
      <w:r>
        <w:rPr>
          <w:rFonts w:hint="eastAsia" w:hAnsi="宋体" w:cs="宋体"/>
          <w:sz w:val="24"/>
          <w:szCs w:val="24"/>
        </w:rPr>
        <w:t>9.投标文件中未明确的内容按招标文件执行。</w:t>
      </w:r>
    </w:p>
    <w:p>
      <w:pPr>
        <w:pStyle w:val="17"/>
        <w:spacing w:line="360" w:lineRule="exact"/>
        <w:ind w:firstLine="480" w:firstLineChars="200"/>
        <w:rPr>
          <w:rFonts w:hint="eastAsia" w:hAnsi="宋体" w:cs="宋体"/>
          <w:sz w:val="24"/>
          <w:szCs w:val="24"/>
        </w:rPr>
      </w:pPr>
      <w:r>
        <w:rPr>
          <w:rFonts w:hint="eastAsia" w:hAnsi="宋体" w:cs="宋体"/>
          <w:sz w:val="24"/>
          <w:szCs w:val="24"/>
        </w:rPr>
        <w:t>10.我方同意所递交的投标文件在招标期内有效，在此期间内我方有可能中标，我方将受此约束。</w:t>
      </w:r>
    </w:p>
    <w:p>
      <w:pPr>
        <w:pStyle w:val="17"/>
        <w:spacing w:line="360" w:lineRule="exact"/>
        <w:ind w:firstLine="480" w:firstLineChars="200"/>
        <w:rPr>
          <w:rFonts w:hint="eastAsia" w:hAnsi="宋体" w:cs="宋体"/>
          <w:sz w:val="24"/>
          <w:szCs w:val="24"/>
        </w:rPr>
      </w:pPr>
      <w:r>
        <w:rPr>
          <w:rFonts w:hint="eastAsia" w:hAnsi="宋体" w:cs="宋体"/>
          <w:sz w:val="24"/>
          <w:szCs w:val="24"/>
        </w:rPr>
        <w:t>11.我方相信贵方的招标结果是公正、合法的，无论我方中标还是落标，我方将接受这一结果。 </w:t>
      </w:r>
    </w:p>
    <w:p>
      <w:pPr>
        <w:pStyle w:val="17"/>
        <w:spacing w:line="360" w:lineRule="exact"/>
        <w:ind w:firstLine="480" w:firstLineChars="200"/>
        <w:rPr>
          <w:rFonts w:hint="eastAsia" w:hAnsi="宋体" w:cs="宋体"/>
          <w:sz w:val="24"/>
          <w:szCs w:val="24"/>
        </w:rPr>
      </w:pPr>
      <w:r>
        <w:rPr>
          <w:rFonts w:hint="eastAsia" w:hAnsi="宋体" w:cs="宋体"/>
          <w:sz w:val="24"/>
          <w:szCs w:val="24"/>
        </w:rPr>
        <w:t>12.一旦我方中标，我方将严格依照招标文件中的相关规定与招标方签订合同。</w:t>
      </w:r>
    </w:p>
    <w:p>
      <w:pPr>
        <w:pStyle w:val="17"/>
        <w:spacing w:line="360" w:lineRule="exact"/>
        <w:ind w:firstLine="480" w:firstLineChars="200"/>
        <w:rPr>
          <w:rFonts w:hint="eastAsia" w:hAnsi="宋体" w:cs="宋体"/>
          <w:sz w:val="24"/>
          <w:szCs w:val="24"/>
        </w:rPr>
      </w:pPr>
      <w:r>
        <w:rPr>
          <w:rFonts w:hint="eastAsia" w:hAnsi="宋体" w:cs="宋体"/>
          <w:sz w:val="24"/>
          <w:szCs w:val="24"/>
        </w:rPr>
        <w:t>13.不低于企业成本价投标，不恶意过高报价，不扰乱招投标的正常秩序。</w:t>
      </w:r>
    </w:p>
    <w:p>
      <w:pPr>
        <w:pStyle w:val="17"/>
        <w:spacing w:line="360" w:lineRule="exact"/>
        <w:ind w:firstLine="480" w:firstLineChars="200"/>
        <w:rPr>
          <w:rFonts w:hint="eastAsia" w:hAnsi="宋体" w:cs="宋体"/>
          <w:sz w:val="24"/>
          <w:szCs w:val="24"/>
        </w:rPr>
      </w:pPr>
      <w:r>
        <w:rPr>
          <w:rFonts w:hint="eastAsia" w:hAnsi="宋体" w:cs="宋体"/>
          <w:sz w:val="24"/>
          <w:szCs w:val="24"/>
        </w:rPr>
        <w:t>14.严格遵守开标会议纪律，不在开标会场吵闹、滋事，服从工作人员指挥。</w:t>
      </w:r>
    </w:p>
    <w:p>
      <w:pPr>
        <w:pStyle w:val="17"/>
        <w:spacing w:line="360" w:lineRule="exact"/>
        <w:ind w:firstLine="480" w:firstLineChars="200"/>
        <w:rPr>
          <w:rFonts w:hint="eastAsia" w:hAnsi="宋体" w:cs="宋体"/>
          <w:sz w:val="24"/>
          <w:szCs w:val="24"/>
        </w:rPr>
      </w:pPr>
      <w:r>
        <w:rPr>
          <w:rFonts w:hint="eastAsia" w:hAnsi="宋体" w:cs="宋体"/>
          <w:sz w:val="24"/>
          <w:szCs w:val="24"/>
        </w:rPr>
        <w:t>15.按照法律法规和本项目招标文件规定的程序和方式进行异议和投诉，不越级投诉，不无理投诉。如捏造事实、伪造材料或者以非法手段取得证明材料进行投诉，给他人造成损失的，依法承担赔偿责任。</w:t>
      </w:r>
    </w:p>
    <w:p>
      <w:pPr>
        <w:pStyle w:val="17"/>
        <w:spacing w:line="360" w:lineRule="exact"/>
        <w:ind w:firstLine="480" w:firstLineChars="200"/>
        <w:rPr>
          <w:rFonts w:hint="eastAsia" w:hAnsi="宋体" w:cs="宋体"/>
          <w:sz w:val="24"/>
          <w:szCs w:val="24"/>
        </w:rPr>
      </w:pPr>
      <w:r>
        <w:rPr>
          <w:rFonts w:hint="eastAsia" w:hAnsi="宋体" w:cs="宋体"/>
          <w:sz w:val="24"/>
          <w:szCs w:val="24"/>
        </w:rPr>
        <w:t>上述承诺事项已认真逐项核对，均表达我单位真实意见，愿承担任何责任。若有任何弄虚作假内容或未遵守上述约定的，经查实后，愿意放弃投标及中标资格。如我单位违反上述承诺事项，无条件接受义乌市财政局或相关监管部门作出的任何管理和处理决定，并自愿承担一切不利的后果。</w:t>
      </w:r>
    </w:p>
    <w:p>
      <w:pPr>
        <w:rPr>
          <w:rFonts w:hint="eastAsia"/>
          <w:szCs w:val="20"/>
        </w:rPr>
      </w:pPr>
    </w:p>
    <w:p>
      <w:pPr>
        <w:spacing w:line="480" w:lineRule="auto"/>
        <w:jc w:val="center"/>
        <w:outlineLvl w:val="9"/>
        <w:rPr>
          <w:rFonts w:hint="eastAsia" w:hAnsi="宋体" w:cs="宋体"/>
          <w:sz w:val="24"/>
          <w:szCs w:val="24"/>
        </w:rPr>
      </w:pPr>
      <w:r>
        <w:rPr>
          <w:rFonts w:hint="eastAsia" w:hAnsi="宋体" w:cs="宋体"/>
          <w:sz w:val="24"/>
          <w:szCs w:val="24"/>
        </w:rPr>
        <w:t>投标人（电子签章）：法定代表人或其授权的委托代理人（签字或盖章）：   年   月   日</w:t>
      </w:r>
    </w:p>
    <w:p>
      <w:pPr>
        <w:spacing w:line="480" w:lineRule="auto"/>
        <w:jc w:val="center"/>
        <w:rPr>
          <w:rFonts w:hint="eastAsia" w:ascii="宋体" w:hAnsi="宋体" w:cs="宋体"/>
          <w:b/>
          <w:bCs/>
          <w:color w:val="auto"/>
          <w:sz w:val="36"/>
          <w:szCs w:val="36"/>
          <w:highlight w:val="none"/>
        </w:rPr>
      </w:pPr>
      <w:r>
        <w:rPr>
          <w:rFonts w:hint="eastAsia" w:hAnsi="宋体" w:cs="宋体"/>
          <w:sz w:val="24"/>
          <w:szCs w:val="24"/>
        </w:rPr>
        <w:br w:type="page"/>
      </w:r>
      <w:r>
        <w:rPr>
          <w:rFonts w:hint="eastAsia" w:ascii="宋体" w:hAnsi="宋体" w:cs="宋体"/>
          <w:b/>
          <w:bCs/>
          <w:color w:val="auto"/>
          <w:sz w:val="36"/>
          <w:szCs w:val="36"/>
          <w:highlight w:val="none"/>
        </w:rPr>
        <w:t>法定代表人授权书（格式）</w:t>
      </w:r>
    </w:p>
    <w:p>
      <w:pPr>
        <w:spacing w:line="480" w:lineRule="auto"/>
        <w:jc w:val="center"/>
        <w:rPr>
          <w:rFonts w:hint="eastAsia" w:ascii="宋体" w:hAnsi="宋体" w:cs="宋体"/>
          <w:b/>
          <w:color w:val="auto"/>
          <w:sz w:val="48"/>
          <w:highlight w:val="none"/>
        </w:rPr>
      </w:pPr>
    </w:p>
    <w:p>
      <w:pPr>
        <w:spacing w:line="360" w:lineRule="auto"/>
        <w:rPr>
          <w:rFonts w:hint="eastAsia" w:ascii="宋体" w:hAnsi="宋体" w:cs="宋体"/>
          <w:color w:val="auto"/>
          <w:sz w:val="24"/>
          <w:highlight w:val="none"/>
          <w:u w:val="single"/>
        </w:rPr>
      </w:pPr>
      <w:r>
        <w:rPr>
          <w:rFonts w:hint="eastAsia" w:ascii="宋体" w:hAnsi="宋体" w:cs="宋体"/>
          <w:color w:val="auto"/>
          <w:sz w:val="24"/>
          <w:highlight w:val="none"/>
        </w:rPr>
        <w:t>项目名称：</w:t>
      </w:r>
      <w:r>
        <w:rPr>
          <w:rFonts w:hint="eastAsia" w:ascii="宋体" w:hAnsi="宋体" w:cs="宋体"/>
          <w:color w:val="auto"/>
          <w:sz w:val="24"/>
          <w:highlight w:val="none"/>
          <w:u w:val="single"/>
        </w:rPr>
        <w:t xml:space="preserve">               </w:t>
      </w:r>
    </w:p>
    <w:p>
      <w:pPr>
        <w:spacing w:line="360" w:lineRule="auto"/>
        <w:rPr>
          <w:rFonts w:hint="eastAsia" w:ascii="宋体" w:hAnsi="宋体" w:cs="宋体"/>
          <w:color w:val="auto"/>
          <w:sz w:val="24"/>
          <w:highlight w:val="none"/>
          <w:u w:val="single"/>
        </w:rPr>
      </w:pPr>
      <w:r>
        <w:rPr>
          <w:rFonts w:hint="eastAsia" w:ascii="宋体" w:hAnsi="宋体" w:cs="宋体"/>
          <w:color w:val="auto"/>
          <w:sz w:val="24"/>
          <w:highlight w:val="none"/>
        </w:rPr>
        <w:t>日    期：</w:t>
      </w:r>
      <w:r>
        <w:rPr>
          <w:rFonts w:hint="eastAsia" w:ascii="宋体" w:hAnsi="宋体" w:cs="宋体"/>
          <w:color w:val="auto"/>
          <w:sz w:val="24"/>
          <w:highlight w:val="none"/>
          <w:u w:val="single"/>
        </w:rPr>
        <w:t xml:space="preserve">               </w:t>
      </w:r>
    </w:p>
    <w:p>
      <w:pPr>
        <w:spacing w:line="360" w:lineRule="auto"/>
        <w:rPr>
          <w:rFonts w:hint="eastAsia" w:ascii="宋体" w:hAnsi="宋体" w:cs="宋体"/>
          <w:color w:val="auto"/>
          <w:sz w:val="24"/>
          <w:highlight w:val="none"/>
          <w:u w:val="single"/>
        </w:rPr>
      </w:pPr>
      <w:r>
        <w:rPr>
          <w:rFonts w:hint="eastAsia" w:ascii="宋体" w:hAnsi="宋体" w:cs="宋体"/>
          <w:color w:val="auto"/>
          <w:sz w:val="24"/>
          <w:highlight w:val="none"/>
        </w:rPr>
        <w:t>致：（</w:t>
      </w:r>
      <w:r>
        <w:rPr>
          <w:rFonts w:hint="eastAsia" w:ascii="宋体" w:hAnsi="宋体" w:cs="宋体"/>
          <w:color w:val="auto"/>
          <w:sz w:val="24"/>
          <w:highlight w:val="none"/>
          <w:u w:val="single"/>
        </w:rPr>
        <w:t xml:space="preserve">采购人名称）                </w:t>
      </w:r>
    </w:p>
    <w:p>
      <w:pPr>
        <w:spacing w:line="360" w:lineRule="auto"/>
        <w:rPr>
          <w:rFonts w:hint="eastAsia" w:ascii="宋体" w:hAnsi="宋体" w:cs="宋体"/>
          <w:color w:val="auto"/>
          <w:sz w:val="24"/>
          <w:highlight w:val="none"/>
        </w:rPr>
      </w:pPr>
      <w:r>
        <w:rPr>
          <w:rFonts w:hint="eastAsia" w:ascii="宋体" w:hAnsi="宋体" w:cs="宋体"/>
          <w:color w:val="auto"/>
          <w:sz w:val="24"/>
          <w:highlight w:val="none"/>
        </w:rPr>
        <w:t xml:space="preserve">    （</w:t>
      </w:r>
      <w:r>
        <w:rPr>
          <w:rFonts w:hint="eastAsia" w:ascii="宋体" w:hAnsi="宋体" w:cs="宋体"/>
          <w:color w:val="auto"/>
          <w:sz w:val="24"/>
          <w:highlight w:val="none"/>
          <w:u w:val="single"/>
        </w:rPr>
        <w:t xml:space="preserve">招标代理机构名称）         </w:t>
      </w:r>
      <w:r>
        <w:rPr>
          <w:rFonts w:hint="eastAsia" w:ascii="宋体" w:hAnsi="宋体" w:cs="宋体"/>
          <w:color w:val="auto"/>
          <w:sz w:val="24"/>
          <w:highlight w:val="none"/>
        </w:rPr>
        <w:t xml:space="preserve">    </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cs="宋体"/>
          <w:color w:val="auto"/>
          <w:sz w:val="24"/>
          <w:highlight w:val="none"/>
        </w:rPr>
      </w:pPr>
      <w:r>
        <w:rPr>
          <w:rFonts w:hint="eastAsia" w:ascii="宋体" w:hAnsi="宋体" w:cs="宋体"/>
          <w:color w:val="auto"/>
          <w:sz w:val="24"/>
          <w:highlight w:val="none"/>
        </w:rPr>
        <w:t>注册于</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（注册地址）的</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（投标人名称），系中华人民共和国合法企业；本人</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授权人姓名）</w:t>
      </w:r>
      <w:r>
        <w:rPr>
          <w:rFonts w:hint="eastAsia" w:ascii="宋体" w:hAnsi="宋体" w:cs="宋体"/>
          <w:color w:val="auto"/>
          <w:sz w:val="24"/>
          <w:highlight w:val="none"/>
          <w:lang w:eastAsia="zh-CN"/>
        </w:rPr>
        <w:t>，</w:t>
      </w:r>
      <w:r>
        <w:rPr>
          <w:rFonts w:hint="eastAsia" w:ascii="宋体" w:hAnsi="宋体" w:cs="宋体"/>
          <w:color w:val="auto"/>
          <w:sz w:val="24"/>
          <w:highlight w:val="none"/>
        </w:rPr>
        <w:t>系该公司的法定代表人（或负责人）。现特授权本单位的</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（被授权人姓名）（</w:t>
      </w:r>
      <w:r>
        <w:rPr>
          <w:rFonts w:hint="eastAsia" w:ascii="宋体" w:hAnsi="宋体" w:cs="宋体"/>
          <w:color w:val="auto"/>
          <w:sz w:val="24"/>
          <w:highlight w:val="none"/>
          <w:u w:val="single"/>
        </w:rPr>
        <w:t xml:space="preserve">身份证号码：     </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为我公司合法代理人，全权代表我公司办理就</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项目的投标、开标、签约等具体工作，并签署全部有关的文件、协议及合同。</w:t>
      </w:r>
    </w:p>
    <w:p>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我公司对被授权人的签名负全部责任。</w:t>
      </w:r>
    </w:p>
    <w:p>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在撤销授权的书面通知以前，本授权书一直有效。被授权人签署的所有文件（在授权书有效期内签署的）不因授权的撤销而失效。被授权人无转委托。特此声明。</w:t>
      </w:r>
    </w:p>
    <w:p>
      <w:pPr>
        <w:spacing w:line="360" w:lineRule="auto"/>
        <w:rPr>
          <w:rFonts w:hint="eastAsia" w:ascii="宋体" w:hAnsi="宋体" w:cs="宋体"/>
          <w:color w:val="auto"/>
          <w:sz w:val="24"/>
          <w:highlight w:val="none"/>
        </w:rPr>
      </w:pPr>
      <w:r>
        <w:rPr>
          <w:rFonts w:hint="eastAsia" w:ascii="宋体" w:hAnsi="宋体" w:cs="宋体"/>
          <w:color w:val="auto"/>
          <w:sz w:val="24"/>
          <w:highlight w:val="none"/>
        </w:rPr>
        <w:t>被授权人身份证复印件：</w:t>
      </w:r>
    </w:p>
    <w:p>
      <w:pPr>
        <w:spacing w:line="360" w:lineRule="auto"/>
        <w:rPr>
          <w:rFonts w:hint="eastAsia" w:ascii="宋体" w:hAnsi="宋体" w:cs="宋体"/>
          <w:color w:val="auto"/>
          <w:sz w:val="24"/>
          <w:highlight w:val="none"/>
        </w:rPr>
      </w:pPr>
    </w:p>
    <w:p>
      <w:pPr>
        <w:spacing w:line="360" w:lineRule="auto"/>
        <w:rPr>
          <w:rFonts w:hint="eastAsia" w:ascii="宋体" w:hAnsi="宋体" w:cs="宋体"/>
          <w:color w:val="auto"/>
          <w:sz w:val="24"/>
          <w:highlight w:val="none"/>
        </w:rPr>
      </w:pPr>
    </w:p>
    <w:p>
      <w:pPr>
        <w:spacing w:line="360" w:lineRule="auto"/>
        <w:rPr>
          <w:rFonts w:hint="eastAsia" w:ascii="宋体" w:hAnsi="宋体" w:cs="宋体"/>
          <w:color w:val="auto"/>
          <w:sz w:val="24"/>
          <w:highlight w:val="none"/>
        </w:rPr>
      </w:pPr>
    </w:p>
    <w:p>
      <w:pPr>
        <w:spacing w:line="800" w:lineRule="exact"/>
        <w:rPr>
          <w:rFonts w:hint="eastAsia" w:ascii="宋体" w:hAnsi="宋体" w:cs="宋体"/>
          <w:color w:val="auto"/>
          <w:sz w:val="24"/>
          <w:highlight w:val="none"/>
        </w:rPr>
      </w:pPr>
      <w:r>
        <w:rPr>
          <w:rFonts w:hint="eastAsia" w:ascii="宋体" w:hAnsi="宋体" w:cs="宋体"/>
          <w:color w:val="auto"/>
          <w:sz w:val="24"/>
          <w:highlight w:val="none"/>
        </w:rPr>
        <w:t>投标人（盖</w:t>
      </w:r>
      <w:r>
        <w:rPr>
          <w:rFonts w:hint="eastAsia" w:ascii="宋体" w:hAnsi="宋体" w:cs="宋体"/>
          <w:color w:val="auto"/>
          <w:sz w:val="24"/>
          <w:highlight w:val="none"/>
          <w:lang w:val="en-US" w:eastAsia="zh-CN"/>
        </w:rPr>
        <w:t>电子签章</w:t>
      </w:r>
      <w:r>
        <w:rPr>
          <w:rFonts w:hint="eastAsia" w:ascii="宋体" w:hAnsi="宋体" w:cs="宋体"/>
          <w:color w:val="auto"/>
          <w:sz w:val="24"/>
          <w:highlight w:val="none"/>
        </w:rPr>
        <w:t>）：</w:t>
      </w:r>
    </w:p>
    <w:p>
      <w:pPr>
        <w:spacing w:line="800" w:lineRule="exact"/>
        <w:rPr>
          <w:rFonts w:hint="eastAsia" w:ascii="宋体" w:hAnsi="宋体" w:cs="宋体"/>
          <w:color w:val="auto"/>
          <w:sz w:val="24"/>
          <w:highlight w:val="none"/>
          <w:u w:val="single"/>
        </w:rPr>
      </w:pPr>
      <w:r>
        <w:rPr>
          <w:rFonts w:hint="eastAsia" w:ascii="宋体" w:hAnsi="宋体" w:cs="宋体"/>
          <w:color w:val="auto"/>
          <w:sz w:val="24"/>
          <w:highlight w:val="none"/>
        </w:rPr>
        <w:t>授权人签名：</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 xml:space="preserve">     职        务：</w:t>
      </w:r>
      <w:r>
        <w:rPr>
          <w:rFonts w:hint="eastAsia" w:ascii="宋体" w:hAnsi="宋体" w:cs="宋体"/>
          <w:color w:val="auto"/>
          <w:sz w:val="24"/>
          <w:highlight w:val="none"/>
          <w:u w:val="single"/>
        </w:rPr>
        <w:t xml:space="preserve">                </w:t>
      </w:r>
    </w:p>
    <w:p>
      <w:pPr>
        <w:spacing w:line="800" w:lineRule="exact"/>
        <w:rPr>
          <w:rFonts w:hint="eastAsia" w:ascii="宋体" w:hAnsi="宋体" w:cs="宋体"/>
          <w:color w:val="auto"/>
          <w:sz w:val="24"/>
          <w:highlight w:val="none"/>
        </w:rPr>
      </w:pPr>
      <w:r>
        <w:rPr>
          <w:rFonts w:hint="eastAsia" w:ascii="宋体" w:hAnsi="宋体" w:cs="宋体"/>
          <w:color w:val="auto"/>
          <w:sz w:val="24"/>
          <w:highlight w:val="none"/>
        </w:rPr>
        <w:t>被授权人签名：</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 xml:space="preserve">     </w:t>
      </w:r>
    </w:p>
    <w:p>
      <w:pPr>
        <w:spacing w:line="360" w:lineRule="auto"/>
        <w:rPr>
          <w:rFonts w:hint="eastAsia" w:ascii="宋体" w:hAnsi="宋体" w:cs="宋体"/>
          <w:color w:val="auto"/>
          <w:sz w:val="24"/>
          <w:highlight w:val="none"/>
        </w:rPr>
      </w:pPr>
    </w:p>
    <w:p>
      <w:pPr>
        <w:spacing w:line="360" w:lineRule="auto"/>
        <w:rPr>
          <w:rFonts w:hint="eastAsia" w:ascii="宋体" w:hAnsi="宋体"/>
          <w:sz w:val="24"/>
        </w:rPr>
      </w:pPr>
      <w:r>
        <w:rPr>
          <w:rFonts w:hint="eastAsia" w:ascii="宋体" w:hAnsi="宋体" w:cs="宋体"/>
          <w:color w:val="auto"/>
          <w:sz w:val="24"/>
          <w:highlight w:val="none"/>
        </w:rPr>
        <w:t>注：该表格适用于非法定代表人作为投标方代表参加投标的。</w:t>
      </w:r>
    </w:p>
    <w:p>
      <w:pPr>
        <w:spacing w:line="360" w:lineRule="auto"/>
        <w:jc w:val="center"/>
        <w:outlineLvl w:val="9"/>
        <w:rPr>
          <w:rFonts w:hint="eastAsia" w:ascii="宋体" w:hAnsi="宋体" w:cs="宋体"/>
          <w:b/>
          <w:bCs/>
          <w:sz w:val="36"/>
          <w:szCs w:val="36"/>
        </w:rPr>
      </w:pPr>
      <w:r>
        <w:rPr>
          <w:rFonts w:hint="eastAsia" w:ascii="宋体" w:hAnsi="宋体"/>
          <w:sz w:val="24"/>
        </w:rPr>
        <w:br w:type="page"/>
      </w:r>
      <w:r>
        <w:rPr>
          <w:rFonts w:hint="eastAsia" w:ascii="宋体" w:hAnsi="宋体" w:cs="宋体"/>
          <w:b/>
          <w:bCs/>
          <w:sz w:val="36"/>
          <w:szCs w:val="36"/>
        </w:rPr>
        <w:t>规范偏离表</w:t>
      </w:r>
    </w:p>
    <w:p>
      <w:pPr>
        <w:spacing w:line="360" w:lineRule="auto"/>
        <w:rPr>
          <w:rFonts w:hint="eastAsia" w:ascii="宋体" w:hAnsi="宋体" w:cs="宋体"/>
          <w:sz w:val="24"/>
        </w:rPr>
      </w:pPr>
      <w:r>
        <w:rPr>
          <w:rFonts w:hint="eastAsia" w:ascii="宋体" w:hAnsi="宋体" w:cs="宋体"/>
          <w:sz w:val="24"/>
        </w:rPr>
        <w:t xml:space="preserve">                                                招标编号：</w:t>
      </w:r>
    </w:p>
    <w:tbl>
      <w:tblPr>
        <w:tblStyle w:val="3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64"/>
        <w:gridCol w:w="2101"/>
        <w:gridCol w:w="1665"/>
        <w:gridCol w:w="2190"/>
        <w:gridCol w:w="20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6" w:hRule="atLeast"/>
          <w:jc w:val="center"/>
        </w:trPr>
        <w:tc>
          <w:tcPr>
            <w:tcW w:w="1064"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cs="宋体"/>
                <w:sz w:val="24"/>
              </w:rPr>
            </w:pPr>
            <w:r>
              <w:rPr>
                <w:rFonts w:hint="eastAsia" w:ascii="宋体" w:hAnsi="宋体" w:cs="宋体"/>
                <w:sz w:val="24"/>
              </w:rPr>
              <w:t>序号</w:t>
            </w:r>
          </w:p>
        </w:tc>
        <w:tc>
          <w:tcPr>
            <w:tcW w:w="2101"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cs="宋体"/>
                <w:sz w:val="24"/>
              </w:rPr>
            </w:pPr>
            <w:r>
              <w:rPr>
                <w:rFonts w:hint="eastAsia" w:ascii="宋体" w:hAnsi="宋体" w:cs="宋体"/>
                <w:sz w:val="24"/>
              </w:rPr>
              <w:t>内  容</w:t>
            </w:r>
          </w:p>
        </w:tc>
        <w:tc>
          <w:tcPr>
            <w:tcW w:w="166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cs="宋体"/>
                <w:sz w:val="24"/>
              </w:rPr>
            </w:pPr>
            <w:r>
              <w:rPr>
                <w:rFonts w:hint="eastAsia" w:ascii="宋体" w:hAnsi="宋体" w:cs="宋体"/>
                <w:sz w:val="24"/>
              </w:rPr>
              <w:t>招标文件</w:t>
            </w:r>
          </w:p>
          <w:p>
            <w:pPr>
              <w:spacing w:line="360" w:lineRule="auto"/>
              <w:jc w:val="center"/>
              <w:rPr>
                <w:rFonts w:hint="eastAsia" w:ascii="宋体" w:hAnsi="宋体" w:cs="宋体"/>
                <w:sz w:val="24"/>
              </w:rPr>
            </w:pPr>
            <w:r>
              <w:rPr>
                <w:rFonts w:hint="eastAsia" w:ascii="宋体" w:hAnsi="宋体" w:cs="宋体"/>
                <w:sz w:val="24"/>
              </w:rPr>
              <w:t>规范要求</w:t>
            </w:r>
          </w:p>
        </w:tc>
        <w:tc>
          <w:tcPr>
            <w:tcW w:w="219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cs="宋体"/>
                <w:sz w:val="24"/>
              </w:rPr>
            </w:pPr>
            <w:r>
              <w:rPr>
                <w:rFonts w:hint="eastAsia" w:ascii="宋体" w:hAnsi="宋体" w:cs="宋体"/>
                <w:sz w:val="24"/>
              </w:rPr>
              <w:t>投标文件</w:t>
            </w:r>
          </w:p>
          <w:p>
            <w:pPr>
              <w:spacing w:line="360" w:lineRule="auto"/>
              <w:jc w:val="center"/>
              <w:rPr>
                <w:rFonts w:hint="eastAsia" w:ascii="宋体" w:hAnsi="宋体" w:cs="宋体"/>
                <w:sz w:val="24"/>
              </w:rPr>
            </w:pPr>
            <w:r>
              <w:rPr>
                <w:rFonts w:hint="eastAsia" w:ascii="宋体" w:hAnsi="宋体" w:cs="宋体"/>
                <w:sz w:val="24"/>
              </w:rPr>
              <w:t>对应规范</w:t>
            </w:r>
          </w:p>
        </w:tc>
        <w:tc>
          <w:tcPr>
            <w:tcW w:w="208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cs="宋体"/>
                <w:sz w:val="24"/>
              </w:rPr>
            </w:pPr>
            <w:r>
              <w:rPr>
                <w:rFonts w:hint="eastAsia" w:ascii="宋体" w:hAnsi="宋体" w:cs="宋体"/>
                <w:sz w:val="24"/>
              </w:rPr>
              <w:t>偏离情况</w:t>
            </w:r>
          </w:p>
          <w:p>
            <w:pPr>
              <w:spacing w:line="360" w:lineRule="auto"/>
              <w:jc w:val="center"/>
              <w:rPr>
                <w:rFonts w:hint="eastAsia" w:ascii="宋体" w:hAnsi="宋体" w:cs="宋体"/>
                <w:sz w:val="24"/>
              </w:rPr>
            </w:pPr>
            <w:r>
              <w:rPr>
                <w:rFonts w:hint="eastAsia" w:ascii="宋体" w:hAnsi="宋体" w:cs="宋体"/>
                <w:sz w:val="24"/>
              </w:rPr>
              <w:t>详细说明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3" w:hRule="atLeast"/>
          <w:jc w:val="center"/>
        </w:trPr>
        <w:tc>
          <w:tcPr>
            <w:tcW w:w="1064"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hint="eastAsia" w:ascii="宋体" w:hAnsi="宋体" w:cs="宋体"/>
                <w:sz w:val="24"/>
              </w:rPr>
            </w:pPr>
          </w:p>
        </w:tc>
        <w:tc>
          <w:tcPr>
            <w:tcW w:w="2101"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hint="eastAsia" w:ascii="宋体" w:hAnsi="宋体" w:cs="宋体"/>
                <w:sz w:val="24"/>
              </w:rPr>
            </w:pPr>
          </w:p>
        </w:tc>
        <w:tc>
          <w:tcPr>
            <w:tcW w:w="1665"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hint="eastAsia" w:ascii="宋体" w:hAnsi="宋体" w:cs="宋体"/>
                <w:sz w:val="24"/>
              </w:rPr>
            </w:pPr>
          </w:p>
        </w:tc>
        <w:tc>
          <w:tcPr>
            <w:tcW w:w="2190"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hint="eastAsia" w:ascii="宋体" w:hAnsi="宋体" w:cs="宋体"/>
                <w:sz w:val="24"/>
              </w:rPr>
            </w:pPr>
          </w:p>
        </w:tc>
        <w:tc>
          <w:tcPr>
            <w:tcW w:w="2085"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hint="eastAsia"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3" w:hRule="atLeast"/>
          <w:jc w:val="center"/>
        </w:trPr>
        <w:tc>
          <w:tcPr>
            <w:tcW w:w="1064"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eastAsia" w:ascii="宋体" w:hAnsi="宋体" w:cs="宋体"/>
                <w:sz w:val="24"/>
              </w:rPr>
            </w:pPr>
          </w:p>
        </w:tc>
        <w:tc>
          <w:tcPr>
            <w:tcW w:w="2101"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hint="eastAsia" w:ascii="宋体" w:hAnsi="宋体" w:cs="宋体"/>
                <w:sz w:val="24"/>
              </w:rPr>
            </w:pPr>
          </w:p>
        </w:tc>
        <w:tc>
          <w:tcPr>
            <w:tcW w:w="1665"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hint="eastAsia" w:ascii="宋体" w:hAnsi="宋体" w:cs="宋体"/>
                <w:sz w:val="24"/>
              </w:rPr>
            </w:pPr>
          </w:p>
        </w:tc>
        <w:tc>
          <w:tcPr>
            <w:tcW w:w="2190"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hint="eastAsia" w:ascii="宋体" w:hAnsi="宋体" w:cs="宋体"/>
                <w:sz w:val="24"/>
              </w:rPr>
            </w:pPr>
          </w:p>
        </w:tc>
        <w:tc>
          <w:tcPr>
            <w:tcW w:w="2085"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hint="eastAsia"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3" w:hRule="atLeast"/>
          <w:jc w:val="center"/>
        </w:trPr>
        <w:tc>
          <w:tcPr>
            <w:tcW w:w="1064"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eastAsia" w:ascii="宋体" w:hAnsi="宋体" w:cs="宋体"/>
                <w:sz w:val="24"/>
              </w:rPr>
            </w:pPr>
          </w:p>
        </w:tc>
        <w:tc>
          <w:tcPr>
            <w:tcW w:w="2101"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hint="eastAsia" w:ascii="宋体" w:hAnsi="宋体" w:cs="宋体"/>
                <w:sz w:val="24"/>
              </w:rPr>
            </w:pPr>
          </w:p>
        </w:tc>
        <w:tc>
          <w:tcPr>
            <w:tcW w:w="1665"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hint="eastAsia" w:ascii="宋体" w:hAnsi="宋体" w:cs="宋体"/>
                <w:sz w:val="24"/>
              </w:rPr>
            </w:pPr>
          </w:p>
        </w:tc>
        <w:tc>
          <w:tcPr>
            <w:tcW w:w="2190"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hint="eastAsia" w:ascii="宋体" w:hAnsi="宋体" w:cs="宋体"/>
                <w:sz w:val="24"/>
              </w:rPr>
            </w:pPr>
          </w:p>
        </w:tc>
        <w:tc>
          <w:tcPr>
            <w:tcW w:w="2085"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hint="eastAsia"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0" w:hRule="atLeast"/>
          <w:jc w:val="center"/>
        </w:trPr>
        <w:tc>
          <w:tcPr>
            <w:tcW w:w="1064"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eastAsia" w:ascii="宋体" w:hAnsi="宋体" w:cs="宋体"/>
                <w:sz w:val="24"/>
              </w:rPr>
            </w:pPr>
          </w:p>
        </w:tc>
        <w:tc>
          <w:tcPr>
            <w:tcW w:w="2101"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hint="eastAsia" w:ascii="宋体" w:hAnsi="宋体" w:cs="宋体"/>
                <w:sz w:val="24"/>
              </w:rPr>
            </w:pPr>
          </w:p>
        </w:tc>
        <w:tc>
          <w:tcPr>
            <w:tcW w:w="1665"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hint="eastAsia" w:ascii="宋体" w:hAnsi="宋体" w:cs="宋体"/>
                <w:sz w:val="24"/>
              </w:rPr>
            </w:pPr>
          </w:p>
        </w:tc>
        <w:tc>
          <w:tcPr>
            <w:tcW w:w="2190"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hint="eastAsia" w:ascii="宋体" w:hAnsi="宋体" w:cs="宋体"/>
                <w:sz w:val="24"/>
              </w:rPr>
            </w:pPr>
          </w:p>
        </w:tc>
        <w:tc>
          <w:tcPr>
            <w:tcW w:w="2085"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hint="eastAsia"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3" w:hRule="atLeast"/>
          <w:jc w:val="center"/>
        </w:trPr>
        <w:tc>
          <w:tcPr>
            <w:tcW w:w="1064"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eastAsia" w:ascii="宋体" w:hAnsi="宋体" w:cs="宋体"/>
                <w:sz w:val="24"/>
              </w:rPr>
            </w:pPr>
          </w:p>
        </w:tc>
        <w:tc>
          <w:tcPr>
            <w:tcW w:w="2101"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hint="eastAsia" w:ascii="宋体" w:hAnsi="宋体" w:cs="宋体"/>
                <w:sz w:val="24"/>
              </w:rPr>
            </w:pPr>
          </w:p>
        </w:tc>
        <w:tc>
          <w:tcPr>
            <w:tcW w:w="1665"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hint="eastAsia" w:ascii="宋体" w:hAnsi="宋体" w:cs="宋体"/>
                <w:sz w:val="24"/>
              </w:rPr>
            </w:pPr>
          </w:p>
        </w:tc>
        <w:tc>
          <w:tcPr>
            <w:tcW w:w="2190"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hint="eastAsia" w:ascii="宋体" w:hAnsi="宋体" w:cs="宋体"/>
                <w:sz w:val="24"/>
              </w:rPr>
            </w:pPr>
          </w:p>
        </w:tc>
        <w:tc>
          <w:tcPr>
            <w:tcW w:w="2085"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hint="eastAsia"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3" w:hRule="atLeast"/>
          <w:jc w:val="center"/>
        </w:trPr>
        <w:tc>
          <w:tcPr>
            <w:tcW w:w="1064"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eastAsia" w:ascii="宋体" w:hAnsi="宋体" w:cs="宋体"/>
                <w:sz w:val="24"/>
              </w:rPr>
            </w:pPr>
          </w:p>
        </w:tc>
        <w:tc>
          <w:tcPr>
            <w:tcW w:w="2101"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hint="eastAsia" w:ascii="宋体" w:hAnsi="宋体" w:cs="宋体"/>
                <w:sz w:val="24"/>
              </w:rPr>
            </w:pPr>
          </w:p>
        </w:tc>
        <w:tc>
          <w:tcPr>
            <w:tcW w:w="1665"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hint="eastAsia" w:ascii="宋体" w:hAnsi="宋体" w:cs="宋体"/>
                <w:sz w:val="24"/>
              </w:rPr>
            </w:pPr>
          </w:p>
        </w:tc>
        <w:tc>
          <w:tcPr>
            <w:tcW w:w="2190"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hint="eastAsia" w:ascii="宋体" w:hAnsi="宋体" w:cs="宋体"/>
                <w:sz w:val="24"/>
              </w:rPr>
            </w:pPr>
          </w:p>
        </w:tc>
        <w:tc>
          <w:tcPr>
            <w:tcW w:w="2085"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hint="eastAsia"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3" w:hRule="atLeast"/>
          <w:jc w:val="center"/>
        </w:trPr>
        <w:tc>
          <w:tcPr>
            <w:tcW w:w="1064"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eastAsia" w:ascii="宋体" w:hAnsi="宋体" w:cs="宋体"/>
                <w:sz w:val="24"/>
              </w:rPr>
            </w:pPr>
          </w:p>
        </w:tc>
        <w:tc>
          <w:tcPr>
            <w:tcW w:w="2101"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hint="eastAsia" w:ascii="宋体" w:hAnsi="宋体" w:cs="宋体"/>
                <w:sz w:val="24"/>
              </w:rPr>
            </w:pPr>
          </w:p>
        </w:tc>
        <w:tc>
          <w:tcPr>
            <w:tcW w:w="1665"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hint="eastAsia" w:ascii="宋体" w:hAnsi="宋体" w:cs="宋体"/>
                <w:sz w:val="24"/>
              </w:rPr>
            </w:pPr>
          </w:p>
        </w:tc>
        <w:tc>
          <w:tcPr>
            <w:tcW w:w="2190"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hint="eastAsia" w:ascii="宋体" w:hAnsi="宋体" w:cs="宋体"/>
                <w:sz w:val="24"/>
              </w:rPr>
            </w:pPr>
          </w:p>
        </w:tc>
        <w:tc>
          <w:tcPr>
            <w:tcW w:w="2085"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hint="eastAsia"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3" w:hRule="atLeast"/>
          <w:jc w:val="center"/>
        </w:trPr>
        <w:tc>
          <w:tcPr>
            <w:tcW w:w="1064"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eastAsia" w:ascii="宋体" w:hAnsi="宋体" w:cs="宋体"/>
                <w:sz w:val="24"/>
              </w:rPr>
            </w:pPr>
          </w:p>
        </w:tc>
        <w:tc>
          <w:tcPr>
            <w:tcW w:w="2101"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hint="eastAsia" w:ascii="宋体" w:hAnsi="宋体" w:cs="宋体"/>
                <w:sz w:val="24"/>
              </w:rPr>
            </w:pPr>
          </w:p>
        </w:tc>
        <w:tc>
          <w:tcPr>
            <w:tcW w:w="1665"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hint="eastAsia" w:ascii="宋体" w:hAnsi="宋体" w:cs="宋体"/>
                <w:sz w:val="24"/>
              </w:rPr>
            </w:pPr>
          </w:p>
        </w:tc>
        <w:tc>
          <w:tcPr>
            <w:tcW w:w="2190"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hint="eastAsia" w:ascii="宋体" w:hAnsi="宋体" w:cs="宋体"/>
                <w:sz w:val="24"/>
              </w:rPr>
            </w:pPr>
          </w:p>
        </w:tc>
        <w:tc>
          <w:tcPr>
            <w:tcW w:w="2085"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hint="eastAsia"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3" w:hRule="atLeast"/>
          <w:jc w:val="center"/>
        </w:trPr>
        <w:tc>
          <w:tcPr>
            <w:tcW w:w="1064"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eastAsia" w:ascii="宋体" w:hAnsi="宋体" w:cs="宋体"/>
                <w:sz w:val="24"/>
              </w:rPr>
            </w:pPr>
          </w:p>
        </w:tc>
        <w:tc>
          <w:tcPr>
            <w:tcW w:w="2101"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hint="eastAsia" w:ascii="宋体" w:hAnsi="宋体" w:cs="宋体"/>
                <w:sz w:val="24"/>
              </w:rPr>
            </w:pPr>
          </w:p>
        </w:tc>
        <w:tc>
          <w:tcPr>
            <w:tcW w:w="1665"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hint="eastAsia" w:ascii="宋体" w:hAnsi="宋体" w:cs="宋体"/>
                <w:sz w:val="24"/>
              </w:rPr>
            </w:pPr>
          </w:p>
        </w:tc>
        <w:tc>
          <w:tcPr>
            <w:tcW w:w="2190"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hint="eastAsia" w:ascii="宋体" w:hAnsi="宋体" w:cs="宋体"/>
                <w:sz w:val="24"/>
              </w:rPr>
            </w:pPr>
          </w:p>
        </w:tc>
        <w:tc>
          <w:tcPr>
            <w:tcW w:w="2085"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hint="eastAsia"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3" w:hRule="atLeast"/>
          <w:jc w:val="center"/>
        </w:trPr>
        <w:tc>
          <w:tcPr>
            <w:tcW w:w="1064"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hint="eastAsia" w:ascii="宋体" w:hAnsi="宋体" w:cs="宋体"/>
                <w:sz w:val="24"/>
              </w:rPr>
            </w:pPr>
          </w:p>
        </w:tc>
        <w:tc>
          <w:tcPr>
            <w:tcW w:w="2101"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hint="eastAsia" w:ascii="宋体" w:hAnsi="宋体" w:cs="宋体"/>
                <w:sz w:val="24"/>
              </w:rPr>
            </w:pPr>
          </w:p>
        </w:tc>
        <w:tc>
          <w:tcPr>
            <w:tcW w:w="1665"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hint="eastAsia" w:ascii="宋体" w:hAnsi="宋体" w:cs="宋体"/>
                <w:sz w:val="24"/>
              </w:rPr>
            </w:pPr>
          </w:p>
        </w:tc>
        <w:tc>
          <w:tcPr>
            <w:tcW w:w="2190"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hint="eastAsia" w:ascii="宋体" w:hAnsi="宋体" w:cs="宋体"/>
                <w:sz w:val="24"/>
              </w:rPr>
            </w:pPr>
          </w:p>
        </w:tc>
        <w:tc>
          <w:tcPr>
            <w:tcW w:w="2085"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hint="eastAsia"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0" w:hRule="atLeast"/>
          <w:jc w:val="center"/>
        </w:trPr>
        <w:tc>
          <w:tcPr>
            <w:tcW w:w="1064"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eastAsia" w:ascii="宋体" w:hAnsi="宋体" w:cs="宋体"/>
                <w:sz w:val="24"/>
              </w:rPr>
            </w:pPr>
          </w:p>
        </w:tc>
        <w:tc>
          <w:tcPr>
            <w:tcW w:w="2101"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hint="eastAsia" w:ascii="宋体" w:hAnsi="宋体" w:cs="宋体"/>
                <w:sz w:val="24"/>
              </w:rPr>
            </w:pPr>
          </w:p>
        </w:tc>
        <w:tc>
          <w:tcPr>
            <w:tcW w:w="1665"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hint="eastAsia" w:ascii="宋体" w:hAnsi="宋体" w:cs="宋体"/>
                <w:sz w:val="24"/>
              </w:rPr>
            </w:pPr>
          </w:p>
        </w:tc>
        <w:tc>
          <w:tcPr>
            <w:tcW w:w="2190"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hint="eastAsia" w:ascii="宋体" w:hAnsi="宋体" w:cs="宋体"/>
                <w:sz w:val="24"/>
              </w:rPr>
            </w:pPr>
          </w:p>
        </w:tc>
        <w:tc>
          <w:tcPr>
            <w:tcW w:w="2085"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hint="eastAsia"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3" w:hRule="atLeast"/>
          <w:jc w:val="center"/>
        </w:trPr>
        <w:tc>
          <w:tcPr>
            <w:tcW w:w="1064"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eastAsia" w:ascii="宋体" w:hAnsi="宋体" w:cs="宋体"/>
                <w:sz w:val="24"/>
              </w:rPr>
            </w:pPr>
          </w:p>
        </w:tc>
        <w:tc>
          <w:tcPr>
            <w:tcW w:w="2101"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hint="eastAsia" w:ascii="宋体" w:hAnsi="宋体" w:cs="宋体"/>
                <w:sz w:val="24"/>
              </w:rPr>
            </w:pPr>
          </w:p>
        </w:tc>
        <w:tc>
          <w:tcPr>
            <w:tcW w:w="1665"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hint="eastAsia" w:ascii="宋体" w:hAnsi="宋体" w:cs="宋体"/>
                <w:sz w:val="24"/>
              </w:rPr>
            </w:pPr>
          </w:p>
        </w:tc>
        <w:tc>
          <w:tcPr>
            <w:tcW w:w="2190"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hint="eastAsia" w:ascii="宋体" w:hAnsi="宋体" w:cs="宋体"/>
                <w:sz w:val="24"/>
              </w:rPr>
            </w:pPr>
          </w:p>
        </w:tc>
        <w:tc>
          <w:tcPr>
            <w:tcW w:w="2085"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hint="eastAsia"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3" w:hRule="atLeast"/>
          <w:jc w:val="center"/>
        </w:trPr>
        <w:tc>
          <w:tcPr>
            <w:tcW w:w="1064"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eastAsia" w:ascii="宋体" w:hAnsi="宋体" w:cs="宋体"/>
                <w:sz w:val="24"/>
              </w:rPr>
            </w:pPr>
          </w:p>
        </w:tc>
        <w:tc>
          <w:tcPr>
            <w:tcW w:w="2101"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hint="eastAsia" w:ascii="宋体" w:hAnsi="宋体" w:cs="宋体"/>
                <w:sz w:val="24"/>
              </w:rPr>
            </w:pPr>
          </w:p>
        </w:tc>
        <w:tc>
          <w:tcPr>
            <w:tcW w:w="1665"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hint="eastAsia" w:ascii="宋体" w:hAnsi="宋体" w:cs="宋体"/>
                <w:sz w:val="24"/>
              </w:rPr>
            </w:pPr>
          </w:p>
        </w:tc>
        <w:tc>
          <w:tcPr>
            <w:tcW w:w="2190"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hint="eastAsia" w:ascii="宋体" w:hAnsi="宋体" w:cs="宋体"/>
                <w:sz w:val="24"/>
              </w:rPr>
            </w:pPr>
          </w:p>
        </w:tc>
        <w:tc>
          <w:tcPr>
            <w:tcW w:w="2085"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hint="eastAsia"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3" w:hRule="atLeast"/>
          <w:jc w:val="center"/>
        </w:trPr>
        <w:tc>
          <w:tcPr>
            <w:tcW w:w="1064"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eastAsia" w:ascii="宋体" w:hAnsi="宋体" w:cs="宋体"/>
                <w:sz w:val="24"/>
              </w:rPr>
            </w:pPr>
          </w:p>
        </w:tc>
        <w:tc>
          <w:tcPr>
            <w:tcW w:w="2101"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hint="eastAsia" w:ascii="宋体" w:hAnsi="宋体" w:cs="宋体"/>
                <w:sz w:val="24"/>
              </w:rPr>
            </w:pPr>
          </w:p>
        </w:tc>
        <w:tc>
          <w:tcPr>
            <w:tcW w:w="1665"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hint="eastAsia" w:ascii="宋体" w:hAnsi="宋体" w:cs="宋体"/>
                <w:sz w:val="24"/>
              </w:rPr>
            </w:pPr>
          </w:p>
        </w:tc>
        <w:tc>
          <w:tcPr>
            <w:tcW w:w="2190"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hint="eastAsia" w:ascii="宋体" w:hAnsi="宋体" w:cs="宋体"/>
                <w:sz w:val="24"/>
              </w:rPr>
            </w:pPr>
          </w:p>
        </w:tc>
        <w:tc>
          <w:tcPr>
            <w:tcW w:w="2085"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hint="eastAsia" w:ascii="宋体" w:hAnsi="宋体" w:cs="宋体"/>
                <w:sz w:val="24"/>
              </w:rPr>
            </w:pPr>
          </w:p>
        </w:tc>
      </w:tr>
    </w:tbl>
    <w:p>
      <w:pPr>
        <w:spacing w:line="360" w:lineRule="auto"/>
        <w:rPr>
          <w:rFonts w:hint="eastAsia" w:ascii="宋体" w:hAnsi="宋体" w:cs="宋体"/>
          <w:sz w:val="24"/>
        </w:rPr>
      </w:pPr>
      <w:r>
        <w:rPr>
          <w:rFonts w:hint="eastAsia" w:ascii="宋体" w:hAnsi="宋体" w:cs="宋体"/>
          <w:sz w:val="24"/>
        </w:rPr>
        <w:t xml:space="preserve">投标人名称（盖电子签章）：                      </w:t>
      </w:r>
    </w:p>
    <w:p>
      <w:pPr>
        <w:spacing w:line="360" w:lineRule="auto"/>
        <w:rPr>
          <w:rFonts w:hint="eastAsia" w:ascii="宋体" w:hAnsi="宋体" w:cs="宋体"/>
          <w:sz w:val="24"/>
        </w:rPr>
      </w:pPr>
      <w:r>
        <w:rPr>
          <w:rFonts w:hint="eastAsia" w:ascii="宋体" w:hAnsi="宋体" w:cs="宋体"/>
          <w:sz w:val="24"/>
        </w:rPr>
        <w:t xml:space="preserve">法定代表人（或负责人）或其授权的委托代理人签字：                   </w:t>
      </w:r>
    </w:p>
    <w:p>
      <w:pPr>
        <w:spacing w:line="360" w:lineRule="auto"/>
        <w:rPr>
          <w:rFonts w:hint="eastAsia" w:ascii="宋体" w:hAnsi="宋体" w:cs="宋体"/>
          <w:sz w:val="24"/>
        </w:rPr>
      </w:pPr>
      <w:r>
        <w:rPr>
          <w:rFonts w:hint="eastAsia" w:ascii="宋体" w:hAnsi="宋体" w:cs="宋体"/>
          <w:sz w:val="24"/>
        </w:rPr>
        <w:t>日 期：      年    月      日</w:t>
      </w:r>
    </w:p>
    <w:p>
      <w:pPr>
        <w:spacing w:line="360" w:lineRule="auto"/>
        <w:rPr>
          <w:rFonts w:hint="eastAsia" w:ascii="宋体" w:hAnsi="宋体" w:cs="宋体"/>
          <w:sz w:val="24"/>
        </w:rPr>
      </w:pPr>
    </w:p>
    <w:p>
      <w:pPr>
        <w:spacing w:line="360" w:lineRule="auto"/>
        <w:rPr>
          <w:rFonts w:hint="eastAsia" w:ascii="宋体" w:hAnsi="宋体" w:cs="宋体"/>
          <w:sz w:val="24"/>
        </w:rPr>
      </w:pPr>
      <w:r>
        <w:rPr>
          <w:rFonts w:hint="eastAsia" w:ascii="宋体" w:hAnsi="宋体" w:cs="宋体"/>
          <w:sz w:val="24"/>
        </w:rPr>
        <w:t>备注：1、投标方应仔细对第三章招标货物清单及项目要求进行逐条分析，对于投标内容与招标文件内容有不一致的条款，则须在上表中列明并详细填写。</w:t>
      </w:r>
    </w:p>
    <w:p>
      <w:pPr>
        <w:spacing w:line="360" w:lineRule="auto"/>
        <w:rPr>
          <w:rFonts w:hint="eastAsia" w:ascii="宋体" w:hAnsi="宋体" w:cs="宋体"/>
          <w:sz w:val="24"/>
        </w:rPr>
      </w:pPr>
      <w:r>
        <w:rPr>
          <w:rFonts w:hint="eastAsia" w:ascii="宋体" w:hAnsi="宋体" w:cs="宋体"/>
          <w:sz w:val="24"/>
        </w:rPr>
        <w:t>2、如招标文件内容与投标文件内容都一致的，则本表可以在相关的签字、盖章后，不需要填写其它内容或在“偏离情况详细说明”栏内只填写一个无字。</w:t>
      </w:r>
    </w:p>
    <w:p>
      <w:pPr>
        <w:spacing w:line="360" w:lineRule="auto"/>
        <w:rPr>
          <w:rFonts w:hint="eastAsia" w:ascii="宋体" w:hAnsi="宋体" w:cs="宋体"/>
          <w:sz w:val="24"/>
          <w:lang w:eastAsia="zh-CN"/>
        </w:rPr>
      </w:pPr>
      <w:r>
        <w:rPr>
          <w:rFonts w:hint="eastAsia" w:ascii="宋体" w:hAnsi="宋体" w:cs="宋体"/>
          <w:sz w:val="24"/>
        </w:rPr>
        <w:t>3、此表在不改变表式内容的情况下可自行制作</w:t>
      </w:r>
      <w:r>
        <w:rPr>
          <w:rFonts w:hint="eastAsia" w:ascii="宋体" w:hAnsi="宋体" w:cs="宋体"/>
          <w:sz w:val="24"/>
          <w:lang w:eastAsia="zh-CN"/>
        </w:rPr>
        <w:t>。</w:t>
      </w:r>
    </w:p>
    <w:p>
      <w:pPr>
        <w:spacing w:line="360" w:lineRule="auto"/>
        <w:jc w:val="center"/>
        <w:rPr>
          <w:rFonts w:hint="eastAsia" w:ascii="宋体" w:hAnsi="宋体" w:cs="宋体"/>
          <w:b/>
          <w:bCs/>
          <w:strike w:val="0"/>
          <w:dstrike w:val="0"/>
          <w:color w:val="auto"/>
          <w:sz w:val="36"/>
          <w:szCs w:val="36"/>
          <w:highlight w:val="none"/>
        </w:rPr>
      </w:pPr>
      <w:r>
        <w:rPr>
          <w:rFonts w:hint="eastAsia" w:ascii="宋体" w:hAnsi="宋体" w:cs="宋体"/>
          <w:sz w:val="24"/>
          <w:lang w:eastAsia="zh-CN"/>
        </w:rPr>
        <w:br w:type="page"/>
      </w:r>
      <w:r>
        <w:rPr>
          <w:rFonts w:hint="eastAsia" w:ascii="宋体" w:hAnsi="宋体" w:cs="宋体"/>
          <w:b/>
          <w:bCs/>
          <w:strike w:val="0"/>
          <w:dstrike w:val="0"/>
          <w:color w:val="auto"/>
          <w:sz w:val="36"/>
          <w:szCs w:val="36"/>
          <w:highlight w:val="none"/>
        </w:rPr>
        <w:t>服务质量保证承诺书</w:t>
      </w:r>
    </w:p>
    <w:p>
      <w:pPr>
        <w:pStyle w:val="28"/>
        <w:snapToGrid w:val="0"/>
        <w:spacing w:line="500" w:lineRule="atLeast"/>
        <w:rPr>
          <w:rFonts w:hint="eastAsia"/>
          <w:strike w:val="0"/>
          <w:dstrike w:val="0"/>
          <w:color w:val="auto"/>
          <w:highlight w:val="none"/>
        </w:rPr>
      </w:pPr>
      <w:r>
        <w:rPr>
          <w:rFonts w:hint="eastAsia"/>
          <w:b/>
          <w:bCs/>
          <w:strike w:val="0"/>
          <w:dstrike w:val="0"/>
          <w:color w:val="auto"/>
          <w:highlight w:val="none"/>
        </w:rPr>
        <w:t xml:space="preserve">    </w:t>
      </w:r>
      <w:r>
        <w:rPr>
          <w:rFonts w:hint="eastAsia"/>
          <w:strike w:val="0"/>
          <w:dstrike w:val="0"/>
          <w:color w:val="auto"/>
          <w:highlight w:val="none"/>
        </w:rPr>
        <w:t>根据贵方为</w:t>
      </w:r>
      <w:r>
        <w:rPr>
          <w:rFonts w:hint="eastAsia"/>
          <w:strike w:val="0"/>
          <w:dstrike w:val="0"/>
          <w:color w:val="auto"/>
          <w:highlight w:val="none"/>
          <w:u w:val="single"/>
        </w:rPr>
        <w:t xml:space="preserve">      </w:t>
      </w:r>
      <w:r>
        <w:rPr>
          <w:rFonts w:hint="eastAsia"/>
          <w:strike w:val="0"/>
          <w:dstrike w:val="0"/>
          <w:color w:val="auto"/>
          <w:highlight w:val="none"/>
        </w:rPr>
        <w:t xml:space="preserve">年 </w:t>
      </w:r>
      <w:r>
        <w:rPr>
          <w:rFonts w:hint="eastAsia"/>
          <w:strike w:val="0"/>
          <w:dstrike w:val="0"/>
          <w:color w:val="auto"/>
          <w:highlight w:val="none"/>
          <w:u w:val="single"/>
        </w:rPr>
        <w:t xml:space="preserve">   </w:t>
      </w:r>
      <w:r>
        <w:rPr>
          <w:rFonts w:hint="eastAsia"/>
          <w:strike w:val="0"/>
          <w:dstrike w:val="0"/>
          <w:color w:val="auto"/>
          <w:highlight w:val="none"/>
        </w:rPr>
        <w:t>月</w:t>
      </w:r>
      <w:r>
        <w:rPr>
          <w:rFonts w:hint="eastAsia"/>
          <w:strike w:val="0"/>
          <w:dstrike w:val="0"/>
          <w:color w:val="auto"/>
          <w:highlight w:val="none"/>
          <w:u w:val="single"/>
        </w:rPr>
        <w:t xml:space="preserve">   </w:t>
      </w:r>
      <w:r>
        <w:rPr>
          <w:rFonts w:hint="eastAsia"/>
          <w:strike w:val="0"/>
          <w:dstrike w:val="0"/>
          <w:color w:val="auto"/>
          <w:highlight w:val="none"/>
        </w:rPr>
        <w:t>日</w:t>
      </w:r>
      <w:r>
        <w:rPr>
          <w:rFonts w:hint="eastAsia"/>
          <w:strike w:val="0"/>
          <w:dstrike w:val="0"/>
          <w:color w:val="auto"/>
          <w:highlight w:val="none"/>
          <w:u w:val="single"/>
        </w:rPr>
        <w:t xml:space="preserve">                                     </w:t>
      </w:r>
      <w:r>
        <w:rPr>
          <w:rFonts w:hint="eastAsia"/>
          <w:strike w:val="0"/>
          <w:dstrike w:val="0"/>
          <w:color w:val="auto"/>
          <w:highlight w:val="none"/>
        </w:rPr>
        <w:t>（招标内容）招标项目的投标邀请，我方对该项目</w:t>
      </w:r>
      <w:r>
        <w:rPr>
          <w:rFonts w:hint="eastAsia"/>
          <w:strike w:val="0"/>
          <w:dstrike w:val="0"/>
          <w:color w:val="auto"/>
          <w:highlight w:val="none"/>
          <w:lang w:val="en-US" w:eastAsia="zh-CN"/>
        </w:rPr>
        <w:t>作出</w:t>
      </w:r>
      <w:r>
        <w:rPr>
          <w:rFonts w:hint="eastAsia"/>
          <w:strike w:val="0"/>
          <w:dstrike w:val="0"/>
          <w:color w:val="auto"/>
          <w:highlight w:val="none"/>
        </w:rPr>
        <w:t>如下服务质量承诺：</w:t>
      </w:r>
    </w:p>
    <w:p>
      <w:pPr>
        <w:spacing w:line="360" w:lineRule="auto"/>
        <w:ind w:left="540"/>
        <w:rPr>
          <w:rFonts w:hint="eastAsia" w:ascii="宋体" w:hAnsi="宋体" w:cs="宋体"/>
          <w:strike w:val="0"/>
          <w:dstrike w:val="0"/>
          <w:color w:val="auto"/>
          <w:sz w:val="24"/>
          <w:highlight w:val="none"/>
        </w:rPr>
      </w:pPr>
      <w:r>
        <w:rPr>
          <w:rFonts w:hint="eastAsia" w:hAnsi="宋体"/>
          <w:strike w:val="0"/>
          <w:dstrike w:val="0"/>
          <w:color w:val="auto"/>
          <w:sz w:val="24"/>
          <w:highlight w:val="none"/>
        </w:rPr>
        <w:t>1、服务质量要求</w:t>
      </w:r>
      <w:r>
        <w:rPr>
          <w:rFonts w:hint="eastAsia" w:ascii="宋体" w:hAnsi="宋体" w:cs="宋体"/>
          <w:strike w:val="0"/>
          <w:dstrike w:val="0"/>
          <w:color w:val="auto"/>
          <w:sz w:val="24"/>
          <w:highlight w:val="none"/>
        </w:rPr>
        <w:t>：</w:t>
      </w:r>
    </w:p>
    <w:p>
      <w:pPr>
        <w:spacing w:line="360" w:lineRule="auto"/>
        <w:rPr>
          <w:rFonts w:hint="eastAsia" w:ascii="宋体" w:hAnsi="宋体" w:cs="宋体"/>
          <w:strike w:val="0"/>
          <w:dstrike w:val="0"/>
          <w:color w:val="auto"/>
          <w:sz w:val="24"/>
          <w:highlight w:val="none"/>
        </w:rPr>
      </w:pPr>
    </w:p>
    <w:p>
      <w:pPr>
        <w:spacing w:line="360" w:lineRule="auto"/>
        <w:rPr>
          <w:rFonts w:hint="eastAsia" w:ascii="宋体" w:hAnsi="宋体" w:cs="宋体"/>
          <w:strike w:val="0"/>
          <w:dstrike w:val="0"/>
          <w:color w:val="auto"/>
          <w:sz w:val="24"/>
          <w:highlight w:val="none"/>
        </w:rPr>
      </w:pPr>
    </w:p>
    <w:p>
      <w:pPr>
        <w:spacing w:line="360" w:lineRule="auto"/>
        <w:rPr>
          <w:rFonts w:hint="eastAsia" w:ascii="宋体" w:hAnsi="宋体" w:cs="宋体"/>
          <w:strike w:val="0"/>
          <w:dstrike w:val="0"/>
          <w:color w:val="auto"/>
          <w:sz w:val="24"/>
          <w:highlight w:val="none"/>
        </w:rPr>
      </w:pPr>
    </w:p>
    <w:p>
      <w:pPr>
        <w:spacing w:line="360" w:lineRule="auto"/>
        <w:rPr>
          <w:rFonts w:hint="eastAsia" w:ascii="宋体" w:hAnsi="宋体" w:cs="宋体"/>
          <w:strike w:val="0"/>
          <w:dstrike w:val="0"/>
          <w:color w:val="auto"/>
          <w:sz w:val="24"/>
          <w:highlight w:val="none"/>
        </w:rPr>
      </w:pPr>
    </w:p>
    <w:p>
      <w:pPr>
        <w:spacing w:line="360" w:lineRule="auto"/>
        <w:ind w:left="480"/>
        <w:rPr>
          <w:rFonts w:hint="eastAsia" w:ascii="宋体" w:hAnsi="宋体" w:cs="宋体"/>
          <w:strike w:val="0"/>
          <w:dstrike w:val="0"/>
          <w:color w:val="auto"/>
          <w:sz w:val="24"/>
          <w:highlight w:val="none"/>
        </w:rPr>
      </w:pPr>
      <w:r>
        <w:rPr>
          <w:rFonts w:hint="eastAsia" w:ascii="宋体" w:hAnsi="宋体" w:cs="宋体"/>
          <w:strike w:val="0"/>
          <w:dstrike w:val="0"/>
          <w:color w:val="auto"/>
          <w:sz w:val="24"/>
          <w:highlight w:val="none"/>
        </w:rPr>
        <w:t>2、人员配置：</w:t>
      </w:r>
    </w:p>
    <w:p>
      <w:pPr>
        <w:spacing w:line="360" w:lineRule="auto"/>
        <w:ind w:left="480"/>
        <w:rPr>
          <w:rFonts w:hint="eastAsia" w:ascii="宋体" w:hAnsi="宋体" w:cs="宋体"/>
          <w:strike w:val="0"/>
          <w:dstrike w:val="0"/>
          <w:color w:val="auto"/>
          <w:sz w:val="24"/>
          <w:highlight w:val="none"/>
        </w:rPr>
      </w:pPr>
    </w:p>
    <w:p>
      <w:pPr>
        <w:spacing w:line="360" w:lineRule="auto"/>
        <w:ind w:left="480"/>
        <w:rPr>
          <w:rFonts w:hint="eastAsia" w:ascii="宋体" w:hAnsi="宋体" w:cs="宋体"/>
          <w:strike w:val="0"/>
          <w:dstrike w:val="0"/>
          <w:color w:val="auto"/>
          <w:sz w:val="24"/>
          <w:highlight w:val="none"/>
        </w:rPr>
      </w:pPr>
    </w:p>
    <w:p>
      <w:pPr>
        <w:spacing w:line="360" w:lineRule="auto"/>
        <w:ind w:left="480"/>
        <w:rPr>
          <w:rFonts w:hint="eastAsia" w:ascii="宋体" w:hAnsi="宋体" w:cs="宋体"/>
          <w:strike w:val="0"/>
          <w:dstrike w:val="0"/>
          <w:color w:val="auto"/>
          <w:sz w:val="24"/>
          <w:highlight w:val="none"/>
        </w:rPr>
      </w:pPr>
    </w:p>
    <w:p>
      <w:pPr>
        <w:spacing w:line="360" w:lineRule="auto"/>
        <w:ind w:left="480"/>
        <w:rPr>
          <w:rFonts w:hint="eastAsia" w:ascii="宋体" w:hAnsi="宋体" w:cs="宋体"/>
          <w:strike w:val="0"/>
          <w:dstrike w:val="0"/>
          <w:color w:val="auto"/>
          <w:sz w:val="24"/>
          <w:highlight w:val="none"/>
        </w:rPr>
      </w:pPr>
      <w:r>
        <w:rPr>
          <w:rFonts w:hint="eastAsia" w:ascii="宋体" w:hAnsi="宋体" w:cs="宋体"/>
          <w:strike w:val="0"/>
          <w:dstrike w:val="0"/>
          <w:color w:val="auto"/>
          <w:sz w:val="24"/>
          <w:highlight w:val="none"/>
        </w:rPr>
        <w:t>3、</w:t>
      </w:r>
      <w:r>
        <w:rPr>
          <w:rFonts w:hint="eastAsia" w:ascii="宋体" w:hAnsi="宋体" w:cs="宋体"/>
          <w:strike w:val="0"/>
          <w:dstrike w:val="0"/>
          <w:color w:val="auto"/>
          <w:sz w:val="24"/>
          <w:highlight w:val="none"/>
          <w:lang w:eastAsia="zh-CN"/>
        </w:rPr>
        <w:t>其他</w:t>
      </w:r>
      <w:r>
        <w:rPr>
          <w:rFonts w:hint="eastAsia" w:ascii="宋体" w:hAnsi="宋体" w:cs="宋体"/>
          <w:strike w:val="0"/>
          <w:dstrike w:val="0"/>
          <w:color w:val="auto"/>
          <w:sz w:val="24"/>
          <w:highlight w:val="none"/>
        </w:rPr>
        <w:t>：</w:t>
      </w:r>
    </w:p>
    <w:p>
      <w:pPr>
        <w:spacing w:line="360" w:lineRule="auto"/>
        <w:jc w:val="center"/>
        <w:rPr>
          <w:rFonts w:hint="eastAsia" w:ascii="宋体" w:hAnsi="宋体" w:cs="宋体"/>
          <w:b/>
          <w:bCs/>
          <w:strike w:val="0"/>
          <w:dstrike w:val="0"/>
          <w:color w:val="auto"/>
          <w:sz w:val="24"/>
          <w:highlight w:val="none"/>
        </w:rPr>
      </w:pPr>
    </w:p>
    <w:p>
      <w:pPr>
        <w:spacing w:line="360" w:lineRule="auto"/>
        <w:jc w:val="center"/>
        <w:rPr>
          <w:rFonts w:hint="eastAsia" w:ascii="宋体" w:hAnsi="宋体" w:cs="宋体"/>
          <w:b/>
          <w:bCs/>
          <w:strike w:val="0"/>
          <w:dstrike w:val="0"/>
          <w:color w:val="auto"/>
          <w:sz w:val="24"/>
          <w:highlight w:val="none"/>
        </w:rPr>
      </w:pPr>
    </w:p>
    <w:p>
      <w:pPr>
        <w:spacing w:line="360" w:lineRule="auto"/>
        <w:jc w:val="right"/>
        <w:rPr>
          <w:rFonts w:hint="eastAsia" w:ascii="宋体" w:hAnsi="宋体" w:cs="宋体"/>
          <w:b/>
          <w:bCs/>
          <w:strike w:val="0"/>
          <w:dstrike w:val="0"/>
          <w:color w:val="auto"/>
          <w:sz w:val="24"/>
          <w:highlight w:val="none"/>
        </w:rPr>
      </w:pPr>
    </w:p>
    <w:p>
      <w:pPr>
        <w:spacing w:line="360" w:lineRule="auto"/>
        <w:jc w:val="right"/>
        <w:rPr>
          <w:rFonts w:hint="eastAsia" w:ascii="宋体" w:hAnsi="宋体" w:cs="宋体"/>
          <w:b/>
          <w:bCs/>
          <w:strike w:val="0"/>
          <w:dstrike w:val="0"/>
          <w:color w:val="auto"/>
          <w:sz w:val="24"/>
          <w:highlight w:val="none"/>
        </w:rPr>
      </w:pPr>
    </w:p>
    <w:p>
      <w:pPr>
        <w:spacing w:line="360" w:lineRule="auto"/>
        <w:jc w:val="right"/>
        <w:rPr>
          <w:rFonts w:hint="eastAsia" w:ascii="宋体" w:hAnsi="宋体" w:cs="宋体"/>
          <w:b/>
          <w:bCs/>
          <w:strike w:val="0"/>
          <w:dstrike w:val="0"/>
          <w:color w:val="auto"/>
          <w:sz w:val="24"/>
          <w:highlight w:val="none"/>
        </w:rPr>
      </w:pPr>
    </w:p>
    <w:p>
      <w:pPr>
        <w:spacing w:line="360" w:lineRule="auto"/>
        <w:jc w:val="right"/>
        <w:rPr>
          <w:rFonts w:hint="eastAsia" w:ascii="宋体" w:hAnsi="宋体" w:cs="宋体"/>
          <w:b/>
          <w:bCs/>
          <w:strike w:val="0"/>
          <w:dstrike w:val="0"/>
          <w:color w:val="auto"/>
          <w:sz w:val="24"/>
          <w:highlight w:val="none"/>
        </w:rPr>
      </w:pPr>
      <w:r>
        <w:rPr>
          <w:rFonts w:hint="eastAsia" w:ascii="宋体" w:hAnsi="宋体" w:cs="宋体"/>
          <w:b/>
          <w:bCs/>
          <w:strike w:val="0"/>
          <w:dstrike w:val="0"/>
          <w:color w:val="auto"/>
          <w:sz w:val="24"/>
          <w:highlight w:val="none"/>
        </w:rPr>
        <w:t>企业名称（</w:t>
      </w:r>
      <w:r>
        <w:rPr>
          <w:rFonts w:hint="eastAsia" w:ascii="宋体" w:hAnsi="宋体" w:cs="宋体"/>
          <w:strike w:val="0"/>
          <w:dstrike w:val="0"/>
          <w:color w:val="auto"/>
          <w:sz w:val="21"/>
          <w:szCs w:val="21"/>
          <w:highlight w:val="none"/>
          <w:u w:val="single"/>
          <w:lang w:val="en-US" w:eastAsia="zh-CN"/>
        </w:rPr>
        <w:t>电子签</w:t>
      </w:r>
      <w:r>
        <w:rPr>
          <w:rFonts w:hint="eastAsia" w:ascii="宋体" w:hAnsi="宋体" w:cs="宋体"/>
          <w:strike w:val="0"/>
          <w:dstrike w:val="0"/>
          <w:color w:val="auto"/>
          <w:sz w:val="21"/>
          <w:szCs w:val="21"/>
          <w:highlight w:val="none"/>
          <w:u w:val="single"/>
        </w:rPr>
        <w:t>章</w:t>
      </w:r>
      <w:r>
        <w:rPr>
          <w:rFonts w:hint="eastAsia" w:ascii="宋体" w:hAnsi="宋体" w:cs="宋体"/>
          <w:b/>
          <w:bCs/>
          <w:strike w:val="0"/>
          <w:dstrike w:val="0"/>
          <w:color w:val="auto"/>
          <w:sz w:val="24"/>
          <w:highlight w:val="none"/>
        </w:rPr>
        <w:t>）</w:t>
      </w:r>
      <w:r>
        <w:rPr>
          <w:rFonts w:hint="eastAsia" w:ascii="宋体" w:hAnsi="宋体" w:cs="宋体"/>
          <w:b/>
          <w:bCs/>
          <w:strike w:val="0"/>
          <w:dstrike w:val="0"/>
          <w:color w:val="auto"/>
          <w:sz w:val="24"/>
          <w:highlight w:val="none"/>
          <w:lang w:eastAsia="zh-CN"/>
        </w:rPr>
        <w:t>：</w:t>
      </w:r>
      <w:r>
        <w:rPr>
          <w:rFonts w:hint="eastAsia" w:ascii="宋体" w:hAnsi="宋体"/>
          <w:strike w:val="0"/>
          <w:dstrike w:val="0"/>
          <w:color w:val="auto"/>
          <w:kern w:val="0"/>
          <w:sz w:val="24"/>
          <w:highlight w:val="none"/>
        </w:rPr>
        <w:t>________________________</w:t>
      </w:r>
    </w:p>
    <w:p>
      <w:pPr>
        <w:spacing w:line="360" w:lineRule="auto"/>
        <w:ind w:right="480"/>
        <w:jc w:val="center"/>
        <w:rPr>
          <w:rFonts w:hint="eastAsia" w:ascii="宋体" w:hAnsi="宋体" w:cs="宋体"/>
          <w:b/>
          <w:bCs/>
          <w:strike w:val="0"/>
          <w:dstrike w:val="0"/>
          <w:color w:val="auto"/>
          <w:sz w:val="24"/>
          <w:highlight w:val="none"/>
          <w:u w:val="single"/>
        </w:rPr>
      </w:pPr>
      <w:r>
        <w:rPr>
          <w:rFonts w:hint="eastAsia" w:ascii="宋体" w:hAnsi="宋体" w:cs="宋体"/>
          <w:b/>
          <w:bCs/>
          <w:strike w:val="0"/>
          <w:dstrike w:val="0"/>
          <w:color w:val="auto"/>
          <w:sz w:val="24"/>
          <w:highlight w:val="none"/>
        </w:rPr>
        <w:t xml:space="preserve">                                       签   字   代  表</w:t>
      </w:r>
      <w:r>
        <w:rPr>
          <w:rFonts w:hint="eastAsia" w:ascii="宋体" w:hAnsi="宋体" w:cs="宋体"/>
          <w:b/>
          <w:bCs/>
          <w:strike w:val="0"/>
          <w:dstrike w:val="0"/>
          <w:color w:val="auto"/>
          <w:sz w:val="24"/>
          <w:highlight w:val="none"/>
          <w:lang w:eastAsia="zh-CN"/>
        </w:rPr>
        <w:t>：</w:t>
      </w:r>
      <w:r>
        <w:rPr>
          <w:rFonts w:hint="eastAsia" w:ascii="宋体" w:hAnsi="宋体"/>
          <w:strike w:val="0"/>
          <w:dstrike w:val="0"/>
          <w:color w:val="auto"/>
          <w:kern w:val="0"/>
          <w:sz w:val="24"/>
          <w:highlight w:val="none"/>
        </w:rPr>
        <w:t>__________________</w:t>
      </w:r>
      <w:r>
        <w:rPr>
          <w:rFonts w:hint="eastAsia" w:ascii="宋体" w:hAnsi="宋体"/>
          <w:strike w:val="0"/>
          <w:dstrike w:val="0"/>
          <w:color w:val="auto"/>
          <w:kern w:val="0"/>
          <w:sz w:val="24"/>
          <w:highlight w:val="none"/>
          <w:u w:val="single"/>
        </w:rPr>
        <w:t xml:space="preserve">   </w:t>
      </w:r>
    </w:p>
    <w:p>
      <w:pPr>
        <w:wordWrap w:val="0"/>
        <w:spacing w:line="360" w:lineRule="auto"/>
        <w:jc w:val="right"/>
        <w:rPr>
          <w:rFonts w:hint="eastAsia" w:ascii="宋体" w:hAnsi="宋体" w:cs="宋体"/>
          <w:b/>
          <w:bCs/>
          <w:strike w:val="0"/>
          <w:dstrike w:val="0"/>
          <w:color w:val="auto"/>
          <w:sz w:val="24"/>
          <w:highlight w:val="none"/>
        </w:rPr>
      </w:pPr>
      <w:r>
        <w:rPr>
          <w:rFonts w:hint="eastAsia" w:ascii="宋体" w:hAnsi="宋体" w:cs="宋体"/>
          <w:b/>
          <w:bCs/>
          <w:strike w:val="0"/>
          <w:dstrike w:val="0"/>
          <w:color w:val="auto"/>
          <w:sz w:val="24"/>
          <w:highlight w:val="none"/>
        </w:rPr>
        <w:t>年     月    日</w:t>
      </w:r>
    </w:p>
    <w:p>
      <w:pPr>
        <w:spacing w:line="480" w:lineRule="auto"/>
        <w:jc w:val="center"/>
        <w:rPr>
          <w:rFonts w:hint="eastAsia" w:ascii="宋体" w:hAnsi="宋体"/>
          <w:strike w:val="0"/>
          <w:dstrike w:val="0"/>
          <w:color w:val="auto"/>
          <w:highlight w:val="none"/>
        </w:rPr>
      </w:pPr>
    </w:p>
    <w:p>
      <w:pPr>
        <w:spacing w:line="480" w:lineRule="auto"/>
        <w:jc w:val="center"/>
        <w:rPr>
          <w:rFonts w:hint="eastAsia" w:ascii="宋体" w:hAnsi="宋体"/>
          <w:strike w:val="0"/>
          <w:dstrike w:val="0"/>
          <w:color w:val="auto"/>
          <w:highlight w:val="none"/>
        </w:rPr>
      </w:pPr>
    </w:p>
    <w:p>
      <w:pPr>
        <w:spacing w:line="480" w:lineRule="auto"/>
        <w:jc w:val="center"/>
        <w:rPr>
          <w:rFonts w:hint="eastAsia" w:ascii="宋体" w:hAnsi="宋体"/>
          <w:strike w:val="0"/>
          <w:dstrike w:val="0"/>
          <w:color w:val="auto"/>
          <w:highlight w:val="none"/>
        </w:rPr>
      </w:pPr>
    </w:p>
    <w:p>
      <w:pPr>
        <w:spacing w:line="480" w:lineRule="auto"/>
        <w:jc w:val="center"/>
        <w:rPr>
          <w:rFonts w:hint="eastAsia" w:ascii="宋体" w:hAnsi="宋体"/>
          <w:strike w:val="0"/>
          <w:dstrike w:val="0"/>
          <w:color w:val="auto"/>
          <w:highlight w:val="none"/>
        </w:rPr>
      </w:pPr>
    </w:p>
    <w:p>
      <w:pPr>
        <w:spacing w:line="480" w:lineRule="auto"/>
        <w:jc w:val="center"/>
        <w:rPr>
          <w:rFonts w:hint="eastAsia" w:ascii="宋体" w:hAnsi="宋体"/>
          <w:strike w:val="0"/>
          <w:dstrike w:val="0"/>
          <w:color w:val="auto"/>
          <w:highlight w:val="none"/>
        </w:rPr>
      </w:pPr>
    </w:p>
    <w:p>
      <w:pPr>
        <w:spacing w:line="480" w:lineRule="auto"/>
        <w:jc w:val="center"/>
        <w:rPr>
          <w:rFonts w:hint="eastAsia" w:ascii="宋体" w:hAnsi="宋体"/>
          <w:strike w:val="0"/>
          <w:dstrike w:val="0"/>
          <w:color w:val="auto"/>
          <w:highlight w:val="none"/>
        </w:rPr>
      </w:pPr>
    </w:p>
    <w:p>
      <w:pPr>
        <w:spacing w:line="480" w:lineRule="auto"/>
        <w:rPr>
          <w:rFonts w:hint="eastAsia"/>
          <w:b/>
          <w:bCs/>
          <w:strike w:val="0"/>
          <w:dstrike w:val="0"/>
          <w:color w:val="auto"/>
          <w:sz w:val="36"/>
          <w:szCs w:val="36"/>
          <w:highlight w:val="none"/>
        </w:rPr>
      </w:pPr>
    </w:p>
    <w:p>
      <w:pPr>
        <w:jc w:val="center"/>
        <w:rPr>
          <w:rFonts w:hint="eastAsia" w:hAnsi="宋体"/>
          <w:b/>
          <w:bCs/>
          <w:strike w:val="0"/>
          <w:dstrike w:val="0"/>
          <w:color w:val="auto"/>
          <w:sz w:val="36"/>
          <w:szCs w:val="36"/>
          <w:highlight w:val="none"/>
        </w:rPr>
      </w:pPr>
      <w:r>
        <w:rPr>
          <w:rFonts w:hint="eastAsia" w:hAnsi="宋体"/>
          <w:b/>
          <w:bCs/>
          <w:strike w:val="0"/>
          <w:dstrike w:val="0"/>
          <w:color w:val="auto"/>
          <w:sz w:val="36"/>
          <w:szCs w:val="36"/>
          <w:highlight w:val="none"/>
        </w:rPr>
        <w:t>设备及工具材料简要说明一览表</w:t>
      </w:r>
    </w:p>
    <w:p>
      <w:pPr>
        <w:pStyle w:val="17"/>
        <w:spacing w:line="400" w:lineRule="atLeast"/>
        <w:jc w:val="center"/>
        <w:rPr>
          <w:rFonts w:hint="eastAsia" w:hAnsi="宋体"/>
          <w:b/>
          <w:bCs/>
          <w:strike w:val="0"/>
          <w:dstrike w:val="0"/>
          <w:color w:val="auto"/>
          <w:highlight w:val="none"/>
        </w:rPr>
      </w:pPr>
    </w:p>
    <w:p>
      <w:pPr>
        <w:spacing w:line="360" w:lineRule="auto"/>
        <w:rPr>
          <w:rFonts w:hint="eastAsia" w:ascii="宋体" w:hAnsi="宋体"/>
          <w:strike w:val="0"/>
          <w:dstrike w:val="0"/>
          <w:snapToGrid w:val="0"/>
          <w:color w:val="auto"/>
          <w:sz w:val="24"/>
          <w:highlight w:val="none"/>
        </w:rPr>
      </w:pPr>
      <w:r>
        <w:rPr>
          <w:rFonts w:hint="eastAsia" w:ascii="宋体" w:hAnsi="宋体" w:cs="宋体"/>
          <w:strike w:val="0"/>
          <w:dstrike w:val="0"/>
          <w:snapToGrid w:val="0"/>
          <w:color w:val="auto"/>
          <w:sz w:val="24"/>
          <w:highlight w:val="none"/>
        </w:rPr>
        <w:t>投标人名称（</w:t>
      </w:r>
      <w:r>
        <w:rPr>
          <w:rFonts w:hint="eastAsia" w:ascii="宋体" w:hAnsi="宋体" w:cs="宋体"/>
          <w:strike w:val="0"/>
          <w:dstrike w:val="0"/>
          <w:color w:val="auto"/>
          <w:sz w:val="21"/>
          <w:szCs w:val="21"/>
          <w:highlight w:val="none"/>
          <w:u w:val="single"/>
          <w:lang w:val="en-US" w:eastAsia="zh-CN"/>
        </w:rPr>
        <w:t>电子签</w:t>
      </w:r>
      <w:r>
        <w:rPr>
          <w:rFonts w:hint="eastAsia" w:ascii="宋体" w:hAnsi="宋体" w:cs="宋体"/>
          <w:strike w:val="0"/>
          <w:dstrike w:val="0"/>
          <w:color w:val="auto"/>
          <w:sz w:val="21"/>
          <w:szCs w:val="21"/>
          <w:highlight w:val="none"/>
          <w:u w:val="single"/>
        </w:rPr>
        <w:t>章</w:t>
      </w:r>
      <w:r>
        <w:rPr>
          <w:rFonts w:hint="eastAsia" w:ascii="宋体" w:hAnsi="宋体" w:cs="宋体"/>
          <w:strike w:val="0"/>
          <w:dstrike w:val="0"/>
          <w:snapToGrid w:val="0"/>
          <w:color w:val="auto"/>
          <w:sz w:val="24"/>
          <w:highlight w:val="none"/>
        </w:rPr>
        <w:t>）</w:t>
      </w:r>
      <w:r>
        <w:rPr>
          <w:rFonts w:hint="eastAsia" w:ascii="宋体" w:hAnsi="宋体" w:cs="隶书"/>
          <w:strike w:val="0"/>
          <w:dstrike w:val="0"/>
          <w:snapToGrid w:val="0"/>
          <w:color w:val="auto"/>
          <w:sz w:val="24"/>
          <w:highlight w:val="none"/>
        </w:rPr>
        <w:t>：</w:t>
      </w:r>
      <w:r>
        <w:rPr>
          <w:rFonts w:hint="eastAsia" w:ascii="宋体" w:hAnsi="宋体" w:cs="宋体"/>
          <w:strike w:val="0"/>
          <w:dstrike w:val="0"/>
          <w:snapToGrid w:val="0"/>
          <w:color w:val="auto"/>
          <w:sz w:val="24"/>
          <w:highlight w:val="none"/>
        </w:rPr>
        <w:t>___________________________</w:t>
      </w:r>
    </w:p>
    <w:tbl>
      <w:tblPr>
        <w:tblStyle w:val="33"/>
        <w:tblW w:w="0" w:type="auto"/>
        <w:tblInd w:w="0" w:type="dxa"/>
        <w:tblLayout w:type="fixed"/>
        <w:tblCellMar>
          <w:top w:w="0" w:type="dxa"/>
          <w:left w:w="108" w:type="dxa"/>
          <w:bottom w:w="0" w:type="dxa"/>
          <w:right w:w="108" w:type="dxa"/>
        </w:tblCellMar>
      </w:tblPr>
      <w:tblGrid>
        <w:gridCol w:w="3261"/>
        <w:gridCol w:w="1759"/>
        <w:gridCol w:w="1251"/>
        <w:gridCol w:w="1251"/>
        <w:gridCol w:w="1251"/>
        <w:gridCol w:w="1251"/>
      </w:tblGrid>
      <w:tr>
        <w:tblPrEx>
          <w:tblCellMar>
            <w:top w:w="0" w:type="dxa"/>
            <w:left w:w="108" w:type="dxa"/>
            <w:bottom w:w="0" w:type="dxa"/>
            <w:right w:w="108" w:type="dxa"/>
          </w:tblCellMar>
        </w:tblPrEx>
        <w:trPr>
          <w:trHeight w:val="532" w:hRule="atLeast"/>
        </w:trPr>
        <w:tc>
          <w:tcPr>
            <w:tcW w:w="3261"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b/>
                <w:bCs/>
                <w:strike w:val="0"/>
                <w:dstrike w:val="0"/>
                <w:color w:val="auto"/>
                <w:highlight w:val="none"/>
              </w:rPr>
            </w:pPr>
            <w:r>
              <w:rPr>
                <w:rFonts w:hint="eastAsia" w:ascii="宋体" w:hAnsi="宋体" w:cs="宋体"/>
                <w:b/>
                <w:bCs/>
                <w:strike w:val="0"/>
                <w:dstrike w:val="0"/>
                <w:color w:val="auto"/>
                <w:highlight w:val="none"/>
              </w:rPr>
              <w:t>序号</w:t>
            </w:r>
          </w:p>
        </w:tc>
        <w:tc>
          <w:tcPr>
            <w:tcW w:w="1759"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b/>
                <w:bCs/>
                <w:strike w:val="0"/>
                <w:dstrike w:val="0"/>
                <w:color w:val="auto"/>
                <w:highlight w:val="none"/>
              </w:rPr>
            </w:pPr>
            <w:r>
              <w:rPr>
                <w:rFonts w:hint="eastAsia" w:ascii="宋体" w:hAnsi="宋体" w:cs="宋体"/>
                <w:b/>
                <w:bCs/>
                <w:strike w:val="0"/>
                <w:dstrike w:val="0"/>
                <w:color w:val="auto"/>
                <w:highlight w:val="none"/>
              </w:rPr>
              <w:t>设备、工具名称</w:t>
            </w:r>
          </w:p>
        </w:tc>
        <w:tc>
          <w:tcPr>
            <w:tcW w:w="1251"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b/>
                <w:bCs/>
                <w:strike w:val="0"/>
                <w:dstrike w:val="0"/>
                <w:color w:val="auto"/>
                <w:highlight w:val="none"/>
              </w:rPr>
            </w:pPr>
            <w:r>
              <w:rPr>
                <w:rFonts w:hint="eastAsia" w:ascii="宋体" w:hAnsi="宋体"/>
                <w:b/>
                <w:bCs/>
                <w:strike w:val="0"/>
                <w:dstrike w:val="0"/>
                <w:color w:val="auto"/>
                <w:highlight w:val="none"/>
              </w:rPr>
              <w:t>单位</w:t>
            </w:r>
          </w:p>
        </w:tc>
        <w:tc>
          <w:tcPr>
            <w:tcW w:w="1251"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b/>
                <w:bCs/>
                <w:strike w:val="0"/>
                <w:dstrike w:val="0"/>
                <w:color w:val="auto"/>
                <w:highlight w:val="none"/>
              </w:rPr>
            </w:pPr>
            <w:r>
              <w:rPr>
                <w:rFonts w:hint="eastAsia" w:ascii="宋体" w:hAnsi="宋体" w:cs="宋体"/>
                <w:b/>
                <w:bCs/>
                <w:strike w:val="0"/>
                <w:dstrike w:val="0"/>
                <w:color w:val="auto"/>
                <w:highlight w:val="none"/>
              </w:rPr>
              <w:t>数量</w:t>
            </w:r>
          </w:p>
        </w:tc>
        <w:tc>
          <w:tcPr>
            <w:tcW w:w="1251"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b/>
                <w:bCs/>
                <w:strike w:val="0"/>
                <w:dstrike w:val="0"/>
                <w:color w:val="auto"/>
                <w:highlight w:val="none"/>
              </w:rPr>
            </w:pPr>
            <w:r>
              <w:rPr>
                <w:rFonts w:hint="eastAsia" w:ascii="宋体" w:hAnsi="宋体" w:cs="宋体"/>
                <w:b/>
                <w:bCs/>
                <w:strike w:val="0"/>
                <w:dstrike w:val="0"/>
                <w:color w:val="auto"/>
                <w:highlight w:val="none"/>
              </w:rPr>
              <w:t>品牌型号</w:t>
            </w:r>
          </w:p>
        </w:tc>
        <w:tc>
          <w:tcPr>
            <w:tcW w:w="1251"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b/>
                <w:bCs/>
                <w:strike w:val="0"/>
                <w:dstrike w:val="0"/>
                <w:color w:val="auto"/>
                <w:highlight w:val="none"/>
              </w:rPr>
            </w:pPr>
            <w:r>
              <w:rPr>
                <w:rFonts w:hint="eastAsia" w:ascii="宋体" w:hAnsi="宋体"/>
                <w:b/>
                <w:bCs/>
                <w:strike w:val="0"/>
                <w:dstrike w:val="0"/>
                <w:color w:val="auto"/>
                <w:highlight w:val="none"/>
              </w:rPr>
              <w:t>备注</w:t>
            </w:r>
          </w:p>
        </w:tc>
      </w:tr>
      <w:tr>
        <w:tblPrEx>
          <w:tblCellMar>
            <w:top w:w="0" w:type="dxa"/>
            <w:left w:w="108" w:type="dxa"/>
            <w:bottom w:w="0" w:type="dxa"/>
            <w:right w:w="108" w:type="dxa"/>
          </w:tblCellMar>
        </w:tblPrEx>
        <w:trPr>
          <w:trHeight w:val="532" w:hRule="atLeast"/>
        </w:trPr>
        <w:tc>
          <w:tcPr>
            <w:tcW w:w="3261" w:type="dxa"/>
            <w:tcBorders>
              <w:top w:val="single" w:color="auto" w:sz="4" w:space="0"/>
              <w:left w:val="single" w:color="auto" w:sz="4" w:space="0"/>
              <w:bottom w:val="single" w:color="auto" w:sz="4" w:space="0"/>
              <w:right w:val="single" w:color="auto" w:sz="4" w:space="0"/>
            </w:tcBorders>
            <w:noWrap w:val="0"/>
            <w:vAlign w:val="top"/>
          </w:tcPr>
          <w:p>
            <w:pPr>
              <w:ind w:left="2940" w:leftChars="1400" w:firstLine="480"/>
              <w:jc w:val="center"/>
              <w:rPr>
                <w:rFonts w:hint="eastAsia" w:ascii="宋体" w:hAnsi="宋体"/>
                <w:strike w:val="0"/>
                <w:dstrike w:val="0"/>
                <w:color w:val="auto"/>
                <w:highlight w:val="none"/>
              </w:rPr>
            </w:pPr>
            <w:r>
              <w:rPr>
                <w:rFonts w:hint="eastAsia" w:ascii="宋体" w:hAnsi="宋体"/>
                <w:strike w:val="0"/>
                <w:dstrike w:val="0"/>
                <w:color w:val="auto"/>
                <w:highlight w:val="none"/>
              </w:rPr>
              <w:t>1</w:t>
            </w:r>
          </w:p>
        </w:tc>
        <w:tc>
          <w:tcPr>
            <w:tcW w:w="1759" w:type="dxa"/>
            <w:tcBorders>
              <w:top w:val="single" w:color="auto" w:sz="4" w:space="0"/>
              <w:left w:val="single" w:color="auto" w:sz="4" w:space="0"/>
              <w:bottom w:val="single" w:color="auto" w:sz="4" w:space="0"/>
              <w:right w:val="single" w:color="auto" w:sz="4" w:space="0"/>
            </w:tcBorders>
            <w:noWrap w:val="0"/>
            <w:vAlign w:val="top"/>
          </w:tcPr>
          <w:p>
            <w:pPr>
              <w:ind w:left="2940" w:leftChars="1400" w:firstLine="480"/>
              <w:rPr>
                <w:rFonts w:hint="eastAsia" w:ascii="宋体" w:hAnsi="宋体"/>
                <w:strike w:val="0"/>
                <w:dstrike w:val="0"/>
                <w:color w:val="auto"/>
                <w:highlight w:val="none"/>
              </w:rPr>
            </w:pPr>
          </w:p>
        </w:tc>
        <w:tc>
          <w:tcPr>
            <w:tcW w:w="1251" w:type="dxa"/>
            <w:tcBorders>
              <w:top w:val="single" w:color="auto" w:sz="4" w:space="0"/>
              <w:left w:val="single" w:color="auto" w:sz="4" w:space="0"/>
              <w:bottom w:val="single" w:color="auto" w:sz="4" w:space="0"/>
              <w:right w:val="single" w:color="auto" w:sz="4" w:space="0"/>
            </w:tcBorders>
            <w:noWrap w:val="0"/>
            <w:vAlign w:val="top"/>
          </w:tcPr>
          <w:p>
            <w:pPr>
              <w:ind w:left="2940" w:leftChars="1400" w:firstLine="480"/>
              <w:rPr>
                <w:rFonts w:hint="eastAsia" w:ascii="宋体" w:hAnsi="宋体"/>
                <w:strike w:val="0"/>
                <w:dstrike w:val="0"/>
                <w:color w:val="auto"/>
                <w:highlight w:val="none"/>
              </w:rPr>
            </w:pPr>
          </w:p>
        </w:tc>
        <w:tc>
          <w:tcPr>
            <w:tcW w:w="1251" w:type="dxa"/>
            <w:tcBorders>
              <w:top w:val="single" w:color="auto" w:sz="4" w:space="0"/>
              <w:left w:val="single" w:color="auto" w:sz="4" w:space="0"/>
              <w:bottom w:val="single" w:color="auto" w:sz="4" w:space="0"/>
              <w:right w:val="single" w:color="auto" w:sz="4" w:space="0"/>
            </w:tcBorders>
            <w:noWrap w:val="0"/>
            <w:vAlign w:val="top"/>
          </w:tcPr>
          <w:p>
            <w:pPr>
              <w:ind w:left="2940" w:leftChars="1400" w:firstLine="480"/>
              <w:rPr>
                <w:rFonts w:hint="eastAsia" w:ascii="宋体" w:hAnsi="宋体"/>
                <w:strike w:val="0"/>
                <w:dstrike w:val="0"/>
                <w:color w:val="auto"/>
                <w:highlight w:val="none"/>
              </w:rPr>
            </w:pPr>
          </w:p>
        </w:tc>
        <w:tc>
          <w:tcPr>
            <w:tcW w:w="1251" w:type="dxa"/>
            <w:tcBorders>
              <w:top w:val="single" w:color="auto" w:sz="4" w:space="0"/>
              <w:left w:val="single" w:color="auto" w:sz="4" w:space="0"/>
              <w:bottom w:val="single" w:color="auto" w:sz="4" w:space="0"/>
              <w:right w:val="single" w:color="auto" w:sz="4" w:space="0"/>
            </w:tcBorders>
            <w:noWrap w:val="0"/>
            <w:vAlign w:val="top"/>
          </w:tcPr>
          <w:p>
            <w:pPr>
              <w:ind w:left="2940" w:leftChars="1400" w:firstLine="480"/>
              <w:rPr>
                <w:rFonts w:hint="eastAsia" w:ascii="宋体" w:hAnsi="宋体"/>
                <w:strike w:val="0"/>
                <w:dstrike w:val="0"/>
                <w:color w:val="auto"/>
                <w:highlight w:val="none"/>
              </w:rPr>
            </w:pPr>
          </w:p>
        </w:tc>
        <w:tc>
          <w:tcPr>
            <w:tcW w:w="1251" w:type="dxa"/>
            <w:tcBorders>
              <w:top w:val="single" w:color="auto" w:sz="4" w:space="0"/>
              <w:left w:val="single" w:color="auto" w:sz="4" w:space="0"/>
              <w:bottom w:val="single" w:color="auto" w:sz="4" w:space="0"/>
              <w:right w:val="single" w:color="auto" w:sz="4" w:space="0"/>
            </w:tcBorders>
            <w:noWrap w:val="0"/>
            <w:vAlign w:val="top"/>
          </w:tcPr>
          <w:p>
            <w:pPr>
              <w:ind w:left="2940" w:leftChars="1400" w:firstLine="480"/>
              <w:rPr>
                <w:rFonts w:hint="eastAsia" w:ascii="宋体" w:hAnsi="宋体"/>
                <w:strike w:val="0"/>
                <w:dstrike w:val="0"/>
                <w:color w:val="auto"/>
                <w:highlight w:val="none"/>
              </w:rPr>
            </w:pPr>
          </w:p>
        </w:tc>
      </w:tr>
      <w:tr>
        <w:tblPrEx>
          <w:tblCellMar>
            <w:top w:w="0" w:type="dxa"/>
            <w:left w:w="108" w:type="dxa"/>
            <w:bottom w:w="0" w:type="dxa"/>
            <w:right w:w="108" w:type="dxa"/>
          </w:tblCellMar>
        </w:tblPrEx>
        <w:trPr>
          <w:trHeight w:val="532" w:hRule="atLeast"/>
        </w:trPr>
        <w:tc>
          <w:tcPr>
            <w:tcW w:w="3261" w:type="dxa"/>
            <w:tcBorders>
              <w:top w:val="single" w:color="auto" w:sz="4" w:space="0"/>
              <w:left w:val="single" w:color="auto" w:sz="4" w:space="0"/>
              <w:bottom w:val="single" w:color="auto" w:sz="4" w:space="0"/>
              <w:right w:val="single" w:color="auto" w:sz="4" w:space="0"/>
            </w:tcBorders>
            <w:noWrap w:val="0"/>
            <w:vAlign w:val="top"/>
          </w:tcPr>
          <w:p>
            <w:pPr>
              <w:ind w:left="2940" w:leftChars="1400" w:firstLine="480"/>
              <w:jc w:val="center"/>
              <w:rPr>
                <w:rFonts w:hint="eastAsia" w:ascii="宋体" w:hAnsi="宋体"/>
                <w:strike w:val="0"/>
                <w:dstrike w:val="0"/>
                <w:color w:val="auto"/>
                <w:highlight w:val="none"/>
              </w:rPr>
            </w:pPr>
            <w:r>
              <w:rPr>
                <w:rFonts w:hint="eastAsia" w:ascii="宋体" w:hAnsi="宋体"/>
                <w:strike w:val="0"/>
                <w:dstrike w:val="0"/>
                <w:color w:val="auto"/>
                <w:highlight w:val="none"/>
              </w:rPr>
              <w:t>2</w:t>
            </w:r>
          </w:p>
        </w:tc>
        <w:tc>
          <w:tcPr>
            <w:tcW w:w="1759" w:type="dxa"/>
            <w:tcBorders>
              <w:top w:val="single" w:color="auto" w:sz="4" w:space="0"/>
              <w:left w:val="single" w:color="auto" w:sz="4" w:space="0"/>
              <w:bottom w:val="single" w:color="auto" w:sz="4" w:space="0"/>
              <w:right w:val="single" w:color="auto" w:sz="4" w:space="0"/>
            </w:tcBorders>
            <w:noWrap w:val="0"/>
            <w:vAlign w:val="top"/>
          </w:tcPr>
          <w:p>
            <w:pPr>
              <w:ind w:left="2940" w:leftChars="1400" w:firstLine="480"/>
              <w:rPr>
                <w:rFonts w:hint="eastAsia" w:ascii="宋体" w:hAnsi="宋体"/>
                <w:strike w:val="0"/>
                <w:dstrike w:val="0"/>
                <w:color w:val="auto"/>
                <w:highlight w:val="none"/>
              </w:rPr>
            </w:pPr>
          </w:p>
        </w:tc>
        <w:tc>
          <w:tcPr>
            <w:tcW w:w="1251" w:type="dxa"/>
            <w:tcBorders>
              <w:top w:val="single" w:color="auto" w:sz="4" w:space="0"/>
              <w:left w:val="single" w:color="auto" w:sz="4" w:space="0"/>
              <w:bottom w:val="single" w:color="auto" w:sz="4" w:space="0"/>
              <w:right w:val="single" w:color="auto" w:sz="4" w:space="0"/>
            </w:tcBorders>
            <w:noWrap w:val="0"/>
            <w:vAlign w:val="top"/>
          </w:tcPr>
          <w:p>
            <w:pPr>
              <w:ind w:left="2940" w:leftChars="1400" w:firstLine="480"/>
              <w:rPr>
                <w:rFonts w:hint="eastAsia" w:ascii="宋体" w:hAnsi="宋体"/>
                <w:strike w:val="0"/>
                <w:dstrike w:val="0"/>
                <w:color w:val="auto"/>
                <w:highlight w:val="none"/>
              </w:rPr>
            </w:pPr>
          </w:p>
        </w:tc>
        <w:tc>
          <w:tcPr>
            <w:tcW w:w="1251" w:type="dxa"/>
            <w:tcBorders>
              <w:top w:val="single" w:color="auto" w:sz="4" w:space="0"/>
              <w:left w:val="single" w:color="auto" w:sz="4" w:space="0"/>
              <w:bottom w:val="single" w:color="auto" w:sz="4" w:space="0"/>
              <w:right w:val="single" w:color="auto" w:sz="4" w:space="0"/>
            </w:tcBorders>
            <w:noWrap w:val="0"/>
            <w:vAlign w:val="top"/>
          </w:tcPr>
          <w:p>
            <w:pPr>
              <w:ind w:left="2940" w:leftChars="1400" w:firstLine="480"/>
              <w:rPr>
                <w:rFonts w:hint="eastAsia" w:ascii="宋体" w:hAnsi="宋体"/>
                <w:strike w:val="0"/>
                <w:dstrike w:val="0"/>
                <w:color w:val="auto"/>
                <w:highlight w:val="none"/>
              </w:rPr>
            </w:pPr>
          </w:p>
        </w:tc>
        <w:tc>
          <w:tcPr>
            <w:tcW w:w="1251" w:type="dxa"/>
            <w:tcBorders>
              <w:top w:val="single" w:color="auto" w:sz="4" w:space="0"/>
              <w:left w:val="single" w:color="auto" w:sz="4" w:space="0"/>
              <w:bottom w:val="single" w:color="auto" w:sz="4" w:space="0"/>
              <w:right w:val="single" w:color="auto" w:sz="4" w:space="0"/>
            </w:tcBorders>
            <w:noWrap w:val="0"/>
            <w:vAlign w:val="top"/>
          </w:tcPr>
          <w:p>
            <w:pPr>
              <w:ind w:left="2940" w:leftChars="1400" w:firstLine="480"/>
              <w:rPr>
                <w:rFonts w:hint="eastAsia" w:ascii="宋体" w:hAnsi="宋体"/>
                <w:strike w:val="0"/>
                <w:dstrike w:val="0"/>
                <w:color w:val="auto"/>
                <w:highlight w:val="none"/>
              </w:rPr>
            </w:pPr>
          </w:p>
        </w:tc>
        <w:tc>
          <w:tcPr>
            <w:tcW w:w="1251" w:type="dxa"/>
            <w:tcBorders>
              <w:top w:val="single" w:color="auto" w:sz="4" w:space="0"/>
              <w:left w:val="single" w:color="auto" w:sz="4" w:space="0"/>
              <w:bottom w:val="single" w:color="auto" w:sz="4" w:space="0"/>
              <w:right w:val="single" w:color="auto" w:sz="4" w:space="0"/>
            </w:tcBorders>
            <w:noWrap w:val="0"/>
            <w:vAlign w:val="top"/>
          </w:tcPr>
          <w:p>
            <w:pPr>
              <w:ind w:left="2940" w:leftChars="1400" w:firstLine="480"/>
              <w:rPr>
                <w:rFonts w:hint="eastAsia" w:ascii="宋体" w:hAnsi="宋体"/>
                <w:strike w:val="0"/>
                <w:dstrike w:val="0"/>
                <w:color w:val="auto"/>
                <w:highlight w:val="none"/>
              </w:rPr>
            </w:pPr>
          </w:p>
        </w:tc>
      </w:tr>
      <w:tr>
        <w:tblPrEx>
          <w:tblCellMar>
            <w:top w:w="0" w:type="dxa"/>
            <w:left w:w="108" w:type="dxa"/>
            <w:bottom w:w="0" w:type="dxa"/>
            <w:right w:w="108" w:type="dxa"/>
          </w:tblCellMar>
        </w:tblPrEx>
        <w:trPr>
          <w:trHeight w:val="532" w:hRule="atLeast"/>
        </w:trPr>
        <w:tc>
          <w:tcPr>
            <w:tcW w:w="3261" w:type="dxa"/>
            <w:tcBorders>
              <w:top w:val="single" w:color="auto" w:sz="4" w:space="0"/>
              <w:left w:val="single" w:color="auto" w:sz="4" w:space="0"/>
              <w:bottom w:val="single" w:color="auto" w:sz="4" w:space="0"/>
              <w:right w:val="single" w:color="auto" w:sz="4" w:space="0"/>
            </w:tcBorders>
            <w:noWrap w:val="0"/>
            <w:vAlign w:val="top"/>
          </w:tcPr>
          <w:p>
            <w:pPr>
              <w:ind w:left="2940" w:leftChars="1400" w:firstLine="480"/>
              <w:jc w:val="center"/>
              <w:rPr>
                <w:rFonts w:hint="eastAsia" w:ascii="宋体" w:hAnsi="宋体"/>
                <w:strike w:val="0"/>
                <w:dstrike w:val="0"/>
                <w:color w:val="auto"/>
                <w:highlight w:val="none"/>
              </w:rPr>
            </w:pPr>
            <w:r>
              <w:rPr>
                <w:rFonts w:hint="eastAsia" w:ascii="宋体" w:hAnsi="宋体"/>
                <w:strike w:val="0"/>
                <w:dstrike w:val="0"/>
                <w:color w:val="auto"/>
                <w:highlight w:val="none"/>
              </w:rPr>
              <w:t>3</w:t>
            </w:r>
          </w:p>
        </w:tc>
        <w:tc>
          <w:tcPr>
            <w:tcW w:w="1759" w:type="dxa"/>
            <w:tcBorders>
              <w:top w:val="single" w:color="auto" w:sz="4" w:space="0"/>
              <w:left w:val="single" w:color="auto" w:sz="4" w:space="0"/>
              <w:bottom w:val="single" w:color="auto" w:sz="4" w:space="0"/>
              <w:right w:val="single" w:color="auto" w:sz="4" w:space="0"/>
            </w:tcBorders>
            <w:noWrap w:val="0"/>
            <w:vAlign w:val="top"/>
          </w:tcPr>
          <w:p>
            <w:pPr>
              <w:ind w:left="2940" w:leftChars="1400" w:firstLine="480"/>
              <w:rPr>
                <w:rFonts w:hint="eastAsia" w:ascii="宋体" w:hAnsi="宋体"/>
                <w:strike w:val="0"/>
                <w:dstrike w:val="0"/>
                <w:color w:val="auto"/>
                <w:highlight w:val="none"/>
              </w:rPr>
            </w:pPr>
          </w:p>
        </w:tc>
        <w:tc>
          <w:tcPr>
            <w:tcW w:w="1251" w:type="dxa"/>
            <w:tcBorders>
              <w:top w:val="single" w:color="auto" w:sz="4" w:space="0"/>
              <w:left w:val="single" w:color="auto" w:sz="4" w:space="0"/>
              <w:bottom w:val="single" w:color="auto" w:sz="4" w:space="0"/>
              <w:right w:val="single" w:color="auto" w:sz="4" w:space="0"/>
            </w:tcBorders>
            <w:noWrap w:val="0"/>
            <w:vAlign w:val="top"/>
          </w:tcPr>
          <w:p>
            <w:pPr>
              <w:ind w:left="2940" w:leftChars="1400" w:firstLine="480"/>
              <w:rPr>
                <w:rFonts w:hint="eastAsia" w:ascii="宋体" w:hAnsi="宋体"/>
                <w:strike w:val="0"/>
                <w:dstrike w:val="0"/>
                <w:color w:val="auto"/>
                <w:highlight w:val="none"/>
              </w:rPr>
            </w:pPr>
          </w:p>
        </w:tc>
        <w:tc>
          <w:tcPr>
            <w:tcW w:w="1251" w:type="dxa"/>
            <w:tcBorders>
              <w:top w:val="single" w:color="auto" w:sz="4" w:space="0"/>
              <w:left w:val="single" w:color="auto" w:sz="4" w:space="0"/>
              <w:bottom w:val="single" w:color="auto" w:sz="4" w:space="0"/>
              <w:right w:val="single" w:color="auto" w:sz="4" w:space="0"/>
            </w:tcBorders>
            <w:noWrap w:val="0"/>
            <w:vAlign w:val="top"/>
          </w:tcPr>
          <w:p>
            <w:pPr>
              <w:ind w:left="2940" w:leftChars="1400" w:firstLine="480"/>
              <w:rPr>
                <w:rFonts w:hint="eastAsia" w:ascii="宋体" w:hAnsi="宋体"/>
                <w:strike w:val="0"/>
                <w:dstrike w:val="0"/>
                <w:color w:val="auto"/>
                <w:highlight w:val="none"/>
              </w:rPr>
            </w:pPr>
          </w:p>
        </w:tc>
        <w:tc>
          <w:tcPr>
            <w:tcW w:w="1251" w:type="dxa"/>
            <w:tcBorders>
              <w:top w:val="single" w:color="auto" w:sz="4" w:space="0"/>
              <w:left w:val="single" w:color="auto" w:sz="4" w:space="0"/>
              <w:bottom w:val="single" w:color="auto" w:sz="4" w:space="0"/>
              <w:right w:val="single" w:color="auto" w:sz="4" w:space="0"/>
            </w:tcBorders>
            <w:noWrap w:val="0"/>
            <w:vAlign w:val="top"/>
          </w:tcPr>
          <w:p>
            <w:pPr>
              <w:ind w:left="2940" w:leftChars="1400" w:firstLine="480"/>
              <w:rPr>
                <w:rFonts w:hint="eastAsia" w:ascii="宋体" w:hAnsi="宋体"/>
                <w:strike w:val="0"/>
                <w:dstrike w:val="0"/>
                <w:color w:val="auto"/>
                <w:highlight w:val="none"/>
              </w:rPr>
            </w:pPr>
          </w:p>
        </w:tc>
        <w:tc>
          <w:tcPr>
            <w:tcW w:w="1251" w:type="dxa"/>
            <w:tcBorders>
              <w:top w:val="single" w:color="auto" w:sz="4" w:space="0"/>
              <w:left w:val="single" w:color="auto" w:sz="4" w:space="0"/>
              <w:bottom w:val="single" w:color="auto" w:sz="4" w:space="0"/>
              <w:right w:val="single" w:color="auto" w:sz="4" w:space="0"/>
            </w:tcBorders>
            <w:noWrap w:val="0"/>
            <w:vAlign w:val="top"/>
          </w:tcPr>
          <w:p>
            <w:pPr>
              <w:ind w:left="2940" w:leftChars="1400" w:firstLine="480"/>
              <w:rPr>
                <w:rFonts w:hint="eastAsia" w:ascii="宋体" w:hAnsi="宋体"/>
                <w:strike w:val="0"/>
                <w:dstrike w:val="0"/>
                <w:color w:val="auto"/>
                <w:highlight w:val="none"/>
              </w:rPr>
            </w:pPr>
          </w:p>
        </w:tc>
      </w:tr>
      <w:tr>
        <w:tblPrEx>
          <w:tblCellMar>
            <w:top w:w="0" w:type="dxa"/>
            <w:left w:w="108" w:type="dxa"/>
            <w:bottom w:w="0" w:type="dxa"/>
            <w:right w:w="108" w:type="dxa"/>
          </w:tblCellMar>
        </w:tblPrEx>
        <w:trPr>
          <w:trHeight w:val="532" w:hRule="atLeast"/>
        </w:trPr>
        <w:tc>
          <w:tcPr>
            <w:tcW w:w="3261" w:type="dxa"/>
            <w:tcBorders>
              <w:top w:val="single" w:color="auto" w:sz="4" w:space="0"/>
              <w:left w:val="single" w:color="auto" w:sz="4" w:space="0"/>
              <w:bottom w:val="single" w:color="auto" w:sz="4" w:space="0"/>
              <w:right w:val="single" w:color="auto" w:sz="4" w:space="0"/>
            </w:tcBorders>
            <w:noWrap w:val="0"/>
            <w:vAlign w:val="top"/>
          </w:tcPr>
          <w:p>
            <w:pPr>
              <w:ind w:left="2940" w:leftChars="1400" w:firstLine="480"/>
              <w:jc w:val="center"/>
              <w:rPr>
                <w:rFonts w:hint="eastAsia" w:ascii="宋体" w:hAnsi="宋体"/>
                <w:strike w:val="0"/>
                <w:dstrike w:val="0"/>
                <w:color w:val="auto"/>
                <w:highlight w:val="none"/>
              </w:rPr>
            </w:pPr>
            <w:r>
              <w:rPr>
                <w:rFonts w:hint="eastAsia" w:ascii="宋体" w:hAnsi="宋体"/>
                <w:strike w:val="0"/>
                <w:dstrike w:val="0"/>
                <w:color w:val="auto"/>
                <w:highlight w:val="none"/>
              </w:rPr>
              <w:t>4</w:t>
            </w:r>
          </w:p>
        </w:tc>
        <w:tc>
          <w:tcPr>
            <w:tcW w:w="1759" w:type="dxa"/>
            <w:tcBorders>
              <w:top w:val="single" w:color="auto" w:sz="4" w:space="0"/>
              <w:left w:val="single" w:color="auto" w:sz="4" w:space="0"/>
              <w:bottom w:val="single" w:color="auto" w:sz="4" w:space="0"/>
              <w:right w:val="single" w:color="auto" w:sz="4" w:space="0"/>
            </w:tcBorders>
            <w:noWrap w:val="0"/>
            <w:vAlign w:val="top"/>
          </w:tcPr>
          <w:p>
            <w:pPr>
              <w:ind w:left="2940" w:leftChars="1400" w:firstLine="480"/>
              <w:rPr>
                <w:rFonts w:hint="eastAsia" w:ascii="宋体" w:hAnsi="宋体"/>
                <w:strike w:val="0"/>
                <w:dstrike w:val="0"/>
                <w:color w:val="auto"/>
                <w:highlight w:val="none"/>
              </w:rPr>
            </w:pPr>
          </w:p>
        </w:tc>
        <w:tc>
          <w:tcPr>
            <w:tcW w:w="1251" w:type="dxa"/>
            <w:tcBorders>
              <w:top w:val="single" w:color="auto" w:sz="4" w:space="0"/>
              <w:left w:val="single" w:color="auto" w:sz="4" w:space="0"/>
              <w:bottom w:val="single" w:color="auto" w:sz="4" w:space="0"/>
              <w:right w:val="single" w:color="auto" w:sz="4" w:space="0"/>
            </w:tcBorders>
            <w:noWrap w:val="0"/>
            <w:vAlign w:val="top"/>
          </w:tcPr>
          <w:p>
            <w:pPr>
              <w:ind w:left="2940" w:leftChars="1400" w:firstLine="480"/>
              <w:rPr>
                <w:rFonts w:hint="eastAsia" w:ascii="宋体" w:hAnsi="宋体"/>
                <w:strike w:val="0"/>
                <w:dstrike w:val="0"/>
                <w:color w:val="auto"/>
                <w:highlight w:val="none"/>
              </w:rPr>
            </w:pPr>
          </w:p>
        </w:tc>
        <w:tc>
          <w:tcPr>
            <w:tcW w:w="1251" w:type="dxa"/>
            <w:tcBorders>
              <w:top w:val="single" w:color="auto" w:sz="4" w:space="0"/>
              <w:left w:val="single" w:color="auto" w:sz="4" w:space="0"/>
              <w:bottom w:val="single" w:color="auto" w:sz="4" w:space="0"/>
              <w:right w:val="single" w:color="auto" w:sz="4" w:space="0"/>
            </w:tcBorders>
            <w:noWrap w:val="0"/>
            <w:vAlign w:val="top"/>
          </w:tcPr>
          <w:p>
            <w:pPr>
              <w:ind w:left="2940" w:leftChars="1400" w:firstLine="480"/>
              <w:rPr>
                <w:rFonts w:hint="eastAsia" w:ascii="宋体" w:hAnsi="宋体"/>
                <w:strike w:val="0"/>
                <w:dstrike w:val="0"/>
                <w:color w:val="auto"/>
                <w:highlight w:val="none"/>
              </w:rPr>
            </w:pPr>
          </w:p>
        </w:tc>
        <w:tc>
          <w:tcPr>
            <w:tcW w:w="1251" w:type="dxa"/>
            <w:tcBorders>
              <w:top w:val="single" w:color="auto" w:sz="4" w:space="0"/>
              <w:left w:val="single" w:color="auto" w:sz="4" w:space="0"/>
              <w:bottom w:val="single" w:color="auto" w:sz="4" w:space="0"/>
              <w:right w:val="single" w:color="auto" w:sz="4" w:space="0"/>
            </w:tcBorders>
            <w:noWrap w:val="0"/>
            <w:vAlign w:val="top"/>
          </w:tcPr>
          <w:p>
            <w:pPr>
              <w:ind w:left="2940" w:leftChars="1400" w:firstLine="480"/>
              <w:rPr>
                <w:rFonts w:hint="eastAsia" w:ascii="宋体" w:hAnsi="宋体"/>
                <w:strike w:val="0"/>
                <w:dstrike w:val="0"/>
                <w:color w:val="auto"/>
                <w:highlight w:val="none"/>
              </w:rPr>
            </w:pPr>
          </w:p>
        </w:tc>
        <w:tc>
          <w:tcPr>
            <w:tcW w:w="1251" w:type="dxa"/>
            <w:tcBorders>
              <w:top w:val="single" w:color="auto" w:sz="4" w:space="0"/>
              <w:left w:val="single" w:color="auto" w:sz="4" w:space="0"/>
              <w:bottom w:val="single" w:color="auto" w:sz="4" w:space="0"/>
              <w:right w:val="single" w:color="auto" w:sz="4" w:space="0"/>
            </w:tcBorders>
            <w:noWrap w:val="0"/>
            <w:vAlign w:val="top"/>
          </w:tcPr>
          <w:p>
            <w:pPr>
              <w:ind w:left="2940" w:leftChars="1400" w:firstLine="480"/>
              <w:rPr>
                <w:rFonts w:hint="eastAsia" w:ascii="宋体" w:hAnsi="宋体"/>
                <w:strike w:val="0"/>
                <w:dstrike w:val="0"/>
                <w:color w:val="auto"/>
                <w:highlight w:val="none"/>
              </w:rPr>
            </w:pPr>
          </w:p>
        </w:tc>
      </w:tr>
      <w:tr>
        <w:tblPrEx>
          <w:tblCellMar>
            <w:top w:w="0" w:type="dxa"/>
            <w:left w:w="108" w:type="dxa"/>
            <w:bottom w:w="0" w:type="dxa"/>
            <w:right w:w="108" w:type="dxa"/>
          </w:tblCellMar>
        </w:tblPrEx>
        <w:trPr>
          <w:trHeight w:val="532" w:hRule="atLeast"/>
        </w:trPr>
        <w:tc>
          <w:tcPr>
            <w:tcW w:w="3261" w:type="dxa"/>
            <w:tcBorders>
              <w:top w:val="single" w:color="auto" w:sz="4" w:space="0"/>
              <w:left w:val="single" w:color="auto" w:sz="4" w:space="0"/>
              <w:bottom w:val="single" w:color="auto" w:sz="4" w:space="0"/>
              <w:right w:val="single" w:color="auto" w:sz="4" w:space="0"/>
            </w:tcBorders>
            <w:noWrap w:val="0"/>
            <w:vAlign w:val="top"/>
          </w:tcPr>
          <w:p>
            <w:pPr>
              <w:ind w:left="2940" w:leftChars="1400" w:firstLine="480"/>
              <w:jc w:val="center"/>
              <w:rPr>
                <w:rFonts w:hint="eastAsia" w:ascii="宋体" w:hAnsi="宋体"/>
                <w:strike w:val="0"/>
                <w:dstrike w:val="0"/>
                <w:color w:val="auto"/>
                <w:highlight w:val="none"/>
              </w:rPr>
            </w:pPr>
            <w:r>
              <w:rPr>
                <w:rFonts w:hint="eastAsia" w:ascii="宋体" w:hAnsi="宋体"/>
                <w:strike w:val="0"/>
                <w:dstrike w:val="0"/>
                <w:color w:val="auto"/>
                <w:highlight w:val="none"/>
              </w:rPr>
              <w:t>5</w:t>
            </w:r>
          </w:p>
        </w:tc>
        <w:tc>
          <w:tcPr>
            <w:tcW w:w="1759" w:type="dxa"/>
            <w:tcBorders>
              <w:top w:val="single" w:color="auto" w:sz="4" w:space="0"/>
              <w:left w:val="single" w:color="auto" w:sz="4" w:space="0"/>
              <w:bottom w:val="single" w:color="auto" w:sz="4" w:space="0"/>
              <w:right w:val="single" w:color="auto" w:sz="4" w:space="0"/>
            </w:tcBorders>
            <w:noWrap w:val="0"/>
            <w:vAlign w:val="top"/>
          </w:tcPr>
          <w:p>
            <w:pPr>
              <w:ind w:left="2940" w:leftChars="1400" w:firstLine="480"/>
              <w:rPr>
                <w:rFonts w:hint="eastAsia" w:ascii="宋体" w:hAnsi="宋体"/>
                <w:strike w:val="0"/>
                <w:dstrike w:val="0"/>
                <w:color w:val="auto"/>
                <w:highlight w:val="none"/>
              </w:rPr>
            </w:pPr>
          </w:p>
        </w:tc>
        <w:tc>
          <w:tcPr>
            <w:tcW w:w="1251" w:type="dxa"/>
            <w:tcBorders>
              <w:top w:val="single" w:color="auto" w:sz="4" w:space="0"/>
              <w:left w:val="single" w:color="auto" w:sz="4" w:space="0"/>
              <w:bottom w:val="single" w:color="auto" w:sz="4" w:space="0"/>
              <w:right w:val="single" w:color="auto" w:sz="4" w:space="0"/>
            </w:tcBorders>
            <w:noWrap w:val="0"/>
            <w:vAlign w:val="top"/>
          </w:tcPr>
          <w:p>
            <w:pPr>
              <w:ind w:left="2940" w:leftChars="1400" w:firstLine="480"/>
              <w:rPr>
                <w:rFonts w:hint="eastAsia" w:ascii="宋体" w:hAnsi="宋体"/>
                <w:strike w:val="0"/>
                <w:dstrike w:val="0"/>
                <w:color w:val="auto"/>
                <w:highlight w:val="none"/>
              </w:rPr>
            </w:pPr>
          </w:p>
        </w:tc>
        <w:tc>
          <w:tcPr>
            <w:tcW w:w="1251" w:type="dxa"/>
            <w:tcBorders>
              <w:top w:val="single" w:color="auto" w:sz="4" w:space="0"/>
              <w:left w:val="single" w:color="auto" w:sz="4" w:space="0"/>
              <w:bottom w:val="single" w:color="auto" w:sz="4" w:space="0"/>
              <w:right w:val="single" w:color="auto" w:sz="4" w:space="0"/>
            </w:tcBorders>
            <w:noWrap w:val="0"/>
            <w:vAlign w:val="top"/>
          </w:tcPr>
          <w:p>
            <w:pPr>
              <w:ind w:left="2940" w:leftChars="1400" w:firstLine="480"/>
              <w:rPr>
                <w:rFonts w:hint="eastAsia" w:ascii="宋体" w:hAnsi="宋体"/>
                <w:strike w:val="0"/>
                <w:dstrike w:val="0"/>
                <w:color w:val="auto"/>
                <w:highlight w:val="none"/>
              </w:rPr>
            </w:pPr>
          </w:p>
        </w:tc>
        <w:tc>
          <w:tcPr>
            <w:tcW w:w="1251" w:type="dxa"/>
            <w:tcBorders>
              <w:top w:val="single" w:color="auto" w:sz="4" w:space="0"/>
              <w:left w:val="single" w:color="auto" w:sz="4" w:space="0"/>
              <w:bottom w:val="single" w:color="auto" w:sz="4" w:space="0"/>
              <w:right w:val="single" w:color="auto" w:sz="4" w:space="0"/>
            </w:tcBorders>
            <w:noWrap w:val="0"/>
            <w:vAlign w:val="top"/>
          </w:tcPr>
          <w:p>
            <w:pPr>
              <w:ind w:left="2940" w:leftChars="1400" w:firstLine="480"/>
              <w:rPr>
                <w:rFonts w:hint="eastAsia" w:ascii="宋体" w:hAnsi="宋体"/>
                <w:strike w:val="0"/>
                <w:dstrike w:val="0"/>
                <w:color w:val="auto"/>
                <w:highlight w:val="none"/>
              </w:rPr>
            </w:pPr>
          </w:p>
        </w:tc>
        <w:tc>
          <w:tcPr>
            <w:tcW w:w="1251" w:type="dxa"/>
            <w:tcBorders>
              <w:top w:val="single" w:color="auto" w:sz="4" w:space="0"/>
              <w:left w:val="single" w:color="auto" w:sz="4" w:space="0"/>
              <w:bottom w:val="single" w:color="auto" w:sz="4" w:space="0"/>
              <w:right w:val="single" w:color="auto" w:sz="4" w:space="0"/>
            </w:tcBorders>
            <w:noWrap w:val="0"/>
            <w:vAlign w:val="top"/>
          </w:tcPr>
          <w:p>
            <w:pPr>
              <w:ind w:left="2940" w:leftChars="1400" w:firstLine="480"/>
              <w:rPr>
                <w:rFonts w:hint="eastAsia" w:ascii="宋体" w:hAnsi="宋体"/>
                <w:strike w:val="0"/>
                <w:dstrike w:val="0"/>
                <w:color w:val="auto"/>
                <w:highlight w:val="none"/>
              </w:rPr>
            </w:pPr>
          </w:p>
        </w:tc>
      </w:tr>
      <w:tr>
        <w:tblPrEx>
          <w:tblCellMar>
            <w:top w:w="0" w:type="dxa"/>
            <w:left w:w="108" w:type="dxa"/>
            <w:bottom w:w="0" w:type="dxa"/>
            <w:right w:w="108" w:type="dxa"/>
          </w:tblCellMar>
        </w:tblPrEx>
        <w:trPr>
          <w:trHeight w:val="532" w:hRule="atLeast"/>
        </w:trPr>
        <w:tc>
          <w:tcPr>
            <w:tcW w:w="3261" w:type="dxa"/>
            <w:tcBorders>
              <w:top w:val="single" w:color="auto" w:sz="4" w:space="0"/>
              <w:left w:val="single" w:color="auto" w:sz="4" w:space="0"/>
              <w:bottom w:val="single" w:color="auto" w:sz="4" w:space="0"/>
              <w:right w:val="single" w:color="auto" w:sz="4" w:space="0"/>
            </w:tcBorders>
            <w:noWrap w:val="0"/>
            <w:vAlign w:val="top"/>
          </w:tcPr>
          <w:p>
            <w:pPr>
              <w:ind w:left="2940" w:leftChars="1400" w:firstLine="480"/>
              <w:jc w:val="center"/>
              <w:rPr>
                <w:rFonts w:hint="eastAsia" w:ascii="宋体" w:hAnsi="宋体"/>
                <w:strike w:val="0"/>
                <w:dstrike w:val="0"/>
                <w:color w:val="auto"/>
                <w:highlight w:val="none"/>
              </w:rPr>
            </w:pPr>
            <w:r>
              <w:rPr>
                <w:rFonts w:hint="eastAsia" w:ascii="宋体" w:hAnsi="宋体"/>
                <w:strike w:val="0"/>
                <w:dstrike w:val="0"/>
                <w:color w:val="auto"/>
                <w:highlight w:val="none"/>
              </w:rPr>
              <w:t>6</w:t>
            </w:r>
          </w:p>
        </w:tc>
        <w:tc>
          <w:tcPr>
            <w:tcW w:w="1759" w:type="dxa"/>
            <w:tcBorders>
              <w:top w:val="single" w:color="auto" w:sz="4" w:space="0"/>
              <w:left w:val="single" w:color="auto" w:sz="4" w:space="0"/>
              <w:bottom w:val="single" w:color="auto" w:sz="4" w:space="0"/>
              <w:right w:val="single" w:color="auto" w:sz="4" w:space="0"/>
            </w:tcBorders>
            <w:noWrap w:val="0"/>
            <w:vAlign w:val="top"/>
          </w:tcPr>
          <w:p>
            <w:pPr>
              <w:ind w:left="2940" w:leftChars="1400" w:firstLine="480"/>
              <w:rPr>
                <w:rFonts w:hint="eastAsia" w:ascii="宋体" w:hAnsi="宋体"/>
                <w:strike w:val="0"/>
                <w:dstrike w:val="0"/>
                <w:color w:val="auto"/>
                <w:highlight w:val="none"/>
              </w:rPr>
            </w:pPr>
          </w:p>
        </w:tc>
        <w:tc>
          <w:tcPr>
            <w:tcW w:w="1251" w:type="dxa"/>
            <w:tcBorders>
              <w:top w:val="single" w:color="auto" w:sz="4" w:space="0"/>
              <w:left w:val="single" w:color="auto" w:sz="4" w:space="0"/>
              <w:bottom w:val="single" w:color="auto" w:sz="4" w:space="0"/>
              <w:right w:val="single" w:color="auto" w:sz="4" w:space="0"/>
            </w:tcBorders>
            <w:noWrap w:val="0"/>
            <w:vAlign w:val="top"/>
          </w:tcPr>
          <w:p>
            <w:pPr>
              <w:ind w:left="2940" w:leftChars="1400" w:firstLine="480"/>
              <w:rPr>
                <w:rFonts w:hint="eastAsia" w:ascii="宋体" w:hAnsi="宋体"/>
                <w:strike w:val="0"/>
                <w:dstrike w:val="0"/>
                <w:color w:val="auto"/>
                <w:highlight w:val="none"/>
              </w:rPr>
            </w:pPr>
          </w:p>
        </w:tc>
        <w:tc>
          <w:tcPr>
            <w:tcW w:w="1251" w:type="dxa"/>
            <w:tcBorders>
              <w:top w:val="single" w:color="auto" w:sz="4" w:space="0"/>
              <w:left w:val="single" w:color="auto" w:sz="4" w:space="0"/>
              <w:bottom w:val="single" w:color="auto" w:sz="4" w:space="0"/>
              <w:right w:val="single" w:color="auto" w:sz="4" w:space="0"/>
            </w:tcBorders>
            <w:noWrap w:val="0"/>
            <w:vAlign w:val="top"/>
          </w:tcPr>
          <w:p>
            <w:pPr>
              <w:ind w:left="2940" w:leftChars="1400" w:firstLine="480"/>
              <w:rPr>
                <w:rFonts w:hint="eastAsia" w:ascii="宋体" w:hAnsi="宋体"/>
                <w:strike w:val="0"/>
                <w:dstrike w:val="0"/>
                <w:color w:val="auto"/>
                <w:highlight w:val="none"/>
              </w:rPr>
            </w:pPr>
          </w:p>
        </w:tc>
        <w:tc>
          <w:tcPr>
            <w:tcW w:w="1251" w:type="dxa"/>
            <w:tcBorders>
              <w:top w:val="single" w:color="auto" w:sz="4" w:space="0"/>
              <w:left w:val="single" w:color="auto" w:sz="4" w:space="0"/>
              <w:bottom w:val="single" w:color="auto" w:sz="4" w:space="0"/>
              <w:right w:val="single" w:color="auto" w:sz="4" w:space="0"/>
            </w:tcBorders>
            <w:noWrap w:val="0"/>
            <w:vAlign w:val="top"/>
          </w:tcPr>
          <w:p>
            <w:pPr>
              <w:ind w:left="2940" w:leftChars="1400" w:firstLine="480"/>
              <w:rPr>
                <w:rFonts w:hint="eastAsia" w:ascii="宋体" w:hAnsi="宋体"/>
                <w:strike w:val="0"/>
                <w:dstrike w:val="0"/>
                <w:color w:val="auto"/>
                <w:highlight w:val="none"/>
              </w:rPr>
            </w:pPr>
          </w:p>
        </w:tc>
        <w:tc>
          <w:tcPr>
            <w:tcW w:w="1251" w:type="dxa"/>
            <w:tcBorders>
              <w:top w:val="single" w:color="auto" w:sz="4" w:space="0"/>
              <w:left w:val="single" w:color="auto" w:sz="4" w:space="0"/>
              <w:bottom w:val="single" w:color="auto" w:sz="4" w:space="0"/>
              <w:right w:val="single" w:color="auto" w:sz="4" w:space="0"/>
            </w:tcBorders>
            <w:noWrap w:val="0"/>
            <w:vAlign w:val="top"/>
          </w:tcPr>
          <w:p>
            <w:pPr>
              <w:ind w:left="2940" w:leftChars="1400" w:firstLine="480"/>
              <w:rPr>
                <w:rFonts w:hint="eastAsia" w:ascii="宋体" w:hAnsi="宋体"/>
                <w:strike w:val="0"/>
                <w:dstrike w:val="0"/>
                <w:color w:val="auto"/>
                <w:highlight w:val="none"/>
              </w:rPr>
            </w:pPr>
          </w:p>
        </w:tc>
      </w:tr>
      <w:tr>
        <w:tblPrEx>
          <w:tblCellMar>
            <w:top w:w="0" w:type="dxa"/>
            <w:left w:w="108" w:type="dxa"/>
            <w:bottom w:w="0" w:type="dxa"/>
            <w:right w:w="108" w:type="dxa"/>
          </w:tblCellMar>
        </w:tblPrEx>
        <w:trPr>
          <w:trHeight w:val="532" w:hRule="atLeast"/>
        </w:trPr>
        <w:tc>
          <w:tcPr>
            <w:tcW w:w="3261" w:type="dxa"/>
            <w:tcBorders>
              <w:top w:val="single" w:color="auto" w:sz="4" w:space="0"/>
              <w:left w:val="single" w:color="auto" w:sz="4" w:space="0"/>
              <w:bottom w:val="single" w:color="auto" w:sz="4" w:space="0"/>
              <w:right w:val="single" w:color="auto" w:sz="4" w:space="0"/>
            </w:tcBorders>
            <w:noWrap w:val="0"/>
            <w:vAlign w:val="top"/>
          </w:tcPr>
          <w:p>
            <w:pPr>
              <w:ind w:left="2940" w:leftChars="1400" w:firstLine="480"/>
              <w:jc w:val="center"/>
              <w:rPr>
                <w:rFonts w:hint="eastAsia" w:ascii="宋体" w:hAnsi="宋体"/>
                <w:strike w:val="0"/>
                <w:dstrike w:val="0"/>
                <w:color w:val="auto"/>
                <w:highlight w:val="none"/>
              </w:rPr>
            </w:pPr>
            <w:r>
              <w:rPr>
                <w:rFonts w:hint="eastAsia" w:ascii="宋体" w:hAnsi="宋体"/>
                <w:strike w:val="0"/>
                <w:dstrike w:val="0"/>
                <w:color w:val="auto"/>
                <w:highlight w:val="none"/>
              </w:rPr>
              <w:t>7</w:t>
            </w:r>
          </w:p>
        </w:tc>
        <w:tc>
          <w:tcPr>
            <w:tcW w:w="1759" w:type="dxa"/>
            <w:tcBorders>
              <w:top w:val="single" w:color="auto" w:sz="4" w:space="0"/>
              <w:left w:val="single" w:color="auto" w:sz="4" w:space="0"/>
              <w:bottom w:val="single" w:color="auto" w:sz="4" w:space="0"/>
              <w:right w:val="single" w:color="auto" w:sz="4" w:space="0"/>
            </w:tcBorders>
            <w:noWrap w:val="0"/>
            <w:vAlign w:val="top"/>
          </w:tcPr>
          <w:p>
            <w:pPr>
              <w:ind w:left="2940" w:leftChars="1400" w:firstLine="480"/>
              <w:rPr>
                <w:rFonts w:hint="eastAsia" w:ascii="宋体" w:hAnsi="宋体"/>
                <w:strike w:val="0"/>
                <w:dstrike w:val="0"/>
                <w:color w:val="auto"/>
                <w:highlight w:val="none"/>
              </w:rPr>
            </w:pPr>
          </w:p>
        </w:tc>
        <w:tc>
          <w:tcPr>
            <w:tcW w:w="1251" w:type="dxa"/>
            <w:tcBorders>
              <w:top w:val="single" w:color="auto" w:sz="4" w:space="0"/>
              <w:left w:val="single" w:color="auto" w:sz="4" w:space="0"/>
              <w:bottom w:val="single" w:color="auto" w:sz="4" w:space="0"/>
              <w:right w:val="single" w:color="auto" w:sz="4" w:space="0"/>
            </w:tcBorders>
            <w:noWrap w:val="0"/>
            <w:vAlign w:val="top"/>
          </w:tcPr>
          <w:p>
            <w:pPr>
              <w:ind w:left="2940" w:leftChars="1400" w:firstLine="480"/>
              <w:rPr>
                <w:rFonts w:hint="eastAsia" w:ascii="宋体" w:hAnsi="宋体"/>
                <w:strike w:val="0"/>
                <w:dstrike w:val="0"/>
                <w:color w:val="auto"/>
                <w:highlight w:val="none"/>
              </w:rPr>
            </w:pPr>
          </w:p>
        </w:tc>
        <w:tc>
          <w:tcPr>
            <w:tcW w:w="1251" w:type="dxa"/>
            <w:tcBorders>
              <w:top w:val="single" w:color="auto" w:sz="4" w:space="0"/>
              <w:left w:val="single" w:color="auto" w:sz="4" w:space="0"/>
              <w:bottom w:val="single" w:color="auto" w:sz="4" w:space="0"/>
              <w:right w:val="single" w:color="auto" w:sz="4" w:space="0"/>
            </w:tcBorders>
            <w:noWrap w:val="0"/>
            <w:vAlign w:val="top"/>
          </w:tcPr>
          <w:p>
            <w:pPr>
              <w:ind w:left="2940" w:leftChars="1400" w:firstLine="480"/>
              <w:rPr>
                <w:rFonts w:hint="eastAsia" w:ascii="宋体" w:hAnsi="宋体"/>
                <w:strike w:val="0"/>
                <w:dstrike w:val="0"/>
                <w:color w:val="auto"/>
                <w:highlight w:val="none"/>
              </w:rPr>
            </w:pPr>
          </w:p>
        </w:tc>
        <w:tc>
          <w:tcPr>
            <w:tcW w:w="1251" w:type="dxa"/>
            <w:tcBorders>
              <w:top w:val="single" w:color="auto" w:sz="4" w:space="0"/>
              <w:left w:val="single" w:color="auto" w:sz="4" w:space="0"/>
              <w:bottom w:val="single" w:color="auto" w:sz="4" w:space="0"/>
              <w:right w:val="single" w:color="auto" w:sz="4" w:space="0"/>
            </w:tcBorders>
            <w:noWrap w:val="0"/>
            <w:vAlign w:val="top"/>
          </w:tcPr>
          <w:p>
            <w:pPr>
              <w:ind w:left="2940" w:leftChars="1400" w:firstLine="480"/>
              <w:rPr>
                <w:rFonts w:hint="eastAsia" w:ascii="宋体" w:hAnsi="宋体"/>
                <w:strike w:val="0"/>
                <w:dstrike w:val="0"/>
                <w:color w:val="auto"/>
                <w:highlight w:val="none"/>
              </w:rPr>
            </w:pPr>
          </w:p>
        </w:tc>
        <w:tc>
          <w:tcPr>
            <w:tcW w:w="1251" w:type="dxa"/>
            <w:tcBorders>
              <w:top w:val="single" w:color="auto" w:sz="4" w:space="0"/>
              <w:left w:val="single" w:color="auto" w:sz="4" w:space="0"/>
              <w:bottom w:val="single" w:color="auto" w:sz="4" w:space="0"/>
              <w:right w:val="single" w:color="auto" w:sz="4" w:space="0"/>
            </w:tcBorders>
            <w:noWrap w:val="0"/>
            <w:vAlign w:val="top"/>
          </w:tcPr>
          <w:p>
            <w:pPr>
              <w:ind w:left="2940" w:leftChars="1400" w:firstLine="480"/>
              <w:rPr>
                <w:rFonts w:hint="eastAsia" w:ascii="宋体" w:hAnsi="宋体"/>
                <w:strike w:val="0"/>
                <w:dstrike w:val="0"/>
                <w:color w:val="auto"/>
                <w:highlight w:val="none"/>
              </w:rPr>
            </w:pPr>
          </w:p>
        </w:tc>
      </w:tr>
      <w:tr>
        <w:tblPrEx>
          <w:tblCellMar>
            <w:top w:w="0" w:type="dxa"/>
            <w:left w:w="108" w:type="dxa"/>
            <w:bottom w:w="0" w:type="dxa"/>
            <w:right w:w="108" w:type="dxa"/>
          </w:tblCellMar>
        </w:tblPrEx>
        <w:trPr>
          <w:trHeight w:val="532" w:hRule="atLeast"/>
        </w:trPr>
        <w:tc>
          <w:tcPr>
            <w:tcW w:w="3261" w:type="dxa"/>
            <w:tcBorders>
              <w:top w:val="single" w:color="auto" w:sz="4" w:space="0"/>
              <w:left w:val="single" w:color="auto" w:sz="4" w:space="0"/>
              <w:bottom w:val="single" w:color="auto" w:sz="4" w:space="0"/>
              <w:right w:val="single" w:color="auto" w:sz="4" w:space="0"/>
            </w:tcBorders>
            <w:noWrap w:val="0"/>
            <w:vAlign w:val="top"/>
          </w:tcPr>
          <w:p>
            <w:pPr>
              <w:ind w:left="2940" w:leftChars="1400" w:firstLine="480"/>
              <w:jc w:val="center"/>
              <w:rPr>
                <w:rFonts w:hint="eastAsia" w:ascii="宋体" w:hAnsi="宋体"/>
                <w:strike w:val="0"/>
                <w:dstrike w:val="0"/>
                <w:color w:val="auto"/>
                <w:highlight w:val="none"/>
              </w:rPr>
            </w:pPr>
            <w:r>
              <w:rPr>
                <w:rFonts w:hint="eastAsia" w:ascii="宋体" w:hAnsi="宋体"/>
                <w:strike w:val="0"/>
                <w:dstrike w:val="0"/>
                <w:color w:val="auto"/>
                <w:highlight w:val="none"/>
              </w:rPr>
              <w:t>8</w:t>
            </w:r>
          </w:p>
        </w:tc>
        <w:tc>
          <w:tcPr>
            <w:tcW w:w="1759" w:type="dxa"/>
            <w:tcBorders>
              <w:top w:val="single" w:color="auto" w:sz="4" w:space="0"/>
              <w:left w:val="single" w:color="auto" w:sz="4" w:space="0"/>
              <w:bottom w:val="single" w:color="auto" w:sz="4" w:space="0"/>
              <w:right w:val="single" w:color="auto" w:sz="4" w:space="0"/>
            </w:tcBorders>
            <w:noWrap w:val="0"/>
            <w:vAlign w:val="top"/>
          </w:tcPr>
          <w:p>
            <w:pPr>
              <w:ind w:left="2940" w:leftChars="1400" w:firstLine="480"/>
              <w:rPr>
                <w:rFonts w:hint="eastAsia" w:ascii="宋体" w:hAnsi="宋体"/>
                <w:strike w:val="0"/>
                <w:dstrike w:val="0"/>
                <w:color w:val="auto"/>
                <w:highlight w:val="none"/>
              </w:rPr>
            </w:pPr>
          </w:p>
        </w:tc>
        <w:tc>
          <w:tcPr>
            <w:tcW w:w="1251" w:type="dxa"/>
            <w:tcBorders>
              <w:top w:val="single" w:color="auto" w:sz="4" w:space="0"/>
              <w:left w:val="single" w:color="auto" w:sz="4" w:space="0"/>
              <w:bottom w:val="single" w:color="auto" w:sz="4" w:space="0"/>
              <w:right w:val="single" w:color="auto" w:sz="4" w:space="0"/>
            </w:tcBorders>
            <w:noWrap w:val="0"/>
            <w:vAlign w:val="top"/>
          </w:tcPr>
          <w:p>
            <w:pPr>
              <w:ind w:left="2940" w:leftChars="1400" w:firstLine="480"/>
              <w:rPr>
                <w:rFonts w:hint="eastAsia" w:ascii="宋体" w:hAnsi="宋体"/>
                <w:strike w:val="0"/>
                <w:dstrike w:val="0"/>
                <w:color w:val="auto"/>
                <w:highlight w:val="none"/>
              </w:rPr>
            </w:pPr>
          </w:p>
        </w:tc>
        <w:tc>
          <w:tcPr>
            <w:tcW w:w="1251" w:type="dxa"/>
            <w:tcBorders>
              <w:top w:val="single" w:color="auto" w:sz="4" w:space="0"/>
              <w:left w:val="single" w:color="auto" w:sz="4" w:space="0"/>
              <w:bottom w:val="single" w:color="auto" w:sz="4" w:space="0"/>
              <w:right w:val="single" w:color="auto" w:sz="4" w:space="0"/>
            </w:tcBorders>
            <w:noWrap w:val="0"/>
            <w:vAlign w:val="top"/>
          </w:tcPr>
          <w:p>
            <w:pPr>
              <w:ind w:left="2940" w:leftChars="1400" w:firstLine="480"/>
              <w:rPr>
                <w:rFonts w:hint="eastAsia" w:ascii="宋体" w:hAnsi="宋体"/>
                <w:strike w:val="0"/>
                <w:dstrike w:val="0"/>
                <w:color w:val="auto"/>
                <w:highlight w:val="none"/>
              </w:rPr>
            </w:pPr>
          </w:p>
        </w:tc>
        <w:tc>
          <w:tcPr>
            <w:tcW w:w="1251" w:type="dxa"/>
            <w:tcBorders>
              <w:top w:val="single" w:color="auto" w:sz="4" w:space="0"/>
              <w:left w:val="single" w:color="auto" w:sz="4" w:space="0"/>
              <w:bottom w:val="single" w:color="auto" w:sz="4" w:space="0"/>
              <w:right w:val="single" w:color="auto" w:sz="4" w:space="0"/>
            </w:tcBorders>
            <w:noWrap w:val="0"/>
            <w:vAlign w:val="top"/>
          </w:tcPr>
          <w:p>
            <w:pPr>
              <w:ind w:left="2940" w:leftChars="1400" w:firstLine="480"/>
              <w:rPr>
                <w:rFonts w:hint="eastAsia" w:ascii="宋体" w:hAnsi="宋体"/>
                <w:strike w:val="0"/>
                <w:dstrike w:val="0"/>
                <w:color w:val="auto"/>
                <w:highlight w:val="none"/>
              </w:rPr>
            </w:pPr>
          </w:p>
        </w:tc>
        <w:tc>
          <w:tcPr>
            <w:tcW w:w="1251" w:type="dxa"/>
            <w:tcBorders>
              <w:top w:val="single" w:color="auto" w:sz="4" w:space="0"/>
              <w:left w:val="single" w:color="auto" w:sz="4" w:space="0"/>
              <w:bottom w:val="single" w:color="auto" w:sz="4" w:space="0"/>
              <w:right w:val="single" w:color="auto" w:sz="4" w:space="0"/>
            </w:tcBorders>
            <w:noWrap w:val="0"/>
            <w:vAlign w:val="top"/>
          </w:tcPr>
          <w:p>
            <w:pPr>
              <w:ind w:left="2940" w:leftChars="1400" w:firstLine="480"/>
              <w:rPr>
                <w:rFonts w:hint="eastAsia" w:ascii="宋体" w:hAnsi="宋体"/>
                <w:strike w:val="0"/>
                <w:dstrike w:val="0"/>
                <w:color w:val="auto"/>
                <w:highlight w:val="none"/>
              </w:rPr>
            </w:pPr>
          </w:p>
        </w:tc>
      </w:tr>
      <w:tr>
        <w:tblPrEx>
          <w:tblCellMar>
            <w:top w:w="0" w:type="dxa"/>
            <w:left w:w="108" w:type="dxa"/>
            <w:bottom w:w="0" w:type="dxa"/>
            <w:right w:w="108" w:type="dxa"/>
          </w:tblCellMar>
        </w:tblPrEx>
        <w:trPr>
          <w:trHeight w:val="532" w:hRule="atLeast"/>
        </w:trPr>
        <w:tc>
          <w:tcPr>
            <w:tcW w:w="3261" w:type="dxa"/>
            <w:tcBorders>
              <w:top w:val="single" w:color="auto" w:sz="4" w:space="0"/>
              <w:left w:val="single" w:color="auto" w:sz="4" w:space="0"/>
              <w:bottom w:val="single" w:color="auto" w:sz="4" w:space="0"/>
              <w:right w:val="single" w:color="auto" w:sz="4" w:space="0"/>
            </w:tcBorders>
            <w:noWrap w:val="0"/>
            <w:vAlign w:val="top"/>
          </w:tcPr>
          <w:p>
            <w:pPr>
              <w:ind w:left="2940" w:leftChars="1400" w:firstLine="480"/>
              <w:jc w:val="center"/>
              <w:rPr>
                <w:rFonts w:hint="eastAsia" w:ascii="宋体" w:hAnsi="宋体"/>
                <w:strike w:val="0"/>
                <w:dstrike w:val="0"/>
                <w:color w:val="auto"/>
                <w:highlight w:val="none"/>
              </w:rPr>
            </w:pPr>
            <w:r>
              <w:rPr>
                <w:rFonts w:hint="eastAsia" w:ascii="宋体" w:hAnsi="宋体"/>
                <w:strike w:val="0"/>
                <w:dstrike w:val="0"/>
                <w:color w:val="auto"/>
                <w:highlight w:val="none"/>
              </w:rPr>
              <w:t>9</w:t>
            </w:r>
          </w:p>
        </w:tc>
        <w:tc>
          <w:tcPr>
            <w:tcW w:w="1759" w:type="dxa"/>
            <w:tcBorders>
              <w:top w:val="single" w:color="auto" w:sz="4" w:space="0"/>
              <w:left w:val="single" w:color="auto" w:sz="4" w:space="0"/>
              <w:bottom w:val="single" w:color="auto" w:sz="4" w:space="0"/>
              <w:right w:val="single" w:color="auto" w:sz="4" w:space="0"/>
            </w:tcBorders>
            <w:noWrap w:val="0"/>
            <w:vAlign w:val="top"/>
          </w:tcPr>
          <w:p>
            <w:pPr>
              <w:ind w:left="2940" w:leftChars="1400" w:firstLine="480"/>
              <w:rPr>
                <w:rFonts w:hint="eastAsia" w:ascii="宋体" w:hAnsi="宋体"/>
                <w:strike w:val="0"/>
                <w:dstrike w:val="0"/>
                <w:color w:val="auto"/>
                <w:highlight w:val="none"/>
              </w:rPr>
            </w:pPr>
          </w:p>
        </w:tc>
        <w:tc>
          <w:tcPr>
            <w:tcW w:w="1251" w:type="dxa"/>
            <w:tcBorders>
              <w:top w:val="single" w:color="auto" w:sz="4" w:space="0"/>
              <w:left w:val="single" w:color="auto" w:sz="4" w:space="0"/>
              <w:bottom w:val="single" w:color="auto" w:sz="4" w:space="0"/>
              <w:right w:val="single" w:color="auto" w:sz="4" w:space="0"/>
            </w:tcBorders>
            <w:noWrap w:val="0"/>
            <w:vAlign w:val="top"/>
          </w:tcPr>
          <w:p>
            <w:pPr>
              <w:ind w:left="2940" w:leftChars="1400" w:firstLine="480"/>
              <w:rPr>
                <w:rFonts w:hint="eastAsia" w:ascii="宋体" w:hAnsi="宋体"/>
                <w:strike w:val="0"/>
                <w:dstrike w:val="0"/>
                <w:color w:val="auto"/>
                <w:highlight w:val="none"/>
              </w:rPr>
            </w:pPr>
          </w:p>
        </w:tc>
        <w:tc>
          <w:tcPr>
            <w:tcW w:w="1251" w:type="dxa"/>
            <w:tcBorders>
              <w:top w:val="single" w:color="auto" w:sz="4" w:space="0"/>
              <w:left w:val="single" w:color="auto" w:sz="4" w:space="0"/>
              <w:bottom w:val="single" w:color="auto" w:sz="4" w:space="0"/>
              <w:right w:val="single" w:color="auto" w:sz="4" w:space="0"/>
            </w:tcBorders>
            <w:noWrap w:val="0"/>
            <w:vAlign w:val="top"/>
          </w:tcPr>
          <w:p>
            <w:pPr>
              <w:ind w:left="2940" w:leftChars="1400" w:firstLine="480"/>
              <w:rPr>
                <w:rFonts w:hint="eastAsia" w:ascii="宋体" w:hAnsi="宋体"/>
                <w:strike w:val="0"/>
                <w:dstrike w:val="0"/>
                <w:color w:val="auto"/>
                <w:highlight w:val="none"/>
              </w:rPr>
            </w:pPr>
          </w:p>
        </w:tc>
        <w:tc>
          <w:tcPr>
            <w:tcW w:w="1251" w:type="dxa"/>
            <w:tcBorders>
              <w:top w:val="single" w:color="auto" w:sz="4" w:space="0"/>
              <w:left w:val="single" w:color="auto" w:sz="4" w:space="0"/>
              <w:bottom w:val="single" w:color="auto" w:sz="4" w:space="0"/>
              <w:right w:val="single" w:color="auto" w:sz="4" w:space="0"/>
            </w:tcBorders>
            <w:noWrap w:val="0"/>
            <w:vAlign w:val="top"/>
          </w:tcPr>
          <w:p>
            <w:pPr>
              <w:ind w:left="2940" w:leftChars="1400" w:firstLine="480"/>
              <w:rPr>
                <w:rFonts w:hint="eastAsia" w:ascii="宋体" w:hAnsi="宋体"/>
                <w:strike w:val="0"/>
                <w:dstrike w:val="0"/>
                <w:color w:val="auto"/>
                <w:highlight w:val="none"/>
              </w:rPr>
            </w:pPr>
          </w:p>
        </w:tc>
        <w:tc>
          <w:tcPr>
            <w:tcW w:w="1251" w:type="dxa"/>
            <w:tcBorders>
              <w:top w:val="single" w:color="auto" w:sz="4" w:space="0"/>
              <w:left w:val="single" w:color="auto" w:sz="4" w:space="0"/>
              <w:bottom w:val="single" w:color="auto" w:sz="4" w:space="0"/>
              <w:right w:val="single" w:color="auto" w:sz="4" w:space="0"/>
            </w:tcBorders>
            <w:noWrap w:val="0"/>
            <w:vAlign w:val="top"/>
          </w:tcPr>
          <w:p>
            <w:pPr>
              <w:ind w:left="2940" w:leftChars="1400" w:firstLine="480"/>
              <w:rPr>
                <w:rFonts w:hint="eastAsia" w:ascii="宋体" w:hAnsi="宋体"/>
                <w:strike w:val="0"/>
                <w:dstrike w:val="0"/>
                <w:color w:val="auto"/>
                <w:highlight w:val="none"/>
              </w:rPr>
            </w:pPr>
          </w:p>
        </w:tc>
      </w:tr>
      <w:tr>
        <w:tblPrEx>
          <w:tblCellMar>
            <w:top w:w="0" w:type="dxa"/>
            <w:left w:w="108" w:type="dxa"/>
            <w:bottom w:w="0" w:type="dxa"/>
            <w:right w:w="108" w:type="dxa"/>
          </w:tblCellMar>
        </w:tblPrEx>
        <w:trPr>
          <w:trHeight w:val="532" w:hRule="atLeast"/>
        </w:trPr>
        <w:tc>
          <w:tcPr>
            <w:tcW w:w="3261" w:type="dxa"/>
            <w:tcBorders>
              <w:top w:val="single" w:color="auto" w:sz="4" w:space="0"/>
              <w:left w:val="single" w:color="auto" w:sz="4" w:space="0"/>
              <w:bottom w:val="single" w:color="auto" w:sz="4" w:space="0"/>
              <w:right w:val="single" w:color="auto" w:sz="4" w:space="0"/>
            </w:tcBorders>
            <w:noWrap w:val="0"/>
            <w:vAlign w:val="top"/>
          </w:tcPr>
          <w:p>
            <w:pPr>
              <w:ind w:left="2940" w:leftChars="1400" w:firstLine="480"/>
              <w:jc w:val="center"/>
              <w:rPr>
                <w:rFonts w:hint="eastAsia" w:ascii="宋体" w:hAnsi="宋体"/>
                <w:strike w:val="0"/>
                <w:dstrike w:val="0"/>
                <w:color w:val="auto"/>
                <w:highlight w:val="none"/>
              </w:rPr>
            </w:pPr>
            <w:r>
              <w:rPr>
                <w:rFonts w:hint="eastAsia" w:ascii="宋体" w:hAnsi="宋体"/>
                <w:strike w:val="0"/>
                <w:dstrike w:val="0"/>
                <w:color w:val="auto"/>
                <w:highlight w:val="none"/>
              </w:rPr>
              <w:t>1</w:t>
            </w:r>
          </w:p>
        </w:tc>
        <w:tc>
          <w:tcPr>
            <w:tcW w:w="1759" w:type="dxa"/>
            <w:tcBorders>
              <w:top w:val="single" w:color="auto" w:sz="4" w:space="0"/>
              <w:left w:val="single" w:color="auto" w:sz="4" w:space="0"/>
              <w:bottom w:val="single" w:color="auto" w:sz="4" w:space="0"/>
              <w:right w:val="single" w:color="auto" w:sz="4" w:space="0"/>
            </w:tcBorders>
            <w:noWrap w:val="0"/>
            <w:vAlign w:val="top"/>
          </w:tcPr>
          <w:p>
            <w:pPr>
              <w:ind w:left="2940" w:leftChars="1400" w:firstLine="480"/>
              <w:rPr>
                <w:rFonts w:hint="eastAsia" w:ascii="宋体" w:hAnsi="宋体"/>
                <w:strike w:val="0"/>
                <w:dstrike w:val="0"/>
                <w:color w:val="auto"/>
                <w:highlight w:val="none"/>
              </w:rPr>
            </w:pPr>
          </w:p>
        </w:tc>
        <w:tc>
          <w:tcPr>
            <w:tcW w:w="1251" w:type="dxa"/>
            <w:tcBorders>
              <w:top w:val="single" w:color="auto" w:sz="4" w:space="0"/>
              <w:left w:val="single" w:color="auto" w:sz="4" w:space="0"/>
              <w:bottom w:val="single" w:color="auto" w:sz="4" w:space="0"/>
              <w:right w:val="single" w:color="auto" w:sz="4" w:space="0"/>
            </w:tcBorders>
            <w:noWrap w:val="0"/>
            <w:vAlign w:val="top"/>
          </w:tcPr>
          <w:p>
            <w:pPr>
              <w:ind w:left="2940" w:leftChars="1400" w:firstLine="480"/>
              <w:rPr>
                <w:rFonts w:hint="eastAsia" w:ascii="宋体" w:hAnsi="宋体"/>
                <w:strike w:val="0"/>
                <w:dstrike w:val="0"/>
                <w:color w:val="auto"/>
                <w:highlight w:val="none"/>
              </w:rPr>
            </w:pPr>
          </w:p>
        </w:tc>
        <w:tc>
          <w:tcPr>
            <w:tcW w:w="1251" w:type="dxa"/>
            <w:tcBorders>
              <w:top w:val="single" w:color="auto" w:sz="4" w:space="0"/>
              <w:left w:val="single" w:color="auto" w:sz="4" w:space="0"/>
              <w:bottom w:val="single" w:color="auto" w:sz="4" w:space="0"/>
              <w:right w:val="single" w:color="auto" w:sz="4" w:space="0"/>
            </w:tcBorders>
            <w:noWrap w:val="0"/>
            <w:vAlign w:val="top"/>
          </w:tcPr>
          <w:p>
            <w:pPr>
              <w:ind w:left="2940" w:leftChars="1400" w:firstLine="480"/>
              <w:rPr>
                <w:rFonts w:hint="eastAsia" w:ascii="宋体" w:hAnsi="宋体"/>
                <w:strike w:val="0"/>
                <w:dstrike w:val="0"/>
                <w:color w:val="auto"/>
                <w:highlight w:val="none"/>
              </w:rPr>
            </w:pPr>
          </w:p>
        </w:tc>
        <w:tc>
          <w:tcPr>
            <w:tcW w:w="1251" w:type="dxa"/>
            <w:tcBorders>
              <w:top w:val="single" w:color="auto" w:sz="4" w:space="0"/>
              <w:left w:val="single" w:color="auto" w:sz="4" w:space="0"/>
              <w:bottom w:val="single" w:color="auto" w:sz="4" w:space="0"/>
              <w:right w:val="single" w:color="auto" w:sz="4" w:space="0"/>
            </w:tcBorders>
            <w:noWrap w:val="0"/>
            <w:vAlign w:val="top"/>
          </w:tcPr>
          <w:p>
            <w:pPr>
              <w:ind w:left="2940" w:leftChars="1400" w:firstLine="480"/>
              <w:rPr>
                <w:rFonts w:hint="eastAsia" w:ascii="宋体" w:hAnsi="宋体"/>
                <w:strike w:val="0"/>
                <w:dstrike w:val="0"/>
                <w:color w:val="auto"/>
                <w:highlight w:val="none"/>
              </w:rPr>
            </w:pPr>
          </w:p>
        </w:tc>
        <w:tc>
          <w:tcPr>
            <w:tcW w:w="1251" w:type="dxa"/>
            <w:tcBorders>
              <w:top w:val="single" w:color="auto" w:sz="4" w:space="0"/>
              <w:left w:val="single" w:color="auto" w:sz="4" w:space="0"/>
              <w:bottom w:val="single" w:color="auto" w:sz="4" w:space="0"/>
              <w:right w:val="single" w:color="auto" w:sz="4" w:space="0"/>
            </w:tcBorders>
            <w:noWrap w:val="0"/>
            <w:vAlign w:val="top"/>
          </w:tcPr>
          <w:p>
            <w:pPr>
              <w:ind w:left="2940" w:leftChars="1400" w:firstLine="480"/>
              <w:rPr>
                <w:rFonts w:hint="eastAsia" w:ascii="宋体" w:hAnsi="宋体"/>
                <w:strike w:val="0"/>
                <w:dstrike w:val="0"/>
                <w:color w:val="auto"/>
                <w:highlight w:val="none"/>
              </w:rPr>
            </w:pPr>
          </w:p>
        </w:tc>
      </w:tr>
      <w:tr>
        <w:tblPrEx>
          <w:tblCellMar>
            <w:top w:w="0" w:type="dxa"/>
            <w:left w:w="108" w:type="dxa"/>
            <w:bottom w:w="0" w:type="dxa"/>
            <w:right w:w="108" w:type="dxa"/>
          </w:tblCellMar>
        </w:tblPrEx>
        <w:trPr>
          <w:trHeight w:val="532" w:hRule="atLeast"/>
        </w:trPr>
        <w:tc>
          <w:tcPr>
            <w:tcW w:w="3261" w:type="dxa"/>
            <w:tcBorders>
              <w:top w:val="single" w:color="auto" w:sz="4" w:space="0"/>
              <w:left w:val="single" w:color="auto" w:sz="4" w:space="0"/>
              <w:bottom w:val="single" w:color="auto" w:sz="4" w:space="0"/>
              <w:right w:val="single" w:color="auto" w:sz="4" w:space="0"/>
            </w:tcBorders>
            <w:noWrap w:val="0"/>
            <w:vAlign w:val="top"/>
          </w:tcPr>
          <w:p>
            <w:pPr>
              <w:ind w:left="2940" w:leftChars="1400" w:firstLine="480"/>
              <w:jc w:val="center"/>
              <w:rPr>
                <w:rFonts w:hint="eastAsia" w:ascii="宋体" w:hAnsi="宋体"/>
                <w:strike w:val="0"/>
                <w:dstrike w:val="0"/>
                <w:color w:val="auto"/>
                <w:highlight w:val="none"/>
              </w:rPr>
            </w:pPr>
            <w:r>
              <w:rPr>
                <w:rFonts w:hint="eastAsia" w:ascii="宋体" w:hAnsi="宋体"/>
                <w:strike w:val="0"/>
                <w:dstrike w:val="0"/>
                <w:color w:val="auto"/>
                <w:highlight w:val="none"/>
              </w:rPr>
              <w:t>1</w:t>
            </w:r>
          </w:p>
        </w:tc>
        <w:tc>
          <w:tcPr>
            <w:tcW w:w="1759" w:type="dxa"/>
            <w:tcBorders>
              <w:top w:val="single" w:color="auto" w:sz="4" w:space="0"/>
              <w:left w:val="single" w:color="auto" w:sz="4" w:space="0"/>
              <w:bottom w:val="single" w:color="auto" w:sz="4" w:space="0"/>
              <w:right w:val="single" w:color="auto" w:sz="4" w:space="0"/>
            </w:tcBorders>
            <w:noWrap w:val="0"/>
            <w:vAlign w:val="top"/>
          </w:tcPr>
          <w:p>
            <w:pPr>
              <w:ind w:left="2940" w:leftChars="1400" w:firstLine="480"/>
              <w:rPr>
                <w:rFonts w:hint="eastAsia" w:ascii="宋体" w:hAnsi="宋体"/>
                <w:strike w:val="0"/>
                <w:dstrike w:val="0"/>
                <w:color w:val="auto"/>
                <w:highlight w:val="none"/>
              </w:rPr>
            </w:pPr>
          </w:p>
        </w:tc>
        <w:tc>
          <w:tcPr>
            <w:tcW w:w="1251" w:type="dxa"/>
            <w:tcBorders>
              <w:top w:val="single" w:color="auto" w:sz="4" w:space="0"/>
              <w:left w:val="single" w:color="auto" w:sz="4" w:space="0"/>
              <w:bottom w:val="single" w:color="auto" w:sz="4" w:space="0"/>
              <w:right w:val="single" w:color="auto" w:sz="4" w:space="0"/>
            </w:tcBorders>
            <w:noWrap w:val="0"/>
            <w:vAlign w:val="top"/>
          </w:tcPr>
          <w:p>
            <w:pPr>
              <w:ind w:left="2940" w:leftChars="1400" w:firstLine="480"/>
              <w:rPr>
                <w:rFonts w:hint="eastAsia" w:ascii="宋体" w:hAnsi="宋体"/>
                <w:strike w:val="0"/>
                <w:dstrike w:val="0"/>
                <w:color w:val="auto"/>
                <w:highlight w:val="none"/>
              </w:rPr>
            </w:pPr>
          </w:p>
        </w:tc>
        <w:tc>
          <w:tcPr>
            <w:tcW w:w="1251" w:type="dxa"/>
            <w:tcBorders>
              <w:top w:val="single" w:color="auto" w:sz="4" w:space="0"/>
              <w:left w:val="single" w:color="auto" w:sz="4" w:space="0"/>
              <w:bottom w:val="single" w:color="auto" w:sz="4" w:space="0"/>
              <w:right w:val="single" w:color="auto" w:sz="4" w:space="0"/>
            </w:tcBorders>
            <w:noWrap w:val="0"/>
            <w:vAlign w:val="top"/>
          </w:tcPr>
          <w:p>
            <w:pPr>
              <w:ind w:left="2940" w:leftChars="1400" w:firstLine="480"/>
              <w:rPr>
                <w:rFonts w:hint="eastAsia" w:ascii="宋体" w:hAnsi="宋体"/>
                <w:strike w:val="0"/>
                <w:dstrike w:val="0"/>
                <w:color w:val="auto"/>
                <w:highlight w:val="none"/>
              </w:rPr>
            </w:pPr>
          </w:p>
        </w:tc>
        <w:tc>
          <w:tcPr>
            <w:tcW w:w="1251" w:type="dxa"/>
            <w:tcBorders>
              <w:top w:val="single" w:color="auto" w:sz="4" w:space="0"/>
              <w:left w:val="single" w:color="auto" w:sz="4" w:space="0"/>
              <w:bottom w:val="single" w:color="auto" w:sz="4" w:space="0"/>
              <w:right w:val="single" w:color="auto" w:sz="4" w:space="0"/>
            </w:tcBorders>
            <w:noWrap w:val="0"/>
            <w:vAlign w:val="top"/>
          </w:tcPr>
          <w:p>
            <w:pPr>
              <w:ind w:left="2940" w:leftChars="1400" w:firstLine="480"/>
              <w:rPr>
                <w:rFonts w:hint="eastAsia" w:ascii="宋体" w:hAnsi="宋体"/>
                <w:strike w:val="0"/>
                <w:dstrike w:val="0"/>
                <w:color w:val="auto"/>
                <w:highlight w:val="none"/>
              </w:rPr>
            </w:pPr>
          </w:p>
        </w:tc>
        <w:tc>
          <w:tcPr>
            <w:tcW w:w="1251" w:type="dxa"/>
            <w:tcBorders>
              <w:top w:val="single" w:color="auto" w:sz="4" w:space="0"/>
              <w:left w:val="single" w:color="auto" w:sz="4" w:space="0"/>
              <w:bottom w:val="single" w:color="auto" w:sz="4" w:space="0"/>
              <w:right w:val="single" w:color="auto" w:sz="4" w:space="0"/>
            </w:tcBorders>
            <w:noWrap w:val="0"/>
            <w:vAlign w:val="top"/>
          </w:tcPr>
          <w:p>
            <w:pPr>
              <w:ind w:left="2940" w:leftChars="1400" w:firstLine="480"/>
              <w:rPr>
                <w:rFonts w:hint="eastAsia" w:ascii="宋体" w:hAnsi="宋体"/>
                <w:strike w:val="0"/>
                <w:dstrike w:val="0"/>
                <w:color w:val="auto"/>
                <w:highlight w:val="none"/>
              </w:rPr>
            </w:pPr>
          </w:p>
        </w:tc>
      </w:tr>
      <w:tr>
        <w:tblPrEx>
          <w:tblCellMar>
            <w:top w:w="0" w:type="dxa"/>
            <w:left w:w="108" w:type="dxa"/>
            <w:bottom w:w="0" w:type="dxa"/>
            <w:right w:w="108" w:type="dxa"/>
          </w:tblCellMar>
        </w:tblPrEx>
        <w:trPr>
          <w:trHeight w:val="532" w:hRule="atLeast"/>
        </w:trPr>
        <w:tc>
          <w:tcPr>
            <w:tcW w:w="3261" w:type="dxa"/>
            <w:tcBorders>
              <w:top w:val="single" w:color="auto" w:sz="4" w:space="0"/>
              <w:left w:val="single" w:color="auto" w:sz="4" w:space="0"/>
              <w:bottom w:val="single" w:color="auto" w:sz="4" w:space="0"/>
              <w:right w:val="single" w:color="auto" w:sz="4" w:space="0"/>
            </w:tcBorders>
            <w:noWrap w:val="0"/>
            <w:vAlign w:val="top"/>
          </w:tcPr>
          <w:p>
            <w:pPr>
              <w:ind w:left="2940" w:leftChars="1400" w:firstLine="480"/>
              <w:jc w:val="center"/>
              <w:rPr>
                <w:rFonts w:hint="eastAsia" w:ascii="宋体" w:hAnsi="宋体"/>
                <w:strike w:val="0"/>
                <w:dstrike w:val="0"/>
                <w:color w:val="auto"/>
                <w:highlight w:val="none"/>
              </w:rPr>
            </w:pPr>
            <w:r>
              <w:rPr>
                <w:rFonts w:hint="eastAsia" w:ascii="宋体" w:hAnsi="宋体"/>
                <w:strike w:val="0"/>
                <w:dstrike w:val="0"/>
                <w:color w:val="auto"/>
                <w:highlight w:val="none"/>
              </w:rPr>
              <w:t>1</w:t>
            </w:r>
          </w:p>
        </w:tc>
        <w:tc>
          <w:tcPr>
            <w:tcW w:w="1759" w:type="dxa"/>
            <w:tcBorders>
              <w:top w:val="single" w:color="auto" w:sz="4" w:space="0"/>
              <w:left w:val="single" w:color="auto" w:sz="4" w:space="0"/>
              <w:bottom w:val="single" w:color="auto" w:sz="4" w:space="0"/>
              <w:right w:val="single" w:color="auto" w:sz="4" w:space="0"/>
            </w:tcBorders>
            <w:noWrap w:val="0"/>
            <w:vAlign w:val="top"/>
          </w:tcPr>
          <w:p>
            <w:pPr>
              <w:ind w:left="2940" w:leftChars="1400" w:firstLine="480"/>
              <w:rPr>
                <w:rFonts w:hint="eastAsia" w:ascii="宋体" w:hAnsi="宋体"/>
                <w:strike w:val="0"/>
                <w:dstrike w:val="0"/>
                <w:color w:val="auto"/>
                <w:highlight w:val="none"/>
              </w:rPr>
            </w:pPr>
          </w:p>
        </w:tc>
        <w:tc>
          <w:tcPr>
            <w:tcW w:w="1251" w:type="dxa"/>
            <w:tcBorders>
              <w:top w:val="single" w:color="auto" w:sz="4" w:space="0"/>
              <w:left w:val="single" w:color="auto" w:sz="4" w:space="0"/>
              <w:bottom w:val="single" w:color="auto" w:sz="4" w:space="0"/>
              <w:right w:val="single" w:color="auto" w:sz="4" w:space="0"/>
            </w:tcBorders>
            <w:noWrap w:val="0"/>
            <w:vAlign w:val="top"/>
          </w:tcPr>
          <w:p>
            <w:pPr>
              <w:ind w:left="2940" w:leftChars="1400" w:firstLine="480"/>
              <w:rPr>
                <w:rFonts w:hint="eastAsia" w:ascii="宋体" w:hAnsi="宋体"/>
                <w:strike w:val="0"/>
                <w:dstrike w:val="0"/>
                <w:color w:val="auto"/>
                <w:highlight w:val="none"/>
              </w:rPr>
            </w:pPr>
          </w:p>
        </w:tc>
        <w:tc>
          <w:tcPr>
            <w:tcW w:w="1251" w:type="dxa"/>
            <w:tcBorders>
              <w:top w:val="single" w:color="auto" w:sz="4" w:space="0"/>
              <w:left w:val="single" w:color="auto" w:sz="4" w:space="0"/>
              <w:bottom w:val="single" w:color="auto" w:sz="4" w:space="0"/>
              <w:right w:val="single" w:color="auto" w:sz="4" w:space="0"/>
            </w:tcBorders>
            <w:noWrap w:val="0"/>
            <w:vAlign w:val="top"/>
          </w:tcPr>
          <w:p>
            <w:pPr>
              <w:ind w:left="2940" w:leftChars="1400" w:firstLine="480"/>
              <w:rPr>
                <w:rFonts w:hint="eastAsia" w:ascii="宋体" w:hAnsi="宋体"/>
                <w:strike w:val="0"/>
                <w:dstrike w:val="0"/>
                <w:color w:val="auto"/>
                <w:highlight w:val="none"/>
              </w:rPr>
            </w:pPr>
          </w:p>
        </w:tc>
        <w:tc>
          <w:tcPr>
            <w:tcW w:w="1251" w:type="dxa"/>
            <w:tcBorders>
              <w:top w:val="single" w:color="auto" w:sz="4" w:space="0"/>
              <w:left w:val="single" w:color="auto" w:sz="4" w:space="0"/>
              <w:bottom w:val="single" w:color="auto" w:sz="4" w:space="0"/>
              <w:right w:val="single" w:color="auto" w:sz="4" w:space="0"/>
            </w:tcBorders>
            <w:noWrap w:val="0"/>
            <w:vAlign w:val="top"/>
          </w:tcPr>
          <w:p>
            <w:pPr>
              <w:ind w:left="2940" w:leftChars="1400" w:firstLine="480"/>
              <w:rPr>
                <w:rFonts w:hint="eastAsia" w:ascii="宋体" w:hAnsi="宋体"/>
                <w:strike w:val="0"/>
                <w:dstrike w:val="0"/>
                <w:color w:val="auto"/>
                <w:highlight w:val="none"/>
              </w:rPr>
            </w:pPr>
          </w:p>
        </w:tc>
        <w:tc>
          <w:tcPr>
            <w:tcW w:w="1251" w:type="dxa"/>
            <w:tcBorders>
              <w:top w:val="single" w:color="auto" w:sz="4" w:space="0"/>
              <w:left w:val="single" w:color="auto" w:sz="4" w:space="0"/>
              <w:bottom w:val="single" w:color="auto" w:sz="4" w:space="0"/>
              <w:right w:val="single" w:color="auto" w:sz="4" w:space="0"/>
            </w:tcBorders>
            <w:noWrap w:val="0"/>
            <w:vAlign w:val="top"/>
          </w:tcPr>
          <w:p>
            <w:pPr>
              <w:ind w:left="2940" w:leftChars="1400" w:firstLine="480"/>
              <w:rPr>
                <w:rFonts w:hint="eastAsia" w:ascii="宋体" w:hAnsi="宋体"/>
                <w:strike w:val="0"/>
                <w:dstrike w:val="0"/>
                <w:color w:val="auto"/>
                <w:highlight w:val="none"/>
              </w:rPr>
            </w:pPr>
          </w:p>
        </w:tc>
      </w:tr>
    </w:tbl>
    <w:p>
      <w:pPr>
        <w:spacing w:line="360" w:lineRule="auto"/>
        <w:rPr>
          <w:rFonts w:hint="eastAsia" w:ascii="宋体" w:hAnsi="宋体" w:cs="宋体"/>
          <w:strike w:val="0"/>
          <w:dstrike w:val="0"/>
          <w:color w:val="auto"/>
          <w:sz w:val="18"/>
          <w:szCs w:val="18"/>
          <w:highlight w:val="none"/>
        </w:rPr>
      </w:pPr>
    </w:p>
    <w:p>
      <w:pPr>
        <w:spacing w:line="360" w:lineRule="auto"/>
        <w:rPr>
          <w:rFonts w:hint="eastAsia" w:ascii="宋体" w:hAnsi="宋体" w:cs="宋体"/>
          <w:strike w:val="0"/>
          <w:dstrike w:val="0"/>
          <w:color w:val="auto"/>
          <w:sz w:val="24"/>
          <w:highlight w:val="none"/>
        </w:rPr>
      </w:pPr>
      <w:r>
        <w:rPr>
          <w:rFonts w:hint="eastAsia" w:ascii="宋体" w:hAnsi="宋体" w:cs="宋体"/>
          <w:strike w:val="0"/>
          <w:dstrike w:val="0"/>
          <w:color w:val="auto"/>
          <w:sz w:val="24"/>
          <w:highlight w:val="none"/>
        </w:rPr>
        <w:t>投标人代表签字：</w:t>
      </w:r>
      <w:r>
        <w:rPr>
          <w:rFonts w:ascii="宋体" w:hAnsi="宋体" w:cs="宋体"/>
          <w:strike w:val="0"/>
          <w:dstrike w:val="0"/>
          <w:color w:val="auto"/>
          <w:sz w:val="24"/>
          <w:highlight w:val="none"/>
        </w:rPr>
        <w:t xml:space="preserve">_______________________________        </w:t>
      </w:r>
      <w:r>
        <w:rPr>
          <w:rFonts w:hint="eastAsia" w:ascii="宋体" w:hAnsi="宋体" w:cs="宋体"/>
          <w:strike w:val="0"/>
          <w:dstrike w:val="0"/>
          <w:color w:val="auto"/>
          <w:sz w:val="24"/>
          <w:highlight w:val="none"/>
        </w:rPr>
        <w:t xml:space="preserve">         </w:t>
      </w:r>
    </w:p>
    <w:p>
      <w:pPr>
        <w:spacing w:line="360" w:lineRule="auto"/>
        <w:rPr>
          <w:rFonts w:ascii="宋体" w:hAnsi="宋体"/>
          <w:strike w:val="0"/>
          <w:dstrike w:val="0"/>
          <w:color w:val="auto"/>
          <w:sz w:val="24"/>
          <w:highlight w:val="none"/>
        </w:rPr>
      </w:pPr>
      <w:r>
        <w:rPr>
          <w:rFonts w:hint="eastAsia" w:ascii="宋体" w:hAnsi="宋体" w:cs="宋体"/>
          <w:strike w:val="0"/>
          <w:dstrike w:val="0"/>
          <w:color w:val="auto"/>
          <w:sz w:val="24"/>
          <w:highlight w:val="none"/>
        </w:rPr>
        <w:t xml:space="preserve"> 职</w:t>
      </w:r>
      <w:r>
        <w:rPr>
          <w:rFonts w:ascii="宋体" w:hAnsi="宋体" w:cs="宋体"/>
          <w:strike w:val="0"/>
          <w:dstrike w:val="0"/>
          <w:color w:val="auto"/>
          <w:sz w:val="24"/>
          <w:highlight w:val="none"/>
        </w:rPr>
        <w:t xml:space="preserve">  </w:t>
      </w:r>
      <w:r>
        <w:rPr>
          <w:rFonts w:hint="eastAsia" w:ascii="宋体" w:hAnsi="宋体" w:cs="宋体"/>
          <w:strike w:val="0"/>
          <w:dstrike w:val="0"/>
          <w:color w:val="auto"/>
          <w:sz w:val="24"/>
          <w:highlight w:val="none"/>
        </w:rPr>
        <w:t>务</w:t>
      </w:r>
      <w:r>
        <w:rPr>
          <w:rFonts w:hint="eastAsia" w:ascii="宋体" w:hAnsi="宋体" w:cs="宋体"/>
          <w:strike w:val="0"/>
          <w:dstrike w:val="0"/>
          <w:color w:val="auto"/>
          <w:sz w:val="24"/>
          <w:highlight w:val="none"/>
          <w:lang w:eastAsia="zh-CN"/>
        </w:rPr>
        <w:t>：</w:t>
      </w:r>
      <w:r>
        <w:rPr>
          <w:rFonts w:ascii="宋体" w:hAnsi="宋体" w:cs="宋体"/>
          <w:strike w:val="0"/>
          <w:dstrike w:val="0"/>
          <w:color w:val="auto"/>
          <w:sz w:val="24"/>
          <w:highlight w:val="none"/>
        </w:rPr>
        <w:t>______________________________</w:t>
      </w:r>
    </w:p>
    <w:p>
      <w:pPr>
        <w:pStyle w:val="17"/>
        <w:spacing w:line="400" w:lineRule="exact"/>
        <w:ind w:firstLine="240" w:firstLineChars="100"/>
        <w:rPr>
          <w:rFonts w:hint="eastAsia" w:hAnsi="宋体"/>
          <w:strike w:val="0"/>
          <w:dstrike w:val="0"/>
          <w:color w:val="auto"/>
          <w:sz w:val="24"/>
          <w:szCs w:val="24"/>
          <w:highlight w:val="none"/>
        </w:rPr>
      </w:pPr>
      <w:r>
        <w:rPr>
          <w:rFonts w:hint="eastAsia" w:hAnsi="宋体"/>
          <w:strike w:val="0"/>
          <w:dstrike w:val="0"/>
          <w:color w:val="auto"/>
          <w:sz w:val="24"/>
          <w:szCs w:val="24"/>
          <w:highlight w:val="none"/>
        </w:rPr>
        <w:t>　</w:t>
      </w:r>
      <w:r>
        <w:rPr>
          <w:rFonts w:hint="eastAsia" w:hAnsi="宋体"/>
          <w:b/>
          <w:bCs/>
          <w:strike w:val="0"/>
          <w:dstrike w:val="0"/>
          <w:color w:val="auto"/>
          <w:sz w:val="24"/>
          <w:szCs w:val="24"/>
          <w:highlight w:val="none"/>
        </w:rPr>
        <w:t>备注：</w:t>
      </w:r>
      <w:r>
        <w:rPr>
          <w:rFonts w:hint="eastAsia" w:hAnsi="宋体"/>
          <w:strike w:val="0"/>
          <w:dstrike w:val="0"/>
          <w:color w:val="auto"/>
          <w:sz w:val="24"/>
          <w:szCs w:val="24"/>
          <w:highlight w:val="none"/>
        </w:rPr>
        <w:t>1、此表可在不改变格式的情况下自行制作；</w:t>
      </w:r>
    </w:p>
    <w:p>
      <w:pPr>
        <w:pStyle w:val="17"/>
        <w:spacing w:line="400" w:lineRule="atLeast"/>
        <w:ind w:firstLine="1200" w:firstLineChars="500"/>
        <w:rPr>
          <w:rFonts w:hint="eastAsia" w:hAnsi="宋体"/>
          <w:strike w:val="0"/>
          <w:dstrike w:val="0"/>
          <w:color w:val="auto"/>
          <w:sz w:val="24"/>
          <w:szCs w:val="24"/>
          <w:highlight w:val="none"/>
        </w:rPr>
      </w:pPr>
      <w:r>
        <w:rPr>
          <w:rFonts w:hint="eastAsia" w:hAnsi="宋体"/>
          <w:strike w:val="0"/>
          <w:dstrike w:val="0"/>
          <w:color w:val="auto"/>
          <w:sz w:val="24"/>
          <w:szCs w:val="24"/>
          <w:highlight w:val="none"/>
        </w:rPr>
        <w:t xml:space="preserve">2、投标人应按每项物进行填列；       </w:t>
      </w:r>
    </w:p>
    <w:p>
      <w:pPr>
        <w:pStyle w:val="17"/>
        <w:spacing w:line="400" w:lineRule="atLeast"/>
        <w:rPr>
          <w:rFonts w:hint="eastAsia" w:hAnsi="宋体"/>
          <w:strike w:val="0"/>
          <w:dstrike w:val="0"/>
          <w:color w:val="auto"/>
          <w:sz w:val="24"/>
          <w:szCs w:val="24"/>
          <w:highlight w:val="none"/>
        </w:rPr>
      </w:pPr>
      <w:r>
        <w:rPr>
          <w:rFonts w:hint="eastAsia" w:hAnsi="宋体"/>
          <w:strike w:val="0"/>
          <w:dstrike w:val="0"/>
          <w:color w:val="auto"/>
          <w:sz w:val="24"/>
          <w:szCs w:val="24"/>
          <w:highlight w:val="none"/>
        </w:rPr>
        <w:t xml:space="preserve">          3、此表置于投标书中。</w:t>
      </w:r>
    </w:p>
    <w:p>
      <w:pPr>
        <w:pStyle w:val="17"/>
        <w:spacing w:line="360" w:lineRule="auto"/>
        <w:jc w:val="left"/>
        <w:rPr>
          <w:rFonts w:hint="eastAsia" w:ascii="Times New Roman" w:hAnsi="Times New Roman" w:cs="Times New Roman"/>
          <w:strike w:val="0"/>
          <w:dstrike w:val="0"/>
          <w:color w:val="auto"/>
          <w:sz w:val="24"/>
          <w:szCs w:val="24"/>
          <w:highlight w:val="none"/>
        </w:rPr>
      </w:pPr>
    </w:p>
    <w:p>
      <w:pPr>
        <w:spacing w:line="360" w:lineRule="auto"/>
        <w:jc w:val="right"/>
        <w:rPr>
          <w:rFonts w:ascii="宋体"/>
          <w:sz w:val="24"/>
        </w:rPr>
      </w:pPr>
    </w:p>
    <w:p>
      <w:pPr>
        <w:sectPr>
          <w:footerReference r:id="rId9" w:type="first"/>
          <w:headerReference r:id="rId7" w:type="default"/>
          <w:footerReference r:id="rId8" w:type="default"/>
          <w:pgSz w:w="11906" w:h="16838"/>
          <w:pgMar w:top="1246" w:right="1134" w:bottom="1440" w:left="1418" w:header="851" w:footer="992" w:gutter="0"/>
          <w:pgNumType w:fmt="decimal"/>
          <w:cols w:space="720" w:num="1"/>
          <w:titlePg/>
          <w:docGrid w:type="lines" w:linePitch="312" w:charSpace="0"/>
        </w:sectPr>
      </w:pPr>
    </w:p>
    <w:p/>
    <w:p>
      <w:pPr>
        <w:widowControl/>
        <w:jc w:val="center"/>
        <w:rPr>
          <w:rFonts w:ascii="宋体" w:hAnsi="宋体" w:cs="宋体"/>
          <w:b/>
          <w:bCs/>
          <w:strike w:val="0"/>
          <w:dstrike w:val="0"/>
          <w:color w:val="auto"/>
          <w:kern w:val="0"/>
          <w:sz w:val="36"/>
          <w:szCs w:val="36"/>
          <w:highlight w:val="none"/>
        </w:rPr>
      </w:pPr>
      <w:r>
        <w:rPr>
          <w:rFonts w:hint="eastAsia"/>
          <w:b/>
          <w:bCs/>
          <w:sz w:val="36"/>
          <w:szCs w:val="36"/>
          <w:highlight w:val="none"/>
          <w:lang w:val="en-US" w:eastAsia="zh-CN"/>
        </w:rPr>
        <w:t>开 标</w:t>
      </w:r>
      <w:r>
        <w:rPr>
          <w:rFonts w:hint="eastAsia"/>
          <w:b/>
          <w:bCs/>
          <w:sz w:val="36"/>
          <w:szCs w:val="36"/>
          <w:highlight w:val="none"/>
        </w:rPr>
        <w:t xml:space="preserve"> 一 览 </w:t>
      </w:r>
    </w:p>
    <w:p>
      <w:pPr>
        <w:widowControl/>
        <w:rPr>
          <w:rFonts w:hint="eastAsia" w:ascii="宋体" w:hAnsi="宋体" w:cs="宋体"/>
          <w:strike w:val="0"/>
          <w:dstrike w:val="0"/>
          <w:color w:val="auto"/>
          <w:kern w:val="0"/>
          <w:sz w:val="24"/>
          <w:highlight w:val="none"/>
        </w:rPr>
      </w:pPr>
      <w:r>
        <w:rPr>
          <w:rFonts w:hint="eastAsia" w:ascii="宋体" w:hAnsi="宋体" w:cs="宋体"/>
          <w:strike w:val="0"/>
          <w:dstrike w:val="0"/>
          <w:color w:val="auto"/>
          <w:kern w:val="0"/>
          <w:sz w:val="24"/>
          <w:highlight w:val="none"/>
        </w:rPr>
        <w:t xml:space="preserve"> </w:t>
      </w:r>
    </w:p>
    <w:p>
      <w:pPr>
        <w:widowControl w:val="0"/>
        <w:numPr>
          <w:ilvl w:val="0"/>
          <w:numId w:val="0"/>
        </w:numPr>
        <w:jc w:val="both"/>
        <w:rPr>
          <w:rFonts w:hint="eastAsia" w:ascii="宋体" w:hAnsi="宋体" w:cs="宋体"/>
          <w:strike w:val="0"/>
          <w:dstrike w:val="0"/>
          <w:color w:val="auto"/>
          <w:kern w:val="0"/>
          <w:sz w:val="24"/>
          <w:highlight w:val="none"/>
        </w:rPr>
      </w:pPr>
      <w:r>
        <w:rPr>
          <w:rFonts w:hint="eastAsia" w:ascii="宋体" w:hAnsi="宋体" w:cs="宋体"/>
          <w:strike w:val="0"/>
          <w:dstrike w:val="0"/>
          <w:color w:val="auto"/>
          <w:kern w:val="0"/>
          <w:sz w:val="24"/>
          <w:highlight w:val="none"/>
        </w:rPr>
        <w:t>投标人名称（</w:t>
      </w:r>
      <w:r>
        <w:rPr>
          <w:rFonts w:hint="eastAsia" w:ascii="宋体" w:hAnsi="宋体" w:cs="宋体"/>
          <w:strike w:val="0"/>
          <w:dstrike w:val="0"/>
          <w:color w:val="auto"/>
          <w:sz w:val="21"/>
          <w:szCs w:val="21"/>
          <w:highlight w:val="none"/>
          <w:u w:val="single"/>
          <w:lang w:val="en-US" w:eastAsia="zh-CN"/>
        </w:rPr>
        <w:t>电子签</w:t>
      </w:r>
      <w:r>
        <w:rPr>
          <w:rFonts w:hint="eastAsia" w:ascii="宋体" w:hAnsi="宋体" w:cs="宋体"/>
          <w:strike w:val="0"/>
          <w:dstrike w:val="0"/>
          <w:color w:val="auto"/>
          <w:sz w:val="21"/>
          <w:szCs w:val="21"/>
          <w:highlight w:val="none"/>
          <w:u w:val="single"/>
        </w:rPr>
        <w:t>章</w:t>
      </w:r>
      <w:r>
        <w:rPr>
          <w:rFonts w:hint="eastAsia" w:ascii="宋体" w:hAnsi="宋体" w:cs="宋体"/>
          <w:strike w:val="0"/>
          <w:dstrike w:val="0"/>
          <w:color w:val="auto"/>
          <w:kern w:val="0"/>
          <w:sz w:val="24"/>
          <w:highlight w:val="none"/>
        </w:rPr>
        <w:t xml:space="preserve">）：                          </w:t>
      </w:r>
    </w:p>
    <w:p>
      <w:pPr>
        <w:widowControl w:val="0"/>
        <w:numPr>
          <w:ilvl w:val="0"/>
          <w:numId w:val="0"/>
        </w:numPr>
        <w:jc w:val="both"/>
        <w:rPr>
          <w:rFonts w:hint="eastAsia" w:ascii="宋体" w:hAnsi="宋体" w:cs="宋体"/>
          <w:strike w:val="0"/>
          <w:dstrike w:val="0"/>
          <w:color w:val="auto"/>
          <w:kern w:val="0"/>
          <w:sz w:val="24"/>
          <w:highlight w:val="none"/>
        </w:rPr>
      </w:pPr>
      <w:r>
        <w:rPr>
          <w:rFonts w:hint="eastAsia" w:ascii="宋体" w:hAnsi="宋体" w:cs="宋体"/>
          <w:strike w:val="0"/>
          <w:dstrike w:val="0"/>
          <w:color w:val="auto"/>
          <w:kern w:val="0"/>
          <w:sz w:val="24"/>
          <w:highlight w:val="none"/>
        </w:rPr>
        <w:t xml:space="preserve">招标编号：                                   </w:t>
      </w:r>
    </w:p>
    <w:tbl>
      <w:tblPr>
        <w:tblStyle w:val="33"/>
        <w:tblW w:w="73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8"/>
        <w:gridCol w:w="3596"/>
        <w:gridCol w:w="28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818" w:type="dxa"/>
            <w:noWrap w:val="0"/>
            <w:vAlign w:val="center"/>
          </w:tcPr>
          <w:p>
            <w:pPr>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序号</w:t>
            </w:r>
          </w:p>
        </w:tc>
        <w:tc>
          <w:tcPr>
            <w:tcW w:w="3596" w:type="dxa"/>
            <w:noWrap w:val="0"/>
            <w:vAlign w:val="center"/>
          </w:tcPr>
          <w:p>
            <w:pPr>
              <w:spacing w:line="360" w:lineRule="auto"/>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项目</w:t>
            </w:r>
            <w:r>
              <w:rPr>
                <w:rFonts w:hint="eastAsia" w:ascii="宋体" w:hAnsi="宋体" w:eastAsia="宋体" w:cs="宋体"/>
                <w:color w:val="auto"/>
                <w:sz w:val="21"/>
                <w:szCs w:val="21"/>
                <w:highlight w:val="none"/>
                <w:lang w:val="en-US" w:eastAsia="zh-CN"/>
              </w:rPr>
              <w:t>名称</w:t>
            </w:r>
          </w:p>
        </w:tc>
        <w:tc>
          <w:tcPr>
            <w:tcW w:w="2895" w:type="dxa"/>
            <w:noWrap w:val="0"/>
            <w:vAlign w:val="center"/>
          </w:tcPr>
          <w:p>
            <w:pPr>
              <w:spacing w:line="360" w:lineRule="auto"/>
              <w:jc w:val="center"/>
              <w:rPr>
                <w:rFonts w:hint="eastAsia" w:ascii="宋体" w:hAnsi="宋体" w:eastAsia="宋体" w:cs="宋体"/>
                <w:color w:val="auto"/>
                <w:sz w:val="21"/>
                <w:szCs w:val="21"/>
                <w:highlight w:val="none"/>
                <w:lang w:val="en-US" w:eastAsia="zh-CN"/>
              </w:rPr>
            </w:pPr>
            <w:r>
              <w:rPr>
                <w:rFonts w:hint="eastAsia"/>
                <w:b/>
                <w:bCs/>
                <w:color w:val="auto"/>
                <w:highlight w:val="none"/>
                <w:lang w:val="en-US" w:eastAsia="zh-CN"/>
              </w:rPr>
              <w:t>各</w:t>
            </w:r>
            <w:r>
              <w:rPr>
                <w:rFonts w:hint="eastAsia" w:ascii="宋体" w:hAnsi="宋体" w:eastAsia="宋体" w:cs="宋体"/>
                <w:b w:val="0"/>
                <w:color w:val="auto"/>
                <w:kern w:val="0"/>
                <w:sz w:val="21"/>
                <w:szCs w:val="21"/>
                <w:highlight w:val="none"/>
                <w:lang w:val="en-US" w:eastAsia="zh-CN" w:bidi="ar"/>
              </w:rPr>
              <w:t>出租率对应的预算基础上的下浮率</w:t>
            </w:r>
            <w:r>
              <w:rPr>
                <w:rFonts w:hint="eastAsia" w:ascii="宋体" w:hAnsi="宋体" w:eastAsia="宋体" w:cs="宋体"/>
                <w:color w:val="auto"/>
                <w:sz w:val="21"/>
                <w:szCs w:val="21"/>
                <w:highlight w:val="none"/>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818" w:type="dxa"/>
            <w:noWrap w:val="0"/>
            <w:vAlign w:val="center"/>
          </w:tcPr>
          <w:p>
            <w:pPr>
              <w:jc w:val="center"/>
              <w:rPr>
                <w:rFonts w:hint="eastAsia" w:ascii="宋体" w:hAnsi="宋体" w:eastAsia="宋体" w:cs="宋体"/>
                <w:color w:val="auto"/>
                <w:sz w:val="21"/>
                <w:szCs w:val="21"/>
                <w:highlight w:val="none"/>
              </w:rPr>
            </w:pPr>
            <w:r>
              <w:rPr>
                <w:rStyle w:val="82"/>
                <w:rFonts w:hint="eastAsia" w:ascii="宋体" w:hAnsi="宋体" w:eastAsia="宋体" w:cs="宋体"/>
                <w:color w:val="auto"/>
                <w:sz w:val="21"/>
                <w:szCs w:val="21"/>
                <w:highlight w:val="none"/>
              </w:rPr>
              <w:t>1</w:t>
            </w:r>
          </w:p>
        </w:tc>
        <w:tc>
          <w:tcPr>
            <w:tcW w:w="3596" w:type="dxa"/>
            <w:noWrap w:val="0"/>
            <w:vAlign w:val="center"/>
          </w:tcPr>
          <w:p>
            <w:pPr>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sz w:val="21"/>
                <w:szCs w:val="21"/>
                <w:lang w:eastAsia="zh-CN"/>
              </w:rPr>
              <w:t>义乌市数字经济产业社区项目物业服务采购</w:t>
            </w:r>
          </w:p>
        </w:tc>
        <w:tc>
          <w:tcPr>
            <w:tcW w:w="2895" w:type="dxa"/>
            <w:noWrap w:val="0"/>
            <w:vAlign w:val="center"/>
          </w:tcPr>
          <w:p>
            <w:pPr>
              <w:spacing w:line="360" w:lineRule="auto"/>
              <w:jc w:val="center"/>
              <w:rPr>
                <w:rFonts w:hint="default" w:ascii="宋体" w:hAnsi="宋体" w:eastAsia="宋体" w:cs="宋体"/>
                <w:color w:val="auto"/>
                <w:sz w:val="21"/>
                <w:szCs w:val="21"/>
                <w:highlight w:val="none"/>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4" w:hRule="atLeast"/>
        </w:trPr>
        <w:tc>
          <w:tcPr>
            <w:tcW w:w="818" w:type="dxa"/>
            <w:noWrap w:val="0"/>
            <w:vAlign w:val="center"/>
          </w:tcPr>
          <w:p>
            <w:pPr>
              <w:jc w:val="center"/>
              <w:rPr>
                <w:rStyle w:val="82"/>
                <w:rFonts w:hint="eastAsia" w:ascii="宋体" w:hAnsi="宋体" w:eastAsia="宋体" w:cs="宋体"/>
                <w:color w:val="auto"/>
                <w:sz w:val="21"/>
                <w:szCs w:val="21"/>
                <w:highlight w:val="none"/>
              </w:rPr>
            </w:pPr>
            <w:r>
              <w:rPr>
                <w:rStyle w:val="82"/>
                <w:rFonts w:hint="eastAsia" w:ascii="宋体" w:hAnsi="宋体" w:eastAsia="宋体" w:cs="宋体"/>
                <w:color w:val="auto"/>
                <w:sz w:val="21"/>
                <w:szCs w:val="21"/>
                <w:highlight w:val="none"/>
              </w:rPr>
              <w:t>2</w:t>
            </w:r>
          </w:p>
        </w:tc>
        <w:tc>
          <w:tcPr>
            <w:tcW w:w="3596" w:type="dxa"/>
            <w:noWrap w:val="0"/>
            <w:vAlign w:val="center"/>
          </w:tcPr>
          <w:p>
            <w:pPr>
              <w:spacing w:line="360" w:lineRule="auto"/>
              <w:jc w:val="center"/>
              <w:rPr>
                <w:rFonts w:hint="eastAsia" w:ascii="宋体" w:hAnsi="宋体" w:eastAsia="宋体" w:cs="宋体"/>
                <w:color w:val="auto"/>
                <w:sz w:val="21"/>
                <w:szCs w:val="21"/>
                <w:highlight w:val="green"/>
              </w:rPr>
            </w:pPr>
          </w:p>
        </w:tc>
        <w:tc>
          <w:tcPr>
            <w:tcW w:w="2895" w:type="dxa"/>
            <w:noWrap w:val="0"/>
            <w:vAlign w:val="center"/>
          </w:tcPr>
          <w:p>
            <w:pPr>
              <w:spacing w:line="360" w:lineRule="auto"/>
              <w:jc w:val="center"/>
              <w:rPr>
                <w:rFonts w:hint="eastAsia" w:ascii="宋体" w:hAnsi="宋体" w:eastAsia="宋体" w:cs="宋体"/>
                <w:color w:val="auto"/>
                <w:sz w:val="21"/>
                <w:szCs w:val="21"/>
                <w:highlight w:val="gree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9" w:hRule="atLeast"/>
        </w:trPr>
        <w:tc>
          <w:tcPr>
            <w:tcW w:w="818" w:type="dxa"/>
            <w:noWrap w:val="0"/>
            <w:vAlign w:val="center"/>
          </w:tcPr>
          <w:p>
            <w:pPr>
              <w:jc w:val="center"/>
              <w:rPr>
                <w:rStyle w:val="82"/>
                <w:rFonts w:hint="eastAsia" w:ascii="宋体" w:hAnsi="宋体" w:eastAsia="宋体" w:cs="宋体"/>
                <w:color w:val="auto"/>
                <w:sz w:val="21"/>
                <w:szCs w:val="21"/>
                <w:highlight w:val="none"/>
              </w:rPr>
            </w:pPr>
            <w:r>
              <w:rPr>
                <w:rStyle w:val="82"/>
                <w:rFonts w:hint="eastAsia" w:ascii="宋体" w:hAnsi="宋体" w:eastAsia="宋体" w:cs="宋体"/>
                <w:color w:val="auto"/>
                <w:sz w:val="21"/>
                <w:szCs w:val="21"/>
                <w:highlight w:val="none"/>
              </w:rPr>
              <w:t>3</w:t>
            </w:r>
          </w:p>
        </w:tc>
        <w:tc>
          <w:tcPr>
            <w:tcW w:w="3596" w:type="dxa"/>
            <w:noWrap w:val="0"/>
            <w:vAlign w:val="center"/>
          </w:tcPr>
          <w:p>
            <w:pPr>
              <w:spacing w:line="360" w:lineRule="auto"/>
              <w:jc w:val="center"/>
              <w:rPr>
                <w:rFonts w:hint="eastAsia" w:ascii="宋体" w:hAnsi="宋体" w:eastAsia="宋体" w:cs="宋体"/>
                <w:color w:val="auto"/>
                <w:sz w:val="21"/>
                <w:szCs w:val="21"/>
                <w:highlight w:val="green"/>
              </w:rPr>
            </w:pPr>
          </w:p>
        </w:tc>
        <w:tc>
          <w:tcPr>
            <w:tcW w:w="2895" w:type="dxa"/>
            <w:noWrap w:val="0"/>
            <w:vAlign w:val="center"/>
          </w:tcPr>
          <w:p>
            <w:pPr>
              <w:spacing w:line="360" w:lineRule="auto"/>
              <w:jc w:val="center"/>
              <w:rPr>
                <w:rFonts w:hint="eastAsia" w:ascii="宋体" w:hAnsi="宋体" w:eastAsia="宋体" w:cs="宋体"/>
                <w:color w:val="auto"/>
                <w:sz w:val="21"/>
                <w:szCs w:val="21"/>
                <w:highlight w:val="gree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9" w:hRule="atLeast"/>
        </w:trPr>
        <w:tc>
          <w:tcPr>
            <w:tcW w:w="818" w:type="dxa"/>
            <w:noWrap w:val="0"/>
            <w:vAlign w:val="center"/>
          </w:tcPr>
          <w:p>
            <w:pPr>
              <w:spacing w:line="360" w:lineRule="auto"/>
              <w:jc w:val="center"/>
              <w:rPr>
                <w:rStyle w:val="82"/>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w:t>
            </w:r>
          </w:p>
        </w:tc>
        <w:tc>
          <w:tcPr>
            <w:tcW w:w="3596" w:type="dxa"/>
            <w:noWrap w:val="0"/>
            <w:vAlign w:val="center"/>
          </w:tcPr>
          <w:p>
            <w:pPr>
              <w:spacing w:line="360" w:lineRule="auto"/>
              <w:jc w:val="center"/>
              <w:rPr>
                <w:rFonts w:hint="eastAsia" w:ascii="宋体" w:hAnsi="宋体" w:eastAsia="宋体" w:cs="宋体"/>
                <w:color w:val="auto"/>
                <w:sz w:val="21"/>
                <w:szCs w:val="21"/>
                <w:highlight w:val="green"/>
              </w:rPr>
            </w:pPr>
          </w:p>
        </w:tc>
        <w:tc>
          <w:tcPr>
            <w:tcW w:w="2895" w:type="dxa"/>
            <w:noWrap w:val="0"/>
            <w:vAlign w:val="center"/>
          </w:tcPr>
          <w:p>
            <w:pPr>
              <w:spacing w:line="360" w:lineRule="auto"/>
              <w:jc w:val="center"/>
              <w:rPr>
                <w:rFonts w:hint="eastAsia" w:ascii="宋体" w:hAnsi="宋体" w:eastAsia="宋体" w:cs="宋体"/>
                <w:color w:val="auto"/>
                <w:sz w:val="21"/>
                <w:szCs w:val="21"/>
                <w:highlight w:val="gree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818" w:type="dxa"/>
            <w:noWrap w:val="0"/>
            <w:vAlign w:val="center"/>
          </w:tcPr>
          <w:p>
            <w:pPr>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w:t>
            </w:r>
          </w:p>
        </w:tc>
        <w:tc>
          <w:tcPr>
            <w:tcW w:w="3596" w:type="dxa"/>
            <w:noWrap w:val="0"/>
            <w:vAlign w:val="center"/>
          </w:tcPr>
          <w:p>
            <w:pPr>
              <w:spacing w:line="360" w:lineRule="auto"/>
              <w:jc w:val="center"/>
              <w:rPr>
                <w:rFonts w:hint="eastAsia" w:ascii="宋体" w:hAnsi="宋体" w:eastAsia="宋体" w:cs="宋体"/>
                <w:color w:val="auto"/>
                <w:sz w:val="21"/>
                <w:szCs w:val="21"/>
                <w:highlight w:val="green"/>
              </w:rPr>
            </w:pPr>
          </w:p>
        </w:tc>
        <w:tc>
          <w:tcPr>
            <w:tcW w:w="2895" w:type="dxa"/>
            <w:noWrap w:val="0"/>
            <w:vAlign w:val="center"/>
          </w:tcPr>
          <w:p>
            <w:pPr>
              <w:spacing w:line="360" w:lineRule="auto"/>
              <w:jc w:val="center"/>
              <w:rPr>
                <w:rFonts w:hint="eastAsia" w:ascii="宋体" w:hAnsi="宋体" w:eastAsia="宋体" w:cs="宋体"/>
                <w:color w:val="auto"/>
                <w:sz w:val="21"/>
                <w:szCs w:val="21"/>
                <w:highlight w:val="gree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818" w:type="dxa"/>
            <w:noWrap w:val="0"/>
            <w:vAlign w:val="center"/>
          </w:tcPr>
          <w:p>
            <w:pPr>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w:t>
            </w:r>
          </w:p>
        </w:tc>
        <w:tc>
          <w:tcPr>
            <w:tcW w:w="3596" w:type="dxa"/>
            <w:noWrap w:val="0"/>
            <w:vAlign w:val="center"/>
          </w:tcPr>
          <w:p>
            <w:pPr>
              <w:spacing w:line="360" w:lineRule="auto"/>
              <w:jc w:val="center"/>
              <w:rPr>
                <w:rFonts w:hint="eastAsia" w:ascii="宋体" w:hAnsi="宋体" w:eastAsia="宋体" w:cs="宋体"/>
                <w:color w:val="auto"/>
                <w:sz w:val="21"/>
                <w:szCs w:val="21"/>
                <w:highlight w:val="green"/>
              </w:rPr>
            </w:pPr>
          </w:p>
        </w:tc>
        <w:tc>
          <w:tcPr>
            <w:tcW w:w="2895" w:type="dxa"/>
            <w:noWrap w:val="0"/>
            <w:vAlign w:val="center"/>
          </w:tcPr>
          <w:p>
            <w:pPr>
              <w:spacing w:line="360" w:lineRule="auto"/>
              <w:jc w:val="center"/>
              <w:rPr>
                <w:rFonts w:hint="eastAsia" w:ascii="宋体" w:hAnsi="宋体" w:eastAsia="宋体" w:cs="宋体"/>
                <w:color w:val="auto"/>
                <w:sz w:val="21"/>
                <w:szCs w:val="21"/>
                <w:highlight w:val="green"/>
              </w:rPr>
            </w:pPr>
          </w:p>
        </w:tc>
      </w:tr>
    </w:tbl>
    <w:p>
      <w:pPr>
        <w:widowControl w:val="0"/>
        <w:numPr>
          <w:ilvl w:val="0"/>
          <w:numId w:val="0"/>
        </w:numPr>
        <w:jc w:val="both"/>
        <w:rPr>
          <w:rFonts w:hint="eastAsia" w:ascii="宋体" w:hAnsi="宋体" w:cs="宋体"/>
          <w:strike w:val="0"/>
          <w:dstrike w:val="0"/>
          <w:color w:val="auto"/>
          <w:kern w:val="0"/>
          <w:sz w:val="24"/>
          <w:highlight w:val="none"/>
        </w:rPr>
      </w:pPr>
    </w:p>
    <w:p>
      <w:pPr>
        <w:widowControl w:val="0"/>
        <w:numPr>
          <w:ilvl w:val="0"/>
          <w:numId w:val="0"/>
        </w:numPr>
        <w:jc w:val="both"/>
        <w:rPr>
          <w:rFonts w:hint="eastAsia" w:ascii="宋体" w:hAnsi="宋体" w:cs="宋体"/>
          <w:strike w:val="0"/>
          <w:dstrike w:val="0"/>
          <w:color w:val="auto"/>
          <w:kern w:val="0"/>
          <w:sz w:val="24"/>
          <w:highlight w:val="none"/>
        </w:rPr>
      </w:pPr>
      <w:r>
        <w:rPr>
          <w:rFonts w:hint="eastAsia" w:ascii="宋体" w:hAnsi="宋体" w:cs="宋体"/>
          <w:strike w:val="0"/>
          <w:dstrike w:val="0"/>
          <w:color w:val="auto"/>
          <w:kern w:val="0"/>
          <w:sz w:val="24"/>
          <w:highlight w:val="none"/>
        </w:rPr>
        <w:t>投标人代表签字：______________  职  务</w:t>
      </w:r>
      <w:r>
        <w:rPr>
          <w:rFonts w:hint="eastAsia" w:ascii="宋体" w:hAnsi="宋体" w:cs="宋体"/>
          <w:strike w:val="0"/>
          <w:dstrike w:val="0"/>
          <w:color w:val="auto"/>
          <w:kern w:val="0"/>
          <w:sz w:val="24"/>
          <w:highlight w:val="none"/>
          <w:lang w:eastAsia="zh-CN"/>
        </w:rPr>
        <w:t>：</w:t>
      </w:r>
      <w:r>
        <w:rPr>
          <w:rFonts w:hint="eastAsia" w:ascii="宋体" w:hAnsi="宋体" w:cs="宋体"/>
          <w:strike w:val="0"/>
          <w:dstrike w:val="0"/>
          <w:color w:val="auto"/>
          <w:kern w:val="0"/>
          <w:sz w:val="24"/>
          <w:highlight w:val="none"/>
        </w:rPr>
        <w:t>__________ 日 期：_____________</w:t>
      </w:r>
    </w:p>
    <w:p>
      <w:pPr>
        <w:widowControl w:val="0"/>
        <w:numPr>
          <w:ilvl w:val="0"/>
          <w:numId w:val="0"/>
        </w:numPr>
        <w:jc w:val="both"/>
        <w:rPr>
          <w:rFonts w:hint="eastAsia" w:ascii="宋体" w:hAnsi="宋体" w:cs="宋体"/>
          <w:strike w:val="0"/>
          <w:dstrike w:val="0"/>
          <w:color w:val="auto"/>
          <w:kern w:val="0"/>
          <w:sz w:val="24"/>
          <w:highlight w:val="none"/>
        </w:rPr>
      </w:pPr>
      <w:r>
        <w:rPr>
          <w:rFonts w:hint="eastAsia" w:ascii="宋体" w:hAnsi="宋体" w:cs="宋体"/>
          <w:strike w:val="0"/>
          <w:dstrike w:val="0"/>
          <w:color w:val="auto"/>
          <w:kern w:val="0"/>
          <w:sz w:val="24"/>
          <w:highlight w:val="none"/>
        </w:rPr>
        <w:t>备注：1、投标人应根据国家的有关规定和招标文件并结合企业的实际情况进行投标报价。投标报价为投标人所能承受的最低、最终一次性报价。</w:t>
      </w:r>
    </w:p>
    <w:p>
      <w:pPr>
        <w:pStyle w:val="17"/>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80" w:firstLineChars="200"/>
        <w:textAlignment w:val="auto"/>
        <w:rPr>
          <w:rFonts w:hint="eastAsia" w:ascii="宋体" w:hAnsi="宋体" w:cs="宋体"/>
        </w:rPr>
      </w:pPr>
      <w:r>
        <w:rPr>
          <w:rFonts w:hint="eastAsia" w:ascii="宋体" w:hAnsi="宋体" w:cs="宋体"/>
          <w:strike w:val="0"/>
          <w:dstrike w:val="0"/>
          <w:color w:val="auto"/>
          <w:kern w:val="0"/>
          <w:sz w:val="24"/>
          <w:highlight w:val="none"/>
        </w:rPr>
        <w:t>2、此表在不改变表式内容的情况下，可自行制作。</w:t>
      </w:r>
    </w:p>
    <w:p>
      <w:pPr>
        <w:pStyle w:val="17"/>
        <w:numPr>
          <w:ilvl w:val="0"/>
          <w:numId w:val="0"/>
        </w:numPr>
        <w:spacing w:line="360" w:lineRule="auto"/>
        <w:ind w:leftChars="200"/>
        <w:rPr>
          <w:rFonts w:hint="eastAsia" w:ascii="宋体" w:hAnsi="宋体" w:cs="宋体"/>
        </w:rPr>
      </w:pPr>
    </w:p>
    <w:p>
      <w:pPr>
        <w:spacing w:line="360" w:lineRule="auto"/>
        <w:ind w:firstLine="210" w:firstLineChars="100"/>
        <w:jc w:val="center"/>
        <w:outlineLvl w:val="2"/>
        <w:rPr>
          <w:rFonts w:ascii="宋体" w:hAnsi="宋体" w:cs="宋体"/>
          <w:b/>
          <w:bCs/>
          <w:sz w:val="36"/>
          <w:szCs w:val="36"/>
        </w:rPr>
      </w:pPr>
      <w:r>
        <w:rPr>
          <w:rFonts w:hint="eastAsia" w:ascii="宋体" w:hAnsi="宋体" w:cs="宋体"/>
        </w:rPr>
        <w:br w:type="page"/>
      </w:r>
      <w:r>
        <w:rPr>
          <w:rFonts w:hint="eastAsia" w:ascii="宋体" w:hAnsi="宋体" w:cs="宋体"/>
          <w:b/>
          <w:bCs/>
          <w:sz w:val="36"/>
          <w:szCs w:val="36"/>
        </w:rPr>
        <w:t>质 疑 函 范 本（供参考）</w:t>
      </w:r>
    </w:p>
    <w:p>
      <w:pPr>
        <w:adjustRightInd w:val="0"/>
        <w:snapToGrid w:val="0"/>
        <w:spacing w:before="312" w:beforeLines="100" w:line="360" w:lineRule="auto"/>
        <w:rPr>
          <w:rFonts w:ascii="宋体" w:hAnsi="宋体" w:cs="宋体"/>
          <w:bCs/>
        </w:rPr>
      </w:pPr>
      <w:r>
        <w:rPr>
          <w:rFonts w:hint="eastAsia" w:ascii="宋体" w:hAnsi="宋体" w:cs="宋体"/>
          <w:bCs/>
        </w:rPr>
        <w:t>一、质疑供应商基本信息</w:t>
      </w:r>
    </w:p>
    <w:p>
      <w:pPr>
        <w:adjustRightInd w:val="0"/>
        <w:snapToGrid w:val="0"/>
        <w:spacing w:line="360" w:lineRule="auto"/>
        <w:rPr>
          <w:rFonts w:ascii="宋体" w:hAnsi="宋体" w:cs="宋体"/>
          <w:u w:val="dotted"/>
        </w:rPr>
      </w:pPr>
      <w:r>
        <w:rPr>
          <w:rFonts w:hint="eastAsia" w:ascii="宋体" w:hAnsi="宋体" w:cs="宋体"/>
        </w:rPr>
        <w:t>质疑供应商：</w:t>
      </w:r>
    </w:p>
    <w:p>
      <w:pPr>
        <w:adjustRightInd w:val="0"/>
        <w:snapToGrid w:val="0"/>
        <w:spacing w:line="360" w:lineRule="auto"/>
        <w:rPr>
          <w:rFonts w:ascii="宋体" w:hAnsi="宋体" w:cs="宋体"/>
        </w:rPr>
      </w:pPr>
      <w:r>
        <w:rPr>
          <w:rFonts w:hint="eastAsia" w:ascii="宋体" w:hAnsi="宋体" w:cs="宋体"/>
        </w:rPr>
        <w:t>地址：邮编：</w:t>
      </w:r>
    </w:p>
    <w:p>
      <w:pPr>
        <w:adjustRightInd w:val="0"/>
        <w:snapToGrid w:val="0"/>
        <w:spacing w:line="360" w:lineRule="auto"/>
        <w:rPr>
          <w:rFonts w:ascii="宋体" w:hAnsi="宋体" w:cs="宋体"/>
        </w:rPr>
      </w:pPr>
      <w:r>
        <w:rPr>
          <w:rFonts w:hint="eastAsia" w:ascii="宋体" w:hAnsi="宋体" w:cs="宋体"/>
        </w:rPr>
        <w:t>联系人：联系电话：</w:t>
      </w:r>
    </w:p>
    <w:p>
      <w:pPr>
        <w:adjustRightInd w:val="0"/>
        <w:snapToGrid w:val="0"/>
        <w:spacing w:line="360" w:lineRule="auto"/>
        <w:rPr>
          <w:rFonts w:ascii="宋体" w:hAnsi="宋体" w:cs="宋体"/>
          <w:u w:val="dotted"/>
        </w:rPr>
      </w:pPr>
      <w:r>
        <w:rPr>
          <w:rFonts w:hint="eastAsia" w:ascii="宋体" w:hAnsi="宋体" w:cs="宋体"/>
        </w:rPr>
        <w:t>授权代表：</w:t>
      </w:r>
    </w:p>
    <w:p>
      <w:pPr>
        <w:adjustRightInd w:val="0"/>
        <w:snapToGrid w:val="0"/>
        <w:spacing w:line="360" w:lineRule="auto"/>
        <w:rPr>
          <w:rFonts w:ascii="宋体" w:hAnsi="宋体" w:cs="宋体"/>
        </w:rPr>
      </w:pPr>
      <w:r>
        <w:rPr>
          <w:rFonts w:hint="eastAsia" w:ascii="宋体" w:hAnsi="宋体" w:cs="宋体"/>
        </w:rPr>
        <w:t>联系电话：</w:t>
      </w:r>
    </w:p>
    <w:p>
      <w:pPr>
        <w:adjustRightInd w:val="0"/>
        <w:snapToGrid w:val="0"/>
        <w:spacing w:line="360" w:lineRule="auto"/>
        <w:rPr>
          <w:rFonts w:ascii="宋体" w:hAnsi="宋体" w:cs="宋体"/>
        </w:rPr>
      </w:pPr>
      <w:r>
        <w:rPr>
          <w:rFonts w:hint="eastAsia" w:ascii="宋体" w:hAnsi="宋体" w:cs="宋体"/>
        </w:rPr>
        <w:t>地址： 邮编：</w:t>
      </w:r>
    </w:p>
    <w:p>
      <w:pPr>
        <w:adjustRightInd w:val="0"/>
        <w:snapToGrid w:val="0"/>
        <w:spacing w:line="360" w:lineRule="auto"/>
        <w:rPr>
          <w:rFonts w:ascii="宋体" w:hAnsi="宋体" w:cs="宋体"/>
          <w:bCs/>
        </w:rPr>
      </w:pPr>
      <w:r>
        <w:rPr>
          <w:rFonts w:hint="eastAsia" w:ascii="宋体" w:hAnsi="宋体" w:cs="宋体"/>
          <w:bCs/>
        </w:rPr>
        <w:t>二、质疑项目基本情况</w:t>
      </w:r>
    </w:p>
    <w:p>
      <w:pPr>
        <w:adjustRightInd w:val="0"/>
        <w:snapToGrid w:val="0"/>
        <w:spacing w:line="360" w:lineRule="auto"/>
        <w:rPr>
          <w:rFonts w:ascii="宋体" w:hAnsi="宋体" w:cs="宋体"/>
        </w:rPr>
      </w:pPr>
      <w:r>
        <w:rPr>
          <w:rFonts w:hint="eastAsia" w:ascii="宋体" w:hAnsi="宋体" w:cs="宋体"/>
        </w:rPr>
        <w:t>质疑项目的名称：</w:t>
      </w:r>
    </w:p>
    <w:p>
      <w:pPr>
        <w:adjustRightInd w:val="0"/>
        <w:snapToGrid w:val="0"/>
        <w:spacing w:line="360" w:lineRule="auto"/>
        <w:rPr>
          <w:rFonts w:ascii="宋体" w:hAnsi="宋体" w:cs="宋体"/>
        </w:rPr>
      </w:pPr>
      <w:r>
        <w:rPr>
          <w:rFonts w:hint="eastAsia" w:ascii="宋体" w:hAnsi="宋体" w:cs="宋体"/>
        </w:rPr>
        <w:t>质疑项目的编号：包号（如有请填写）：</w:t>
      </w:r>
    </w:p>
    <w:p>
      <w:pPr>
        <w:adjustRightInd w:val="0"/>
        <w:snapToGrid w:val="0"/>
        <w:spacing w:line="360" w:lineRule="auto"/>
        <w:rPr>
          <w:rFonts w:ascii="宋体" w:hAnsi="宋体" w:cs="宋体"/>
          <w:u w:val="dotted"/>
        </w:rPr>
      </w:pPr>
      <w:r>
        <w:rPr>
          <w:rFonts w:hint="eastAsia" w:ascii="宋体" w:hAnsi="宋体" w:cs="宋体"/>
        </w:rPr>
        <w:t>采购人名称：</w:t>
      </w:r>
    </w:p>
    <w:p>
      <w:pPr>
        <w:adjustRightInd w:val="0"/>
        <w:snapToGrid w:val="0"/>
        <w:spacing w:line="360" w:lineRule="auto"/>
        <w:rPr>
          <w:rFonts w:ascii="宋体" w:hAnsi="宋体" w:cs="宋体"/>
        </w:rPr>
      </w:pPr>
      <w:r>
        <w:rPr>
          <w:rFonts w:hint="eastAsia" w:ascii="宋体" w:hAnsi="宋体" w:cs="宋体"/>
        </w:rPr>
        <w:t>采购文件获取日期：</w:t>
      </w:r>
    </w:p>
    <w:p>
      <w:pPr>
        <w:adjustRightInd w:val="0"/>
        <w:snapToGrid w:val="0"/>
        <w:spacing w:line="360" w:lineRule="auto"/>
        <w:rPr>
          <w:rFonts w:ascii="宋体" w:hAnsi="宋体" w:cs="宋体"/>
          <w:bCs/>
        </w:rPr>
      </w:pPr>
      <w:r>
        <w:rPr>
          <w:rFonts w:hint="eastAsia" w:ascii="宋体" w:hAnsi="宋体" w:cs="宋体"/>
          <w:bCs/>
        </w:rPr>
        <w:t>三、质疑事项具体内容</w:t>
      </w:r>
    </w:p>
    <w:p>
      <w:pPr>
        <w:adjustRightInd w:val="0"/>
        <w:snapToGrid w:val="0"/>
        <w:spacing w:line="360" w:lineRule="auto"/>
        <w:rPr>
          <w:rFonts w:ascii="宋体" w:hAnsi="宋体" w:cs="宋体"/>
          <w:u w:val="dotted"/>
        </w:rPr>
      </w:pPr>
      <w:r>
        <w:rPr>
          <w:rFonts w:hint="eastAsia" w:ascii="宋体" w:hAnsi="宋体" w:cs="宋体"/>
        </w:rPr>
        <w:t>质疑事项1：</w:t>
      </w:r>
    </w:p>
    <w:p>
      <w:pPr>
        <w:adjustRightInd w:val="0"/>
        <w:snapToGrid w:val="0"/>
        <w:spacing w:line="360" w:lineRule="auto"/>
        <w:rPr>
          <w:rFonts w:ascii="宋体" w:hAnsi="宋体" w:cs="宋体"/>
          <w:u w:val="dotted"/>
        </w:rPr>
      </w:pPr>
      <w:r>
        <w:rPr>
          <w:rFonts w:hint="eastAsia" w:ascii="宋体" w:hAnsi="宋体" w:cs="宋体"/>
        </w:rPr>
        <w:t>事实依据：</w:t>
      </w:r>
    </w:p>
    <w:p>
      <w:pPr>
        <w:adjustRightInd w:val="0"/>
        <w:snapToGrid w:val="0"/>
        <w:spacing w:line="360" w:lineRule="auto"/>
        <w:rPr>
          <w:rFonts w:ascii="宋体" w:hAnsi="宋体" w:cs="宋体"/>
        </w:rPr>
      </w:pPr>
    </w:p>
    <w:p>
      <w:pPr>
        <w:adjustRightInd w:val="0"/>
        <w:snapToGrid w:val="0"/>
        <w:spacing w:line="360" w:lineRule="auto"/>
        <w:rPr>
          <w:rFonts w:ascii="宋体" w:hAnsi="宋体" w:cs="宋体"/>
          <w:u w:val="dotted"/>
        </w:rPr>
      </w:pPr>
      <w:r>
        <w:rPr>
          <w:rFonts w:hint="eastAsia" w:ascii="宋体" w:hAnsi="宋体" w:cs="宋体"/>
        </w:rPr>
        <w:t>法律依据：</w:t>
      </w:r>
    </w:p>
    <w:p>
      <w:pPr>
        <w:adjustRightInd w:val="0"/>
        <w:snapToGrid w:val="0"/>
        <w:spacing w:line="360" w:lineRule="auto"/>
        <w:rPr>
          <w:rFonts w:ascii="宋体" w:hAnsi="宋体" w:cs="宋体"/>
          <w:u w:val="dotted"/>
        </w:rPr>
      </w:pPr>
    </w:p>
    <w:p>
      <w:pPr>
        <w:adjustRightInd w:val="0"/>
        <w:snapToGrid w:val="0"/>
        <w:spacing w:line="360" w:lineRule="auto"/>
        <w:rPr>
          <w:rFonts w:ascii="宋体" w:hAnsi="宋体" w:cs="宋体"/>
          <w:u w:val="dotted"/>
        </w:rPr>
      </w:pPr>
      <w:r>
        <w:rPr>
          <w:rFonts w:hint="eastAsia" w:ascii="宋体" w:hAnsi="宋体" w:cs="宋体"/>
        </w:rPr>
        <w:t>质疑事项2</w:t>
      </w:r>
    </w:p>
    <w:p>
      <w:pPr>
        <w:adjustRightInd w:val="0"/>
        <w:snapToGrid w:val="0"/>
        <w:spacing w:line="360" w:lineRule="auto"/>
        <w:rPr>
          <w:rFonts w:ascii="宋体" w:hAnsi="宋体" w:cs="宋体"/>
        </w:rPr>
      </w:pPr>
      <w:r>
        <w:rPr>
          <w:rFonts w:hint="eastAsia" w:ascii="宋体" w:hAnsi="宋体" w:cs="宋体"/>
        </w:rPr>
        <w:t>……</w:t>
      </w:r>
    </w:p>
    <w:p>
      <w:pPr>
        <w:adjustRightInd w:val="0"/>
        <w:snapToGrid w:val="0"/>
        <w:spacing w:line="360" w:lineRule="auto"/>
        <w:rPr>
          <w:rFonts w:ascii="宋体" w:hAnsi="宋体" w:cs="宋体"/>
          <w:bCs/>
        </w:rPr>
      </w:pPr>
      <w:r>
        <w:rPr>
          <w:rFonts w:hint="eastAsia" w:ascii="宋体" w:hAnsi="宋体" w:cs="宋体"/>
          <w:bCs/>
        </w:rPr>
        <w:t>四、与质疑事项相关的质疑请求</w:t>
      </w:r>
    </w:p>
    <w:p>
      <w:pPr>
        <w:adjustRightInd w:val="0"/>
        <w:snapToGrid w:val="0"/>
        <w:spacing w:line="360" w:lineRule="auto"/>
        <w:rPr>
          <w:rFonts w:ascii="宋体" w:hAnsi="宋体" w:cs="宋体"/>
          <w:u w:val="dotted"/>
        </w:rPr>
      </w:pPr>
      <w:r>
        <w:rPr>
          <w:rFonts w:hint="eastAsia" w:ascii="宋体" w:hAnsi="宋体" w:cs="宋体"/>
        </w:rPr>
        <w:t>请求：</w:t>
      </w:r>
    </w:p>
    <w:p>
      <w:pPr>
        <w:spacing w:line="360" w:lineRule="auto"/>
        <w:rPr>
          <w:rFonts w:ascii="宋体" w:hAnsi="宋体" w:cs="宋体"/>
        </w:rPr>
      </w:pPr>
      <w:r>
        <w:rPr>
          <w:rFonts w:hint="eastAsia" w:ascii="宋体" w:hAnsi="宋体" w:cs="宋体"/>
        </w:rPr>
        <w:t xml:space="preserve">签字(签章)：                   公章：                      </w:t>
      </w:r>
    </w:p>
    <w:p>
      <w:pPr>
        <w:spacing w:line="360" w:lineRule="auto"/>
        <w:rPr>
          <w:rFonts w:ascii="宋体" w:hAnsi="宋体" w:cs="宋体"/>
        </w:rPr>
      </w:pPr>
      <w:r>
        <w:rPr>
          <w:rFonts w:hint="eastAsia" w:ascii="宋体" w:hAnsi="宋体" w:cs="宋体"/>
        </w:rPr>
        <w:t xml:space="preserve">日期：    </w:t>
      </w:r>
    </w:p>
    <w:p>
      <w:pPr>
        <w:spacing w:line="360" w:lineRule="auto"/>
        <w:rPr>
          <w:rFonts w:ascii="宋体" w:hAnsi="宋体" w:cs="宋体"/>
        </w:rPr>
      </w:pPr>
    </w:p>
    <w:p>
      <w:pPr>
        <w:spacing w:line="360" w:lineRule="auto"/>
        <w:rPr>
          <w:rFonts w:ascii="宋体" w:hAnsi="宋体" w:cs="宋体"/>
          <w:b/>
        </w:rPr>
      </w:pPr>
      <w:r>
        <w:rPr>
          <w:rFonts w:hint="eastAsia" w:ascii="宋体" w:hAnsi="宋体" w:cs="宋体"/>
          <w:b/>
        </w:rPr>
        <w:t>质疑函制作说明：</w:t>
      </w:r>
    </w:p>
    <w:p>
      <w:pPr>
        <w:widowControl/>
        <w:spacing w:line="360" w:lineRule="auto"/>
        <w:ind w:firstLine="420" w:firstLineChars="200"/>
        <w:jc w:val="left"/>
        <w:rPr>
          <w:rFonts w:ascii="宋体" w:hAnsi="宋体" w:cs="宋体"/>
        </w:rPr>
      </w:pPr>
      <w:r>
        <w:rPr>
          <w:rFonts w:hint="eastAsia" w:ascii="宋体" w:hAnsi="宋体" w:cs="宋体"/>
        </w:rPr>
        <w:t>1.供应商提出质疑时，应提交质疑函和必要的证明材料。</w:t>
      </w:r>
    </w:p>
    <w:p>
      <w:pPr>
        <w:widowControl/>
        <w:spacing w:line="360" w:lineRule="auto"/>
        <w:ind w:firstLine="420" w:firstLineChars="200"/>
        <w:jc w:val="left"/>
        <w:rPr>
          <w:rFonts w:ascii="宋体" w:hAnsi="宋体" w:cs="宋体"/>
        </w:rPr>
      </w:pPr>
      <w:r>
        <w:rPr>
          <w:rFonts w:hint="eastAsia" w:ascii="宋体" w:hAnsi="宋体" w:cs="宋体"/>
        </w:rPr>
        <w:t>2.质疑供应商若委托代理人进行质疑的，质疑函应按要求列明“授权代表”的有关内容，并在附件中提交由质疑</w:t>
      </w:r>
      <w:r>
        <w:rPr>
          <w:rFonts w:hint="eastAsia" w:ascii="宋体" w:hAnsi="宋体" w:cs="宋体"/>
          <w:kern w:val="0"/>
        </w:rPr>
        <w:t>供应商签署的授权委托书。授权委托书应载明代理人的姓名或者名称、代理事项、具体权限、期限和相关事项。</w:t>
      </w:r>
    </w:p>
    <w:p>
      <w:pPr>
        <w:widowControl/>
        <w:spacing w:line="360" w:lineRule="auto"/>
        <w:ind w:firstLine="420" w:firstLineChars="200"/>
        <w:jc w:val="left"/>
        <w:rPr>
          <w:rFonts w:ascii="宋体" w:hAnsi="宋体" w:cs="宋体"/>
        </w:rPr>
      </w:pPr>
      <w:r>
        <w:rPr>
          <w:rFonts w:hint="eastAsia" w:ascii="宋体" w:hAnsi="宋体" w:cs="宋体"/>
        </w:rPr>
        <w:t>3.质疑供应商若对项目的某一分包进行质疑，质疑函中应列明具体分包号。</w:t>
      </w:r>
    </w:p>
    <w:p>
      <w:pPr>
        <w:widowControl/>
        <w:spacing w:line="360" w:lineRule="auto"/>
        <w:ind w:firstLine="420" w:firstLineChars="200"/>
        <w:jc w:val="left"/>
        <w:rPr>
          <w:rFonts w:ascii="宋体" w:hAnsi="宋体" w:cs="宋体"/>
        </w:rPr>
      </w:pPr>
      <w:r>
        <w:rPr>
          <w:rFonts w:hint="eastAsia" w:ascii="宋体" w:hAnsi="宋体" w:cs="宋体"/>
        </w:rPr>
        <w:t>4.质疑函的质疑事项应具体、明确，并有必要的事实依据和法律依据。</w:t>
      </w:r>
    </w:p>
    <w:p>
      <w:pPr>
        <w:widowControl/>
        <w:spacing w:line="360" w:lineRule="auto"/>
        <w:ind w:firstLine="420" w:firstLineChars="200"/>
        <w:jc w:val="left"/>
        <w:rPr>
          <w:rFonts w:ascii="宋体" w:hAnsi="宋体" w:cs="宋体"/>
        </w:rPr>
      </w:pPr>
      <w:r>
        <w:rPr>
          <w:rFonts w:hint="eastAsia" w:ascii="宋体" w:hAnsi="宋体" w:cs="宋体"/>
        </w:rPr>
        <w:t>5.质疑函的质疑请求应与质疑事项相关。</w:t>
      </w:r>
    </w:p>
    <w:p>
      <w:pPr>
        <w:widowControl/>
        <w:spacing w:line="360" w:lineRule="auto"/>
        <w:ind w:firstLine="420" w:firstLineChars="200"/>
        <w:jc w:val="left"/>
        <w:rPr>
          <w:rFonts w:ascii="宋体" w:hAnsi="宋体" w:cs="宋体"/>
        </w:rPr>
      </w:pPr>
      <w:r>
        <w:rPr>
          <w:rFonts w:hint="eastAsia" w:ascii="宋体" w:hAnsi="宋体" w:cs="宋体"/>
        </w:rPr>
        <w:t>6.质疑供应商为自然人的，质疑函应由本人签字；质疑供应商为法人或者其他组织的，质疑函应由法定代表人、主要负责人，或者其授权代表签字或者盖章，并加盖公章。</w:t>
      </w:r>
    </w:p>
    <w:p>
      <w:pPr>
        <w:pStyle w:val="58"/>
      </w:pPr>
    </w:p>
    <w:p>
      <w:pPr>
        <w:pStyle w:val="17"/>
        <w:spacing w:line="460" w:lineRule="exact"/>
        <w:rPr>
          <w:rFonts w:cs="Times New Roman"/>
        </w:rPr>
      </w:pPr>
    </w:p>
    <w:p/>
    <w:p/>
    <w:p>
      <w:pPr>
        <w:pStyle w:val="3"/>
        <w:numPr>
          <w:ilvl w:val="0"/>
          <w:numId w:val="0"/>
        </w:numPr>
      </w:pPr>
    </w:p>
    <w:p/>
    <w:p>
      <w:pPr>
        <w:jc w:val="center"/>
        <w:rPr>
          <w:rFonts w:ascii="宋体" w:hAnsi="宋体"/>
          <w:b/>
          <w:color w:val="000000"/>
          <w:sz w:val="36"/>
          <w:szCs w:val="36"/>
        </w:rPr>
      </w:pPr>
    </w:p>
    <w:p>
      <w:pPr>
        <w:jc w:val="center"/>
        <w:rPr>
          <w:rFonts w:ascii="宋体" w:hAnsi="宋体"/>
          <w:b/>
          <w:color w:val="000000"/>
          <w:sz w:val="36"/>
          <w:szCs w:val="36"/>
        </w:rPr>
      </w:pPr>
    </w:p>
    <w:p>
      <w:pPr>
        <w:jc w:val="center"/>
        <w:rPr>
          <w:rFonts w:ascii="宋体" w:hAnsi="宋体"/>
          <w:b/>
          <w:color w:val="000000"/>
          <w:sz w:val="36"/>
          <w:szCs w:val="36"/>
        </w:rPr>
      </w:pPr>
    </w:p>
    <w:p>
      <w:pPr>
        <w:jc w:val="center"/>
        <w:rPr>
          <w:rFonts w:ascii="宋体" w:hAnsi="宋体"/>
          <w:b/>
          <w:color w:val="000000"/>
          <w:sz w:val="36"/>
          <w:szCs w:val="36"/>
        </w:rPr>
      </w:pPr>
    </w:p>
    <w:p>
      <w:pPr>
        <w:jc w:val="center"/>
        <w:rPr>
          <w:rFonts w:ascii="宋体" w:hAnsi="宋体"/>
          <w:b/>
          <w:color w:val="000000"/>
          <w:sz w:val="36"/>
          <w:szCs w:val="36"/>
        </w:rPr>
      </w:pPr>
    </w:p>
    <w:p>
      <w:pPr>
        <w:jc w:val="center"/>
        <w:rPr>
          <w:rFonts w:ascii="宋体" w:hAnsi="宋体"/>
          <w:b/>
          <w:color w:val="000000"/>
          <w:sz w:val="36"/>
          <w:szCs w:val="36"/>
        </w:rPr>
      </w:pPr>
    </w:p>
    <w:p>
      <w:pPr>
        <w:jc w:val="center"/>
        <w:rPr>
          <w:rFonts w:hint="eastAsia" w:ascii="宋体" w:hAnsi="宋体"/>
          <w:b/>
          <w:color w:val="000000"/>
          <w:sz w:val="36"/>
          <w:szCs w:val="36"/>
        </w:rPr>
      </w:pPr>
    </w:p>
    <w:p>
      <w:pPr>
        <w:pStyle w:val="58"/>
        <w:rPr>
          <w:rFonts w:hint="eastAsia"/>
        </w:rPr>
      </w:pPr>
    </w:p>
    <w:p>
      <w:pPr>
        <w:pStyle w:val="58"/>
        <w:rPr>
          <w:rFonts w:hint="eastAsia"/>
        </w:rPr>
      </w:pPr>
    </w:p>
    <w:p>
      <w:pPr>
        <w:pStyle w:val="58"/>
      </w:pPr>
    </w:p>
    <w:p>
      <w:pPr>
        <w:spacing w:line="600" w:lineRule="exact"/>
        <w:rPr>
          <w:rFonts w:hint="eastAsia"/>
          <w:b/>
          <w:bCs/>
          <w:sz w:val="36"/>
          <w:szCs w:val="36"/>
        </w:rPr>
      </w:pPr>
      <w:bookmarkStart w:id="72" w:name="OLE_LINK5"/>
      <w:bookmarkStart w:id="73" w:name="OLE_LINK6"/>
      <w:bookmarkStart w:id="74" w:name="OLE_LINK7"/>
    </w:p>
    <w:bookmarkEnd w:id="2"/>
    <w:bookmarkEnd w:id="72"/>
    <w:bookmarkEnd w:id="73"/>
    <w:bookmarkEnd w:id="74"/>
    <w:p/>
    <w:sectPr>
      <w:pgSz w:w="11906" w:h="16838"/>
      <w:pgMar w:top="1246" w:right="1134" w:bottom="1440" w:left="1418" w:header="851" w:footer="992" w:gutter="0"/>
      <w:pgNumType w:fmt="decimal"/>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08C224D6-5696-4E33-9185-181067A2E254}"/>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embedRegular r:id="rId2" w:fontKey="{27280465-2FE3-4CC4-937C-B4DACC241BAC}"/>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新宋体">
    <w:panose1 w:val="02010609030101010101"/>
    <w:charset w:val="86"/>
    <w:family w:val="modern"/>
    <w:pitch w:val="default"/>
    <w:sig w:usb0="00000203" w:usb1="288F0000" w:usb2="00000006" w:usb3="00000000" w:csb0="00040001" w:csb1="00000000"/>
    <w:embedRegular r:id="rId3" w:fontKey="{137D9E56-9DA5-4DD3-84D2-6FAF2AF3CF11}"/>
  </w:font>
  <w:font w:name="仿宋_GB2312">
    <w:panose1 w:val="02010609030101010101"/>
    <w:charset w:val="86"/>
    <w:family w:val="modern"/>
    <w:pitch w:val="default"/>
    <w:sig w:usb0="00000001" w:usb1="080E0000" w:usb2="00000000" w:usb3="00000000" w:csb0="00040000" w:csb1="00000000"/>
    <w:embedRegular r:id="rId4" w:fontKey="{86DFCADC-5F0D-410B-AB08-76E25C42A340}"/>
  </w:font>
  <w:font w:name="Tahoma">
    <w:panose1 w:val="020B0604030504040204"/>
    <w:charset w:val="00"/>
    <w:family w:val="swiss"/>
    <w:pitch w:val="default"/>
    <w:sig w:usb0="E1002EFF" w:usb1="C000605B" w:usb2="00000029" w:usb3="00000000" w:csb0="200101FF" w:csb1="20280000"/>
  </w:font>
  <w:font w:name="Arial Unicode MS">
    <w:altName w:val="Arial"/>
    <w:panose1 w:val="020B0604020202020204"/>
    <w:charset w:val="00"/>
    <w:family w:val="swiss"/>
    <w:pitch w:val="default"/>
    <w:sig w:usb0="00000000" w:usb1="00000000" w:usb2="0000003F" w:usb3="00000000" w:csb0="603F01FF" w:csb1="FFFF0000"/>
  </w:font>
  <w:font w:name="隶书">
    <w:panose1 w:val="02010509060101010101"/>
    <w:charset w:val="86"/>
    <w:family w:val="modern"/>
    <w:pitch w:val="default"/>
    <w:sig w:usb0="00000001" w:usb1="080E0000" w:usb2="00000000" w:usb3="00000000" w:csb0="00040000" w:csb1="00000000"/>
    <w:embedRegular r:id="rId5" w:fontKey="{D1A47F49-6266-418F-8F9D-0C516AEB080D}"/>
  </w:font>
  <w:font w:name="Arial Narrow">
    <w:panose1 w:val="020B0606020202030204"/>
    <w:charset w:val="00"/>
    <w:family w:val="swiss"/>
    <w:pitch w:val="default"/>
    <w:sig w:usb0="00000287" w:usb1="00000800" w:usb2="00000000" w:usb3="00000000" w:csb0="2000009F" w:csb1="DFD70000"/>
    <w:embedRegular r:id="rId6" w:fontKey="{E5214CE8-4CB6-444D-8E06-D0862C1A7FB3}"/>
  </w:font>
  <w:font w:name="楷体_GB2312">
    <w:panose1 w:val="02010609030101010101"/>
    <w:charset w:val="86"/>
    <w:family w:val="modern"/>
    <w:pitch w:val="default"/>
    <w:sig w:usb0="00000001" w:usb1="080E0000" w:usb2="00000000" w:usb3="00000000" w:csb0="00040000" w:csb1="00000000"/>
    <w:embedRegular r:id="rId7" w:fontKey="{F4EB3EBB-0AAB-4436-841C-8B2F825B0F70}"/>
  </w:font>
  <w:font w:name="Verdana">
    <w:panose1 w:val="020B0604030504040204"/>
    <w:charset w:val="00"/>
    <w:family w:val="swiss"/>
    <w:pitch w:val="default"/>
    <w:sig w:usb0="A00006FF" w:usb1="4000205B" w:usb2="00000010" w:usb3="00000000" w:csb0="2000019F" w:csb1="00000000"/>
    <w:embedRegular r:id="rId8" w:fontKey="{54AE09CE-58E7-4C08-9507-00A7B85B353D}"/>
  </w:font>
  <w:font w:name="方正小标宋简体">
    <w:panose1 w:val="02000000000000000000"/>
    <w:charset w:val="86"/>
    <w:family w:val="auto"/>
    <w:pitch w:val="default"/>
    <w:sig w:usb0="00000001" w:usb1="08000000" w:usb2="00000000" w:usb3="00000000" w:csb0="00040000" w:csb1="00000000"/>
    <w:embedRegular r:id="rId9" w:fontKey="{3DC5BE9D-0C08-4F96-8852-168DFF226C99}"/>
  </w:font>
  <w:font w:name="仿宋">
    <w:panose1 w:val="02010609060101010101"/>
    <w:charset w:val="86"/>
    <w:family w:val="auto"/>
    <w:pitch w:val="default"/>
    <w:sig w:usb0="800002BF" w:usb1="38CF7CFA" w:usb2="00000016" w:usb3="00000000" w:csb0="00040001" w:csb1="00000000"/>
    <w:embedRegular r:id="rId10" w:fontKey="{7CC19B64-FC81-487B-BC1B-425D3FB831BA}"/>
  </w:font>
  <w:font w:name="PMingLiU">
    <w:altName w:val="PMingLiU-ExtB"/>
    <w:panose1 w:val="02020500000000000000"/>
    <w:charset w:val="00"/>
    <w:family w:val="roman"/>
    <w:pitch w:val="default"/>
    <w:sig w:usb0="00000000" w:usb1="00000000" w:usb2="00000016" w:usb3="00000000" w:csb0="00100001" w:csb1="00000000"/>
    <w:embedRegular r:id="rId11" w:fontKey="{1CED4430-DC42-4D3F-A6D8-3B75F4614537}"/>
  </w:font>
  <w:font w:name="PMingLiU-ExtB">
    <w:panose1 w:val="02020500000000000000"/>
    <w:charset w:val="88"/>
    <w:family w:val="auto"/>
    <w:pitch w:val="default"/>
    <w:sig w:usb0="8000002F" w:usb1="02000008" w:usb2="00000000" w:usb3="00000000" w:csb0="00100001" w:csb1="00000000"/>
  </w:font>
  <w:font w:name="ModIcon">
    <w:altName w:val="Segoe Print"/>
    <w:panose1 w:val="00000000000000000000"/>
    <w:charset w:val="00"/>
    <w:family w:val="auto"/>
    <w:pitch w:val="default"/>
    <w:sig w:usb0="00000000" w:usb1="00000000" w:usb2="00000000" w:usb3="00000000" w:csb0="00000000" w:csb1="00000000"/>
  </w:font>
  <w:font w:name="ActionIcon">
    <w:altName w:val="Segoe Print"/>
    <w:panose1 w:val="00000000000000000000"/>
    <w:charset w:val="00"/>
    <w:family w:val="auto"/>
    <w:pitch w:val="default"/>
    <w:sig w:usb0="00000000" w:usb1="00000000" w:usb2="00000000" w:usb3="00000000" w:csb0="00000000" w:csb1="00000000"/>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pPr>
                            <w:pStyle w:val="21"/>
                          </w:pPr>
                          <w:r>
                            <w:fldChar w:fldCharType="begin"/>
                          </w:r>
                          <w:r>
                            <w:instrText xml:space="preserve"> PAGE  \* MERGEFORMAT </w:instrText>
                          </w:r>
                          <w:r>
                            <w:fldChar w:fldCharType="separate"/>
                          </w:r>
                          <w:r>
                            <w:t>14</w:t>
                          </w:r>
                          <w:r>
                            <w:fldChar w:fldCharType="end"/>
                          </w:r>
                        </w:p>
                      </w:txbxContent>
                    </wps:txbx>
                    <wps:bodyPr vert="horz" wrap="none" lIns="0" tIns="0" rIns="0" bIns="0" anchor="t" anchorCtr="0" upright="0">
                      <a:spAutoFit/>
                    </wps:bodyPr>
                  </wps:wsp>
                </a:graphicData>
              </a:graphic>
            </wp:anchor>
          </w:drawing>
        </mc:Choice>
        <mc:Fallback>
          <w:pict>
            <v:shape id="文本框 3"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BoaYJL0wAAAAUB&#10;AAAPAAAAAAAAAAEAIAAAACIAAABkcnMvZG93bnJldi54bWxQSwECFAAUAAAACACHTuJAjZDcVOcB&#10;AADIAwAADgAAAAAAAAABACAAAAAiAQAAZHJzL2Uyb0RvYy54bWxQSwUGAAAAAAYABgBZAQAAewUA&#10;AAAA&#10;">
              <v:fill on="f" focussize="0,0"/>
              <v:stroke on="f" weight="1.25pt"/>
              <v:imagedata o:title=""/>
              <o:lock v:ext="edit" aspectratio="f"/>
              <v:textbox inset="0mm,0mm,0mm,0mm" style="mso-fit-shape-to-text:t;">
                <w:txbxContent>
                  <w:p>
                    <w:pPr>
                      <w:pStyle w:val="21"/>
                    </w:pPr>
                    <w:r>
                      <w:fldChar w:fldCharType="begin"/>
                    </w:r>
                    <w:r>
                      <w:instrText xml:space="preserve"> PAGE  \* MERGEFORMAT </w:instrText>
                    </w:r>
                    <w:r>
                      <w:fldChar w:fldCharType="separate"/>
                    </w:r>
                    <w:r>
                      <w:t>14</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ind w:right="360"/>
      <w:jc w:val="center"/>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a:effectLst/>
                    </wps:spPr>
                    <wps:txbx>
                      <w:txbxContent>
                        <w:p>
                          <w:pPr>
                            <w:pStyle w:val="21"/>
                            <w:ind w:right="360"/>
                            <w:jc w:val="center"/>
                          </w:pPr>
                          <w:r>
                            <w:fldChar w:fldCharType="begin"/>
                          </w:r>
                          <w:r>
                            <w:rPr>
                              <w:rStyle w:val="37"/>
                            </w:rPr>
                            <w:instrText xml:space="preserve"> PAGE </w:instrText>
                          </w:r>
                          <w:r>
                            <w:fldChar w:fldCharType="separate"/>
                          </w:r>
                          <w:r>
                            <w:rPr>
                              <w:rStyle w:val="37"/>
                            </w:rPr>
                            <w:t>13</w:t>
                          </w:r>
                          <w:r>
                            <w:fldChar w:fldCharType="end"/>
                          </w:r>
                        </w:p>
                      </w:txbxContent>
                    </wps:txbx>
                    <wps:bodyPr wrap="none" lIns="0" tIns="0" rIns="0" bIns="0">
                      <a:spAutoFit/>
                    </wps:bodyPr>
                  </wps:wsp>
                </a:graphicData>
              </a:graphic>
            </wp:anchor>
          </w:drawing>
        </mc:Choice>
        <mc:Fallback>
          <w:pict>
            <v:shape id="文本框 1"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&#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">
              <v:fill on="f" focussize="0,0"/>
              <v:stroke on="f" weight="1.25pt"/>
              <v:imagedata o:title=""/>
              <o:lock v:ext="edit" aspectratio="f"/>
              <v:textbox inset="0mm,0mm,0mm,0mm" style="mso-fit-shape-to-text:t;">
                <w:txbxContent>
                  <w:p>
                    <w:pPr>
                      <w:pStyle w:val="21"/>
                      <w:ind w:right="360"/>
                      <w:jc w:val="center"/>
                    </w:pPr>
                    <w:r>
                      <w:fldChar w:fldCharType="begin"/>
                    </w:r>
                    <w:r>
                      <w:rPr>
                        <w:rStyle w:val="37"/>
                      </w:rPr>
                      <w:instrText xml:space="preserve"> PAGE </w:instrText>
                    </w:r>
                    <w:r>
                      <w:fldChar w:fldCharType="separate"/>
                    </w:r>
                    <w:r>
                      <w:rPr>
                        <w:rStyle w:val="37"/>
                      </w:rPr>
                      <w:t>13</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14935" cy="131445"/>
              <wp:effectExtent l="0" t="0" r="0" b="0"/>
              <wp:wrapNone/>
              <wp:docPr id="1" name="文本框 1025"/>
              <wp:cNvGraphicFramePr/>
              <a:graphic xmlns:a="http://schemas.openxmlformats.org/drawingml/2006/main">
                <a:graphicData uri="http://schemas.microsoft.com/office/word/2010/wordprocessingShape">
                  <wps:wsp>
                    <wps:cNvSpPr txBox="1"/>
                    <wps:spPr>
                      <a:xfrm>
                        <a:off x="0" y="0"/>
                        <a:ext cx="114935" cy="131445"/>
                      </a:xfrm>
                      <a:prstGeom prst="rect">
                        <a:avLst/>
                      </a:prstGeom>
                      <a:noFill/>
                      <a:ln>
                        <a:noFill/>
                      </a:ln>
                    </wps:spPr>
                    <wps:txbx>
                      <w:txbxContent>
                        <w:p>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14</w:t>
                          </w:r>
                          <w:r>
                            <w:rPr>
                              <w:rFonts w:hint="eastAsia"/>
                              <w:sz w:val="18"/>
                            </w:rPr>
                            <w:fldChar w:fldCharType="end"/>
                          </w:r>
                        </w:p>
                      </w:txbxContent>
                    </wps:txbx>
                    <wps:bodyPr vert="horz" wrap="none" lIns="0" tIns="0" rIns="0" bIns="0" anchor="t" anchorCtr="0" upright="1">
                      <a:spAutoFit/>
                    </wps:bodyPr>
                  </wps:wsp>
                </a:graphicData>
              </a:graphic>
            </wp:anchor>
          </w:drawing>
        </mc:Choice>
        <mc:Fallback>
          <w:pict>
            <v:shape id="文本框 1025" o:spid="_x0000_s1026" o:spt="202" type="#_x0000_t202" style="position:absolute;left:0pt;margin-top:0pt;height:10.35pt;width:9.05pt;mso-position-horizontal:center;mso-position-horizontal-relative:margin;mso-wrap-style:none;z-index:251659264;mso-width-relative:page;mso-height-relative:page;" filled="f" stroked="f" coordsize="21600,21600" o:gfxdata="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">
              <v:fill on="f" focussize="0,0"/>
              <v:stroke on="f"/>
              <v:imagedata o:title=""/>
              <o:lock v:ext="edit" aspectratio="f"/>
              <v:textbox inset="0mm,0mm,0mm,0mm" style="mso-fit-shape-to-text:t;">
                <w:txbxContent>
                  <w:p>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14</w:t>
                    </w:r>
                    <w:r>
                      <w:rPr>
                        <w:rFonts w:hint="eastAsia"/>
                        <w:sz w:val="18"/>
                      </w:rPr>
                      <w:fldChar w:fldCharType="end"/>
                    </w:r>
                  </w:p>
                </w:txbxContent>
              </v:textbox>
            </v:shape>
          </w:pict>
        </mc:Fallback>
      </mc:AlternateContent>
    </w:r>
    <w:r>
      <w:rPr>
        <w:rFonts w:hint="eastAsia"/>
      </w:rPr>
      <w:t xml:space="preserve">                                    </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57785" cy="131445"/>
              <wp:effectExtent l="0" t="0" r="0" b="0"/>
              <wp:wrapNone/>
              <wp:docPr id="3" name="文本框 1026"/>
              <wp:cNvGraphicFramePr/>
              <a:graphic xmlns:a="http://schemas.openxmlformats.org/drawingml/2006/main">
                <a:graphicData uri="http://schemas.microsoft.com/office/word/2010/wordprocessingShape">
                  <wps:wsp>
                    <wps:cNvSpPr txBox="1"/>
                    <wps:spPr>
                      <a:xfrm>
                        <a:off x="0" y="0"/>
                        <a:ext cx="57785" cy="131445"/>
                      </a:xfrm>
                      <a:prstGeom prst="rect">
                        <a:avLst/>
                      </a:prstGeom>
                      <a:noFill/>
                      <a:ln>
                        <a:noFill/>
                      </a:ln>
                    </wps:spPr>
                    <wps:txbx>
                      <w:txbxContent>
                        <w:p>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1</w:t>
                          </w:r>
                          <w:r>
                            <w:rPr>
                              <w:rFonts w:hint="eastAsia"/>
                              <w:sz w:val="18"/>
                            </w:rPr>
                            <w:fldChar w:fldCharType="end"/>
                          </w:r>
                        </w:p>
                      </w:txbxContent>
                    </wps:txbx>
                    <wps:bodyPr vert="horz" wrap="none" lIns="0" tIns="0" rIns="0" bIns="0" anchor="t" anchorCtr="0" upright="1">
                      <a:spAutoFit/>
                    </wps:bodyPr>
                  </wps:wsp>
                </a:graphicData>
              </a:graphic>
            </wp:anchor>
          </w:drawing>
        </mc:Choice>
        <mc:Fallback>
          <w:pict>
            <v:shape id="文本框 1026" o:spid="_x0000_s1026" o:spt="202" type="#_x0000_t202" style="position:absolute;left:0pt;margin-top:0pt;height:10.35pt;width:4.55pt;mso-position-horizontal:center;mso-position-horizontal-relative:margin;mso-wrap-style:none;z-index:251661312;mso-width-relative:page;mso-height-relative:page;" filled="f" stroked="f" coordsize="21600,21600" o:gfxdata="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">
              <v:fill on="f" focussize="0,0"/>
              <v:stroke on="f"/>
              <v:imagedata o:title=""/>
              <o:lock v:ext="edit" aspectratio="f"/>
              <v:textbox inset="0mm,0mm,0mm,0mm" style="mso-fit-shape-to-text:t;">
                <w:txbxContent>
                  <w:p>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1</w:t>
                    </w:r>
                    <w:r>
                      <w:rPr>
                        <w:rFonts w:hint="eastAsia"/>
                        <w:sz w:val="18"/>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pBdr>
        <w:bottom w:val="none" w:color="auto" w:sz="0" w:space="0"/>
      </w:pBdr>
      <w:jc w:val="both"/>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pBdr>
        <w:bottom w:val="none" w:color="auto" w:sz="0" w:space="1"/>
      </w:pBdr>
      <w:ind w:firstLine="90" w:firstLineChars="50"/>
      <w:jc w:val="both"/>
    </w:pPr>
    <w:r>
      <w:rPr>
        <w:rFonts w:hint="eastAsia" w:eastAsia="PMingLiU"/>
        <w:lang w:eastAsia="zh-TW"/>
      </w:rPr>
      <w:t>　</w:t>
    </w:r>
    <w:r>
      <w:rPr>
        <w:rFonts w:hint="eastAsia"/>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2BB7C16"/>
    <w:multiLevelType w:val="singleLevel"/>
    <w:tmpl w:val="82BB7C16"/>
    <w:lvl w:ilvl="0" w:tentative="0">
      <w:start w:val="9"/>
      <w:numFmt w:val="decimal"/>
      <w:suff w:val="nothing"/>
      <w:lvlText w:val="%1、"/>
      <w:lvlJc w:val="left"/>
    </w:lvl>
  </w:abstractNum>
  <w:abstractNum w:abstractNumId="1">
    <w:nsid w:val="C1C38765"/>
    <w:multiLevelType w:val="singleLevel"/>
    <w:tmpl w:val="C1C38765"/>
    <w:lvl w:ilvl="0" w:tentative="0">
      <w:start w:val="10"/>
      <w:numFmt w:val="chineseCounting"/>
      <w:suff w:val="nothing"/>
      <w:lvlText w:val="（%1）"/>
      <w:lvlJc w:val="left"/>
      <w:rPr>
        <w:rFonts w:hint="eastAsia"/>
      </w:rPr>
    </w:lvl>
  </w:abstractNum>
  <w:abstractNum w:abstractNumId="2">
    <w:nsid w:val="010F4CD1"/>
    <w:multiLevelType w:val="multilevel"/>
    <w:tmpl w:val="010F4CD1"/>
    <w:lvl w:ilvl="0" w:tentative="0">
      <w:start w:val="4"/>
      <w:numFmt w:val="japaneseCounting"/>
      <w:pStyle w:val="12"/>
      <w:lvlText w:val="第%1章"/>
      <w:lvlJc w:val="left"/>
      <w:pPr>
        <w:tabs>
          <w:tab w:val="left" w:pos="1455"/>
        </w:tabs>
        <w:ind w:left="1455" w:hanging="1455"/>
      </w:pPr>
      <w:rPr>
        <w:rFonts w:hint="default" w:hAnsi="Times New Roman"/>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3">
    <w:nsid w:val="037A0D61"/>
    <w:multiLevelType w:val="singleLevel"/>
    <w:tmpl w:val="037A0D61"/>
    <w:lvl w:ilvl="0" w:tentative="0">
      <w:start w:val="15"/>
      <w:numFmt w:val="decimal"/>
      <w:suff w:val="nothing"/>
      <w:lvlText w:val="%1、"/>
      <w:lvlJc w:val="left"/>
    </w:lvl>
  </w:abstractNum>
  <w:abstractNum w:abstractNumId="4">
    <w:nsid w:val="28630A2E"/>
    <w:multiLevelType w:val="multilevel"/>
    <w:tmpl w:val="28630A2E"/>
    <w:lvl w:ilvl="0" w:tentative="0">
      <w:start w:val="1"/>
      <w:numFmt w:val="chineseCountingThousand"/>
      <w:pStyle w:val="3"/>
      <w:suff w:val="nothing"/>
      <w:lvlText w:val="第%1章"/>
      <w:lvlJc w:val="left"/>
      <w:pPr>
        <w:ind w:left="0" w:firstLine="0"/>
      </w:pPr>
    </w:lvl>
    <w:lvl w:ilvl="1" w:tentative="0">
      <w:start w:val="1"/>
      <w:numFmt w:val="none"/>
      <w:suff w:val="nothing"/>
      <w:lvlText w:val=""/>
      <w:lvlJc w:val="left"/>
      <w:pPr>
        <w:ind w:left="0" w:firstLine="0"/>
      </w:pPr>
    </w:lvl>
    <w:lvl w:ilvl="2" w:tentative="0">
      <w:start w:val="1"/>
      <w:numFmt w:val="none"/>
      <w:pStyle w:val="5"/>
      <w:suff w:val="nothing"/>
      <w:lvlText w:val=""/>
      <w:lvlJc w:val="left"/>
      <w:pPr>
        <w:ind w:left="0" w:firstLine="0"/>
      </w:pPr>
    </w:lvl>
    <w:lvl w:ilvl="3" w:tentative="0">
      <w:start w:val="1"/>
      <w:numFmt w:val="none"/>
      <w:pStyle w:val="6"/>
      <w:suff w:val="nothing"/>
      <w:lvlText w:val=""/>
      <w:lvlJc w:val="left"/>
      <w:pPr>
        <w:ind w:left="0" w:firstLine="0"/>
      </w:pPr>
    </w:lvl>
    <w:lvl w:ilvl="4" w:tentative="0">
      <w:start w:val="1"/>
      <w:numFmt w:val="none"/>
      <w:pStyle w:val="7"/>
      <w:suff w:val="nothing"/>
      <w:lvlText w:val=""/>
      <w:lvlJc w:val="left"/>
      <w:pPr>
        <w:ind w:left="0" w:firstLine="0"/>
      </w:pPr>
    </w:lvl>
    <w:lvl w:ilvl="5" w:tentative="0">
      <w:start w:val="1"/>
      <w:numFmt w:val="none"/>
      <w:pStyle w:val="8"/>
      <w:suff w:val="nothing"/>
      <w:lvlText w:val=""/>
      <w:lvlJc w:val="left"/>
      <w:pPr>
        <w:ind w:left="0" w:firstLine="0"/>
      </w:pPr>
    </w:lvl>
    <w:lvl w:ilvl="6" w:tentative="0">
      <w:start w:val="1"/>
      <w:numFmt w:val="none"/>
      <w:pStyle w:val="9"/>
      <w:suff w:val="nothing"/>
      <w:lvlText w:val=""/>
      <w:lvlJc w:val="left"/>
      <w:pPr>
        <w:ind w:left="0" w:firstLine="0"/>
      </w:pPr>
    </w:lvl>
    <w:lvl w:ilvl="7" w:tentative="0">
      <w:start w:val="1"/>
      <w:numFmt w:val="none"/>
      <w:pStyle w:val="10"/>
      <w:suff w:val="nothing"/>
      <w:lvlText w:val=""/>
      <w:lvlJc w:val="left"/>
      <w:pPr>
        <w:ind w:left="0" w:firstLine="0"/>
      </w:pPr>
    </w:lvl>
    <w:lvl w:ilvl="8" w:tentative="0">
      <w:start w:val="1"/>
      <w:numFmt w:val="none"/>
      <w:pStyle w:val="11"/>
      <w:suff w:val="nothing"/>
      <w:lvlText w:val=""/>
      <w:lvlJc w:val="left"/>
      <w:pPr>
        <w:ind w:left="0" w:firstLine="0"/>
      </w:pPr>
    </w:lvl>
  </w:abstractNum>
  <w:abstractNum w:abstractNumId="5">
    <w:nsid w:val="54A24071"/>
    <w:multiLevelType w:val="singleLevel"/>
    <w:tmpl w:val="54A24071"/>
    <w:lvl w:ilvl="0" w:tentative="0">
      <w:start w:val="3"/>
      <w:numFmt w:val="chineseCounting"/>
      <w:suff w:val="nothing"/>
      <w:lvlText w:val="%1、"/>
      <w:lvlJc w:val="left"/>
      <w:rPr>
        <w:rFonts w:hint="eastAsia"/>
      </w:rPr>
    </w:lvl>
  </w:abstractNum>
  <w:abstractNum w:abstractNumId="6">
    <w:nsid w:val="58E7025E"/>
    <w:multiLevelType w:val="singleLevel"/>
    <w:tmpl w:val="58E7025E"/>
    <w:lvl w:ilvl="0" w:tentative="0">
      <w:start w:val="1"/>
      <w:numFmt w:val="chineseCounting"/>
      <w:suff w:val="nothing"/>
      <w:lvlText w:val="第%1章"/>
      <w:lvlJc w:val="left"/>
      <w:rPr>
        <w:rFonts w:cs="Times New Roman"/>
      </w:rPr>
    </w:lvl>
  </w:abstractNum>
  <w:abstractNum w:abstractNumId="7">
    <w:nsid w:val="6F6EE6EB"/>
    <w:multiLevelType w:val="singleLevel"/>
    <w:tmpl w:val="6F6EE6EB"/>
    <w:lvl w:ilvl="0" w:tentative="0">
      <w:start w:val="7"/>
      <w:numFmt w:val="decimal"/>
      <w:suff w:val="nothing"/>
      <w:lvlText w:val="%1、"/>
      <w:lvlJc w:val="left"/>
    </w:lvl>
  </w:abstractNum>
  <w:num w:numId="1">
    <w:abstractNumId w:val="4"/>
  </w:num>
  <w:num w:numId="2">
    <w:abstractNumId w:val="2"/>
  </w:num>
  <w:num w:numId="3">
    <w:abstractNumId w:val="6"/>
  </w:num>
  <w:num w:numId="4">
    <w:abstractNumId w:val="7"/>
  </w:num>
  <w:num w:numId="5">
    <w:abstractNumId w:val="3"/>
  </w:num>
  <w:num w:numId="6">
    <w:abstractNumId w:val="1"/>
  </w:num>
  <w:num w:numId="7">
    <w:abstractNumId w:val="0"/>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gutterAtTop/>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HorizontalSpacing w:val="0"/>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YwMjY1M2Y4ZmI1OWMxYTZkNWI3OWNhZWY5OWU4ZTUifQ=="/>
  </w:docVars>
  <w:rsids>
    <w:rsidRoot w:val="00172A27"/>
    <w:rsid w:val="00011C2B"/>
    <w:rsid w:val="00040D71"/>
    <w:rsid w:val="000773C6"/>
    <w:rsid w:val="00092840"/>
    <w:rsid w:val="0009296B"/>
    <w:rsid w:val="000D7B18"/>
    <w:rsid w:val="0016355B"/>
    <w:rsid w:val="00172A27"/>
    <w:rsid w:val="001758D2"/>
    <w:rsid w:val="00180E06"/>
    <w:rsid w:val="001D3554"/>
    <w:rsid w:val="00275CDF"/>
    <w:rsid w:val="002E529E"/>
    <w:rsid w:val="003004A5"/>
    <w:rsid w:val="00307480"/>
    <w:rsid w:val="00327855"/>
    <w:rsid w:val="00333CAF"/>
    <w:rsid w:val="003A2285"/>
    <w:rsid w:val="003A7BCB"/>
    <w:rsid w:val="003E6BFC"/>
    <w:rsid w:val="00452B58"/>
    <w:rsid w:val="004B11B2"/>
    <w:rsid w:val="004C0654"/>
    <w:rsid w:val="004C5626"/>
    <w:rsid w:val="004E3BCB"/>
    <w:rsid w:val="00556B4D"/>
    <w:rsid w:val="00594C4C"/>
    <w:rsid w:val="005E5AA1"/>
    <w:rsid w:val="0069249E"/>
    <w:rsid w:val="006D00B4"/>
    <w:rsid w:val="006D79C3"/>
    <w:rsid w:val="00750734"/>
    <w:rsid w:val="00785185"/>
    <w:rsid w:val="007D36AD"/>
    <w:rsid w:val="00802B7E"/>
    <w:rsid w:val="00845694"/>
    <w:rsid w:val="00847A28"/>
    <w:rsid w:val="00860A79"/>
    <w:rsid w:val="00873F09"/>
    <w:rsid w:val="008B647C"/>
    <w:rsid w:val="008E5C66"/>
    <w:rsid w:val="008F3321"/>
    <w:rsid w:val="009347E7"/>
    <w:rsid w:val="009850A9"/>
    <w:rsid w:val="00986A18"/>
    <w:rsid w:val="00A07EE4"/>
    <w:rsid w:val="00AA715A"/>
    <w:rsid w:val="00AC60C8"/>
    <w:rsid w:val="00B30401"/>
    <w:rsid w:val="00B63F5A"/>
    <w:rsid w:val="00B64218"/>
    <w:rsid w:val="00B777C4"/>
    <w:rsid w:val="00B8232D"/>
    <w:rsid w:val="00B8574D"/>
    <w:rsid w:val="00BB2A51"/>
    <w:rsid w:val="00C812EE"/>
    <w:rsid w:val="00CC6A9B"/>
    <w:rsid w:val="00D1012F"/>
    <w:rsid w:val="00D54DF2"/>
    <w:rsid w:val="00D83287"/>
    <w:rsid w:val="00D85314"/>
    <w:rsid w:val="00DC2890"/>
    <w:rsid w:val="00E851FC"/>
    <w:rsid w:val="00E9160B"/>
    <w:rsid w:val="00E960A2"/>
    <w:rsid w:val="00EC4C67"/>
    <w:rsid w:val="00ED057B"/>
    <w:rsid w:val="00EE4F63"/>
    <w:rsid w:val="00F114B0"/>
    <w:rsid w:val="00F7739C"/>
    <w:rsid w:val="013D501C"/>
    <w:rsid w:val="01787946"/>
    <w:rsid w:val="022411ED"/>
    <w:rsid w:val="02843F93"/>
    <w:rsid w:val="0328539C"/>
    <w:rsid w:val="0365054C"/>
    <w:rsid w:val="0636013C"/>
    <w:rsid w:val="06842A8C"/>
    <w:rsid w:val="06AB2A47"/>
    <w:rsid w:val="06B50CF4"/>
    <w:rsid w:val="07E706E0"/>
    <w:rsid w:val="0837398B"/>
    <w:rsid w:val="088A7F5F"/>
    <w:rsid w:val="08FD169C"/>
    <w:rsid w:val="09644C54"/>
    <w:rsid w:val="0A226F47"/>
    <w:rsid w:val="0AAD7824"/>
    <w:rsid w:val="0B12533A"/>
    <w:rsid w:val="0B275D14"/>
    <w:rsid w:val="0C3B7B73"/>
    <w:rsid w:val="0C8949EC"/>
    <w:rsid w:val="0DF447F8"/>
    <w:rsid w:val="0E7C67FF"/>
    <w:rsid w:val="0EF97BEC"/>
    <w:rsid w:val="10005D06"/>
    <w:rsid w:val="10796002"/>
    <w:rsid w:val="108D4A90"/>
    <w:rsid w:val="10B64B88"/>
    <w:rsid w:val="10F42D61"/>
    <w:rsid w:val="114F1D45"/>
    <w:rsid w:val="11D861DF"/>
    <w:rsid w:val="12242DC4"/>
    <w:rsid w:val="129516A9"/>
    <w:rsid w:val="12AA4C50"/>
    <w:rsid w:val="13F56BD4"/>
    <w:rsid w:val="140D6F2D"/>
    <w:rsid w:val="141A37F9"/>
    <w:rsid w:val="14EE4896"/>
    <w:rsid w:val="157A2521"/>
    <w:rsid w:val="159B6724"/>
    <w:rsid w:val="15AB7816"/>
    <w:rsid w:val="15FD5773"/>
    <w:rsid w:val="16221FAB"/>
    <w:rsid w:val="162714E3"/>
    <w:rsid w:val="16B6755A"/>
    <w:rsid w:val="16CF0116"/>
    <w:rsid w:val="17012CAE"/>
    <w:rsid w:val="173F4EDB"/>
    <w:rsid w:val="17B332AE"/>
    <w:rsid w:val="17D270D3"/>
    <w:rsid w:val="17D773FC"/>
    <w:rsid w:val="18C00A29"/>
    <w:rsid w:val="192E4F24"/>
    <w:rsid w:val="194F7957"/>
    <w:rsid w:val="197B190B"/>
    <w:rsid w:val="197D73E2"/>
    <w:rsid w:val="19CF6119"/>
    <w:rsid w:val="19EA694D"/>
    <w:rsid w:val="1A18186E"/>
    <w:rsid w:val="1A2070D2"/>
    <w:rsid w:val="1AD02149"/>
    <w:rsid w:val="1B243197"/>
    <w:rsid w:val="1BFB7DA0"/>
    <w:rsid w:val="1CD312E0"/>
    <w:rsid w:val="1CF67135"/>
    <w:rsid w:val="1E1257CC"/>
    <w:rsid w:val="1F893859"/>
    <w:rsid w:val="1F9A0F77"/>
    <w:rsid w:val="1FFB1A16"/>
    <w:rsid w:val="209D487B"/>
    <w:rsid w:val="20C92652"/>
    <w:rsid w:val="20F824C9"/>
    <w:rsid w:val="212A0722"/>
    <w:rsid w:val="21497D18"/>
    <w:rsid w:val="21DA189A"/>
    <w:rsid w:val="223B07F0"/>
    <w:rsid w:val="22534BFD"/>
    <w:rsid w:val="22602004"/>
    <w:rsid w:val="22625D7D"/>
    <w:rsid w:val="23186494"/>
    <w:rsid w:val="23400677"/>
    <w:rsid w:val="241B55F5"/>
    <w:rsid w:val="25C96113"/>
    <w:rsid w:val="28DC309A"/>
    <w:rsid w:val="2A4B359A"/>
    <w:rsid w:val="2BD1006E"/>
    <w:rsid w:val="2BF474A0"/>
    <w:rsid w:val="2C0B3EF8"/>
    <w:rsid w:val="2D095047"/>
    <w:rsid w:val="2D892E4F"/>
    <w:rsid w:val="2DDF4725"/>
    <w:rsid w:val="2DFF64A8"/>
    <w:rsid w:val="2E1D524D"/>
    <w:rsid w:val="2E565CB6"/>
    <w:rsid w:val="2E6425B8"/>
    <w:rsid w:val="2E6A6976"/>
    <w:rsid w:val="2E8D23D3"/>
    <w:rsid w:val="2EFA21FA"/>
    <w:rsid w:val="2F6B22F5"/>
    <w:rsid w:val="2F990904"/>
    <w:rsid w:val="2FC224C0"/>
    <w:rsid w:val="2FE54A7F"/>
    <w:rsid w:val="30782C0F"/>
    <w:rsid w:val="30A34C2F"/>
    <w:rsid w:val="316F550D"/>
    <w:rsid w:val="31B16186"/>
    <w:rsid w:val="32CF5169"/>
    <w:rsid w:val="33945FB2"/>
    <w:rsid w:val="33AD37EA"/>
    <w:rsid w:val="3428494C"/>
    <w:rsid w:val="34401B48"/>
    <w:rsid w:val="34733E19"/>
    <w:rsid w:val="34D80120"/>
    <w:rsid w:val="34EA17AD"/>
    <w:rsid w:val="352B48CC"/>
    <w:rsid w:val="35710041"/>
    <w:rsid w:val="35984AC2"/>
    <w:rsid w:val="35D27EED"/>
    <w:rsid w:val="367E2601"/>
    <w:rsid w:val="36D00E2D"/>
    <w:rsid w:val="37155A66"/>
    <w:rsid w:val="379876F3"/>
    <w:rsid w:val="37C535D2"/>
    <w:rsid w:val="38512C55"/>
    <w:rsid w:val="38AD0EE7"/>
    <w:rsid w:val="38E121DC"/>
    <w:rsid w:val="39197030"/>
    <w:rsid w:val="393C3734"/>
    <w:rsid w:val="39552B97"/>
    <w:rsid w:val="3A52223B"/>
    <w:rsid w:val="3ABE0BC9"/>
    <w:rsid w:val="3ACC6031"/>
    <w:rsid w:val="3B746681"/>
    <w:rsid w:val="3B7C29CC"/>
    <w:rsid w:val="3BC650D1"/>
    <w:rsid w:val="3C6C3566"/>
    <w:rsid w:val="3CA527AE"/>
    <w:rsid w:val="3D1E0B4A"/>
    <w:rsid w:val="3D2832C7"/>
    <w:rsid w:val="3E0E4BB3"/>
    <w:rsid w:val="3E944557"/>
    <w:rsid w:val="3F9475A5"/>
    <w:rsid w:val="3FAF1A7E"/>
    <w:rsid w:val="3FD140EA"/>
    <w:rsid w:val="422E312E"/>
    <w:rsid w:val="42750D5C"/>
    <w:rsid w:val="42857AAF"/>
    <w:rsid w:val="429B68B9"/>
    <w:rsid w:val="44501A81"/>
    <w:rsid w:val="44502B7E"/>
    <w:rsid w:val="44CA4A2B"/>
    <w:rsid w:val="450665E4"/>
    <w:rsid w:val="453C30AE"/>
    <w:rsid w:val="458F2CFA"/>
    <w:rsid w:val="45C34DD1"/>
    <w:rsid w:val="46B062AA"/>
    <w:rsid w:val="471750D0"/>
    <w:rsid w:val="481F62B4"/>
    <w:rsid w:val="48A92262"/>
    <w:rsid w:val="49D942C7"/>
    <w:rsid w:val="4A0B3AE8"/>
    <w:rsid w:val="4A8C284E"/>
    <w:rsid w:val="4B356FF8"/>
    <w:rsid w:val="4BE83999"/>
    <w:rsid w:val="4CD645AA"/>
    <w:rsid w:val="4D000012"/>
    <w:rsid w:val="4DDA0D71"/>
    <w:rsid w:val="4E262329"/>
    <w:rsid w:val="4E4D1D98"/>
    <w:rsid w:val="4E7E4D6C"/>
    <w:rsid w:val="4ED773E3"/>
    <w:rsid w:val="4F726715"/>
    <w:rsid w:val="4F7A5C04"/>
    <w:rsid w:val="501850DA"/>
    <w:rsid w:val="501C3921"/>
    <w:rsid w:val="50506185"/>
    <w:rsid w:val="510F544D"/>
    <w:rsid w:val="512659EC"/>
    <w:rsid w:val="515801C7"/>
    <w:rsid w:val="517A1416"/>
    <w:rsid w:val="523C3F4E"/>
    <w:rsid w:val="537137C2"/>
    <w:rsid w:val="551F4856"/>
    <w:rsid w:val="55745104"/>
    <w:rsid w:val="56E12A0D"/>
    <w:rsid w:val="57000E3F"/>
    <w:rsid w:val="57EF1FAF"/>
    <w:rsid w:val="589A697B"/>
    <w:rsid w:val="589E38BB"/>
    <w:rsid w:val="58AC43FF"/>
    <w:rsid w:val="58D53458"/>
    <w:rsid w:val="5A532D7F"/>
    <w:rsid w:val="5B484A4E"/>
    <w:rsid w:val="5C66288B"/>
    <w:rsid w:val="5CE512E3"/>
    <w:rsid w:val="5D3E4715"/>
    <w:rsid w:val="5D641107"/>
    <w:rsid w:val="5D6F4846"/>
    <w:rsid w:val="5D7D03B9"/>
    <w:rsid w:val="5D852344"/>
    <w:rsid w:val="5D8D4F32"/>
    <w:rsid w:val="5D9E6F62"/>
    <w:rsid w:val="5E115985"/>
    <w:rsid w:val="5ED15115"/>
    <w:rsid w:val="5F4C2169"/>
    <w:rsid w:val="5F4E2C09"/>
    <w:rsid w:val="5FB20F5F"/>
    <w:rsid w:val="5FFE1CF2"/>
    <w:rsid w:val="601E74C5"/>
    <w:rsid w:val="604345CC"/>
    <w:rsid w:val="60E93ECB"/>
    <w:rsid w:val="62EA49F7"/>
    <w:rsid w:val="64610655"/>
    <w:rsid w:val="64E362FA"/>
    <w:rsid w:val="65110961"/>
    <w:rsid w:val="656211BC"/>
    <w:rsid w:val="65B44FE8"/>
    <w:rsid w:val="65C12E23"/>
    <w:rsid w:val="670A05CA"/>
    <w:rsid w:val="674D6F98"/>
    <w:rsid w:val="67BA708E"/>
    <w:rsid w:val="6864524C"/>
    <w:rsid w:val="68BF3CF6"/>
    <w:rsid w:val="692D07F0"/>
    <w:rsid w:val="6C1738A5"/>
    <w:rsid w:val="6C2C0C89"/>
    <w:rsid w:val="6CBC5656"/>
    <w:rsid w:val="6CDB7D81"/>
    <w:rsid w:val="6D6F2B16"/>
    <w:rsid w:val="6E631942"/>
    <w:rsid w:val="6E66587A"/>
    <w:rsid w:val="6EAF3A17"/>
    <w:rsid w:val="6FFF0D1B"/>
    <w:rsid w:val="70594728"/>
    <w:rsid w:val="707215BF"/>
    <w:rsid w:val="70834735"/>
    <w:rsid w:val="70C66AA3"/>
    <w:rsid w:val="71121CE9"/>
    <w:rsid w:val="715E4F2E"/>
    <w:rsid w:val="71C74E59"/>
    <w:rsid w:val="71D1144E"/>
    <w:rsid w:val="72021D5D"/>
    <w:rsid w:val="722C2E91"/>
    <w:rsid w:val="727D3192"/>
    <w:rsid w:val="7317704F"/>
    <w:rsid w:val="741C08F3"/>
    <w:rsid w:val="74A31EE3"/>
    <w:rsid w:val="74AB2F2B"/>
    <w:rsid w:val="74F15D34"/>
    <w:rsid w:val="751E0831"/>
    <w:rsid w:val="75846F2D"/>
    <w:rsid w:val="75ED1FB2"/>
    <w:rsid w:val="761554EB"/>
    <w:rsid w:val="76B92C06"/>
    <w:rsid w:val="77150620"/>
    <w:rsid w:val="77AB2F38"/>
    <w:rsid w:val="77E260B3"/>
    <w:rsid w:val="787640B9"/>
    <w:rsid w:val="787C33C3"/>
    <w:rsid w:val="79827C56"/>
    <w:rsid w:val="798E3ED6"/>
    <w:rsid w:val="79DE7E7D"/>
    <w:rsid w:val="7AC4368D"/>
    <w:rsid w:val="7AF61C7F"/>
    <w:rsid w:val="7AF90B86"/>
    <w:rsid w:val="7B1E128A"/>
    <w:rsid w:val="7B3F1246"/>
    <w:rsid w:val="7D716990"/>
    <w:rsid w:val="7DBF5672"/>
    <w:rsid w:val="7EA06B86"/>
    <w:rsid w:val="7F1629A4"/>
    <w:rsid w:val="7F220CDF"/>
    <w:rsid w:val="7F511C2E"/>
    <w:rsid w:val="7F515E3D"/>
    <w:rsid w:val="7FDECB16"/>
    <w:rsid w:val="AFBF0C3B"/>
    <w:rsid w:val="D7AFCB01"/>
    <w:rsid w:val="EBFF34A1"/>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name="toc 1"/>
    <w:lsdException w:qFormat="1" w:unhideWhenUsed="0" w:uiPriority="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qFormat="1" w:unhideWhenUsed="0" w:uiPriority="0" w:semiHidden="0" w:name="toc 9"/>
    <w:lsdException w:qFormat="1" w:unhideWhenUsed="0" w:uiPriority="0" w:semiHidden="0" w:name="Normal Indent"/>
    <w:lsdException w:unhideWhenUsed="0" w:uiPriority="0" w:semiHidden="0" w:name="footnote text"/>
    <w:lsdException w:qFormat="1" w:unhideWhenUsed="0" w:uiPriority="99"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99"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qFormat="1"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99"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0"/>
    <w:pPr>
      <w:keepNext/>
      <w:keepLines/>
      <w:numPr>
        <w:ilvl w:val="0"/>
        <w:numId w:val="1"/>
      </w:numPr>
      <w:spacing w:before="340" w:after="330" w:line="578" w:lineRule="auto"/>
      <w:outlineLvl w:val="0"/>
    </w:pPr>
    <w:rPr>
      <w:b/>
      <w:bCs/>
      <w:kern w:val="44"/>
      <w:sz w:val="44"/>
      <w:szCs w:val="44"/>
    </w:rPr>
  </w:style>
  <w:style w:type="paragraph" w:styleId="4">
    <w:name w:val="heading 2"/>
    <w:basedOn w:val="1"/>
    <w:next w:val="1"/>
    <w:autoRedefine/>
    <w:qFormat/>
    <w:uiPriority w:val="0"/>
    <w:pPr>
      <w:keepNext/>
      <w:keepLines/>
      <w:spacing w:before="260" w:after="260" w:line="416" w:lineRule="auto"/>
      <w:outlineLvl w:val="1"/>
    </w:pPr>
    <w:rPr>
      <w:rFonts w:ascii="Arial" w:hAnsi="Arial" w:eastAsia="黑体"/>
      <w:b/>
      <w:bCs/>
      <w:sz w:val="32"/>
      <w:szCs w:val="32"/>
    </w:rPr>
  </w:style>
  <w:style w:type="paragraph" w:styleId="5">
    <w:name w:val="heading 3"/>
    <w:basedOn w:val="1"/>
    <w:next w:val="1"/>
    <w:autoRedefine/>
    <w:qFormat/>
    <w:uiPriority w:val="0"/>
    <w:pPr>
      <w:keepNext/>
      <w:keepLines/>
      <w:numPr>
        <w:ilvl w:val="2"/>
        <w:numId w:val="1"/>
      </w:numPr>
      <w:spacing w:before="260" w:after="260" w:line="416" w:lineRule="auto"/>
      <w:outlineLvl w:val="2"/>
    </w:pPr>
    <w:rPr>
      <w:b/>
      <w:bCs/>
      <w:sz w:val="32"/>
      <w:szCs w:val="32"/>
    </w:rPr>
  </w:style>
  <w:style w:type="paragraph" w:styleId="6">
    <w:name w:val="heading 4"/>
    <w:basedOn w:val="1"/>
    <w:next w:val="1"/>
    <w:autoRedefine/>
    <w:qFormat/>
    <w:uiPriority w:val="0"/>
    <w:pPr>
      <w:keepNext/>
      <w:keepLines/>
      <w:numPr>
        <w:ilvl w:val="3"/>
        <w:numId w:val="1"/>
      </w:numPr>
      <w:spacing w:before="280" w:after="290" w:line="376" w:lineRule="auto"/>
      <w:outlineLvl w:val="3"/>
    </w:pPr>
    <w:rPr>
      <w:rFonts w:ascii="Arial" w:hAnsi="Arial" w:eastAsia="黑体"/>
      <w:b/>
      <w:bCs/>
      <w:sz w:val="28"/>
      <w:szCs w:val="28"/>
    </w:rPr>
  </w:style>
  <w:style w:type="paragraph" w:styleId="7">
    <w:name w:val="heading 5"/>
    <w:basedOn w:val="1"/>
    <w:next w:val="1"/>
    <w:autoRedefine/>
    <w:qFormat/>
    <w:uiPriority w:val="0"/>
    <w:pPr>
      <w:keepNext/>
      <w:keepLines/>
      <w:numPr>
        <w:ilvl w:val="4"/>
        <w:numId w:val="1"/>
      </w:numPr>
      <w:spacing w:before="280" w:after="290" w:line="376" w:lineRule="auto"/>
      <w:outlineLvl w:val="4"/>
    </w:pPr>
    <w:rPr>
      <w:b/>
      <w:bCs/>
      <w:sz w:val="28"/>
      <w:szCs w:val="28"/>
    </w:rPr>
  </w:style>
  <w:style w:type="paragraph" w:styleId="8">
    <w:name w:val="heading 6"/>
    <w:basedOn w:val="1"/>
    <w:next w:val="1"/>
    <w:autoRedefine/>
    <w:qFormat/>
    <w:uiPriority w:val="0"/>
    <w:pPr>
      <w:keepNext/>
      <w:keepLines/>
      <w:numPr>
        <w:ilvl w:val="5"/>
        <w:numId w:val="1"/>
      </w:numPr>
      <w:spacing w:before="240" w:after="64" w:line="320" w:lineRule="auto"/>
      <w:outlineLvl w:val="5"/>
    </w:pPr>
    <w:rPr>
      <w:rFonts w:ascii="Arial" w:hAnsi="Arial" w:eastAsia="黑体"/>
      <w:b/>
      <w:bCs/>
      <w:sz w:val="24"/>
    </w:rPr>
  </w:style>
  <w:style w:type="paragraph" w:styleId="9">
    <w:name w:val="heading 7"/>
    <w:basedOn w:val="1"/>
    <w:next w:val="1"/>
    <w:autoRedefine/>
    <w:qFormat/>
    <w:uiPriority w:val="0"/>
    <w:pPr>
      <w:keepNext/>
      <w:keepLines/>
      <w:numPr>
        <w:ilvl w:val="6"/>
        <w:numId w:val="1"/>
      </w:numPr>
      <w:spacing w:before="240" w:after="64" w:line="320" w:lineRule="auto"/>
      <w:outlineLvl w:val="6"/>
    </w:pPr>
    <w:rPr>
      <w:b/>
      <w:bCs/>
      <w:sz w:val="24"/>
    </w:rPr>
  </w:style>
  <w:style w:type="paragraph" w:styleId="10">
    <w:name w:val="heading 8"/>
    <w:basedOn w:val="1"/>
    <w:next w:val="1"/>
    <w:autoRedefine/>
    <w:qFormat/>
    <w:uiPriority w:val="0"/>
    <w:pPr>
      <w:keepNext/>
      <w:keepLines/>
      <w:numPr>
        <w:ilvl w:val="7"/>
        <w:numId w:val="1"/>
      </w:numPr>
      <w:spacing w:before="240" w:after="64" w:line="320" w:lineRule="auto"/>
      <w:outlineLvl w:val="7"/>
    </w:pPr>
    <w:rPr>
      <w:rFonts w:ascii="Arial" w:hAnsi="Arial" w:eastAsia="黑体"/>
      <w:sz w:val="24"/>
    </w:rPr>
  </w:style>
  <w:style w:type="paragraph" w:styleId="11">
    <w:name w:val="heading 9"/>
    <w:basedOn w:val="1"/>
    <w:next w:val="1"/>
    <w:autoRedefine/>
    <w:qFormat/>
    <w:uiPriority w:val="0"/>
    <w:pPr>
      <w:keepNext/>
      <w:keepLines/>
      <w:numPr>
        <w:ilvl w:val="8"/>
        <w:numId w:val="1"/>
      </w:numPr>
      <w:spacing w:before="240" w:after="64" w:line="320" w:lineRule="auto"/>
      <w:outlineLvl w:val="8"/>
    </w:pPr>
    <w:rPr>
      <w:rFonts w:ascii="Arial" w:hAnsi="Arial" w:eastAsia="黑体"/>
      <w:szCs w:val="21"/>
    </w:rPr>
  </w:style>
  <w:style w:type="character" w:default="1" w:styleId="35">
    <w:name w:val="Default Paragraph Font"/>
    <w:autoRedefine/>
    <w:unhideWhenUsed/>
    <w:qFormat/>
    <w:uiPriority w:val="1"/>
  </w:style>
  <w:style w:type="table" w:default="1" w:styleId="33">
    <w:name w:val="Normal Table"/>
    <w:autoRedefine/>
    <w:unhideWhenUsed/>
    <w:qFormat/>
    <w:uiPriority w:val="99"/>
    <w:tblPr>
      <w:tblCellMar>
        <w:top w:w="0" w:type="dxa"/>
        <w:left w:w="108" w:type="dxa"/>
        <w:bottom w:w="0" w:type="dxa"/>
        <w:right w:w="108" w:type="dxa"/>
      </w:tblCellMar>
    </w:tblPr>
  </w:style>
  <w:style w:type="paragraph" w:styleId="2">
    <w:name w:val="Title"/>
    <w:basedOn w:val="1"/>
    <w:next w:val="1"/>
    <w:link w:val="50"/>
    <w:autoRedefine/>
    <w:qFormat/>
    <w:uiPriority w:val="0"/>
    <w:pPr>
      <w:spacing w:before="240" w:after="60"/>
      <w:jc w:val="center"/>
      <w:outlineLvl w:val="0"/>
    </w:pPr>
    <w:rPr>
      <w:rFonts w:ascii="Cambria" w:hAnsi="Cambria" w:cs="Times New Roman"/>
      <w:b/>
      <w:bCs/>
      <w:sz w:val="32"/>
      <w:szCs w:val="32"/>
    </w:rPr>
  </w:style>
  <w:style w:type="paragraph" w:styleId="12">
    <w:name w:val="List Number"/>
    <w:basedOn w:val="1"/>
    <w:autoRedefine/>
    <w:qFormat/>
    <w:uiPriority w:val="0"/>
    <w:pPr>
      <w:numPr>
        <w:ilvl w:val="0"/>
        <w:numId w:val="2"/>
      </w:numPr>
      <w:tabs>
        <w:tab w:val="left" w:pos="360"/>
        <w:tab w:val="clear" w:pos="1455"/>
      </w:tabs>
    </w:pPr>
  </w:style>
  <w:style w:type="paragraph" w:styleId="13">
    <w:name w:val="Normal Indent"/>
    <w:basedOn w:val="1"/>
    <w:autoRedefine/>
    <w:qFormat/>
    <w:uiPriority w:val="0"/>
    <w:pPr>
      <w:ind w:firstLine="420" w:firstLineChars="200"/>
    </w:pPr>
    <w:rPr>
      <w:sz w:val="28"/>
      <w:szCs w:val="20"/>
    </w:rPr>
  </w:style>
  <w:style w:type="paragraph" w:styleId="14">
    <w:name w:val="annotation text"/>
    <w:basedOn w:val="1"/>
    <w:link w:val="51"/>
    <w:autoRedefine/>
    <w:qFormat/>
    <w:uiPriority w:val="99"/>
    <w:pPr>
      <w:jc w:val="left"/>
    </w:pPr>
  </w:style>
  <w:style w:type="paragraph" w:styleId="15">
    <w:name w:val="Body Text"/>
    <w:basedOn w:val="1"/>
    <w:autoRedefine/>
    <w:qFormat/>
    <w:uiPriority w:val="0"/>
    <w:pPr>
      <w:jc w:val="center"/>
    </w:pPr>
    <w:rPr>
      <w:rFonts w:ascii="宋体" w:hAnsi="宋体"/>
      <w:b/>
      <w:bCs/>
      <w:color w:val="000000"/>
      <w:sz w:val="72"/>
      <w:szCs w:val="20"/>
    </w:rPr>
  </w:style>
  <w:style w:type="paragraph" w:styleId="16">
    <w:name w:val="Body Text Indent"/>
    <w:basedOn w:val="1"/>
    <w:autoRedefine/>
    <w:qFormat/>
    <w:uiPriority w:val="0"/>
    <w:pPr>
      <w:spacing w:line="460" w:lineRule="exact"/>
      <w:ind w:firstLine="482" w:firstLineChars="200"/>
    </w:pPr>
    <w:rPr>
      <w:b/>
      <w:bCs/>
      <w:sz w:val="24"/>
      <w:shd w:val="clear" w:color="auto" w:fill="CCCCCC"/>
    </w:rPr>
  </w:style>
  <w:style w:type="paragraph" w:styleId="17">
    <w:name w:val="Plain Text"/>
    <w:basedOn w:val="1"/>
    <w:next w:val="1"/>
    <w:link w:val="52"/>
    <w:autoRedefine/>
    <w:qFormat/>
    <w:uiPriority w:val="0"/>
    <w:rPr>
      <w:rFonts w:ascii="宋体" w:hAnsi="Courier New" w:cs="Courier New"/>
      <w:szCs w:val="21"/>
    </w:rPr>
  </w:style>
  <w:style w:type="paragraph" w:styleId="18">
    <w:name w:val="Date"/>
    <w:basedOn w:val="1"/>
    <w:next w:val="1"/>
    <w:autoRedefine/>
    <w:qFormat/>
    <w:uiPriority w:val="0"/>
    <w:rPr>
      <w:sz w:val="28"/>
      <w:szCs w:val="20"/>
    </w:rPr>
  </w:style>
  <w:style w:type="paragraph" w:styleId="19">
    <w:name w:val="Body Text Indent 2"/>
    <w:basedOn w:val="1"/>
    <w:autoRedefine/>
    <w:qFormat/>
    <w:uiPriority w:val="0"/>
    <w:pPr>
      <w:spacing w:line="360" w:lineRule="auto"/>
      <w:ind w:firstLine="480"/>
    </w:pPr>
    <w:rPr>
      <w:rFonts w:hint="eastAsia" w:ascii="宋体" w:eastAsia="新宋体"/>
      <w:sz w:val="24"/>
      <w:szCs w:val="20"/>
    </w:rPr>
  </w:style>
  <w:style w:type="paragraph" w:styleId="20">
    <w:name w:val="Balloon Text"/>
    <w:basedOn w:val="1"/>
    <w:autoRedefine/>
    <w:qFormat/>
    <w:uiPriority w:val="0"/>
    <w:rPr>
      <w:sz w:val="18"/>
      <w:szCs w:val="18"/>
    </w:rPr>
  </w:style>
  <w:style w:type="paragraph" w:styleId="21">
    <w:name w:val="footer"/>
    <w:basedOn w:val="1"/>
    <w:autoRedefine/>
    <w:qFormat/>
    <w:uiPriority w:val="0"/>
    <w:pPr>
      <w:tabs>
        <w:tab w:val="center" w:pos="4153"/>
        <w:tab w:val="right" w:pos="8306"/>
      </w:tabs>
      <w:snapToGrid w:val="0"/>
      <w:jc w:val="left"/>
    </w:pPr>
    <w:rPr>
      <w:sz w:val="18"/>
      <w:szCs w:val="18"/>
    </w:rPr>
  </w:style>
  <w:style w:type="paragraph" w:styleId="22">
    <w:name w:val="header"/>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styleId="23">
    <w:name w:val="toc 1"/>
    <w:basedOn w:val="1"/>
    <w:next w:val="1"/>
    <w:autoRedefine/>
    <w:semiHidden/>
    <w:qFormat/>
    <w:uiPriority w:val="0"/>
    <w:pPr>
      <w:spacing w:line="460" w:lineRule="exact"/>
    </w:pPr>
    <w:rPr>
      <w:b/>
      <w:bCs/>
      <w:sz w:val="28"/>
      <w:szCs w:val="30"/>
    </w:rPr>
  </w:style>
  <w:style w:type="paragraph" w:styleId="24">
    <w:name w:val="Body Text Indent 3"/>
    <w:basedOn w:val="1"/>
    <w:autoRedefine/>
    <w:qFormat/>
    <w:uiPriority w:val="0"/>
    <w:pPr>
      <w:spacing w:after="120"/>
      <w:ind w:left="420" w:leftChars="200"/>
    </w:pPr>
    <w:rPr>
      <w:sz w:val="16"/>
      <w:szCs w:val="16"/>
    </w:rPr>
  </w:style>
  <w:style w:type="paragraph" w:styleId="25">
    <w:name w:val="toc 2"/>
    <w:basedOn w:val="1"/>
    <w:next w:val="1"/>
    <w:autoRedefine/>
    <w:semiHidden/>
    <w:qFormat/>
    <w:uiPriority w:val="0"/>
    <w:pPr>
      <w:ind w:left="420" w:leftChars="200"/>
    </w:pPr>
  </w:style>
  <w:style w:type="paragraph" w:styleId="26">
    <w:name w:val="toc 9"/>
    <w:basedOn w:val="1"/>
    <w:next w:val="1"/>
    <w:autoRedefine/>
    <w:qFormat/>
    <w:uiPriority w:val="0"/>
    <w:pPr>
      <w:ind w:left="3360" w:leftChars="1600"/>
    </w:pPr>
    <w:rPr>
      <w:rFonts w:ascii="Calibri" w:hAnsi="Calibri"/>
    </w:rPr>
  </w:style>
  <w:style w:type="paragraph" w:styleId="27">
    <w:name w:val="Body Text 2"/>
    <w:basedOn w:val="1"/>
    <w:autoRedefine/>
    <w:qFormat/>
    <w:uiPriority w:val="0"/>
    <w:pPr>
      <w:spacing w:after="120" w:line="480" w:lineRule="auto"/>
    </w:pPr>
  </w:style>
  <w:style w:type="paragraph" w:styleId="28">
    <w:name w:val="Normal (Web)"/>
    <w:basedOn w:val="1"/>
    <w:autoRedefine/>
    <w:qFormat/>
    <w:uiPriority w:val="0"/>
    <w:rPr>
      <w:sz w:val="24"/>
    </w:rPr>
  </w:style>
  <w:style w:type="paragraph" w:styleId="29">
    <w:name w:val="index 1"/>
    <w:basedOn w:val="1"/>
    <w:next w:val="1"/>
    <w:autoRedefine/>
    <w:semiHidden/>
    <w:qFormat/>
    <w:uiPriority w:val="0"/>
  </w:style>
  <w:style w:type="paragraph" w:styleId="30">
    <w:name w:val="annotation subject"/>
    <w:basedOn w:val="14"/>
    <w:next w:val="14"/>
    <w:autoRedefine/>
    <w:qFormat/>
    <w:uiPriority w:val="0"/>
    <w:rPr>
      <w:b/>
      <w:bCs/>
    </w:rPr>
  </w:style>
  <w:style w:type="paragraph" w:styleId="31">
    <w:name w:val="Body Text First Indent"/>
    <w:basedOn w:val="15"/>
    <w:autoRedefine/>
    <w:qFormat/>
    <w:uiPriority w:val="99"/>
    <w:pPr>
      <w:spacing w:after="120"/>
      <w:ind w:firstLine="210"/>
      <w:jc w:val="both"/>
    </w:pPr>
    <w:rPr>
      <w:b w:val="0"/>
      <w:bCs w:val="0"/>
      <w:sz w:val="21"/>
      <w:szCs w:val="21"/>
    </w:rPr>
  </w:style>
  <w:style w:type="paragraph" w:styleId="32">
    <w:name w:val="Body Text First Indent 2"/>
    <w:basedOn w:val="16"/>
    <w:autoRedefine/>
    <w:qFormat/>
    <w:uiPriority w:val="0"/>
    <w:pPr>
      <w:tabs>
        <w:tab w:val="left" w:pos="0"/>
        <w:tab w:val="left" w:pos="993"/>
        <w:tab w:val="left" w:pos="1134"/>
      </w:tabs>
      <w:ind w:left="0" w:leftChars="0" w:firstLineChars="200"/>
    </w:pPr>
    <w:rPr>
      <w:rFonts w:ascii="Calibri" w:hAnsi="Calibri" w:eastAsia="宋体" w:cs="Times New Roman"/>
    </w:rPr>
  </w:style>
  <w:style w:type="table" w:styleId="34">
    <w:name w:val="Table Grid"/>
    <w:basedOn w:val="33"/>
    <w:autoRedefine/>
    <w:qFormat/>
    <w:uiPriority w:val="0"/>
    <w:pPr>
      <w:widowControl w:val="0"/>
      <w:jc w:val="both"/>
    </w:pPr>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6">
    <w:name w:val="Strong"/>
    <w:basedOn w:val="35"/>
    <w:qFormat/>
    <w:uiPriority w:val="0"/>
    <w:rPr>
      <w:b/>
      <w:bCs/>
    </w:rPr>
  </w:style>
  <w:style w:type="character" w:styleId="37">
    <w:name w:val="page number"/>
    <w:autoRedefine/>
    <w:qFormat/>
    <w:uiPriority w:val="0"/>
    <w:rPr>
      <w:szCs w:val="20"/>
    </w:rPr>
  </w:style>
  <w:style w:type="character" w:styleId="38">
    <w:name w:val="FollowedHyperlink"/>
    <w:autoRedefine/>
    <w:qFormat/>
    <w:uiPriority w:val="0"/>
    <w:rPr>
      <w:color w:val="800080"/>
      <w:szCs w:val="20"/>
      <w:u w:val="single"/>
    </w:rPr>
  </w:style>
  <w:style w:type="character" w:styleId="39">
    <w:name w:val="Emphasis"/>
    <w:basedOn w:val="35"/>
    <w:qFormat/>
    <w:uiPriority w:val="0"/>
    <w:rPr>
      <w:b/>
      <w:bCs/>
    </w:rPr>
  </w:style>
  <w:style w:type="character" w:styleId="40">
    <w:name w:val="HTML Definition"/>
    <w:basedOn w:val="35"/>
    <w:uiPriority w:val="0"/>
  </w:style>
  <w:style w:type="character" w:styleId="41">
    <w:name w:val="HTML Typewriter"/>
    <w:basedOn w:val="35"/>
    <w:uiPriority w:val="0"/>
    <w:rPr>
      <w:rFonts w:ascii="monospace" w:hAnsi="monospace" w:eastAsia="monospace" w:cs="monospace"/>
      <w:sz w:val="20"/>
    </w:rPr>
  </w:style>
  <w:style w:type="character" w:styleId="42">
    <w:name w:val="HTML Acronym"/>
    <w:basedOn w:val="35"/>
    <w:uiPriority w:val="0"/>
    <w:rPr>
      <w:bdr w:val="none" w:color="auto" w:sz="0" w:space="0"/>
    </w:rPr>
  </w:style>
  <w:style w:type="character" w:styleId="43">
    <w:name w:val="HTML Variable"/>
    <w:basedOn w:val="35"/>
    <w:uiPriority w:val="0"/>
  </w:style>
  <w:style w:type="character" w:styleId="44">
    <w:name w:val="Hyperlink"/>
    <w:autoRedefine/>
    <w:qFormat/>
    <w:uiPriority w:val="0"/>
    <w:rPr>
      <w:color w:val="0000FF"/>
      <w:szCs w:val="20"/>
      <w:u w:val="single"/>
    </w:rPr>
  </w:style>
  <w:style w:type="character" w:styleId="45">
    <w:name w:val="HTML Code"/>
    <w:basedOn w:val="35"/>
    <w:uiPriority w:val="0"/>
    <w:rPr>
      <w:rFonts w:hint="default" w:ascii="monospace" w:hAnsi="monospace" w:eastAsia="monospace" w:cs="monospace"/>
      <w:sz w:val="20"/>
      <w:bdr w:val="none" w:color="auto" w:sz="0" w:space="0"/>
    </w:rPr>
  </w:style>
  <w:style w:type="character" w:styleId="46">
    <w:name w:val="annotation reference"/>
    <w:autoRedefine/>
    <w:qFormat/>
    <w:uiPriority w:val="99"/>
    <w:rPr>
      <w:sz w:val="21"/>
      <w:szCs w:val="21"/>
    </w:rPr>
  </w:style>
  <w:style w:type="character" w:styleId="47">
    <w:name w:val="HTML Cite"/>
    <w:basedOn w:val="35"/>
    <w:uiPriority w:val="0"/>
  </w:style>
  <w:style w:type="character" w:styleId="48">
    <w:name w:val="HTML Keyboard"/>
    <w:basedOn w:val="35"/>
    <w:uiPriority w:val="0"/>
    <w:rPr>
      <w:rFonts w:hint="default" w:ascii="monospace" w:hAnsi="monospace" w:eastAsia="monospace" w:cs="monospace"/>
      <w:sz w:val="20"/>
    </w:rPr>
  </w:style>
  <w:style w:type="character" w:styleId="49">
    <w:name w:val="HTML Sample"/>
    <w:basedOn w:val="35"/>
    <w:uiPriority w:val="0"/>
    <w:rPr>
      <w:rFonts w:hint="default" w:ascii="monospace" w:hAnsi="monospace" w:eastAsia="monospace" w:cs="monospace"/>
    </w:rPr>
  </w:style>
  <w:style w:type="character" w:customStyle="1" w:styleId="50">
    <w:name w:val="标题 Char"/>
    <w:link w:val="2"/>
    <w:autoRedefine/>
    <w:qFormat/>
    <w:uiPriority w:val="0"/>
    <w:rPr>
      <w:rFonts w:ascii="Cambria" w:hAnsi="Cambria" w:cs="Times New Roman"/>
      <w:b/>
      <w:bCs/>
      <w:kern w:val="2"/>
      <w:sz w:val="32"/>
      <w:szCs w:val="32"/>
    </w:rPr>
  </w:style>
  <w:style w:type="character" w:customStyle="1" w:styleId="51">
    <w:name w:val="批注文字 Char"/>
    <w:link w:val="14"/>
    <w:autoRedefine/>
    <w:qFormat/>
    <w:uiPriority w:val="99"/>
    <w:rPr>
      <w:kern w:val="2"/>
      <w:sz w:val="21"/>
      <w:szCs w:val="24"/>
    </w:rPr>
  </w:style>
  <w:style w:type="character" w:customStyle="1" w:styleId="52">
    <w:name w:val="纯文本 Char"/>
    <w:link w:val="17"/>
    <w:autoRedefine/>
    <w:qFormat/>
    <w:uiPriority w:val="0"/>
    <w:rPr>
      <w:rFonts w:ascii="宋体" w:hAnsi="Courier New" w:eastAsia="宋体" w:cs="Courier New"/>
      <w:kern w:val="2"/>
      <w:sz w:val="21"/>
      <w:szCs w:val="21"/>
      <w:lang w:val="en-US" w:eastAsia="zh-CN" w:bidi="ar-SA"/>
    </w:rPr>
  </w:style>
  <w:style w:type="paragraph" w:customStyle="1" w:styleId="53">
    <w:name w:val="首行缩进"/>
    <w:basedOn w:val="1"/>
    <w:autoRedefine/>
    <w:unhideWhenUsed/>
    <w:qFormat/>
    <w:uiPriority w:val="99"/>
    <w:pPr>
      <w:spacing w:beforeLines="0" w:afterLines="0" w:line="360" w:lineRule="auto"/>
      <w:ind w:firstLine="480" w:firstLineChars="200"/>
    </w:pPr>
    <w:rPr>
      <w:rFonts w:hint="default"/>
      <w:sz w:val="24"/>
      <w:szCs w:val="24"/>
      <w:lang w:val="zh-CN"/>
    </w:rPr>
  </w:style>
  <w:style w:type="character" w:customStyle="1" w:styleId="54">
    <w:name w:val="Char Char1"/>
    <w:autoRedefine/>
    <w:qFormat/>
    <w:uiPriority w:val="0"/>
    <w:rPr>
      <w:rFonts w:ascii="宋体" w:hAnsi="Courier New" w:eastAsia="宋体" w:cs="Courier New"/>
      <w:kern w:val="2"/>
      <w:sz w:val="21"/>
      <w:szCs w:val="21"/>
      <w:lang w:val="en-US" w:eastAsia="zh-CN" w:bidi="ar-SA"/>
    </w:rPr>
  </w:style>
  <w:style w:type="character" w:customStyle="1" w:styleId="55">
    <w:name w:val="纯文本 Char1"/>
    <w:autoRedefine/>
    <w:qFormat/>
    <w:uiPriority w:val="0"/>
    <w:rPr>
      <w:rFonts w:ascii="宋体" w:hAnsi="Courier New" w:cs="Courier New"/>
      <w:kern w:val="2"/>
      <w:sz w:val="21"/>
      <w:szCs w:val="21"/>
    </w:rPr>
  </w:style>
  <w:style w:type="character" w:customStyle="1" w:styleId="56">
    <w:name w:val="普通文字 Char Char2"/>
    <w:autoRedefine/>
    <w:qFormat/>
    <w:uiPriority w:val="0"/>
    <w:rPr>
      <w:rFonts w:ascii="宋体" w:hAnsi="Courier New" w:eastAsia="宋体" w:cs="Courier New"/>
      <w:kern w:val="2"/>
      <w:sz w:val="21"/>
      <w:szCs w:val="21"/>
      <w:lang w:val="en-US" w:eastAsia="zh-CN" w:bidi="ar-SA"/>
    </w:rPr>
  </w:style>
  <w:style w:type="paragraph" w:customStyle="1" w:styleId="57">
    <w:name w:val="样式"/>
    <w:basedOn w:val="1"/>
    <w:autoRedefine/>
    <w:qFormat/>
    <w:uiPriority w:val="0"/>
    <w:pPr>
      <w:autoSpaceDE w:val="0"/>
      <w:autoSpaceDN w:val="0"/>
      <w:snapToGrid w:val="0"/>
      <w:spacing w:before="120" w:after="120" w:line="360" w:lineRule="auto"/>
    </w:pPr>
    <w:rPr>
      <w:rFonts w:ascii="宋体"/>
      <w:sz w:val="24"/>
      <w:szCs w:val="20"/>
    </w:rPr>
  </w:style>
  <w:style w:type="paragraph" w:customStyle="1" w:styleId="58">
    <w:name w:val="**正文"/>
    <w:basedOn w:val="1"/>
    <w:autoRedefine/>
    <w:qFormat/>
    <w:uiPriority w:val="0"/>
    <w:pPr>
      <w:spacing w:line="360" w:lineRule="auto"/>
      <w:jc w:val="left"/>
    </w:pPr>
    <w:rPr>
      <w:sz w:val="24"/>
      <w:szCs w:val="20"/>
    </w:rPr>
  </w:style>
  <w:style w:type="paragraph" w:customStyle="1" w:styleId="59">
    <w:name w:val="Char Char Char2 Char Char Char"/>
    <w:basedOn w:val="1"/>
    <w:autoRedefine/>
    <w:qFormat/>
    <w:uiPriority w:val="0"/>
  </w:style>
  <w:style w:type="paragraph" w:customStyle="1" w:styleId="60">
    <w:name w:val="标题1"/>
    <w:basedOn w:val="23"/>
    <w:autoRedefine/>
    <w:qFormat/>
    <w:uiPriority w:val="0"/>
    <w:pPr>
      <w:widowControl/>
      <w:overflowPunct w:val="0"/>
      <w:autoSpaceDE w:val="0"/>
      <w:autoSpaceDN w:val="0"/>
      <w:adjustRightInd w:val="0"/>
      <w:spacing w:before="120" w:after="120" w:line="420" w:lineRule="exact"/>
      <w:jc w:val="center"/>
      <w:textAlignment w:val="baseline"/>
    </w:pPr>
    <w:rPr>
      <w:rFonts w:ascii="宋体" w:hAnsi="宋体"/>
      <w:b w:val="0"/>
      <w:bCs w:val="0"/>
      <w:kern w:val="0"/>
      <w:sz w:val="44"/>
      <w:szCs w:val="20"/>
    </w:rPr>
  </w:style>
  <w:style w:type="paragraph" w:customStyle="1" w:styleId="61">
    <w:name w:val="纯文本1"/>
    <w:basedOn w:val="1"/>
    <w:autoRedefine/>
    <w:qFormat/>
    <w:uiPriority w:val="0"/>
    <w:pPr>
      <w:widowControl/>
      <w:overflowPunct w:val="0"/>
      <w:autoSpaceDE w:val="0"/>
      <w:autoSpaceDN w:val="0"/>
      <w:jc w:val="left"/>
    </w:pPr>
    <w:rPr>
      <w:rFonts w:ascii="宋体" w:hAnsi="Courier New"/>
      <w:kern w:val="0"/>
    </w:rPr>
  </w:style>
  <w:style w:type="paragraph" w:customStyle="1" w:styleId="62">
    <w:name w:val="Char"/>
    <w:basedOn w:val="1"/>
    <w:autoRedefine/>
    <w:qFormat/>
    <w:uiPriority w:val="0"/>
    <w:rPr>
      <w:rFonts w:ascii="仿宋_GB2312" w:eastAsia="仿宋_GB2312" w:cs="仿宋_GB2312"/>
      <w:b/>
      <w:bCs/>
      <w:sz w:val="32"/>
      <w:szCs w:val="32"/>
    </w:rPr>
  </w:style>
  <w:style w:type="paragraph" w:styleId="63">
    <w:name w:val="List Paragraph"/>
    <w:basedOn w:val="1"/>
    <w:autoRedefine/>
    <w:qFormat/>
    <w:uiPriority w:val="34"/>
    <w:pPr>
      <w:ind w:firstLine="420" w:firstLineChars="200"/>
    </w:pPr>
    <w:rPr>
      <w:rFonts w:ascii="Calibri" w:hAnsi="Calibri" w:cs="Calibri"/>
      <w:szCs w:val="21"/>
    </w:rPr>
  </w:style>
  <w:style w:type="paragraph" w:customStyle="1" w:styleId="64">
    <w:name w:val="标题 7 New"/>
    <w:basedOn w:val="1"/>
    <w:next w:val="1"/>
    <w:autoRedefine/>
    <w:qFormat/>
    <w:uiPriority w:val="0"/>
    <w:pPr>
      <w:keepNext/>
      <w:keepLines/>
      <w:widowControl/>
      <w:tabs>
        <w:tab w:val="left" w:pos="2520"/>
      </w:tabs>
      <w:spacing w:before="240" w:after="64" w:line="317" w:lineRule="auto"/>
      <w:ind w:left="1296" w:hanging="1296"/>
      <w:jc w:val="left"/>
      <w:outlineLvl w:val="6"/>
    </w:pPr>
    <w:rPr>
      <w:b/>
      <w:kern w:val="0"/>
      <w:sz w:val="24"/>
      <w:szCs w:val="20"/>
    </w:rPr>
  </w:style>
  <w:style w:type="paragraph" w:customStyle="1" w:styleId="65">
    <w:name w:val="+正文"/>
    <w:basedOn w:val="1"/>
    <w:autoRedefine/>
    <w:qFormat/>
    <w:uiPriority w:val="0"/>
    <w:pPr>
      <w:spacing w:line="360" w:lineRule="auto"/>
      <w:ind w:firstLine="200" w:firstLineChars="200"/>
    </w:pPr>
    <w:rPr>
      <w:sz w:val="24"/>
      <w:szCs w:val="28"/>
    </w:rPr>
  </w:style>
  <w:style w:type="paragraph" w:customStyle="1" w:styleId="66">
    <w:name w:val="Char Char Char1 Char Char Char Char Char Char Char Char Char Char Char Char Char"/>
    <w:basedOn w:val="1"/>
    <w:autoRedefine/>
    <w:qFormat/>
    <w:uiPriority w:val="0"/>
  </w:style>
  <w:style w:type="paragraph" w:customStyle="1" w:styleId="67">
    <w:name w:val="Char1"/>
    <w:basedOn w:val="1"/>
    <w:autoRedefine/>
    <w:qFormat/>
    <w:uiPriority w:val="0"/>
    <w:rPr>
      <w:szCs w:val="20"/>
    </w:rPr>
  </w:style>
  <w:style w:type="paragraph" w:customStyle="1" w:styleId="68">
    <w:name w:val="ÕýÎÄ"/>
    <w:autoRedefine/>
    <w:qFormat/>
    <w:uiPriority w:val="0"/>
    <w:pPr>
      <w:widowControl w:val="0"/>
      <w:overflowPunct w:val="0"/>
      <w:autoSpaceDE w:val="0"/>
      <w:autoSpaceDN w:val="0"/>
      <w:adjustRightInd w:val="0"/>
      <w:spacing w:line="351" w:lineRule="atLeast"/>
      <w:ind w:firstLine="419"/>
      <w:jc w:val="both"/>
      <w:textAlignment w:val="baseline"/>
    </w:pPr>
    <w:rPr>
      <w:rFonts w:ascii="Times New Roman" w:hAnsi="Times New Roman" w:eastAsia="宋体" w:cs="Times New Roman"/>
      <w:color w:val="000000"/>
      <w:sz w:val="21"/>
      <w:lang w:val="en-US" w:eastAsia="zh-CN" w:bidi="ar-SA"/>
    </w:rPr>
  </w:style>
  <w:style w:type="paragraph" w:customStyle="1" w:styleId="69">
    <w:name w:val="Char Char Char"/>
    <w:basedOn w:val="1"/>
    <w:autoRedefine/>
    <w:qFormat/>
    <w:uiPriority w:val="0"/>
    <w:rPr>
      <w:rFonts w:ascii="Tahoma" w:hAnsi="Tahoma"/>
      <w:sz w:val="24"/>
      <w:szCs w:val="20"/>
    </w:rPr>
  </w:style>
  <w:style w:type="paragraph" w:customStyle="1" w:styleId="70">
    <w:name w:val="xl24"/>
    <w:basedOn w:val="1"/>
    <w:autoRedefine/>
    <w:qFormat/>
    <w:uiPriority w:val="0"/>
    <w:pPr>
      <w:widowControl/>
      <w:spacing w:before="100" w:beforeAutospacing="1" w:after="100" w:afterAutospacing="1"/>
      <w:jc w:val="right"/>
    </w:pPr>
    <w:rPr>
      <w:rFonts w:ascii="宋体" w:hAnsi="宋体"/>
      <w:kern w:val="0"/>
      <w:sz w:val="24"/>
    </w:rPr>
  </w:style>
  <w:style w:type="paragraph" w:customStyle="1" w:styleId="71">
    <w:name w:val="Char3"/>
    <w:basedOn w:val="1"/>
    <w:autoRedefine/>
    <w:qFormat/>
    <w:uiPriority w:val="0"/>
    <w:pPr>
      <w:tabs>
        <w:tab w:val="left" w:pos="360"/>
      </w:tabs>
    </w:pPr>
    <w:rPr>
      <w:sz w:val="24"/>
    </w:rPr>
  </w:style>
  <w:style w:type="paragraph" w:customStyle="1" w:styleId="72">
    <w:name w:val="Plain Text1"/>
    <w:basedOn w:val="1"/>
    <w:autoRedefine/>
    <w:qFormat/>
    <w:uiPriority w:val="99"/>
    <w:pPr>
      <w:widowControl/>
      <w:overflowPunct w:val="0"/>
      <w:autoSpaceDE w:val="0"/>
      <w:autoSpaceDN w:val="0"/>
      <w:jc w:val="left"/>
    </w:pPr>
    <w:rPr>
      <w:rFonts w:ascii="宋体" w:hAnsi="Courier New" w:cs="宋体"/>
      <w:kern w:val="0"/>
      <w:szCs w:val="21"/>
    </w:rPr>
  </w:style>
  <w:style w:type="character" w:customStyle="1" w:styleId="73">
    <w:name w:val="段 Char"/>
    <w:link w:val="74"/>
    <w:autoRedefine/>
    <w:qFormat/>
    <w:uiPriority w:val="0"/>
    <w:rPr>
      <w:rFonts w:ascii="宋体"/>
      <w:sz w:val="21"/>
    </w:rPr>
  </w:style>
  <w:style w:type="paragraph" w:customStyle="1" w:styleId="74">
    <w:name w:val="段"/>
    <w:link w:val="73"/>
    <w:autoRedefine/>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75">
    <w:name w:val=" Char"/>
    <w:basedOn w:val="1"/>
    <w:autoRedefine/>
    <w:qFormat/>
    <w:uiPriority w:val="0"/>
    <w:rPr>
      <w:rFonts w:eastAsia="Arial Unicode MS"/>
      <w:szCs w:val="20"/>
    </w:rPr>
  </w:style>
  <w:style w:type="paragraph" w:customStyle="1" w:styleId="76">
    <w:name w:val="正文文本首行缩进 21"/>
    <w:autoRedefine/>
    <w:qFormat/>
    <w:uiPriority w:val="99"/>
    <w:pPr>
      <w:widowControl w:val="0"/>
      <w:spacing w:line="200" w:lineRule="atLeast"/>
      <w:ind w:firstLine="420"/>
      <w:jc w:val="both"/>
    </w:pPr>
    <w:rPr>
      <w:rFonts w:ascii="宋体" w:hAnsi="Courier New" w:eastAsia="宋体" w:cs="Times New Roman"/>
      <w:spacing w:val="-4"/>
      <w:kern w:val="2"/>
      <w:sz w:val="18"/>
      <w:szCs w:val="22"/>
      <w:lang w:val="en-US" w:eastAsia="zh-CN" w:bidi="ar-SA"/>
    </w:rPr>
  </w:style>
  <w:style w:type="paragraph" w:customStyle="1" w:styleId="77">
    <w:name w:val="reader-word-layer"/>
    <w:basedOn w:val="1"/>
    <w:autoRedefine/>
    <w:qFormat/>
    <w:uiPriority w:val="0"/>
    <w:pPr>
      <w:widowControl/>
      <w:spacing w:before="100" w:beforeLines="0" w:beforeAutospacing="1" w:after="100" w:afterLines="0" w:afterAutospacing="1"/>
      <w:jc w:val="left"/>
    </w:pPr>
    <w:rPr>
      <w:rFonts w:ascii="宋体" w:hAnsi="宋体" w:cs="宋体"/>
      <w:kern w:val="0"/>
      <w:sz w:val="24"/>
    </w:rPr>
  </w:style>
  <w:style w:type="paragraph" w:customStyle="1" w:styleId="78">
    <w:name w:val="列出段落1"/>
    <w:autoRedefine/>
    <w:qFormat/>
    <w:uiPriority w:val="34"/>
    <w:pPr>
      <w:widowControl w:val="0"/>
      <w:ind w:firstLine="420"/>
      <w:jc w:val="both"/>
    </w:pPr>
    <w:rPr>
      <w:rFonts w:ascii="Times New Roman" w:hAnsi="Times New Roman" w:eastAsia="Calibri" w:cs="Calibri"/>
      <w:color w:val="000000"/>
      <w:kern w:val="2"/>
      <w:sz w:val="21"/>
      <w:szCs w:val="21"/>
      <w:lang w:val="en-US" w:eastAsia="zh-CN" w:bidi="ar-SA"/>
    </w:rPr>
  </w:style>
  <w:style w:type="paragraph" w:customStyle="1" w:styleId="79">
    <w:name w:val="_Style 3"/>
    <w:autoRedefine/>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80">
    <w:name w:val="表"/>
    <w:basedOn w:val="1"/>
    <w:autoRedefine/>
    <w:qFormat/>
    <w:uiPriority w:val="0"/>
    <w:pPr>
      <w:adjustRightInd w:val="0"/>
      <w:snapToGrid w:val="0"/>
      <w:spacing w:line="312" w:lineRule="auto"/>
    </w:pPr>
  </w:style>
  <w:style w:type="character" w:customStyle="1" w:styleId="81">
    <w:name w:val="font21"/>
    <w:basedOn w:val="35"/>
    <w:autoRedefine/>
    <w:qFormat/>
    <w:uiPriority w:val="0"/>
    <w:rPr>
      <w:rFonts w:hint="eastAsia" w:ascii="宋体" w:hAnsi="宋体" w:eastAsia="宋体" w:cs="宋体"/>
      <w:color w:val="000000"/>
      <w:sz w:val="21"/>
      <w:szCs w:val="21"/>
      <w:u w:val="none"/>
    </w:rPr>
  </w:style>
  <w:style w:type="character" w:customStyle="1" w:styleId="82">
    <w:name w:val="font11"/>
    <w:basedOn w:val="35"/>
    <w:autoRedefine/>
    <w:qFormat/>
    <w:uiPriority w:val="0"/>
    <w:rPr>
      <w:rFonts w:hint="eastAsia" w:ascii="宋体" w:hAnsi="宋体" w:eastAsia="宋体"/>
      <w:color w:val="FF0000"/>
      <w:sz w:val="28"/>
      <w:szCs w:val="28"/>
      <w:u w:val="none"/>
    </w:rPr>
  </w:style>
  <w:style w:type="character" w:customStyle="1" w:styleId="83">
    <w:name w:val="status"/>
    <w:basedOn w:val="35"/>
    <w:uiPriority w:val="0"/>
    <w:rPr>
      <w:color w:val="0776DD"/>
    </w:rPr>
  </w:style>
  <w:style w:type="character" w:customStyle="1" w:styleId="84">
    <w:name w:val="time"/>
    <w:basedOn w:val="35"/>
    <w:uiPriority w:val="0"/>
  </w:style>
  <w:style w:type="character" w:customStyle="1" w:styleId="85">
    <w:name w:val="mini-outputtext1"/>
    <w:basedOn w:val="35"/>
    <w:uiPriority w:val="0"/>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header" Target="header2.xml"/><Relationship Id="rId6" Type="http://schemas.openxmlformats.org/officeDocument/2006/relationships/footer" Target="footer3.xml"/><Relationship Id="rId5" Type="http://schemas.openxmlformats.org/officeDocument/2006/relationships/header" Target="header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9" Type="http://schemas.openxmlformats.org/officeDocument/2006/relationships/font" Target="fonts/font9.odttf"/><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1" Type="http://schemas.openxmlformats.org/officeDocument/2006/relationships/font" Target="fonts/font11.odttf"/><Relationship Id="rId10" Type="http://schemas.openxmlformats.org/officeDocument/2006/relationships/font" Target="fonts/font10.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www.ftpdown.com</Company>
  <Pages>69</Pages>
  <Words>17183</Words>
  <Characters>18890</Characters>
  <Lines>260</Lines>
  <Paragraphs>73</Paragraphs>
  <TotalTime>0</TotalTime>
  <ScaleCrop>false</ScaleCrop>
  <LinksUpToDate>false</LinksUpToDate>
  <CharactersWithSpaces>19108</CharactersWithSpaces>
  <Application>WPS Office_12.1.0.16412_F1E327BC-269C-435d-A152-05C5408002CA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2020-05-01T03:03:00Z</dcterms:created>
  <dc:creator>NTKO</dc:creator>
  <cp:lastModifiedBy>Lenovo</cp:lastModifiedBy>
  <cp:lastPrinted>2024-08-29T08:15:00Z</cp:lastPrinted>
  <dcterms:modified xsi:type="dcterms:W3CDTF">2025-10-23T02:21:45Z</dcterms:modified>
  <dc:title>复合水表等井等采购</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2052-12.1.0.16412</vt:lpwstr>
  </property>
  <property fmtid="{D5CDD505-2E9C-101B-9397-08002B2CF9AE}" pid="3" name="ICV">
    <vt:lpwstr>78519AA0D5DD474DADB9DCACE831FA63_13</vt:lpwstr>
  </property>
  <property fmtid="{D5CDD505-2E9C-101B-9397-08002B2CF9AE}" pid="4" name="KSOTemplateDocerSaveRecord">
    <vt:lpwstr>eyJoZGlkIjoiOTcwZmZkNDM4NWFkZWZlYWYxNGMxZjhjYjZhODliOTMiLCJ1c2VySWQiOiIxNTYwMDA0MzMyIn0=</vt:lpwstr>
  </property>
</Properties>
</file>