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21E83">
      <w:pPr>
        <w:pStyle w:val="18"/>
        <w:snapToGrid w:val="0"/>
        <w:spacing w:before="120" w:after="120" w:line="360" w:lineRule="auto"/>
        <w:ind w:firstLine="522"/>
        <w:jc w:val="center"/>
        <w:rPr>
          <w:rFonts w:hAnsi="宋体" w:cs="宋体"/>
          <w:b/>
          <w:bCs/>
          <w:color w:val="auto"/>
          <w:sz w:val="52"/>
          <w:szCs w:val="52"/>
          <w:highlight w:val="none"/>
        </w:rPr>
      </w:pPr>
      <w:bookmarkStart w:id="177" w:name="_GoBack"/>
      <w:r>
        <w:rPr>
          <w:rFonts w:hint="eastAsia" w:hAnsi="宋体" w:cs="宋体"/>
          <w:b/>
          <w:bCs/>
          <w:color w:val="auto"/>
          <w:sz w:val="52"/>
          <w:szCs w:val="52"/>
          <w:highlight w:val="none"/>
        </w:rPr>
        <w:t>义乌市保安服务有限公司</w:t>
      </w:r>
    </w:p>
    <w:p w14:paraId="2BC478BF">
      <w:pPr>
        <w:pStyle w:val="18"/>
        <w:snapToGrid w:val="0"/>
        <w:spacing w:before="120" w:after="120" w:line="360" w:lineRule="auto"/>
        <w:ind w:firstLine="522"/>
        <w:jc w:val="center"/>
        <w:rPr>
          <w:rFonts w:hAnsi="宋体" w:cs="宋体"/>
          <w:b/>
          <w:bCs/>
          <w:color w:val="auto"/>
          <w:sz w:val="52"/>
          <w:szCs w:val="52"/>
          <w:highlight w:val="none"/>
        </w:rPr>
      </w:pPr>
      <w:r>
        <w:rPr>
          <w:rFonts w:hint="eastAsia" w:hAnsi="宋体" w:cs="宋体"/>
          <w:b/>
          <w:bCs/>
          <w:color w:val="auto"/>
          <w:sz w:val="52"/>
          <w:szCs w:val="52"/>
          <w:highlight w:val="none"/>
        </w:rPr>
        <w:t>数据资产入表采购项目</w:t>
      </w:r>
    </w:p>
    <w:p w14:paraId="4D0502A2">
      <w:pPr>
        <w:rPr>
          <w:color w:val="auto"/>
          <w:highlight w:val="none"/>
        </w:rPr>
      </w:pPr>
    </w:p>
    <w:p w14:paraId="50065807">
      <w:pPr>
        <w:pStyle w:val="18"/>
        <w:snapToGrid w:val="0"/>
        <w:spacing w:before="120" w:after="120" w:line="360" w:lineRule="auto"/>
        <w:ind w:firstLine="840"/>
        <w:jc w:val="center"/>
        <w:rPr>
          <w:rFonts w:hAnsi="宋体"/>
          <w:color w:val="auto"/>
          <w:sz w:val="84"/>
          <w:szCs w:val="84"/>
          <w:highlight w:val="none"/>
        </w:rPr>
      </w:pPr>
      <w:r>
        <w:rPr>
          <w:rFonts w:hint="eastAsia" w:hAnsi="宋体"/>
          <w:color w:val="auto"/>
          <w:sz w:val="84"/>
          <w:szCs w:val="84"/>
          <w:highlight w:val="none"/>
        </w:rPr>
        <w:t>招</w:t>
      </w:r>
    </w:p>
    <w:p w14:paraId="31B2D185">
      <w:pPr>
        <w:pStyle w:val="18"/>
        <w:snapToGrid w:val="0"/>
        <w:spacing w:before="120" w:after="120" w:line="360" w:lineRule="auto"/>
        <w:ind w:firstLine="840"/>
        <w:jc w:val="center"/>
        <w:rPr>
          <w:rFonts w:hAnsi="宋体"/>
          <w:color w:val="auto"/>
          <w:sz w:val="84"/>
          <w:szCs w:val="84"/>
          <w:highlight w:val="none"/>
        </w:rPr>
      </w:pPr>
      <w:r>
        <w:rPr>
          <w:rFonts w:hint="eastAsia" w:hAnsi="宋体"/>
          <w:color w:val="auto"/>
          <w:sz w:val="84"/>
          <w:szCs w:val="84"/>
          <w:highlight w:val="none"/>
        </w:rPr>
        <w:t>标</w:t>
      </w:r>
    </w:p>
    <w:p w14:paraId="78B84DA5">
      <w:pPr>
        <w:pStyle w:val="18"/>
        <w:snapToGrid w:val="0"/>
        <w:spacing w:before="120" w:after="120" w:line="360" w:lineRule="auto"/>
        <w:ind w:firstLine="840"/>
        <w:jc w:val="center"/>
        <w:rPr>
          <w:rFonts w:hAnsi="宋体"/>
          <w:color w:val="auto"/>
          <w:sz w:val="84"/>
          <w:szCs w:val="84"/>
          <w:highlight w:val="none"/>
        </w:rPr>
      </w:pPr>
      <w:r>
        <w:rPr>
          <w:rFonts w:hint="eastAsia" w:hAnsi="宋体"/>
          <w:color w:val="auto"/>
          <w:sz w:val="84"/>
          <w:szCs w:val="84"/>
          <w:highlight w:val="none"/>
        </w:rPr>
        <w:t>文</w:t>
      </w:r>
    </w:p>
    <w:p w14:paraId="56AF8151">
      <w:pPr>
        <w:pStyle w:val="18"/>
        <w:snapToGrid w:val="0"/>
        <w:spacing w:before="120" w:after="120" w:line="360" w:lineRule="auto"/>
        <w:ind w:firstLine="840"/>
        <w:jc w:val="center"/>
        <w:rPr>
          <w:b/>
          <w:color w:val="auto"/>
          <w:sz w:val="32"/>
          <w:szCs w:val="32"/>
          <w:highlight w:val="none"/>
        </w:rPr>
      </w:pPr>
      <w:r>
        <w:rPr>
          <w:rFonts w:hint="eastAsia" w:hAnsi="宋体"/>
          <w:color w:val="auto"/>
          <w:sz w:val="84"/>
          <w:szCs w:val="84"/>
          <w:highlight w:val="none"/>
        </w:rPr>
        <w:t>件</w:t>
      </w:r>
    </w:p>
    <w:p w14:paraId="02357E2A">
      <w:pPr>
        <w:pStyle w:val="18"/>
        <w:snapToGrid w:val="0"/>
        <w:spacing w:before="120" w:after="120" w:line="360" w:lineRule="auto"/>
        <w:ind w:firstLine="210"/>
        <w:jc w:val="center"/>
        <w:rPr>
          <w:rFonts w:hAnsi="宋体"/>
          <w:b/>
          <w:bCs/>
          <w:color w:val="auto"/>
          <w:w w:val="95"/>
          <w:sz w:val="32"/>
          <w:szCs w:val="32"/>
          <w:highlight w:val="none"/>
        </w:rPr>
      </w:pPr>
      <w:r>
        <w:rPr>
          <w:rStyle w:val="60"/>
          <w:rFonts w:hint="eastAsia"/>
          <w:color w:val="auto"/>
          <w:highlight w:val="none"/>
        </w:rPr>
        <w:t xml:space="preserve">采购编号：YCQ-2025-CG238   </w:t>
      </w:r>
      <w:r>
        <w:rPr>
          <w:rFonts w:hint="eastAsia"/>
          <w:b/>
          <w:color w:val="auto"/>
          <w:sz w:val="32"/>
          <w:szCs w:val="32"/>
          <w:highlight w:val="none"/>
        </w:rPr>
        <w:t xml:space="preserve"> </w:t>
      </w:r>
    </w:p>
    <w:p w14:paraId="0E1EA65E">
      <w:pPr>
        <w:pStyle w:val="18"/>
        <w:snapToGrid w:val="0"/>
        <w:spacing w:before="120" w:after="120" w:line="360" w:lineRule="auto"/>
        <w:ind w:firstLine="306"/>
        <w:rPr>
          <w:rFonts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color w:val="auto"/>
          <w:sz w:val="32"/>
          <w:szCs w:val="32"/>
          <w:highlight w:val="none"/>
          <w:u w:val="single"/>
        </w:rPr>
        <w:t>义乌市保安服务有限公司（</w:t>
      </w:r>
      <w:r>
        <w:rPr>
          <w:rFonts w:hAnsi="宋体"/>
          <w:b/>
          <w:color w:val="auto"/>
          <w:sz w:val="32"/>
          <w:szCs w:val="32"/>
          <w:highlight w:val="none"/>
          <w:u w:val="single"/>
        </w:rPr>
        <w:t>盖章）</w:t>
      </w:r>
    </w:p>
    <w:p w14:paraId="0A174E5A">
      <w:pPr>
        <w:pStyle w:val="18"/>
        <w:snapToGrid w:val="0"/>
        <w:spacing w:before="120" w:after="120" w:line="360" w:lineRule="auto"/>
        <w:ind w:firstLine="306"/>
        <w:jc w:val="left"/>
        <w:rPr>
          <w:rFonts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rPr>
        <w:t>义乌产权交易所有限公司（盖章）</w:t>
      </w:r>
    </w:p>
    <w:p w14:paraId="581E8092">
      <w:pPr>
        <w:pStyle w:val="18"/>
        <w:snapToGrid w:val="0"/>
        <w:spacing w:before="120" w:after="120" w:line="360" w:lineRule="auto"/>
        <w:ind w:firstLine="321"/>
        <w:rPr>
          <w:rFonts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二〇二五年十月</w:t>
      </w:r>
    </w:p>
    <w:p w14:paraId="6D05C009">
      <w:pPr>
        <w:pStyle w:val="18"/>
        <w:spacing w:before="120" w:after="120" w:line="360" w:lineRule="auto"/>
        <w:ind w:firstLine="420" w:firstLineChars="200"/>
        <w:jc w:val="center"/>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20995B5D">
      <w:pPr>
        <w:pStyle w:val="18"/>
        <w:snapToGrid w:val="0"/>
        <w:spacing w:before="120" w:after="120" w:line="360" w:lineRule="auto"/>
        <w:ind w:firstLine="321"/>
        <w:rPr>
          <w:rFonts w:hAnsi="宋体"/>
          <w:b/>
          <w:color w:val="auto"/>
          <w:sz w:val="32"/>
          <w:szCs w:val="32"/>
          <w:highlight w:val="none"/>
          <w:u w:val="single"/>
        </w:rPr>
      </w:pPr>
    </w:p>
    <w:p w14:paraId="6BC8684F">
      <w:pPr>
        <w:pStyle w:val="24"/>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"_Toc26422" </w:instrText>
      </w:r>
      <w:r>
        <w:rPr>
          <w:color w:val="auto"/>
          <w:highlight w:val="none"/>
        </w:rPr>
        <w:fldChar w:fldCharType="separate"/>
      </w:r>
      <w:r>
        <w:rPr>
          <w:color w:val="auto"/>
          <w:highlight w:val="none"/>
        </w:rPr>
        <w:t>第一章</w:t>
      </w:r>
      <w:r>
        <w:rPr>
          <w:rFonts w:hint="eastAsia"/>
          <w:color w:val="auto"/>
          <w:highlight w:val="none"/>
        </w:rPr>
        <w:t>　招标公告</w:t>
      </w:r>
      <w:r>
        <w:rPr>
          <w:color w:val="auto"/>
          <w:highlight w:val="none"/>
        </w:rPr>
        <w:tab/>
      </w:r>
      <w:r>
        <w:rPr>
          <w:color w:val="auto"/>
          <w:highlight w:val="none"/>
        </w:rPr>
        <w:fldChar w:fldCharType="begin"/>
      </w:r>
      <w:r>
        <w:rPr>
          <w:color w:val="auto"/>
          <w:highlight w:val="none"/>
        </w:rPr>
        <w:instrText xml:space="preserve"> PAGEREF _Toc26422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780FE364">
      <w:pPr>
        <w:pStyle w:val="24"/>
        <w:tabs>
          <w:tab w:val="right" w:leader="dot" w:pos="8306"/>
        </w:tabs>
        <w:rPr>
          <w:color w:val="auto"/>
          <w:highlight w:val="none"/>
        </w:rPr>
      </w:pPr>
      <w:r>
        <w:rPr>
          <w:color w:val="auto"/>
          <w:highlight w:val="none"/>
        </w:rPr>
        <w:fldChar w:fldCharType="begin"/>
      </w:r>
      <w:r>
        <w:rPr>
          <w:color w:val="auto"/>
          <w:highlight w:val="none"/>
        </w:rPr>
        <w:instrText xml:space="preserve"> HYPERLINK \l "_Toc5766" </w:instrText>
      </w:r>
      <w:r>
        <w:rPr>
          <w:color w:val="auto"/>
          <w:highlight w:val="none"/>
        </w:rPr>
        <w:fldChar w:fldCharType="separate"/>
      </w:r>
      <w:r>
        <w:rPr>
          <w:rFonts w:hint="eastAsia"/>
          <w:color w:val="auto"/>
          <w:highlight w:val="none"/>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_Toc5766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7380B83">
      <w:pPr>
        <w:pStyle w:val="24"/>
        <w:tabs>
          <w:tab w:val="right" w:leader="dot" w:pos="8306"/>
        </w:tabs>
        <w:rPr>
          <w:color w:val="auto"/>
          <w:highlight w:val="none"/>
        </w:rPr>
      </w:pPr>
      <w:r>
        <w:rPr>
          <w:color w:val="auto"/>
          <w:highlight w:val="none"/>
        </w:rPr>
        <w:fldChar w:fldCharType="begin"/>
      </w:r>
      <w:r>
        <w:rPr>
          <w:color w:val="auto"/>
          <w:highlight w:val="none"/>
        </w:rPr>
        <w:instrText xml:space="preserve"> HYPERLINK \l "_Toc9133" </w:instrText>
      </w:r>
      <w:r>
        <w:rPr>
          <w:color w:val="auto"/>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_Toc9133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CB17D56">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"_Toc8804" </w:instrText>
      </w:r>
      <w:r>
        <w:rPr>
          <w:color w:val="auto"/>
          <w:highlight w:val="none"/>
        </w:rPr>
        <w:fldChar w:fldCharType="separate"/>
      </w:r>
      <w:r>
        <w:rPr>
          <w:rFonts w:hint="eastAsia" w:ascii="宋体" w:hAnsi="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_Toc8804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CB129C7">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"_Toc3437" </w:instrText>
      </w:r>
      <w:r>
        <w:rPr>
          <w:color w:val="auto"/>
          <w:highlight w:val="none"/>
        </w:rPr>
        <w:fldChar w:fldCharType="separate"/>
      </w:r>
      <w:r>
        <w:rPr>
          <w:rFonts w:hint="eastAsia" w:ascii="宋体" w:hAnsi="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_Toc3437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16CDFB7B">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"_Toc18867" </w:instrText>
      </w:r>
      <w:r>
        <w:rPr>
          <w:color w:val="auto"/>
          <w:highlight w:val="none"/>
        </w:rPr>
        <w:fldChar w:fldCharType="separate"/>
      </w:r>
      <w:r>
        <w:rPr>
          <w:rFonts w:hint="eastAsia" w:ascii="宋体" w:hAnsi="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_Toc18867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BBCD65F">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"_Toc17394" </w:instrText>
      </w:r>
      <w:r>
        <w:rPr>
          <w:color w:val="auto"/>
          <w:highlight w:val="none"/>
        </w:rPr>
        <w:fldChar w:fldCharType="separate"/>
      </w:r>
      <w:r>
        <w:rPr>
          <w:rFonts w:hint="eastAsia" w:ascii="宋体" w:hAnsi="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_Toc17394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7D13DAEC">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"_Toc4724" </w:instrText>
      </w:r>
      <w:r>
        <w:rPr>
          <w:color w:val="auto"/>
          <w:highlight w:val="none"/>
        </w:rPr>
        <w:fldChar w:fldCharType="separate"/>
      </w:r>
      <w:r>
        <w:rPr>
          <w:rFonts w:hint="eastAsia" w:ascii="宋体" w:hAnsi="宋体" w:cs="宋体"/>
          <w:bCs/>
          <w:color w:val="auto"/>
          <w:szCs w:val="21"/>
          <w:highlight w:val="none"/>
        </w:rPr>
        <w:t>五、费用缴纳</w:t>
      </w:r>
      <w:r>
        <w:rPr>
          <w:color w:val="auto"/>
          <w:highlight w:val="none"/>
        </w:rPr>
        <w:tab/>
      </w:r>
      <w:r>
        <w:rPr>
          <w:color w:val="auto"/>
          <w:highlight w:val="none"/>
        </w:rPr>
        <w:fldChar w:fldCharType="begin"/>
      </w:r>
      <w:r>
        <w:rPr>
          <w:color w:val="auto"/>
          <w:highlight w:val="none"/>
        </w:rPr>
        <w:instrText xml:space="preserve"> PAGEREF _Toc4724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700088DB">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"_Toc20446" </w:instrText>
      </w:r>
      <w:r>
        <w:rPr>
          <w:color w:val="auto"/>
          <w:highlight w:val="none"/>
        </w:rPr>
        <w:fldChar w:fldCharType="separate"/>
      </w:r>
      <w:r>
        <w:rPr>
          <w:rFonts w:hint="eastAsia" w:ascii="宋体" w:hAnsi="宋体" w:cs="宋体"/>
          <w:color w:val="auto"/>
          <w:szCs w:val="21"/>
          <w:highlight w:val="none"/>
        </w:rPr>
        <w:t>六、其它</w:t>
      </w:r>
      <w:r>
        <w:rPr>
          <w:color w:val="auto"/>
          <w:highlight w:val="none"/>
        </w:rPr>
        <w:tab/>
      </w:r>
      <w:r>
        <w:rPr>
          <w:color w:val="auto"/>
          <w:highlight w:val="none"/>
        </w:rPr>
        <w:fldChar w:fldCharType="begin"/>
      </w:r>
      <w:r>
        <w:rPr>
          <w:color w:val="auto"/>
          <w:highlight w:val="none"/>
        </w:rPr>
        <w:instrText xml:space="preserve"> PAGEREF _Toc20446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D95FD53">
      <w:pPr>
        <w:pStyle w:val="24"/>
        <w:tabs>
          <w:tab w:val="right" w:leader="dot" w:pos="8306"/>
        </w:tabs>
        <w:rPr>
          <w:color w:val="auto"/>
          <w:highlight w:val="none"/>
        </w:rPr>
      </w:pPr>
      <w:r>
        <w:rPr>
          <w:color w:val="auto"/>
          <w:highlight w:val="none"/>
        </w:rPr>
        <w:fldChar w:fldCharType="begin"/>
      </w:r>
      <w:r>
        <w:rPr>
          <w:color w:val="auto"/>
          <w:highlight w:val="none"/>
        </w:rPr>
        <w:instrText xml:space="preserve"> HYPERLINK \l "_Toc15044" </w:instrText>
      </w:r>
      <w:r>
        <w:rPr>
          <w:color w:val="auto"/>
          <w:highlight w:val="none"/>
        </w:rPr>
        <w:fldChar w:fldCharType="separate"/>
      </w:r>
      <w:r>
        <w:rPr>
          <w:rFonts w:hint="eastAsia"/>
          <w:color w:val="auto"/>
          <w:highlight w:val="none"/>
        </w:rPr>
        <w:t>第三章  招标项目要求</w:t>
      </w:r>
      <w:r>
        <w:rPr>
          <w:color w:val="auto"/>
          <w:highlight w:val="none"/>
        </w:rPr>
        <w:tab/>
      </w:r>
      <w:r>
        <w:rPr>
          <w:color w:val="auto"/>
          <w:highlight w:val="none"/>
        </w:rPr>
        <w:fldChar w:fldCharType="begin"/>
      </w:r>
      <w:r>
        <w:rPr>
          <w:color w:val="auto"/>
          <w:highlight w:val="none"/>
        </w:rPr>
        <w:instrText xml:space="preserve"> PAGEREF _Toc15044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6D7298D">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"_Toc30423" </w:instrText>
      </w:r>
      <w:r>
        <w:rPr>
          <w:color w:val="auto"/>
          <w:highlight w:val="none"/>
        </w:rPr>
        <w:fldChar w:fldCharType="separate"/>
      </w:r>
      <w:r>
        <w:rPr>
          <w:rFonts w:ascii="宋体" w:hAnsi="宋体" w:cs="宋体"/>
          <w:bCs/>
          <w:color w:val="auto"/>
          <w:spacing w:val="14"/>
          <w:kern w:val="24"/>
          <w:szCs w:val="21"/>
          <w:highlight w:val="none"/>
        </w:rPr>
        <w:t>一、</w:t>
      </w:r>
      <w:r>
        <w:rPr>
          <w:rFonts w:hint="eastAsia" w:ascii="宋体" w:hAnsi="宋体" w:cs="宋体"/>
          <w:bCs/>
          <w:color w:val="auto"/>
          <w:spacing w:val="14"/>
          <w:kern w:val="24"/>
          <w:szCs w:val="21"/>
          <w:highlight w:val="none"/>
        </w:rPr>
        <w:t>项目背景</w:t>
      </w:r>
      <w:r>
        <w:rPr>
          <w:color w:val="auto"/>
          <w:highlight w:val="none"/>
        </w:rPr>
        <w:tab/>
      </w:r>
      <w:r>
        <w:rPr>
          <w:color w:val="auto"/>
          <w:highlight w:val="none"/>
        </w:rPr>
        <w:fldChar w:fldCharType="begin"/>
      </w:r>
      <w:r>
        <w:rPr>
          <w:color w:val="auto"/>
          <w:highlight w:val="none"/>
        </w:rPr>
        <w:instrText xml:space="preserve"> PAGEREF _Toc30423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85A7891">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"_Toc22975" </w:instrText>
      </w:r>
      <w:r>
        <w:rPr>
          <w:color w:val="auto"/>
          <w:highlight w:val="none"/>
        </w:rPr>
        <w:fldChar w:fldCharType="separate"/>
      </w:r>
      <w:r>
        <w:rPr>
          <w:rFonts w:hint="eastAsia" w:ascii="宋体" w:hAnsi="宋体" w:cs="宋体"/>
          <w:bCs/>
          <w:color w:val="auto"/>
          <w:spacing w:val="14"/>
          <w:kern w:val="24"/>
          <w:szCs w:val="21"/>
          <w:highlight w:val="none"/>
        </w:rPr>
        <w:t>二、采购内容</w:t>
      </w:r>
      <w:r>
        <w:rPr>
          <w:color w:val="auto"/>
          <w:highlight w:val="none"/>
        </w:rPr>
        <w:tab/>
      </w:r>
      <w:r>
        <w:rPr>
          <w:color w:val="auto"/>
          <w:highlight w:val="none"/>
        </w:rPr>
        <w:fldChar w:fldCharType="begin"/>
      </w:r>
      <w:r>
        <w:rPr>
          <w:color w:val="auto"/>
          <w:highlight w:val="none"/>
        </w:rPr>
        <w:instrText xml:space="preserve"> PAGEREF _Toc22975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8260856">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"_Toc847" </w:instrText>
      </w:r>
      <w:r>
        <w:rPr>
          <w:color w:val="auto"/>
          <w:highlight w:val="none"/>
        </w:rPr>
        <w:fldChar w:fldCharType="separate"/>
      </w:r>
      <w:r>
        <w:rPr>
          <w:rFonts w:hint="eastAsia" w:ascii="宋体" w:hAnsi="宋体" w:cs="宋体"/>
          <w:bCs/>
          <w:color w:val="auto"/>
          <w:spacing w:val="14"/>
          <w:kern w:val="24"/>
          <w:szCs w:val="21"/>
          <w:highlight w:val="none"/>
        </w:rPr>
        <w:t>三、商务要求</w:t>
      </w:r>
      <w:r>
        <w:rPr>
          <w:color w:val="auto"/>
          <w:highlight w:val="none"/>
        </w:rPr>
        <w:tab/>
      </w:r>
      <w:r>
        <w:rPr>
          <w:color w:val="auto"/>
          <w:highlight w:val="none"/>
        </w:rPr>
        <w:fldChar w:fldCharType="begin"/>
      </w:r>
      <w:r>
        <w:rPr>
          <w:color w:val="auto"/>
          <w:highlight w:val="none"/>
        </w:rPr>
        <w:instrText xml:space="preserve"> PAGEREF _Toc847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0F39CFF">
      <w:pPr>
        <w:pStyle w:val="24"/>
        <w:tabs>
          <w:tab w:val="right" w:leader="dot" w:pos="8306"/>
        </w:tabs>
        <w:rPr>
          <w:color w:val="auto"/>
          <w:highlight w:val="none"/>
        </w:rPr>
      </w:pPr>
      <w:r>
        <w:rPr>
          <w:color w:val="auto"/>
          <w:highlight w:val="none"/>
        </w:rPr>
        <w:fldChar w:fldCharType="begin"/>
      </w:r>
      <w:r>
        <w:rPr>
          <w:color w:val="auto"/>
          <w:highlight w:val="none"/>
        </w:rPr>
        <w:instrText xml:space="preserve"> HYPERLINK \l "_Toc2228" </w:instrText>
      </w:r>
      <w:r>
        <w:rPr>
          <w:color w:val="auto"/>
          <w:highlight w:val="none"/>
        </w:rPr>
        <w:fldChar w:fldCharType="separate"/>
      </w:r>
      <w:r>
        <w:rPr>
          <w:rFonts w:hint="eastAsia"/>
          <w:color w:val="auto"/>
          <w:highlight w:val="none"/>
        </w:rPr>
        <w:t>第四章  开标、评标和定标须知</w:t>
      </w:r>
      <w:r>
        <w:rPr>
          <w:color w:val="auto"/>
          <w:highlight w:val="none"/>
        </w:rPr>
        <w:tab/>
      </w:r>
      <w:r>
        <w:rPr>
          <w:color w:val="auto"/>
          <w:highlight w:val="none"/>
        </w:rPr>
        <w:fldChar w:fldCharType="begin"/>
      </w:r>
      <w:r>
        <w:rPr>
          <w:color w:val="auto"/>
          <w:highlight w:val="none"/>
        </w:rPr>
        <w:instrText xml:space="preserve"> PAGEREF _Toc2228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4B517B7">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"_Toc18298" </w:instrText>
      </w:r>
      <w:r>
        <w:rPr>
          <w:color w:val="auto"/>
          <w:highlight w:val="none"/>
        </w:rPr>
        <w:fldChar w:fldCharType="separate"/>
      </w:r>
      <w:r>
        <w:rPr>
          <w:rFonts w:hint="eastAsia" w:ascii="宋体" w:hAnsi="宋体" w:cs="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_Toc18298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30A0406">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"_Toc24248" </w:instrText>
      </w:r>
      <w:r>
        <w:rPr>
          <w:color w:val="auto"/>
          <w:highlight w:val="none"/>
        </w:rPr>
        <w:fldChar w:fldCharType="separate"/>
      </w:r>
      <w:r>
        <w:rPr>
          <w:rFonts w:hint="eastAsia" w:ascii="宋体" w:hAnsi="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_Toc24248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5A4A7B8">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"_Toc7422" </w:instrText>
      </w:r>
      <w:r>
        <w:rPr>
          <w:color w:val="auto"/>
          <w:highlight w:val="none"/>
        </w:rPr>
        <w:fldChar w:fldCharType="separate"/>
      </w:r>
      <w:r>
        <w:rPr>
          <w:rFonts w:hint="eastAsia" w:ascii="宋体" w:hAnsi="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_Toc7422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ADAF2E5">
      <w:pPr>
        <w:pStyle w:val="24"/>
        <w:tabs>
          <w:tab w:val="right" w:leader="dot" w:pos="8306"/>
        </w:tabs>
        <w:rPr>
          <w:color w:val="auto"/>
          <w:highlight w:val="none"/>
        </w:rPr>
      </w:pPr>
      <w:r>
        <w:rPr>
          <w:color w:val="auto"/>
          <w:highlight w:val="none"/>
        </w:rPr>
        <w:fldChar w:fldCharType="begin"/>
      </w:r>
      <w:r>
        <w:rPr>
          <w:color w:val="auto"/>
          <w:highlight w:val="none"/>
        </w:rPr>
        <w:instrText xml:space="preserve"> HYPERLINK \l "_Toc6684" </w:instrText>
      </w:r>
      <w:r>
        <w:rPr>
          <w:color w:val="auto"/>
          <w:highlight w:val="none"/>
        </w:rPr>
        <w:fldChar w:fldCharType="separate"/>
      </w:r>
      <w:r>
        <w:rPr>
          <w:rFonts w:hint="eastAsia"/>
          <w:color w:val="auto"/>
          <w:highlight w:val="none"/>
        </w:rPr>
        <w:t>第五章  投标文件的有效性</w:t>
      </w:r>
      <w:r>
        <w:rPr>
          <w:color w:val="auto"/>
          <w:highlight w:val="none"/>
        </w:rPr>
        <w:tab/>
      </w:r>
      <w:r>
        <w:rPr>
          <w:color w:val="auto"/>
          <w:highlight w:val="none"/>
        </w:rPr>
        <w:fldChar w:fldCharType="begin"/>
      </w:r>
      <w:r>
        <w:rPr>
          <w:color w:val="auto"/>
          <w:highlight w:val="none"/>
        </w:rPr>
        <w:instrText xml:space="preserve"> PAGEREF _Toc6684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793F26BE">
      <w:pPr>
        <w:pStyle w:val="24"/>
        <w:tabs>
          <w:tab w:val="right" w:leader="dot" w:pos="8306"/>
        </w:tabs>
        <w:rPr>
          <w:color w:val="auto"/>
          <w:highlight w:val="none"/>
        </w:rPr>
      </w:pPr>
      <w:r>
        <w:rPr>
          <w:color w:val="auto"/>
          <w:highlight w:val="none"/>
        </w:rPr>
        <w:fldChar w:fldCharType="begin"/>
      </w:r>
      <w:r>
        <w:rPr>
          <w:color w:val="auto"/>
          <w:highlight w:val="none"/>
        </w:rPr>
        <w:instrText xml:space="preserve"> HYPERLINK \l "_Toc28452" </w:instrText>
      </w:r>
      <w:r>
        <w:rPr>
          <w:color w:val="auto"/>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_Toc28452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B5B126B">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"_Toc28246" </w:instrText>
      </w:r>
      <w:r>
        <w:rPr>
          <w:color w:val="auto"/>
          <w:highlight w:val="none"/>
        </w:rPr>
        <w:fldChar w:fldCharType="separate"/>
      </w:r>
      <w:r>
        <w:rPr>
          <w:rFonts w:hint="eastAsia" w:ascii="宋体" w:hAnsi="宋体" w:cs="宋体"/>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_Toc28246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5568AF9">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"_Toc2962" </w:instrText>
      </w:r>
      <w:r>
        <w:rPr>
          <w:color w:val="auto"/>
          <w:highlight w:val="none"/>
        </w:rPr>
        <w:fldChar w:fldCharType="separate"/>
      </w:r>
      <w:r>
        <w:rPr>
          <w:rFonts w:hint="eastAsia" w:ascii="宋体" w:hAnsi="宋体" w:cs="宋体"/>
          <w:color w:val="auto"/>
          <w:szCs w:val="21"/>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_Toc2962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B77204E">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"_Toc25173" </w:instrText>
      </w:r>
      <w:r>
        <w:rPr>
          <w:color w:val="auto"/>
          <w:highlight w:val="none"/>
        </w:rPr>
        <w:fldChar w:fldCharType="separate"/>
      </w:r>
      <w:r>
        <w:rPr>
          <w:rFonts w:hint="eastAsia" w:ascii="宋体" w:hAnsi="宋体" w:cs="宋体"/>
          <w:color w:val="auto"/>
          <w:szCs w:val="21"/>
          <w:highlight w:val="none"/>
        </w:rPr>
        <w:t>三、评分细则</w:t>
      </w:r>
      <w:r>
        <w:rPr>
          <w:color w:val="auto"/>
          <w:highlight w:val="none"/>
        </w:rPr>
        <w:tab/>
      </w:r>
      <w:r>
        <w:rPr>
          <w:color w:val="auto"/>
          <w:highlight w:val="none"/>
        </w:rPr>
        <w:fldChar w:fldCharType="begin"/>
      </w:r>
      <w:r>
        <w:rPr>
          <w:color w:val="auto"/>
          <w:highlight w:val="none"/>
        </w:rPr>
        <w:instrText xml:space="preserve"> PAGEREF _Toc25173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D05AF46">
      <w:pPr>
        <w:pStyle w:val="24"/>
        <w:tabs>
          <w:tab w:val="right" w:leader="dot" w:pos="8306"/>
        </w:tabs>
        <w:rPr>
          <w:color w:val="auto"/>
          <w:highlight w:val="none"/>
        </w:rPr>
      </w:pPr>
      <w:r>
        <w:rPr>
          <w:color w:val="auto"/>
          <w:highlight w:val="none"/>
        </w:rPr>
        <w:fldChar w:fldCharType="begin"/>
      </w:r>
      <w:r>
        <w:rPr>
          <w:color w:val="auto"/>
          <w:highlight w:val="none"/>
        </w:rPr>
        <w:instrText xml:space="preserve"> HYPERLINK \l "_Toc5592" </w:instrText>
      </w:r>
      <w:r>
        <w:rPr>
          <w:color w:val="auto"/>
          <w:highlight w:val="none"/>
        </w:rPr>
        <w:fldChar w:fldCharType="separate"/>
      </w:r>
      <w:r>
        <w:rPr>
          <w:rFonts w:hint="eastAsia"/>
          <w:color w:val="auto"/>
          <w:highlight w:val="none"/>
        </w:rPr>
        <w:t>第七章  合同主要条款</w:t>
      </w:r>
      <w:r>
        <w:rPr>
          <w:color w:val="auto"/>
          <w:highlight w:val="none"/>
        </w:rPr>
        <w:tab/>
      </w:r>
      <w:r>
        <w:rPr>
          <w:color w:val="auto"/>
          <w:highlight w:val="none"/>
        </w:rPr>
        <w:fldChar w:fldCharType="begin"/>
      </w:r>
      <w:r>
        <w:rPr>
          <w:color w:val="auto"/>
          <w:highlight w:val="none"/>
        </w:rPr>
        <w:instrText xml:space="preserve"> PAGEREF _Toc5592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750B2BA">
      <w:pPr>
        <w:pStyle w:val="24"/>
        <w:tabs>
          <w:tab w:val="right" w:leader="dot" w:pos="8306"/>
        </w:tabs>
        <w:rPr>
          <w:color w:val="auto"/>
          <w:highlight w:val="none"/>
        </w:rPr>
      </w:pPr>
      <w:r>
        <w:rPr>
          <w:color w:val="auto"/>
          <w:highlight w:val="none"/>
        </w:rPr>
        <w:fldChar w:fldCharType="begin"/>
      </w:r>
      <w:r>
        <w:rPr>
          <w:color w:val="auto"/>
          <w:highlight w:val="none"/>
        </w:rPr>
        <w:instrText xml:space="preserve"> HYPERLINK \l "_Toc19036" </w:instrText>
      </w:r>
      <w:r>
        <w:rPr>
          <w:color w:val="auto"/>
          <w:highlight w:val="none"/>
        </w:rPr>
        <w:fldChar w:fldCharType="separate"/>
      </w:r>
      <w:r>
        <w:rPr>
          <w:rFonts w:hint="eastAsia"/>
          <w:color w:val="auto"/>
          <w:highlight w:val="none"/>
        </w:rPr>
        <w:t>第八章  投标文件部分格式</w:t>
      </w:r>
      <w:r>
        <w:rPr>
          <w:color w:val="auto"/>
          <w:highlight w:val="none"/>
        </w:rPr>
        <w:tab/>
      </w:r>
      <w:r>
        <w:rPr>
          <w:color w:val="auto"/>
          <w:highlight w:val="none"/>
        </w:rPr>
        <w:fldChar w:fldCharType="begin"/>
      </w:r>
      <w:r>
        <w:rPr>
          <w:color w:val="auto"/>
          <w:highlight w:val="none"/>
        </w:rPr>
        <w:instrText xml:space="preserve"> PAGEREF _Toc19036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58A6A6BD">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"_Toc7250" </w:instrText>
      </w:r>
      <w:r>
        <w:rPr>
          <w:color w:val="auto"/>
          <w:highlight w:val="none"/>
        </w:rPr>
        <w:fldChar w:fldCharType="separate"/>
      </w:r>
      <w:r>
        <w:rPr>
          <w:rFonts w:hint="eastAsia" w:ascii="宋体" w:hAnsi="宋体" w:cs="宋体"/>
          <w:color w:val="auto"/>
          <w:szCs w:val="21"/>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_Toc7250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5104286C">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"_Toc476" </w:instrText>
      </w:r>
      <w:r>
        <w:rPr>
          <w:color w:val="auto"/>
          <w:highlight w:val="none"/>
        </w:rPr>
        <w:fldChar w:fldCharType="separate"/>
      </w:r>
      <w:r>
        <w:rPr>
          <w:rFonts w:hint="eastAsia" w:ascii="宋体" w:hAnsi="宋体" w:cs="宋体"/>
          <w:color w:val="auto"/>
          <w:szCs w:val="21"/>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_Toc476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5497A123">
      <w:pPr>
        <w:pStyle w:val="29"/>
        <w:tabs>
          <w:tab w:val="right" w:leader="dot" w:pos="8306"/>
        </w:tabs>
        <w:rPr>
          <w:color w:val="auto"/>
          <w:highlight w:val="none"/>
        </w:rPr>
      </w:pPr>
      <w:r>
        <w:rPr>
          <w:color w:val="auto"/>
          <w:highlight w:val="none"/>
        </w:rPr>
        <w:fldChar w:fldCharType="begin"/>
      </w:r>
      <w:r>
        <w:rPr>
          <w:color w:val="auto"/>
          <w:highlight w:val="none"/>
        </w:rPr>
        <w:instrText xml:space="preserve"> HYPERLINK \l "_Toc300" </w:instrText>
      </w:r>
      <w:r>
        <w:rPr>
          <w:color w:val="auto"/>
          <w:highlight w:val="none"/>
        </w:rPr>
        <w:fldChar w:fldCharType="separate"/>
      </w:r>
      <w:r>
        <w:rPr>
          <w:rFonts w:hint="eastAsia" w:ascii="宋体" w:hAnsi="宋体" w:cs="宋体"/>
          <w:color w:val="auto"/>
          <w:szCs w:val="21"/>
          <w:highlight w:val="none"/>
        </w:rPr>
        <w:t>三、质疑函范本</w:t>
      </w:r>
      <w:r>
        <w:rPr>
          <w:color w:val="auto"/>
          <w:highlight w:val="none"/>
        </w:rPr>
        <w:tab/>
      </w:r>
      <w:r>
        <w:rPr>
          <w:color w:val="auto"/>
          <w:highlight w:val="none"/>
        </w:rPr>
        <w:fldChar w:fldCharType="begin"/>
      </w:r>
      <w:r>
        <w:rPr>
          <w:color w:val="auto"/>
          <w:highlight w:val="none"/>
        </w:rPr>
        <w:instrText xml:space="preserve"> PAGEREF _Toc300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5DAF68F0">
      <w:pPr>
        <w:rPr>
          <w:color w:val="auto"/>
          <w:sz w:val="28"/>
          <w:szCs w:val="28"/>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color w:val="auto"/>
          <w:szCs w:val="30"/>
          <w:highlight w:val="none"/>
        </w:rPr>
        <w:fldChar w:fldCharType="end"/>
      </w:r>
    </w:p>
    <w:p w14:paraId="57245D56">
      <w:pPr>
        <w:pStyle w:val="2"/>
        <w:spacing w:line="240" w:lineRule="exact"/>
        <w:jc w:val="center"/>
        <w:rPr>
          <w:color w:val="auto"/>
          <w:sz w:val="36"/>
          <w:highlight w:val="none"/>
        </w:rPr>
      </w:pPr>
      <w:bookmarkStart w:id="0" w:name="_Toc10509"/>
      <w:bookmarkStart w:id="1" w:name="_Toc13402"/>
      <w:bookmarkStart w:id="2" w:name="_Toc7935"/>
      <w:bookmarkStart w:id="3" w:name="_Toc26422"/>
      <w:bookmarkStart w:id="4" w:name="_Toc12468"/>
      <w:r>
        <w:rPr>
          <w:color w:val="auto"/>
          <w:sz w:val="36"/>
          <w:highlight w:val="none"/>
        </w:rPr>
        <w:t>第一章</w:t>
      </w:r>
      <w:r>
        <w:rPr>
          <w:rFonts w:hint="eastAsia"/>
          <w:color w:val="auto"/>
          <w:sz w:val="36"/>
          <w:highlight w:val="none"/>
        </w:rPr>
        <w:t>　招标公告</w:t>
      </w:r>
      <w:bookmarkEnd w:id="0"/>
      <w:bookmarkEnd w:id="1"/>
      <w:bookmarkEnd w:id="2"/>
      <w:bookmarkEnd w:id="3"/>
      <w:bookmarkEnd w:id="4"/>
    </w:p>
    <w:p w14:paraId="635F14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根据法律法规等相关规定，本项目进行公开招标，欢迎国内合格的供应商参加投标。</w:t>
      </w:r>
    </w:p>
    <w:p w14:paraId="297EF293">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1.采购编号</w:t>
      </w:r>
      <w:r>
        <w:rPr>
          <w:rFonts w:hint="eastAsia" w:ascii="宋体" w:hAnsi="宋体" w:cs="宋体"/>
          <w:color w:val="auto"/>
          <w:highlight w:val="none"/>
        </w:rPr>
        <w:t xml:space="preserve">：YWYGZC202510CG0007(YCQ-2025-CG238) </w:t>
      </w:r>
      <w:r>
        <w:rPr>
          <w:rFonts w:hint="eastAsia" w:ascii="宋体" w:hAnsi="宋体" w:cs="宋体"/>
          <w:b/>
          <w:bCs/>
          <w:color w:val="auto"/>
          <w:highlight w:val="none"/>
        </w:rPr>
        <w:t xml:space="preserve">    </w:t>
      </w:r>
    </w:p>
    <w:p w14:paraId="50F68023">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t>2.采购内容及数量：</w:t>
      </w:r>
      <w:r>
        <w:rPr>
          <w:rFonts w:hint="eastAsia" w:ascii="宋体" w:hAnsi="宋体" w:cs="宋体"/>
          <w:color w:val="auto"/>
          <w:highlight w:val="none"/>
        </w:rPr>
        <w:t>数据资产入表</w:t>
      </w:r>
      <w:r>
        <w:rPr>
          <w:rFonts w:hint="eastAsia" w:ascii="宋体" w:hAnsi="宋体" w:cs="宋体"/>
          <w:b/>
          <w:color w:val="auto"/>
          <w:highlight w:val="none"/>
        </w:rPr>
        <w:t>采购项目</w:t>
      </w:r>
      <w:r>
        <w:rPr>
          <w:rFonts w:hint="eastAsia" w:ascii="宋体" w:hAnsi="宋体" w:cs="宋体"/>
          <w:color w:val="auto"/>
          <w:highlight w:val="none"/>
        </w:rPr>
        <w:t>，具体详见第三章招标项目要求。</w:t>
      </w:r>
    </w:p>
    <w:p w14:paraId="119BF764">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w:t>
      </w:r>
      <w:r>
        <w:rPr>
          <w:rFonts w:hint="eastAsia" w:ascii="宋体" w:hAnsi="宋体" w:cs="宋体"/>
          <w:b/>
          <w:bCs/>
          <w:color w:val="auto"/>
          <w:highlight w:val="none"/>
        </w:rPr>
        <w:t>采购预算及最高限价</w:t>
      </w:r>
      <w:r>
        <w:rPr>
          <w:rFonts w:hint="eastAsia" w:ascii="宋体" w:hAnsi="宋体" w:cs="宋体"/>
          <w:color w:val="auto"/>
          <w:highlight w:val="none"/>
        </w:rPr>
        <w:t>：40万元。</w:t>
      </w:r>
    </w:p>
    <w:p w14:paraId="47B2DD44">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.投标人的资格要求</w:t>
      </w:r>
      <w:r>
        <w:rPr>
          <w:rFonts w:hint="eastAsia" w:ascii="宋体" w:hAnsi="宋体" w:cs="宋体"/>
          <w:b/>
          <w:color w:val="auto"/>
          <w:highlight w:val="none"/>
        </w:rPr>
        <w:t>：</w:t>
      </w:r>
    </w:p>
    <w:p w14:paraId="6703E2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①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47F821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②根据《浙江省公共信用信息管理条例》第二十六条的规定，未列入严重失信名单的（查询结果以开标当日网站页面显示为准）；</w:t>
      </w:r>
    </w:p>
    <w:p w14:paraId="68FAE4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③信誉要求：投标人自2022年1月1日起到中标候选人公告期结束前无行贿犯罪记录（评标结束后，由采购人通过中国裁判文书网（http://wenshu.court.gov.cn/）按照招标文件约定对中标候选人的行贿犯罪记录进行查询，查询结果以网站页面显示内容为准）；</w:t>
      </w:r>
    </w:p>
    <w:p w14:paraId="393679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④本项目不接受联合体投标。</w:t>
      </w:r>
    </w:p>
    <w:p w14:paraId="0A1E18B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5.采购文件（即招标文件，下同）获取时间、地点及方式：</w:t>
      </w:r>
    </w:p>
    <w:p w14:paraId="47BF87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①时间：公告发布时间起至投标截止时间止。</w:t>
      </w:r>
    </w:p>
    <w:p w14:paraId="41F745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②地点：义乌市阳光招标采购平台(www.ywygzc.com)、义乌产权交易网（www.ywcq.com）。</w:t>
      </w:r>
    </w:p>
    <w:p w14:paraId="0A4F84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2C7BD0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55BB44A9">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t>6.技术答疑：</w:t>
      </w:r>
      <w:r>
        <w:rPr>
          <w:rFonts w:hint="eastAsia" w:ascii="宋体" w:hAnsi="宋体" w:cs="宋体"/>
          <w:color w:val="auto"/>
          <w:highlight w:val="none"/>
        </w:rPr>
        <w:t>供应商认为采购文件使自己的权益受到损害的，请于2025年</w:t>
      </w:r>
      <w:r>
        <w:rPr>
          <w:rFonts w:hint="eastAsia" w:ascii="宋体" w:hAnsi="宋体" w:cs="宋体"/>
          <w:color w:val="auto"/>
          <w:highlight w:val="none"/>
          <w:lang w:val="en-US" w:eastAsia="zh-CN"/>
        </w:rPr>
        <w:t>10</w:t>
      </w:r>
      <w:r>
        <w:rPr>
          <w:rFonts w:hint="eastAsia" w:ascii="宋体" w:hAnsi="宋体" w:cs="宋体"/>
          <w:color w:val="auto"/>
          <w:highlight w:val="none"/>
        </w:rPr>
        <w:t>月</w:t>
      </w:r>
      <w:r>
        <w:rPr>
          <w:rFonts w:hint="eastAsia" w:ascii="宋体" w:hAnsi="宋体" w:cs="宋体"/>
          <w:color w:val="auto"/>
          <w:highlight w:val="none"/>
          <w:lang w:val="en-US" w:eastAsia="zh-CN"/>
        </w:rPr>
        <w:t>21</w:t>
      </w:r>
      <w:r>
        <w:rPr>
          <w:rFonts w:hint="eastAsia" w:ascii="宋体" w:hAnsi="宋体" w:cs="宋体"/>
          <w:color w:val="auto"/>
          <w:highlight w:val="none"/>
        </w:rPr>
        <w:t>日17:00前以书面形式向采购人和采购代理机构提出质疑。质疑以书面方式分别提交至义乌市保安服务有限公司：金先生（17764550781）和义乌产权交易所有限公司：王女士（0579-89903039，ywcqztb001@ywcq.com），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采购代理机构确认。书面文件邮寄地址：义乌市北苑街道望道路300号4051。</w:t>
      </w:r>
    </w:p>
    <w:p w14:paraId="5946989F">
      <w:pPr>
        <w:spacing w:line="360" w:lineRule="auto"/>
        <w:ind w:firstLine="422" w:firstLineChars="200"/>
        <w:rPr>
          <w:rFonts w:ascii="宋体" w:hAnsi="宋体" w:cs="宋体"/>
          <w:b/>
          <w:color w:val="auto"/>
          <w:highlight w:val="none"/>
        </w:rPr>
      </w:pPr>
      <w:bookmarkStart w:id="5" w:name="_Toc4701"/>
      <w:r>
        <w:rPr>
          <w:rFonts w:hint="eastAsia" w:ascii="宋体" w:hAnsi="宋体" w:cs="宋体"/>
          <w:b/>
          <w:color w:val="auto"/>
          <w:highlight w:val="none"/>
        </w:rPr>
        <w:t>7.投标截止时间及地点：</w:t>
      </w:r>
      <w:bookmarkEnd w:id="5"/>
    </w:p>
    <w:p w14:paraId="379403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①提交投标文件截止时间：</w:t>
      </w:r>
      <w:r>
        <w:rPr>
          <w:rFonts w:hint="eastAsia" w:ascii="宋体" w:hAnsi="宋体" w:cs="宋体"/>
          <w:color w:val="auto"/>
          <w:highlight w:val="none"/>
          <w:lang w:eastAsia="zh-CN"/>
        </w:rPr>
        <w:t>2025年10月24日09</w:t>
      </w:r>
      <w:r>
        <w:rPr>
          <w:rFonts w:hint="eastAsia" w:ascii="宋体" w:hAnsi="宋体" w:cs="宋体"/>
          <w:color w:val="auto"/>
          <w:highlight w:val="none"/>
        </w:rPr>
        <w:t>:30（北京时间）</w:t>
      </w:r>
    </w:p>
    <w:p w14:paraId="201B94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②投标地点：在谷歌或IE浏览器上，用账号登录义乌市阳光招标采购平台（www.ywygzc.com），上传电子加密标书至“义乌市阳光招标采购平台”，逾期或未上传成功的将导致无法投标或投标无效。</w:t>
      </w:r>
    </w:p>
    <w:p w14:paraId="136372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③开标时间：</w:t>
      </w:r>
      <w:r>
        <w:rPr>
          <w:rFonts w:hint="eastAsia" w:ascii="宋体" w:hAnsi="宋体" w:cs="宋体"/>
          <w:color w:val="auto"/>
          <w:highlight w:val="none"/>
          <w:lang w:eastAsia="zh-CN"/>
        </w:rPr>
        <w:t>2025年10月24日09</w:t>
      </w:r>
      <w:r>
        <w:rPr>
          <w:rFonts w:hint="eastAsia" w:ascii="宋体" w:hAnsi="宋体" w:cs="宋体"/>
          <w:color w:val="auto"/>
          <w:highlight w:val="none"/>
        </w:rPr>
        <w:t>:30 </w:t>
      </w:r>
    </w:p>
    <w:p w14:paraId="2DA5047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④开标地点：“义乌市阳光招标采购平台”（www.ywygzc.com）</w:t>
      </w:r>
    </w:p>
    <w:p w14:paraId="53B1E5FD">
      <w:pPr>
        <w:snapToGrid w:val="0"/>
        <w:spacing w:line="360" w:lineRule="auto"/>
        <w:ind w:firstLine="413" w:firstLineChars="196"/>
        <w:rPr>
          <w:rFonts w:ascii="宋体" w:hAnsi="宋体" w:cs="宋体"/>
          <w:color w:val="auto"/>
          <w:szCs w:val="21"/>
          <w:highlight w:val="none"/>
        </w:rPr>
      </w:pPr>
      <w:r>
        <w:rPr>
          <w:rFonts w:hint="eastAsia" w:ascii="宋体" w:hAnsi="宋体" w:cs="宋体"/>
          <w:b/>
          <w:bCs/>
          <w:color w:val="auto"/>
          <w:szCs w:val="21"/>
          <w:highlight w:val="none"/>
          <w:shd w:val="clear" w:color="auto" w:fill="FFFFFF"/>
        </w:rPr>
        <w:t>8.投标与开标注意事项：</w:t>
      </w:r>
    </w:p>
    <w:p w14:paraId="419F91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50D6C4F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702CA296">
      <w:pPr>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2025年10月24日09</w:t>
      </w:r>
      <w:r>
        <w:rPr>
          <w:rFonts w:hint="eastAsia" w:ascii="宋体" w:hAnsi="宋体" w:cs="宋体"/>
          <w:color w:val="auto"/>
          <w:highlight w:val="none"/>
        </w:rPr>
        <w:t>:30）之前上传投标文件</w:t>
      </w:r>
      <w:r>
        <w:rPr>
          <w:rFonts w:hint="eastAsia" w:ascii="宋体" w:hAnsi="宋体" w:cs="宋体"/>
          <w:b/>
          <w:bCs/>
          <w:color w:val="auto"/>
          <w:highlight w:val="none"/>
        </w:rPr>
        <w:t>。</w:t>
      </w:r>
    </w:p>
    <w:p w14:paraId="7640B5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77A66761">
      <w:pPr>
        <w:snapToGrid w:val="0"/>
        <w:spacing w:line="360" w:lineRule="auto"/>
        <w:ind w:firstLine="413" w:firstLineChars="196"/>
        <w:rPr>
          <w:rFonts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14:paraId="014A208F">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rPr>
        <w:t>王小姐0579－89903039。</w:t>
      </w:r>
    </w:p>
    <w:p w14:paraId="75092FCD">
      <w:pPr>
        <w:pStyle w:val="18"/>
        <w:spacing w:line="360" w:lineRule="auto"/>
        <w:ind w:firstLine="422" w:firstLineChars="200"/>
        <w:jc w:val="left"/>
        <w:rPr>
          <w:rFonts w:hAnsi="宋体" w:cs="宋体"/>
          <w:b/>
          <w:color w:val="auto"/>
          <w:highlight w:val="none"/>
        </w:rPr>
      </w:pPr>
      <w:r>
        <w:rPr>
          <w:rFonts w:hint="eastAsia" w:hAnsi="宋体" w:cs="宋体"/>
          <w:b/>
          <w:color w:val="auto"/>
          <w:highlight w:val="none"/>
        </w:rPr>
        <w:t>9.投标保证金：无</w:t>
      </w:r>
    </w:p>
    <w:p w14:paraId="5189CF13">
      <w:pPr>
        <w:pStyle w:val="18"/>
        <w:spacing w:line="360" w:lineRule="auto"/>
        <w:ind w:firstLine="422" w:firstLineChars="200"/>
        <w:jc w:val="left"/>
        <w:rPr>
          <w:rFonts w:hAnsi="宋体" w:cs="宋体"/>
          <w:b/>
          <w:color w:val="auto"/>
          <w:highlight w:val="none"/>
        </w:rPr>
      </w:pPr>
      <w:r>
        <w:rPr>
          <w:rFonts w:hint="eastAsia" w:hAnsi="宋体" w:cs="宋体"/>
          <w:b/>
          <w:color w:val="auto"/>
          <w:highlight w:val="none"/>
        </w:rPr>
        <w:t>10.业务咨询：</w:t>
      </w:r>
    </w:p>
    <w:p w14:paraId="12FDC6DF">
      <w:pPr>
        <w:pStyle w:val="18"/>
        <w:spacing w:line="360" w:lineRule="auto"/>
        <w:ind w:firstLine="440" w:firstLineChars="200"/>
        <w:jc w:val="left"/>
        <w:rPr>
          <w:rFonts w:hAnsi="宋体" w:cs="宋体"/>
          <w:color w:val="auto"/>
          <w:highlight w:val="none"/>
        </w:rPr>
      </w:pPr>
      <w:r>
        <w:rPr>
          <w:rFonts w:hint="eastAsia" w:hAnsi="宋体" w:cs="宋体"/>
          <w:color w:val="auto"/>
          <w:sz w:val="22"/>
          <w:szCs w:val="22"/>
          <w:highlight w:val="none"/>
          <w:shd w:val="clear" w:color="auto" w:fill="FFFFFF"/>
        </w:rPr>
        <w:t>义乌市保安服务有限公司：金先生 17764550781</w:t>
      </w:r>
    </w:p>
    <w:p w14:paraId="638A52D6">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highlight w:val="none"/>
        </w:rPr>
        <w:t>义乌产权交易所有限公司：</w:t>
      </w:r>
      <w:r>
        <w:rPr>
          <w:rFonts w:hint="eastAsia" w:ascii="宋体" w:hAnsi="宋体" w:cs="宋体"/>
          <w:color w:val="auto"/>
          <w:szCs w:val="21"/>
          <w:highlight w:val="none"/>
        </w:rPr>
        <w:t>王小姐0579－89903039。</w:t>
      </w:r>
    </w:p>
    <w:p w14:paraId="7385A55F">
      <w:pPr>
        <w:pStyle w:val="18"/>
        <w:spacing w:line="360" w:lineRule="auto"/>
        <w:ind w:left="420" w:firstLine="210"/>
        <w:jc w:val="left"/>
        <w:rPr>
          <w:rFonts w:hAnsi="宋体" w:cs="宋体"/>
          <w:color w:val="auto"/>
          <w:highlight w:val="none"/>
        </w:rPr>
      </w:pPr>
    </w:p>
    <w:p w14:paraId="43C96ABC">
      <w:pPr>
        <w:pStyle w:val="18"/>
        <w:adjustRightInd w:val="0"/>
        <w:snapToGrid w:val="0"/>
        <w:spacing w:line="360" w:lineRule="auto"/>
        <w:ind w:firstLine="210"/>
        <w:rPr>
          <w:rFonts w:hAnsi="宋体" w:cs="宋体"/>
          <w:color w:val="auto"/>
          <w:highlight w:val="none"/>
          <w:lang w:val="zh-CN"/>
        </w:rPr>
      </w:pPr>
    </w:p>
    <w:p w14:paraId="00957604">
      <w:pPr>
        <w:pStyle w:val="18"/>
        <w:adjustRightInd w:val="0"/>
        <w:snapToGrid w:val="0"/>
        <w:spacing w:line="360" w:lineRule="auto"/>
        <w:ind w:firstLine="420" w:firstLineChars="200"/>
        <w:rPr>
          <w:rFonts w:hAnsi="宋体" w:cs="宋体"/>
          <w:color w:val="auto"/>
          <w:highlight w:val="none"/>
        </w:rPr>
      </w:pPr>
    </w:p>
    <w:p w14:paraId="5C5726CC">
      <w:pPr>
        <w:pStyle w:val="18"/>
        <w:adjustRightInd w:val="0"/>
        <w:snapToGrid w:val="0"/>
        <w:spacing w:line="360" w:lineRule="auto"/>
        <w:ind w:firstLine="220"/>
        <w:jc w:val="right"/>
        <w:rPr>
          <w:rFonts w:hAnsi="宋体" w:cs="宋体"/>
          <w:color w:val="auto"/>
          <w:highlight w:val="none"/>
        </w:rPr>
      </w:pPr>
      <w:r>
        <w:rPr>
          <w:rFonts w:hint="eastAsia" w:hAnsi="宋体" w:cs="宋体"/>
          <w:color w:val="auto"/>
          <w:sz w:val="22"/>
          <w:szCs w:val="22"/>
          <w:highlight w:val="none"/>
          <w:shd w:val="clear" w:color="auto" w:fill="FFFFFF"/>
        </w:rPr>
        <w:t>义乌市保安服务有限公司</w:t>
      </w:r>
    </w:p>
    <w:p w14:paraId="0D46D9F5">
      <w:pPr>
        <w:pStyle w:val="18"/>
        <w:adjustRightInd w:val="0"/>
        <w:snapToGrid w:val="0"/>
        <w:spacing w:line="360" w:lineRule="auto"/>
        <w:ind w:firstLine="210"/>
        <w:jc w:val="right"/>
        <w:rPr>
          <w:rFonts w:hAnsi="宋体" w:cs="宋体"/>
          <w:color w:val="auto"/>
          <w:highlight w:val="none"/>
        </w:rPr>
      </w:pPr>
      <w:r>
        <w:rPr>
          <w:rFonts w:hint="eastAsia" w:hAnsi="宋体" w:cs="宋体"/>
          <w:color w:val="auto"/>
          <w:highlight w:val="none"/>
        </w:rPr>
        <w:t>义乌产权交易所有限公司</w:t>
      </w:r>
    </w:p>
    <w:p w14:paraId="1E32B915">
      <w:pPr>
        <w:pStyle w:val="18"/>
        <w:adjustRightInd w:val="0"/>
        <w:snapToGrid w:val="0"/>
        <w:spacing w:line="360" w:lineRule="auto"/>
        <w:ind w:firstLine="210"/>
        <w:jc w:val="right"/>
        <w:rPr>
          <w:rFonts w:hAnsi="宋体" w:cs="宋体"/>
          <w:color w:val="auto"/>
          <w:sz w:val="24"/>
          <w:highlight w:val="none"/>
        </w:rPr>
      </w:pPr>
      <w:r>
        <w:rPr>
          <w:rFonts w:hint="eastAsia" w:hAnsi="宋体" w:cs="宋体"/>
          <w:color w:val="auto"/>
          <w:highlight w:val="none"/>
        </w:rPr>
        <w:t>2025年</w:t>
      </w:r>
      <w:r>
        <w:rPr>
          <w:rFonts w:hint="eastAsia" w:hAnsi="宋体" w:cs="宋体"/>
          <w:color w:val="auto"/>
          <w:highlight w:val="none"/>
          <w:lang w:val="en-US" w:eastAsia="zh-CN"/>
        </w:rPr>
        <w:t>10</w:t>
      </w:r>
      <w:r>
        <w:rPr>
          <w:rFonts w:hint="eastAsia" w:hAnsi="宋体" w:cs="宋体"/>
          <w:color w:val="auto"/>
          <w:highlight w:val="none"/>
        </w:rPr>
        <w:t>月</w:t>
      </w:r>
      <w:r>
        <w:rPr>
          <w:rFonts w:hint="eastAsia" w:hAnsi="宋体" w:cs="宋体"/>
          <w:color w:val="auto"/>
          <w:highlight w:val="none"/>
          <w:lang w:val="en-US" w:eastAsia="zh-CN"/>
        </w:rPr>
        <w:t>16</w:t>
      </w:r>
      <w:r>
        <w:rPr>
          <w:rFonts w:hint="eastAsia" w:hAnsi="宋体" w:cs="宋体"/>
          <w:color w:val="auto"/>
          <w:highlight w:val="none"/>
        </w:rPr>
        <w:t>日</w:t>
      </w:r>
    </w:p>
    <w:p w14:paraId="385A3A00">
      <w:pPr>
        <w:pStyle w:val="18"/>
        <w:adjustRightInd w:val="0"/>
        <w:snapToGrid w:val="0"/>
        <w:spacing w:line="360" w:lineRule="auto"/>
        <w:ind w:firstLine="240"/>
        <w:jc w:val="right"/>
        <w:rPr>
          <w:rFonts w:hAnsi="宋体"/>
          <w:color w:val="auto"/>
          <w:sz w:val="24"/>
          <w:highlight w:val="none"/>
        </w:rPr>
      </w:pPr>
    </w:p>
    <w:p w14:paraId="1086969A">
      <w:pPr>
        <w:pStyle w:val="18"/>
        <w:adjustRightInd w:val="0"/>
        <w:snapToGrid w:val="0"/>
        <w:spacing w:line="360" w:lineRule="auto"/>
        <w:ind w:firstLine="240"/>
        <w:jc w:val="right"/>
        <w:rPr>
          <w:rFonts w:hAnsi="宋体"/>
          <w:color w:val="auto"/>
          <w:sz w:val="24"/>
          <w:highlight w:val="none"/>
        </w:rPr>
      </w:pPr>
    </w:p>
    <w:p w14:paraId="0D5D76FC">
      <w:pPr>
        <w:pStyle w:val="18"/>
        <w:adjustRightInd w:val="0"/>
        <w:snapToGrid w:val="0"/>
        <w:spacing w:line="400" w:lineRule="exact"/>
        <w:ind w:firstLine="240"/>
        <w:jc w:val="right"/>
        <w:rPr>
          <w:rFonts w:hAnsi="宋体"/>
          <w:color w:val="auto"/>
          <w:sz w:val="24"/>
          <w:highlight w:val="none"/>
        </w:rPr>
      </w:pPr>
    </w:p>
    <w:p w14:paraId="709CF6C8">
      <w:pPr>
        <w:pStyle w:val="18"/>
        <w:adjustRightInd w:val="0"/>
        <w:snapToGrid w:val="0"/>
        <w:spacing w:line="400" w:lineRule="exact"/>
        <w:ind w:firstLine="240"/>
        <w:jc w:val="right"/>
        <w:rPr>
          <w:rFonts w:hAnsi="宋体"/>
          <w:color w:val="auto"/>
          <w:sz w:val="24"/>
          <w:highlight w:val="none"/>
        </w:rPr>
      </w:pPr>
    </w:p>
    <w:p w14:paraId="1EE585FE">
      <w:pPr>
        <w:pStyle w:val="18"/>
        <w:adjustRightInd w:val="0"/>
        <w:snapToGrid w:val="0"/>
        <w:spacing w:line="400" w:lineRule="exact"/>
        <w:ind w:firstLine="240"/>
        <w:jc w:val="right"/>
        <w:rPr>
          <w:rFonts w:hAnsi="宋体"/>
          <w:color w:val="auto"/>
          <w:sz w:val="24"/>
          <w:highlight w:val="none"/>
        </w:rPr>
      </w:pPr>
    </w:p>
    <w:p w14:paraId="120F27FB">
      <w:pPr>
        <w:pStyle w:val="18"/>
        <w:adjustRightInd w:val="0"/>
        <w:snapToGrid w:val="0"/>
        <w:spacing w:line="400" w:lineRule="exact"/>
        <w:ind w:firstLine="240"/>
        <w:jc w:val="right"/>
        <w:rPr>
          <w:rFonts w:hAnsi="宋体"/>
          <w:color w:val="auto"/>
          <w:sz w:val="24"/>
          <w:highlight w:val="none"/>
        </w:rPr>
      </w:pPr>
    </w:p>
    <w:p w14:paraId="5D01CDF4">
      <w:pPr>
        <w:pStyle w:val="18"/>
        <w:adjustRightInd w:val="0"/>
        <w:snapToGrid w:val="0"/>
        <w:spacing w:line="400" w:lineRule="exact"/>
        <w:ind w:firstLine="240"/>
        <w:jc w:val="right"/>
        <w:rPr>
          <w:rFonts w:hAnsi="宋体"/>
          <w:color w:val="auto"/>
          <w:sz w:val="24"/>
          <w:highlight w:val="none"/>
        </w:rPr>
      </w:pPr>
    </w:p>
    <w:p w14:paraId="25A92350">
      <w:pPr>
        <w:pStyle w:val="18"/>
        <w:adjustRightInd w:val="0"/>
        <w:snapToGrid w:val="0"/>
        <w:spacing w:line="400" w:lineRule="exact"/>
        <w:ind w:firstLine="210"/>
        <w:jc w:val="right"/>
        <w:rPr>
          <w:rFonts w:hAnsi="宋体"/>
          <w:color w:val="auto"/>
          <w:highlight w:val="none"/>
        </w:rPr>
      </w:pPr>
    </w:p>
    <w:p w14:paraId="76C685F4">
      <w:pPr>
        <w:pStyle w:val="18"/>
        <w:adjustRightInd w:val="0"/>
        <w:snapToGrid w:val="0"/>
        <w:spacing w:line="400" w:lineRule="exact"/>
        <w:ind w:firstLine="210"/>
        <w:jc w:val="right"/>
        <w:rPr>
          <w:rFonts w:hAnsi="宋体"/>
          <w:color w:val="auto"/>
          <w:highlight w:val="none"/>
        </w:rPr>
      </w:pPr>
    </w:p>
    <w:p w14:paraId="6B0BB02F">
      <w:pPr>
        <w:pStyle w:val="2"/>
        <w:spacing w:line="240" w:lineRule="exact"/>
        <w:jc w:val="center"/>
        <w:rPr>
          <w:color w:val="auto"/>
          <w:sz w:val="36"/>
          <w:highlight w:val="none"/>
        </w:rPr>
      </w:pPr>
      <w:bookmarkStart w:id="6" w:name="_Toc10680"/>
      <w:r>
        <w:rPr>
          <w:rFonts w:hint="eastAsia"/>
          <w:color w:val="auto"/>
          <w:sz w:val="36"/>
          <w:highlight w:val="none"/>
        </w:rPr>
        <w:br w:type="page"/>
      </w:r>
      <w:bookmarkStart w:id="7" w:name="_Toc20718"/>
      <w:bookmarkStart w:id="8" w:name="_Toc4883"/>
      <w:bookmarkStart w:id="9" w:name="_Toc18017"/>
      <w:bookmarkStart w:id="10" w:name="_Toc5766"/>
      <w:r>
        <w:rPr>
          <w:rFonts w:hint="eastAsia"/>
          <w:color w:val="auto"/>
          <w:sz w:val="36"/>
          <w:highlight w:val="none"/>
        </w:rPr>
        <w:t>第二章　投标须知和投标须知前附表</w:t>
      </w:r>
      <w:bookmarkEnd w:id="6"/>
      <w:bookmarkEnd w:id="7"/>
      <w:bookmarkEnd w:id="8"/>
      <w:bookmarkEnd w:id="9"/>
      <w:bookmarkEnd w:id="10"/>
    </w:p>
    <w:p w14:paraId="19A5B625">
      <w:pPr>
        <w:spacing w:line="360" w:lineRule="auto"/>
        <w:ind w:firstLine="602" w:firstLineChars="200"/>
        <w:jc w:val="center"/>
        <w:rPr>
          <w:rFonts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16B9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E0770B0">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vAlign w:val="center"/>
          </w:tcPr>
          <w:p w14:paraId="2891603A">
            <w:pPr>
              <w:jc w:val="center"/>
              <w:rPr>
                <w:rFonts w:ascii="宋体" w:hAnsi="宋体" w:cs="宋体"/>
                <w:b/>
                <w:color w:val="auto"/>
                <w:sz w:val="24"/>
                <w:highlight w:val="none"/>
              </w:rPr>
            </w:pPr>
            <w:r>
              <w:rPr>
                <w:rFonts w:hint="eastAsia" w:ascii="宋体" w:hAnsi="宋体" w:cs="宋体"/>
                <w:b/>
                <w:color w:val="auto"/>
                <w:sz w:val="24"/>
                <w:highlight w:val="none"/>
              </w:rPr>
              <w:t>内容规定</w:t>
            </w:r>
          </w:p>
        </w:tc>
      </w:tr>
      <w:tr w14:paraId="62B1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A7B742F">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vAlign w:val="center"/>
          </w:tcPr>
          <w:p w14:paraId="775D37F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项目综合</w:t>
            </w:r>
          </w:p>
          <w:p w14:paraId="7B666D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vAlign w:val="center"/>
          </w:tcPr>
          <w:p w14:paraId="5DF0BFAB">
            <w:pPr>
              <w:spacing w:line="400" w:lineRule="exact"/>
              <w:rPr>
                <w:rFonts w:ascii="宋体" w:hAnsi="宋体" w:cs="宋体"/>
                <w:color w:val="auto"/>
                <w:szCs w:val="21"/>
                <w:highlight w:val="none"/>
              </w:rPr>
            </w:pPr>
            <w:r>
              <w:rPr>
                <w:rFonts w:hint="eastAsia" w:ascii="宋体" w:hAnsi="宋体" w:cs="宋体"/>
                <w:color w:val="auto"/>
                <w:szCs w:val="21"/>
                <w:highlight w:val="none"/>
              </w:rPr>
              <w:t>项目名称： 义乌市保安服务有限公司数据资产入表采购项目</w:t>
            </w:r>
          </w:p>
          <w:p w14:paraId="275E4229">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采购内容及数量：具体详见第三章招标项目要求。           </w:t>
            </w:r>
          </w:p>
        </w:tc>
      </w:tr>
      <w:tr w14:paraId="295B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266DDC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vAlign w:val="center"/>
          </w:tcPr>
          <w:p w14:paraId="3B4DC0E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vAlign w:val="center"/>
          </w:tcPr>
          <w:p w14:paraId="45A81A81">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公开招标                       </w:t>
            </w:r>
          </w:p>
        </w:tc>
      </w:tr>
      <w:tr w14:paraId="13D4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6D4D47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vAlign w:val="center"/>
          </w:tcPr>
          <w:p w14:paraId="6419294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投标单位</w:t>
            </w:r>
          </w:p>
          <w:p w14:paraId="192781B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vAlign w:val="center"/>
          </w:tcPr>
          <w:p w14:paraId="40E3EBEF">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详见招标公告</w:t>
            </w:r>
          </w:p>
        </w:tc>
      </w:tr>
      <w:tr w14:paraId="4EAC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1D3D34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vAlign w:val="center"/>
          </w:tcPr>
          <w:p w14:paraId="11940E8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vAlign w:val="center"/>
          </w:tcPr>
          <w:p w14:paraId="3E0A899E">
            <w:pPr>
              <w:spacing w:line="400" w:lineRule="exact"/>
              <w:rPr>
                <w:rFonts w:ascii="宋体" w:hAnsi="宋体" w:cs="宋体"/>
                <w:color w:val="auto"/>
                <w:kern w:val="0"/>
                <w:szCs w:val="21"/>
                <w:highlight w:val="none"/>
              </w:rPr>
            </w:pPr>
            <w:r>
              <w:rPr>
                <w:rFonts w:hint="eastAsia" w:ascii="宋体" w:hAnsi="宋体" w:cs="宋体"/>
                <w:color w:val="auto"/>
                <w:szCs w:val="21"/>
                <w:highlight w:val="none"/>
              </w:rPr>
              <w:t>综合评分法</w:t>
            </w:r>
          </w:p>
        </w:tc>
      </w:tr>
      <w:tr w14:paraId="537B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1C03C9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vAlign w:val="center"/>
          </w:tcPr>
          <w:p w14:paraId="66CC35C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供货要求</w:t>
            </w:r>
          </w:p>
        </w:tc>
        <w:tc>
          <w:tcPr>
            <w:tcW w:w="7560" w:type="dxa"/>
            <w:tcBorders>
              <w:top w:val="single" w:color="auto" w:sz="4" w:space="0"/>
              <w:left w:val="single" w:color="auto" w:sz="4" w:space="0"/>
              <w:bottom w:val="single" w:color="auto" w:sz="4" w:space="0"/>
              <w:right w:val="single" w:color="auto" w:sz="4" w:space="0"/>
            </w:tcBorders>
            <w:vAlign w:val="center"/>
          </w:tcPr>
          <w:p w14:paraId="2B9A43A8">
            <w:pPr>
              <w:spacing w:line="400" w:lineRule="exact"/>
              <w:rPr>
                <w:rFonts w:ascii="宋体" w:hAnsi="宋体" w:cs="宋体"/>
                <w:color w:val="auto"/>
                <w:szCs w:val="21"/>
                <w:highlight w:val="none"/>
              </w:rPr>
            </w:pPr>
            <w:r>
              <w:rPr>
                <w:rFonts w:hint="eastAsia" w:ascii="宋体" w:hAnsi="宋体" w:cs="宋体"/>
                <w:color w:val="auto"/>
                <w:szCs w:val="21"/>
                <w:highlight w:val="none"/>
              </w:rPr>
              <w:t>详见招标文件第三章</w:t>
            </w:r>
          </w:p>
        </w:tc>
      </w:tr>
      <w:tr w14:paraId="5EFB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C5209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vAlign w:val="center"/>
          </w:tcPr>
          <w:p w14:paraId="68AB935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vAlign w:val="center"/>
          </w:tcPr>
          <w:p w14:paraId="0E47E982">
            <w:pPr>
              <w:spacing w:line="4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1695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80F958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vAlign w:val="center"/>
          </w:tcPr>
          <w:p w14:paraId="7576DB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vAlign w:val="center"/>
          </w:tcPr>
          <w:p w14:paraId="6C4FD21F">
            <w:pPr>
              <w:spacing w:line="400" w:lineRule="exact"/>
              <w:rPr>
                <w:rFonts w:ascii="宋体" w:hAnsi="宋体" w:cs="宋体"/>
                <w:color w:val="auto"/>
                <w:szCs w:val="21"/>
                <w:highlight w:val="none"/>
              </w:rPr>
            </w:pPr>
            <w:r>
              <w:rPr>
                <w:rFonts w:hint="eastAsia" w:ascii="宋体" w:hAnsi="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4459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1EE24E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vAlign w:val="center"/>
          </w:tcPr>
          <w:p w14:paraId="3AE29EB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vAlign w:val="center"/>
          </w:tcPr>
          <w:p w14:paraId="62E30897">
            <w:pPr>
              <w:spacing w:line="400" w:lineRule="exact"/>
              <w:rPr>
                <w:rFonts w:ascii="宋体" w:hAnsi="宋体" w:cs="宋体"/>
                <w:color w:val="auto"/>
                <w:szCs w:val="21"/>
                <w:highlight w:val="none"/>
              </w:rPr>
            </w:pPr>
            <w:r>
              <w:rPr>
                <w:rFonts w:hint="eastAsia" w:ascii="宋体" w:hAnsi="宋体" w:cs="宋体"/>
                <w:color w:val="auto"/>
                <w:szCs w:val="21"/>
                <w:highlight w:val="none"/>
              </w:rPr>
              <w:t>供应商认为采购文件使自己的权益受到损害的，请于2025年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日17:00前以书面形式向采购人和采购代理机构提出质疑。质疑以书面方式分别提交至义乌市保安服务有限公司：金先生（17764550781）</w:t>
            </w:r>
            <w:r>
              <w:rPr>
                <w:rFonts w:hint="eastAsia" w:ascii="宋体" w:hAnsi="宋体" w:cs="宋体"/>
                <w:bCs/>
                <w:color w:val="auto"/>
                <w:szCs w:val="21"/>
                <w:highlight w:val="none"/>
              </w:rPr>
              <w:t>和义乌产权交易所有限公司：王女士（0579-89903039</w:t>
            </w:r>
            <w:r>
              <w:rPr>
                <w:rFonts w:hint="eastAsia" w:ascii="宋体" w:hAnsi="宋体" w:cs="宋体"/>
                <w:color w:val="auto"/>
                <w:szCs w:val="21"/>
                <w:highlight w:val="none"/>
              </w:rPr>
              <w:t>，ywcqztb001@ywcq.com），</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并致电</w:t>
            </w:r>
            <w:r>
              <w:rPr>
                <w:rFonts w:hint="eastAsia" w:ascii="宋体" w:hAnsi="宋体" w:cs="宋体"/>
                <w:color w:val="auto"/>
                <w:szCs w:val="21"/>
                <w:highlight w:val="none"/>
              </w:rPr>
              <w:fldChar w:fldCharType="end"/>
            </w:r>
            <w:r>
              <w:rPr>
                <w:rFonts w:hint="eastAsia" w:ascii="宋体" w:hAnsi="宋体" w:cs="宋体"/>
                <w:color w:val="auto"/>
                <w:szCs w:val="21"/>
                <w:highlight w:val="none"/>
              </w:rPr>
              <w:t>采购代理机构确认。书面文件邮寄地址：义乌市北苑街道望道路300号4051。</w:t>
            </w:r>
          </w:p>
        </w:tc>
      </w:tr>
      <w:tr w14:paraId="01A6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711EFF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vAlign w:val="center"/>
          </w:tcPr>
          <w:p w14:paraId="72D75A8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vAlign w:val="center"/>
          </w:tcPr>
          <w:p w14:paraId="5622B7CE">
            <w:pPr>
              <w:spacing w:line="400" w:lineRule="exact"/>
              <w:rPr>
                <w:rFonts w:ascii="宋体" w:hAnsi="宋体" w:cs="宋体"/>
                <w:color w:val="auto"/>
                <w:szCs w:val="21"/>
                <w:highlight w:val="none"/>
              </w:rPr>
            </w:pPr>
            <w:r>
              <w:rPr>
                <w:rFonts w:hint="eastAsia" w:ascii="宋体" w:hAnsi="宋体" w:cs="宋体"/>
                <w:color w:val="auto"/>
                <w:szCs w:val="21"/>
                <w:highlight w:val="none"/>
              </w:rPr>
              <w:t>自开标之日起60天（日历天）</w:t>
            </w:r>
          </w:p>
        </w:tc>
      </w:tr>
      <w:tr w14:paraId="7AC5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D63C1B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vAlign w:val="center"/>
          </w:tcPr>
          <w:p w14:paraId="246EB6C5">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vAlign w:val="center"/>
          </w:tcPr>
          <w:p w14:paraId="3D2D83B4">
            <w:pPr>
              <w:spacing w:line="400" w:lineRule="exact"/>
              <w:rPr>
                <w:rFonts w:ascii="宋体" w:hAnsi="宋体" w:cs="宋体"/>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2025年10月24日09</w:t>
            </w:r>
            <w:r>
              <w:rPr>
                <w:rFonts w:hint="eastAsia" w:ascii="宋体" w:hAnsi="宋体" w:cs="宋体"/>
                <w:color w:val="auto"/>
                <w:szCs w:val="21"/>
                <w:highlight w:val="none"/>
              </w:rPr>
              <w:t>:30）之前上传投标文件。</w:t>
            </w:r>
          </w:p>
        </w:tc>
      </w:tr>
      <w:tr w14:paraId="088D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2D3575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670" w:type="dxa"/>
            <w:tcBorders>
              <w:top w:val="single" w:color="auto" w:sz="4" w:space="0"/>
              <w:left w:val="single" w:color="auto" w:sz="4" w:space="0"/>
              <w:bottom w:val="single" w:color="auto" w:sz="4" w:space="0"/>
              <w:right w:val="single" w:color="auto" w:sz="4" w:space="0"/>
            </w:tcBorders>
            <w:vAlign w:val="center"/>
          </w:tcPr>
          <w:p w14:paraId="1C3A6DFA">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vAlign w:val="center"/>
          </w:tcPr>
          <w:p w14:paraId="2F872589">
            <w:pPr>
              <w:spacing w:line="400" w:lineRule="exact"/>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2025年10月24日09</w:t>
            </w:r>
            <w:r>
              <w:rPr>
                <w:rFonts w:hint="eastAsia" w:ascii="宋体" w:hAnsi="宋体" w:cs="宋体"/>
                <w:color w:val="auto"/>
                <w:szCs w:val="21"/>
                <w:highlight w:val="none"/>
              </w:rPr>
              <w:t>:30</w:t>
            </w:r>
          </w:p>
          <w:p w14:paraId="7A4A90BA">
            <w:pPr>
              <w:spacing w:line="400" w:lineRule="exact"/>
              <w:rPr>
                <w:rFonts w:ascii="宋体" w:hAnsi="宋体" w:cs="宋体"/>
                <w:color w:val="auto"/>
                <w:szCs w:val="21"/>
                <w:highlight w:val="none"/>
              </w:rPr>
            </w:pPr>
            <w:r>
              <w:rPr>
                <w:rFonts w:hint="eastAsia" w:ascii="宋体" w:hAnsi="宋体" w:cs="宋体"/>
                <w:color w:val="auto"/>
                <w:szCs w:val="21"/>
                <w:highlight w:val="none"/>
              </w:rPr>
              <w:t>开标地点：“义乌市阳光招标采购平台”（</w:t>
            </w:r>
            <w:r>
              <w:rPr>
                <w:rFonts w:hint="eastAsia" w:ascii="宋体" w:hAnsi="宋体" w:cs="宋体"/>
                <w:color w:val="auto"/>
                <w:highlight w:val="none"/>
              </w:rPr>
              <w:t>www.ywygzc.com</w:t>
            </w:r>
            <w:r>
              <w:rPr>
                <w:rFonts w:hint="eastAsia" w:ascii="宋体" w:hAnsi="宋体" w:cs="宋体"/>
                <w:color w:val="auto"/>
                <w:szCs w:val="21"/>
                <w:highlight w:val="none"/>
              </w:rPr>
              <w:t>）</w:t>
            </w:r>
          </w:p>
          <w:p w14:paraId="5EAE03BC">
            <w:pPr>
              <w:spacing w:line="400" w:lineRule="exact"/>
              <w:rPr>
                <w:rFonts w:ascii="宋体" w:hAnsi="宋体" w:cs="宋体"/>
                <w:color w:val="auto"/>
                <w:highlight w:val="none"/>
              </w:rPr>
            </w:pPr>
            <w:r>
              <w:rPr>
                <w:rFonts w:hint="eastAsia" w:ascii="宋体"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566EC20D">
            <w:pPr>
              <w:snapToGrid w:val="0"/>
              <w:spacing w:line="360" w:lineRule="auto"/>
              <w:rPr>
                <w:rFonts w:ascii="宋体" w:hAnsi="宋体" w:cs="宋体"/>
                <w:color w:val="auto"/>
                <w:szCs w:val="21"/>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tc>
      </w:tr>
      <w:tr w14:paraId="6C08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41140F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1670" w:type="dxa"/>
            <w:tcBorders>
              <w:top w:val="single" w:color="auto" w:sz="4" w:space="0"/>
              <w:left w:val="single" w:color="auto" w:sz="4" w:space="0"/>
              <w:bottom w:val="single" w:color="auto" w:sz="4" w:space="0"/>
              <w:right w:val="single" w:color="auto" w:sz="4" w:space="0"/>
            </w:tcBorders>
            <w:vAlign w:val="center"/>
          </w:tcPr>
          <w:p w14:paraId="10B77D9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vAlign w:val="center"/>
          </w:tcPr>
          <w:p w14:paraId="0410FAD8">
            <w:pPr>
              <w:tabs>
                <w:tab w:val="left" w:pos="0"/>
              </w:tabs>
              <w:adjustRightInd w:val="0"/>
              <w:snapToGrid w:val="0"/>
              <w:spacing w:line="400" w:lineRule="exact"/>
              <w:rPr>
                <w:rFonts w:ascii="宋体" w:hAnsi="宋体" w:cs="宋体"/>
                <w:color w:val="auto"/>
                <w:szCs w:val="21"/>
                <w:highlight w:val="none"/>
              </w:rPr>
            </w:pPr>
            <w:r>
              <w:rPr>
                <w:rFonts w:hint="eastAsia" w:ascii="宋体" w:hAnsi="宋体" w:cs="宋体"/>
                <w:bCs/>
                <w:color w:val="auto"/>
                <w:szCs w:val="21"/>
                <w:highlight w:val="none"/>
              </w:rPr>
              <w:t>无</w:t>
            </w:r>
          </w:p>
        </w:tc>
      </w:tr>
      <w:tr w14:paraId="69D6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FC4919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1670" w:type="dxa"/>
            <w:tcBorders>
              <w:top w:val="single" w:color="auto" w:sz="4" w:space="0"/>
              <w:left w:val="single" w:color="auto" w:sz="4" w:space="0"/>
              <w:bottom w:val="single" w:color="auto" w:sz="4" w:space="0"/>
              <w:right w:val="single" w:color="auto" w:sz="4" w:space="0"/>
            </w:tcBorders>
            <w:vAlign w:val="center"/>
          </w:tcPr>
          <w:p w14:paraId="04B2A9A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vAlign w:val="center"/>
          </w:tcPr>
          <w:p w14:paraId="457100AF">
            <w:pPr>
              <w:spacing w:line="400" w:lineRule="exact"/>
              <w:rPr>
                <w:rFonts w:ascii="宋体" w:hAnsi="宋体" w:cs="宋体"/>
                <w:color w:val="auto"/>
                <w:szCs w:val="21"/>
                <w:highlight w:val="none"/>
              </w:rPr>
            </w:pPr>
            <w:r>
              <w:rPr>
                <w:rFonts w:hint="eastAsia" w:ascii="宋体" w:hAnsi="宋体" w:cs="宋体"/>
                <w:color w:val="auto"/>
                <w:szCs w:val="21"/>
                <w:highlight w:val="none"/>
              </w:rPr>
              <w:t>无</w:t>
            </w:r>
          </w:p>
        </w:tc>
      </w:tr>
      <w:tr w14:paraId="54B4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2C7A0C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1670" w:type="dxa"/>
            <w:tcBorders>
              <w:top w:val="single" w:color="auto" w:sz="4" w:space="0"/>
              <w:left w:val="single" w:color="auto" w:sz="4" w:space="0"/>
              <w:bottom w:val="single" w:color="auto" w:sz="4" w:space="0"/>
              <w:right w:val="single" w:color="auto" w:sz="4" w:space="0"/>
            </w:tcBorders>
            <w:vAlign w:val="center"/>
          </w:tcPr>
          <w:p w14:paraId="7560FBF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vAlign w:val="center"/>
          </w:tcPr>
          <w:p w14:paraId="5620867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详见招标文件第三章。</w:t>
            </w:r>
          </w:p>
        </w:tc>
      </w:tr>
      <w:tr w14:paraId="6DCE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F48638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670" w:type="dxa"/>
            <w:tcBorders>
              <w:top w:val="single" w:color="auto" w:sz="4" w:space="0"/>
              <w:left w:val="single" w:color="auto" w:sz="4" w:space="0"/>
              <w:bottom w:val="single" w:color="auto" w:sz="4" w:space="0"/>
              <w:right w:val="single" w:color="auto" w:sz="4" w:space="0"/>
            </w:tcBorders>
            <w:vAlign w:val="center"/>
          </w:tcPr>
          <w:p w14:paraId="4A4D28EB">
            <w:pPr>
              <w:spacing w:line="400" w:lineRule="exact"/>
              <w:ind w:left="-99" w:leftChars="-47"/>
              <w:jc w:val="center"/>
              <w:rPr>
                <w:rFonts w:ascii="宋体" w:hAnsi="宋体" w:cs="宋体"/>
                <w:color w:val="auto"/>
                <w:szCs w:val="21"/>
                <w:highlight w:val="none"/>
              </w:rPr>
            </w:pPr>
            <w:r>
              <w:rPr>
                <w:rFonts w:hint="eastAsia" w:ascii="宋体" w:hAnsi="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vAlign w:val="center"/>
          </w:tcPr>
          <w:p w14:paraId="679235F4">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投标人发生下列情况之一时，除严格依法依规进行处理外，还将通报市信用管理部门，列入严重失信名单：</w:t>
            </w:r>
          </w:p>
          <w:p w14:paraId="01D7ED4A">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（1）投标人在规定的投标有效期内撤回投标或放弃中标的；</w:t>
            </w:r>
          </w:p>
          <w:p w14:paraId="76FAC314">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（2）有意串标或提供虚假材料的；</w:t>
            </w:r>
          </w:p>
          <w:p w14:paraId="5654965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（3）中标人在收到中标通知书后，因自身原因不能在招标文件规定的期限内和采购人签订合同。</w:t>
            </w:r>
          </w:p>
          <w:p w14:paraId="6DDFBDEA">
            <w:pPr>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（4）中标人未在规定时间缴纳招标代理费的；</w:t>
            </w:r>
          </w:p>
          <w:p w14:paraId="2237AC1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（5）中标供应商在中标后履约过程中未按合同约定的期限和要求履约的。</w:t>
            </w:r>
          </w:p>
          <w:p w14:paraId="62BD739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（6）因中标供应商原因在中标后履约过程中擅自终止合同的。</w:t>
            </w:r>
          </w:p>
          <w:p w14:paraId="7101BDC0">
            <w:pPr>
              <w:spacing w:line="400" w:lineRule="exact"/>
              <w:jc w:val="left"/>
              <w:rPr>
                <w:rFonts w:ascii="宋体" w:hAnsi="宋体" w:cs="宋体"/>
                <w:color w:val="auto"/>
                <w:szCs w:val="21"/>
                <w:highlight w:val="none"/>
                <w:lang w:eastAsia="zh-TW"/>
              </w:rPr>
            </w:pPr>
            <w:r>
              <w:rPr>
                <w:rFonts w:hint="eastAsia" w:ascii="宋体" w:hAnsi="宋体" w:cs="宋体"/>
                <w:color w:val="auto"/>
                <w:szCs w:val="21"/>
                <w:highlight w:val="none"/>
              </w:rPr>
              <w:t xml:space="preserve">  （7）不符合招标文件要求的其他失信行为。</w:t>
            </w:r>
          </w:p>
        </w:tc>
      </w:tr>
      <w:tr w14:paraId="7533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F988E8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670" w:type="dxa"/>
            <w:tcBorders>
              <w:top w:val="single" w:color="auto" w:sz="4" w:space="0"/>
              <w:left w:val="single" w:color="auto" w:sz="4" w:space="0"/>
              <w:bottom w:val="single" w:color="auto" w:sz="4" w:space="0"/>
              <w:right w:val="single" w:color="auto" w:sz="4" w:space="0"/>
            </w:tcBorders>
            <w:vAlign w:val="center"/>
          </w:tcPr>
          <w:p w14:paraId="70E1EFF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vAlign w:val="center"/>
          </w:tcPr>
          <w:p w14:paraId="487FA3CB">
            <w:pPr>
              <w:spacing w:line="400" w:lineRule="exact"/>
              <w:rPr>
                <w:rFonts w:ascii="宋体" w:hAnsi="宋体" w:cs="宋体"/>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本项目设有预算价和最高限价</w:t>
            </w:r>
            <w:r>
              <w:rPr>
                <w:rFonts w:hint="eastAsia" w:ascii="宋体" w:hAnsi="宋体" w:cs="宋体"/>
                <w:color w:val="auto"/>
                <w:szCs w:val="21"/>
                <w:highlight w:val="none"/>
              </w:rPr>
              <w:t>，投标报价超过</w:t>
            </w:r>
            <w:r>
              <w:rPr>
                <w:rFonts w:hint="eastAsia" w:ascii="宋体" w:hAnsi="宋体" w:cs="宋体"/>
                <w:b/>
                <w:bCs/>
                <w:color w:val="auto"/>
                <w:szCs w:val="21"/>
                <w:highlight w:val="none"/>
              </w:rPr>
              <w:t>预算价及最</w:t>
            </w:r>
            <w:r>
              <w:rPr>
                <w:rFonts w:hint="eastAsia" w:ascii="宋体" w:hAnsi="宋体" w:cs="宋体"/>
                <w:b/>
                <w:color w:val="auto"/>
                <w:szCs w:val="21"/>
                <w:highlight w:val="none"/>
              </w:rPr>
              <w:t>高限价的</w:t>
            </w:r>
            <w:r>
              <w:rPr>
                <w:rFonts w:hint="eastAsia" w:ascii="宋体" w:hAnsi="宋体" w:cs="宋体"/>
                <w:color w:val="auto"/>
                <w:szCs w:val="21"/>
                <w:highlight w:val="none"/>
              </w:rPr>
              <w:t>，其投标为无效标。</w:t>
            </w:r>
          </w:p>
          <w:p w14:paraId="73B7E2EC">
            <w:pPr>
              <w:spacing w:line="400" w:lineRule="exact"/>
              <w:rPr>
                <w:rFonts w:ascii="宋体" w:hAnsi="宋体" w:cs="宋体"/>
                <w:color w:val="auto"/>
                <w:szCs w:val="21"/>
                <w:highlight w:val="none"/>
              </w:rPr>
            </w:pPr>
            <w:r>
              <w:rPr>
                <w:rFonts w:hint="eastAsia" w:ascii="宋体" w:hAnsi="宋体" w:cs="宋体"/>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29A19A54">
      <w:pPr>
        <w:spacing w:line="400" w:lineRule="exact"/>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507B44FB">
      <w:pPr>
        <w:pStyle w:val="2"/>
        <w:spacing w:line="240" w:lineRule="exact"/>
        <w:jc w:val="center"/>
        <w:rPr>
          <w:color w:val="auto"/>
          <w:sz w:val="32"/>
          <w:szCs w:val="32"/>
          <w:highlight w:val="none"/>
        </w:rPr>
      </w:pPr>
      <w:r>
        <w:rPr>
          <w:color w:val="auto"/>
          <w:sz w:val="36"/>
          <w:szCs w:val="36"/>
          <w:highlight w:val="none"/>
        </w:rPr>
        <w:br w:type="page"/>
      </w:r>
      <w:bookmarkStart w:id="11" w:name="_Toc8496"/>
      <w:bookmarkStart w:id="12" w:name="_Toc9133"/>
      <w:bookmarkStart w:id="13" w:name="_Toc32581"/>
      <w:bookmarkStart w:id="14" w:name="_Toc15632"/>
      <w:bookmarkStart w:id="15" w:name="_Toc21149"/>
      <w:bookmarkStart w:id="16" w:name="_Toc20010"/>
      <w:r>
        <w:rPr>
          <w:rFonts w:hint="eastAsia"/>
          <w:color w:val="auto"/>
          <w:sz w:val="32"/>
          <w:szCs w:val="32"/>
          <w:highlight w:val="none"/>
        </w:rPr>
        <w:t>投标须知</w:t>
      </w:r>
      <w:bookmarkEnd w:id="11"/>
      <w:bookmarkEnd w:id="12"/>
      <w:bookmarkEnd w:id="13"/>
      <w:bookmarkEnd w:id="14"/>
      <w:bookmarkEnd w:id="15"/>
      <w:bookmarkEnd w:id="16"/>
    </w:p>
    <w:p w14:paraId="556EA8E7">
      <w:pPr>
        <w:pStyle w:val="3"/>
        <w:spacing w:before="120" w:after="120" w:line="360" w:lineRule="auto"/>
        <w:rPr>
          <w:rFonts w:ascii="宋体" w:hAnsi="宋体" w:eastAsia="宋体" w:cs="宋体"/>
          <w:color w:val="auto"/>
          <w:sz w:val="21"/>
          <w:szCs w:val="21"/>
          <w:highlight w:val="none"/>
        </w:rPr>
      </w:pPr>
      <w:bookmarkStart w:id="17" w:name="_Toc22715"/>
      <w:bookmarkStart w:id="18" w:name="_Toc8804"/>
      <w:bookmarkStart w:id="19" w:name="_Toc13003"/>
      <w:bookmarkStart w:id="20" w:name="_Toc274303229"/>
      <w:bookmarkStart w:id="21" w:name="_Toc20416"/>
      <w:bookmarkStart w:id="22" w:name="_Toc26162"/>
      <w:bookmarkStart w:id="23" w:name="_Toc27843"/>
      <w:bookmarkStart w:id="24" w:name="_Toc362250687"/>
      <w:r>
        <w:rPr>
          <w:rFonts w:hint="eastAsia" w:ascii="宋体" w:hAnsi="宋体" w:eastAsia="宋体" w:cs="宋体"/>
          <w:color w:val="auto"/>
          <w:sz w:val="21"/>
          <w:szCs w:val="21"/>
          <w:highlight w:val="none"/>
        </w:rPr>
        <w:t>一、说明</w:t>
      </w:r>
      <w:bookmarkEnd w:id="17"/>
      <w:bookmarkEnd w:id="18"/>
      <w:bookmarkEnd w:id="19"/>
      <w:bookmarkEnd w:id="20"/>
      <w:bookmarkEnd w:id="21"/>
      <w:bookmarkEnd w:id="22"/>
      <w:bookmarkEnd w:id="23"/>
      <w:bookmarkEnd w:id="24"/>
    </w:p>
    <w:p w14:paraId="4D48A87C">
      <w:pPr>
        <w:pStyle w:val="15"/>
        <w:adjustRightInd w:val="0"/>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1.适用范围</w:t>
      </w:r>
    </w:p>
    <w:p w14:paraId="4296A8F5">
      <w:pPr>
        <w:pStyle w:val="15"/>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①本招标文件仅适用于本次招标采购所叙述的货物和服务项目。</w:t>
      </w:r>
    </w:p>
    <w:p w14:paraId="69F4DA6B">
      <w:pPr>
        <w:pStyle w:val="15"/>
        <w:adjustRightInd w:val="0"/>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2.定义</w:t>
      </w:r>
    </w:p>
    <w:p w14:paraId="38523251">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①采购人：系指义乌市保安服务有限公司。</w:t>
      </w:r>
    </w:p>
    <w:p w14:paraId="2A0A2CF3">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②招标代理机构：系指义乌产权交易所有限公司。</w:t>
      </w:r>
    </w:p>
    <w:p w14:paraId="2074FD92">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投标人：系指符合招标公告要求的投标供应商。</w:t>
      </w:r>
    </w:p>
    <w:p w14:paraId="54881D3D">
      <w:pPr>
        <w:pStyle w:val="15"/>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2.4服务：</w:t>
      </w:r>
      <w:r>
        <w:rPr>
          <w:rFonts w:hint="eastAsia" w:ascii="宋体" w:hAnsi="宋体" w:cs="宋体"/>
          <w:color w:val="auto"/>
          <w:kern w:val="0"/>
          <w:sz w:val="21"/>
          <w:szCs w:val="21"/>
          <w:highlight w:val="none"/>
        </w:rPr>
        <w:t>系指</w:t>
      </w:r>
      <w:r>
        <w:rPr>
          <w:rFonts w:hint="eastAsia" w:ascii="宋体" w:hAnsi="宋体" w:cs="宋体"/>
          <w:color w:val="auto"/>
          <w:sz w:val="21"/>
          <w:szCs w:val="21"/>
          <w:highlight w:val="none"/>
        </w:rPr>
        <w:t>招标文件规定投标人须承担的劳务及其他类似的服务。</w:t>
      </w:r>
    </w:p>
    <w:p w14:paraId="6C2F432A">
      <w:pPr>
        <w:pStyle w:val="20"/>
        <w:adjustRightInd w:val="0"/>
        <w:snapToGrid w:val="0"/>
        <w:ind w:firstLine="420" w:firstLineChars="200"/>
        <w:rPr>
          <w:rFonts w:hAnsi="宋体" w:eastAsia="宋体"/>
          <w:color w:val="auto"/>
          <w:sz w:val="21"/>
          <w:szCs w:val="21"/>
          <w:highlight w:val="none"/>
        </w:rPr>
      </w:pPr>
      <w:r>
        <w:rPr>
          <w:rFonts w:hint="eastAsia" w:hAnsi="宋体" w:eastAsia="宋体"/>
          <w:color w:val="auto"/>
          <w:sz w:val="21"/>
          <w:szCs w:val="21"/>
          <w:highlight w:val="none"/>
        </w:rPr>
        <w:t>2.5货物：系指按招标文件规定投标人须向采购人提供的一切材料、设备、机械、仪器仪表、工具及其他有关技术资料和文字材料。</w:t>
      </w:r>
    </w:p>
    <w:p w14:paraId="48FAB6B6">
      <w:pPr>
        <w:pStyle w:val="1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2.6需方：即采购人，在招投标阶段称为采购人，在签订和执行合同阶段称为需方。</w:t>
      </w:r>
    </w:p>
    <w:p w14:paraId="20FC5BFD">
      <w:pPr>
        <w:pStyle w:val="1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2.7供方：在招投标阶段称为投标人，中标后在签订和执行合同阶段称为供方。</w:t>
      </w:r>
    </w:p>
    <w:p w14:paraId="2DED9120">
      <w:pPr>
        <w:pStyle w:val="20"/>
        <w:adjustRightInd w:val="0"/>
        <w:snapToGrid w:val="0"/>
        <w:ind w:firstLine="420" w:firstLineChars="200"/>
        <w:rPr>
          <w:rFonts w:hAnsi="宋体" w:eastAsia="宋体"/>
          <w:color w:val="auto"/>
          <w:sz w:val="21"/>
          <w:szCs w:val="21"/>
          <w:highlight w:val="none"/>
        </w:rPr>
      </w:pPr>
      <w:r>
        <w:rPr>
          <w:rFonts w:hint="eastAsia" w:hAnsi="宋体" w:eastAsia="宋体"/>
          <w:color w:val="auto"/>
          <w:sz w:val="21"/>
          <w:szCs w:val="21"/>
          <w:highlight w:val="none"/>
        </w:rPr>
        <w:t>2.8“原产地”是指货物开采、生长或生产或提供有关服务的来源地。</w:t>
      </w:r>
    </w:p>
    <w:p w14:paraId="52328087">
      <w:pPr>
        <w:pStyle w:val="20"/>
        <w:adjustRightInd w:val="0"/>
        <w:snapToGrid w:val="0"/>
        <w:ind w:firstLine="420" w:firstLineChars="200"/>
        <w:rPr>
          <w:rFonts w:hAnsi="宋体" w:eastAsia="宋体"/>
          <w:color w:val="auto"/>
          <w:kern w:val="0"/>
          <w:sz w:val="21"/>
          <w:szCs w:val="21"/>
          <w:highlight w:val="none"/>
        </w:rPr>
      </w:pPr>
      <w:r>
        <w:rPr>
          <w:rFonts w:hint="eastAsia" w:hAnsi="宋体" w:eastAsia="宋体"/>
          <w:color w:val="auto"/>
          <w:sz w:val="21"/>
          <w:szCs w:val="21"/>
          <w:highlight w:val="none"/>
        </w:rPr>
        <w:t>2.9“★”标记系指必须满足不能负偏离或必须应答的条款。</w:t>
      </w:r>
    </w:p>
    <w:p w14:paraId="281BCC7D">
      <w:pPr>
        <w:pStyle w:val="15"/>
        <w:adjustRightInd w:val="0"/>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3.合格的投标人</w:t>
      </w:r>
    </w:p>
    <w:p w14:paraId="4932B87D">
      <w:pPr>
        <w:pStyle w:val="15"/>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3.1符合招标公告中要求的条件；</w:t>
      </w:r>
    </w:p>
    <w:p w14:paraId="1837A121">
      <w:pPr>
        <w:pStyle w:val="18"/>
        <w:spacing w:line="360" w:lineRule="auto"/>
        <w:ind w:firstLine="422" w:firstLineChars="200"/>
        <w:rPr>
          <w:rFonts w:hAnsi="宋体" w:cs="宋体"/>
          <w:color w:val="auto"/>
          <w:highlight w:val="none"/>
        </w:rPr>
      </w:pPr>
      <w:r>
        <w:rPr>
          <w:rFonts w:hint="eastAsia" w:hAnsi="宋体" w:cs="宋体"/>
          <w:b/>
          <w:color w:val="auto"/>
          <w:highlight w:val="none"/>
        </w:rPr>
        <w:t>4.保证</w:t>
      </w:r>
    </w:p>
    <w:p w14:paraId="7D731E3D">
      <w:pPr>
        <w:pStyle w:val="18"/>
        <w:spacing w:line="360" w:lineRule="auto"/>
        <w:ind w:firstLine="420" w:firstLineChars="200"/>
        <w:rPr>
          <w:rFonts w:hAnsi="宋体" w:cs="宋体"/>
          <w:color w:val="auto"/>
          <w:highlight w:val="none"/>
        </w:rPr>
      </w:pPr>
      <w:r>
        <w:rPr>
          <w:rFonts w:hint="eastAsia" w:hAnsi="宋体" w:cs="宋体"/>
          <w:color w:val="auto"/>
          <w:highlight w:val="none"/>
        </w:rPr>
        <w:t>4.1投标单位应保证所提交给招标机构和采购人的资料和数据是真实的。</w:t>
      </w:r>
    </w:p>
    <w:p w14:paraId="53E14E3C">
      <w:pPr>
        <w:pStyle w:val="18"/>
        <w:spacing w:line="360" w:lineRule="auto"/>
        <w:ind w:firstLine="422" w:firstLineChars="200"/>
        <w:rPr>
          <w:rFonts w:hAnsi="宋体" w:cs="宋体"/>
          <w:b/>
          <w:color w:val="auto"/>
          <w:highlight w:val="none"/>
        </w:rPr>
      </w:pPr>
      <w:r>
        <w:rPr>
          <w:rFonts w:hint="eastAsia" w:hAnsi="宋体" w:cs="宋体"/>
          <w:b/>
          <w:color w:val="auto"/>
          <w:highlight w:val="none"/>
        </w:rPr>
        <w:t>5.招标投标费用</w:t>
      </w:r>
    </w:p>
    <w:p w14:paraId="0FFDDDF5">
      <w:pPr>
        <w:pStyle w:val="18"/>
        <w:spacing w:line="360" w:lineRule="auto"/>
        <w:ind w:firstLine="420" w:firstLineChars="200"/>
        <w:rPr>
          <w:rFonts w:hAnsi="宋体" w:cs="宋体"/>
          <w:b/>
          <w:color w:val="auto"/>
          <w:highlight w:val="none"/>
        </w:rPr>
      </w:pPr>
      <w:r>
        <w:rPr>
          <w:rFonts w:hint="eastAsia" w:hAnsi="宋体" w:cs="宋体"/>
          <w:color w:val="auto"/>
          <w:highlight w:val="none"/>
        </w:rPr>
        <w:t>5.1不论投标过程中的做法和结果如何，投标人应承担所有与投标有关的全部费用。采购人和采购代理机构在任何情况下均无义务和责任承担上述这些费用。</w:t>
      </w:r>
    </w:p>
    <w:p w14:paraId="671B54D1">
      <w:pPr>
        <w:pStyle w:val="18"/>
        <w:spacing w:line="360" w:lineRule="auto"/>
        <w:ind w:firstLine="211"/>
        <w:rPr>
          <w:rFonts w:hAnsi="宋体" w:cs="宋体"/>
          <w:b/>
          <w:color w:val="auto"/>
          <w:highlight w:val="none"/>
        </w:rPr>
      </w:pPr>
      <w:r>
        <w:rPr>
          <w:rFonts w:hint="eastAsia" w:hAnsi="宋体" w:cs="宋体"/>
          <w:b/>
          <w:color w:val="auto"/>
          <w:highlight w:val="none"/>
        </w:rPr>
        <w:t xml:space="preserve">6.现场勘察 </w:t>
      </w:r>
    </w:p>
    <w:p w14:paraId="65888DC5">
      <w:pPr>
        <w:pStyle w:val="18"/>
        <w:spacing w:line="360" w:lineRule="auto"/>
        <w:ind w:firstLine="210"/>
        <w:rPr>
          <w:rFonts w:hAnsi="宋体" w:cs="宋体"/>
          <w:color w:val="auto"/>
          <w:highlight w:val="none"/>
        </w:rPr>
      </w:pPr>
      <w:r>
        <w:rPr>
          <w:rFonts w:hint="eastAsia" w:hAnsi="宋体" w:cs="宋体"/>
          <w:color w:val="auto"/>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10C74273">
      <w:pPr>
        <w:pStyle w:val="18"/>
        <w:spacing w:line="360" w:lineRule="auto"/>
        <w:ind w:firstLine="210"/>
        <w:rPr>
          <w:rFonts w:hAnsi="宋体" w:cs="宋体"/>
          <w:color w:val="auto"/>
          <w:highlight w:val="none"/>
        </w:rPr>
      </w:pPr>
      <w:r>
        <w:rPr>
          <w:rFonts w:hint="eastAsia" w:hAnsi="宋体" w:cs="宋体"/>
          <w:color w:val="auto"/>
          <w:highlight w:val="none"/>
        </w:rPr>
        <w:t>6.2投标单位在考察过程中发生的各类事件及所发生的各项费用，均由投标单位自行承担。采购人和代理机构概不负责。</w:t>
      </w:r>
    </w:p>
    <w:p w14:paraId="1611953D">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6.3采购人向投标单位提供的有关现场的数据和资料，是采购人现有的能被投标人利用的资料，采购人对投标人据此做出的任何推论、理解和结论不负责任。</w:t>
      </w:r>
    </w:p>
    <w:p w14:paraId="7728294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6.4现场踏勘完毕，将认为投标人已了解现场情况，并充分理解了为之所承担的风险、义务和责任。</w:t>
      </w:r>
    </w:p>
    <w:p w14:paraId="0A9E09F2">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7.联合体投标</w:t>
      </w:r>
    </w:p>
    <w:p w14:paraId="7DE6B2FD">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本项目不接受联合体投标。</w:t>
      </w:r>
    </w:p>
    <w:p w14:paraId="3F899AF4">
      <w:pPr>
        <w:pStyle w:val="3"/>
        <w:spacing w:before="120" w:after="120" w:line="360" w:lineRule="auto"/>
        <w:rPr>
          <w:rFonts w:ascii="宋体" w:hAnsi="宋体" w:eastAsia="宋体" w:cs="宋体"/>
          <w:color w:val="auto"/>
          <w:sz w:val="21"/>
          <w:szCs w:val="21"/>
          <w:highlight w:val="none"/>
        </w:rPr>
      </w:pPr>
      <w:bookmarkStart w:id="25" w:name="_Toc12737"/>
      <w:bookmarkStart w:id="26" w:name="_Toc9061"/>
      <w:bookmarkStart w:id="27" w:name="_Toc19995"/>
      <w:bookmarkStart w:id="28" w:name="_Toc274303230"/>
      <w:bookmarkStart w:id="29" w:name="_Toc29212"/>
      <w:bookmarkStart w:id="30" w:name="_Toc25568"/>
      <w:bookmarkStart w:id="31" w:name="_Toc3437"/>
      <w:bookmarkStart w:id="32" w:name="_Toc362250688"/>
      <w:r>
        <w:rPr>
          <w:rFonts w:hint="eastAsia" w:ascii="宋体" w:hAnsi="宋体" w:eastAsia="宋体" w:cs="宋体"/>
          <w:color w:val="auto"/>
          <w:sz w:val="21"/>
          <w:szCs w:val="21"/>
          <w:highlight w:val="none"/>
        </w:rPr>
        <w:t>二、招标文件</w:t>
      </w:r>
      <w:bookmarkEnd w:id="25"/>
      <w:bookmarkEnd w:id="26"/>
      <w:bookmarkEnd w:id="27"/>
      <w:bookmarkEnd w:id="28"/>
      <w:bookmarkEnd w:id="29"/>
      <w:bookmarkEnd w:id="30"/>
      <w:bookmarkEnd w:id="31"/>
      <w:bookmarkEnd w:id="32"/>
    </w:p>
    <w:p w14:paraId="7885A96B">
      <w:pPr>
        <w:adjustRightInd w:val="0"/>
        <w:snapToGrid w:val="0"/>
        <w:spacing w:before="50" w:after="5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8.招标文件的组成</w:t>
      </w:r>
    </w:p>
    <w:p w14:paraId="7C9451D2">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8.1招标文件包括下列内容：</w:t>
      </w:r>
    </w:p>
    <w:p w14:paraId="2986E053">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14FF32E1">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743AD92A">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招标项目要求</w:t>
      </w:r>
    </w:p>
    <w:p w14:paraId="0DB0E42D">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开标、评标和定标须知</w:t>
      </w:r>
    </w:p>
    <w:p w14:paraId="76397D89">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投标文件的有效性</w:t>
      </w:r>
    </w:p>
    <w:p w14:paraId="0E438998">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评标办法</w:t>
      </w:r>
    </w:p>
    <w:p w14:paraId="443EAD89">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合同主要条款</w:t>
      </w:r>
    </w:p>
    <w:p w14:paraId="79F60919">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投标文件部分格式</w:t>
      </w:r>
    </w:p>
    <w:p w14:paraId="5A1E2109">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8.2除8.1内容外，采购人以书面形式发出的对招标文件的澄清或修改内容，均为招标文件的组成部分，对采购人和投标人起约束作用。</w:t>
      </w:r>
    </w:p>
    <w:p w14:paraId="465E1E75">
      <w:pPr>
        <w:adjustRightInd w:val="0"/>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8.3上述所列8.1及8.2条内容均以书面文件为准，采购人（招标代理机构）的任何工作人员对投标人所作的任何口头解释、介绍、答复，对采购人和投标人无任何约束力。</w:t>
      </w:r>
    </w:p>
    <w:p w14:paraId="6C08ED3C">
      <w:pPr>
        <w:adjustRightInd w:val="0"/>
        <w:snapToGrid w:val="0"/>
        <w:spacing w:before="50" w:after="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56B5F0E0">
      <w:pPr>
        <w:adjustRightInd w:val="0"/>
        <w:snapToGrid w:val="0"/>
        <w:spacing w:before="50" w:after="5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9.招标文件的澄清</w:t>
      </w:r>
    </w:p>
    <w:p w14:paraId="24731738">
      <w:pPr>
        <w:pStyle w:val="18"/>
        <w:spacing w:line="360" w:lineRule="auto"/>
        <w:ind w:firstLine="420" w:firstLineChars="200"/>
        <w:rPr>
          <w:rFonts w:hAnsi="宋体" w:cs="宋体"/>
          <w:color w:val="auto"/>
          <w:highlight w:val="none"/>
        </w:rPr>
      </w:pPr>
      <w:r>
        <w:rPr>
          <w:rFonts w:hint="eastAsia" w:hAnsi="宋体" w:cs="宋体"/>
          <w:color w:val="auto"/>
          <w:highlight w:val="none"/>
        </w:rPr>
        <w:t>9.1投标人若对招标文件有任何疑问，应于前附表规定的时间及方式向采购人和代理机构提出。</w:t>
      </w:r>
    </w:p>
    <w:p w14:paraId="3EF3BA6C">
      <w:pPr>
        <w:pStyle w:val="18"/>
        <w:spacing w:line="360" w:lineRule="auto"/>
        <w:ind w:firstLine="420" w:firstLineChars="200"/>
        <w:rPr>
          <w:rFonts w:hAnsi="宋体" w:cs="宋体"/>
          <w:color w:val="auto"/>
          <w:highlight w:val="none"/>
        </w:rPr>
      </w:pPr>
      <w:r>
        <w:rPr>
          <w:rFonts w:hint="eastAsia" w:hAnsi="宋体" w:cs="宋体"/>
          <w:color w:val="auto"/>
          <w:highlight w:val="none"/>
        </w:rPr>
        <w:t>9.2无论是采购人根据需要主动对招标文件进行必要澄清，或是根据投标人的要求对招标文件做出澄清，采购人都将答疑；答疑内容是招标文件的组成部分。</w:t>
      </w:r>
    </w:p>
    <w:p w14:paraId="227B24C3">
      <w:pPr>
        <w:pStyle w:val="18"/>
        <w:spacing w:line="360" w:lineRule="auto"/>
        <w:ind w:firstLine="420" w:firstLineChars="200"/>
        <w:rPr>
          <w:rFonts w:hAnsi="宋体" w:cs="宋体"/>
          <w:color w:val="auto"/>
          <w:highlight w:val="none"/>
        </w:rPr>
      </w:pPr>
      <w:r>
        <w:rPr>
          <w:rFonts w:hint="eastAsia" w:hAnsi="宋体" w:cs="宋体"/>
          <w:color w:val="auto"/>
          <w:highlight w:val="none"/>
        </w:rPr>
        <w:t>同时将书面澄清文件向所有投标人发送。投标人在收到该澄清文件后应于 一 日内，以书面或传真形式（签署意见并加盖公章）向招标代理机构回函给予确认。过期未回复的，视为默认接收。</w:t>
      </w:r>
    </w:p>
    <w:p w14:paraId="10AC13AF">
      <w:pPr>
        <w:pStyle w:val="18"/>
        <w:spacing w:line="360" w:lineRule="auto"/>
        <w:ind w:firstLine="420" w:firstLineChars="200"/>
        <w:rPr>
          <w:rFonts w:hAnsi="宋体" w:cs="宋体"/>
          <w:color w:val="auto"/>
          <w:highlight w:val="none"/>
        </w:rPr>
      </w:pPr>
      <w:r>
        <w:rPr>
          <w:rFonts w:hint="eastAsia" w:hAnsi="宋体" w:cs="宋体"/>
          <w:color w:val="auto"/>
          <w:highlight w:val="none"/>
        </w:rPr>
        <w:t>9.3投标单位在前附表规定时间未提交疑问的，视作默认对本次招标过程中招标文件无异议，采购人对其提出的问题可以不作解释。</w:t>
      </w:r>
    </w:p>
    <w:p w14:paraId="29D86600">
      <w:pPr>
        <w:spacing w:line="360" w:lineRule="auto"/>
        <w:ind w:firstLine="420" w:firstLineChars="200"/>
        <w:textAlignment w:val="baseline"/>
        <w:rPr>
          <w:rFonts w:ascii="宋体" w:hAnsi="宋体" w:cs="宋体"/>
          <w:color w:val="auto"/>
          <w:spacing w:val="-4"/>
          <w:szCs w:val="21"/>
          <w:highlight w:val="none"/>
        </w:rPr>
      </w:pPr>
      <w:r>
        <w:rPr>
          <w:rFonts w:hint="eastAsia"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07362BFE">
      <w:pPr>
        <w:spacing w:before="50" w:after="50" w:line="360" w:lineRule="auto"/>
        <w:ind w:firstLine="404" w:firstLineChars="200"/>
        <w:rPr>
          <w:rFonts w:ascii="宋体" w:hAnsi="宋体" w:cs="宋体"/>
          <w:color w:val="auto"/>
          <w:spacing w:val="-6"/>
          <w:szCs w:val="21"/>
          <w:highlight w:val="none"/>
        </w:rPr>
      </w:pPr>
      <w:r>
        <w:rPr>
          <w:rFonts w:hint="eastAsia" w:ascii="宋体" w:hAnsi="宋体" w:cs="宋体"/>
          <w:bCs/>
          <w:color w:val="auto"/>
          <w:spacing w:val="-4"/>
          <w:szCs w:val="21"/>
          <w:highlight w:val="none"/>
        </w:rPr>
        <w:t>9.5</w:t>
      </w:r>
      <w:r>
        <w:rPr>
          <w:rFonts w:hint="eastAsia" w:ascii="宋体" w:hAnsi="宋体" w:cs="宋体"/>
          <w:color w:val="auto"/>
          <w:spacing w:val="-6"/>
          <w:szCs w:val="21"/>
          <w:highlight w:val="none"/>
        </w:rPr>
        <w:t>采购人及招标代理机构工作人员向投标人所作的任何口头答复或电话通知一律无效。</w:t>
      </w:r>
    </w:p>
    <w:p w14:paraId="2D1DA5DB">
      <w:pPr>
        <w:spacing w:line="360" w:lineRule="auto"/>
        <w:ind w:firstLine="404" w:firstLineChars="200"/>
        <w:textAlignment w:val="baseline"/>
        <w:rPr>
          <w:rFonts w:ascii="宋体" w:hAnsi="宋体" w:cs="宋体"/>
          <w:color w:val="auto"/>
          <w:spacing w:val="-4"/>
          <w:szCs w:val="21"/>
          <w:highlight w:val="none"/>
        </w:rPr>
      </w:pPr>
      <w:r>
        <w:rPr>
          <w:rFonts w:hint="eastAsia" w:ascii="宋体" w:hAnsi="宋体" w:cs="宋体"/>
          <w:color w:val="auto"/>
          <w:spacing w:val="-4"/>
          <w:szCs w:val="21"/>
          <w:highlight w:val="none"/>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2EA1D58F">
      <w:pPr>
        <w:pStyle w:val="3"/>
        <w:spacing w:before="120" w:after="120" w:line="360" w:lineRule="auto"/>
        <w:rPr>
          <w:rFonts w:ascii="宋体" w:hAnsi="宋体" w:eastAsia="宋体" w:cs="宋体"/>
          <w:color w:val="auto"/>
          <w:sz w:val="21"/>
          <w:szCs w:val="21"/>
          <w:highlight w:val="none"/>
        </w:rPr>
      </w:pPr>
      <w:bookmarkStart w:id="33" w:name="_Toc362250689"/>
      <w:bookmarkStart w:id="34" w:name="_Toc7083"/>
      <w:bookmarkStart w:id="35" w:name="_Toc18867"/>
      <w:bookmarkStart w:id="36" w:name="_Toc31250"/>
      <w:bookmarkStart w:id="37" w:name="_Toc16783"/>
      <w:bookmarkStart w:id="38" w:name="_Toc5376"/>
      <w:bookmarkStart w:id="39" w:name="_Toc23996"/>
      <w:bookmarkStart w:id="40" w:name="_Toc274303231"/>
      <w:r>
        <w:rPr>
          <w:rFonts w:hint="eastAsia" w:ascii="宋体" w:hAnsi="宋体" w:eastAsia="宋体" w:cs="宋体"/>
          <w:color w:val="auto"/>
          <w:sz w:val="21"/>
          <w:szCs w:val="21"/>
          <w:highlight w:val="none"/>
        </w:rPr>
        <w:t>三、投标文件</w:t>
      </w:r>
      <w:bookmarkEnd w:id="33"/>
      <w:bookmarkEnd w:id="34"/>
      <w:bookmarkEnd w:id="35"/>
      <w:bookmarkEnd w:id="36"/>
      <w:bookmarkEnd w:id="37"/>
      <w:bookmarkEnd w:id="38"/>
      <w:bookmarkEnd w:id="39"/>
      <w:bookmarkEnd w:id="40"/>
    </w:p>
    <w:p w14:paraId="4DA27DBA">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56E4C59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10.1投标文件和与投标有关的所有文件均应使用汉语。</w:t>
      </w:r>
    </w:p>
    <w:p w14:paraId="5A0FCF73">
      <w:pPr>
        <w:pStyle w:val="18"/>
        <w:spacing w:line="360" w:lineRule="auto"/>
        <w:ind w:firstLine="420" w:firstLineChars="200"/>
        <w:rPr>
          <w:rFonts w:hAnsi="宋体" w:cs="宋体"/>
          <w:color w:val="auto"/>
          <w:highlight w:val="none"/>
        </w:rPr>
      </w:pPr>
      <w:r>
        <w:rPr>
          <w:rFonts w:hint="eastAsia" w:hAnsi="宋体" w:cs="宋体"/>
          <w:color w:val="auto"/>
          <w:highlight w:val="none"/>
        </w:rPr>
        <w:t>10.2除工程规范另有规定外，投标文件使用的度量衡单位，均采用中华人民共和国法定计量单位。</w:t>
      </w:r>
    </w:p>
    <w:p w14:paraId="391DE194">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1BCE6974">
      <w:pPr>
        <w:pStyle w:val="31"/>
        <w:spacing w:line="360" w:lineRule="auto"/>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 xml:space="preserve">    11.1投标人应仔细阅读招标文件，了解招标文件的要求，在完全了解招标项目的技术要求和商务要求后，编制投标文件。</w:t>
      </w:r>
    </w:p>
    <w:p w14:paraId="21B39ECB">
      <w:pPr>
        <w:pStyle w:val="15"/>
        <w:spacing w:line="360" w:lineRule="auto"/>
        <w:ind w:left="1" w:firstLine="415" w:firstLineChars="198"/>
        <w:rPr>
          <w:rFonts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11.2编制投标文件时，投标人对招标文件中技术及商务要求须逐条逐项作出实质性回答。</w:t>
      </w:r>
    </w:p>
    <w:p w14:paraId="6B3305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在招标文件对技术要求中，投标人必须充分应答和满足用户的强制性的需求，如“★”等，否则将导致废标。</w:t>
      </w:r>
    </w:p>
    <w:p w14:paraId="0254EEFB">
      <w:pPr>
        <w:spacing w:line="360" w:lineRule="auto"/>
        <w:ind w:firstLine="480"/>
        <w:rPr>
          <w:rFonts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386A05A1">
      <w:pPr>
        <w:spacing w:line="360" w:lineRule="auto"/>
        <w:ind w:firstLine="480"/>
        <w:rPr>
          <w:rFonts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6436006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72E118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11.7编制的投标文件对招标文件中有关条款未提出异议的，均被视为接受和同意。</w:t>
      </w:r>
    </w:p>
    <w:p w14:paraId="3ED2E1A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12.投标文件的组成</w:t>
      </w:r>
    </w:p>
    <w:p w14:paraId="6ECED3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22ADD81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3D8EDE92">
      <w:pPr>
        <w:pStyle w:val="18"/>
        <w:spacing w:line="360" w:lineRule="auto"/>
        <w:ind w:firstLine="843" w:firstLineChars="400"/>
        <w:rPr>
          <w:rFonts w:hAnsi="宋体" w:cs="宋体"/>
          <w:b/>
          <w:bCs/>
          <w:color w:val="auto"/>
          <w:highlight w:val="none"/>
        </w:rPr>
      </w:pPr>
      <w:r>
        <w:rPr>
          <w:rFonts w:hint="eastAsia" w:hAnsi="宋体" w:cs="宋体"/>
          <w:b/>
          <w:bCs/>
          <w:color w:val="auto"/>
          <w:highlight w:val="none"/>
        </w:rPr>
        <w:t>12.2.1 资格响应文件：</w:t>
      </w:r>
      <w:r>
        <w:rPr>
          <w:rFonts w:hint="eastAsia" w:hAnsi="宋体" w:cs="宋体"/>
          <w:color w:val="auto"/>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p>
    <w:p w14:paraId="1262F3D2">
      <w:pPr>
        <w:pStyle w:val="18"/>
        <w:spacing w:line="360" w:lineRule="auto"/>
        <w:ind w:firstLine="422" w:firstLineChars="200"/>
        <w:rPr>
          <w:rFonts w:hAnsi="宋体" w:cs="宋体"/>
          <w:color w:val="auto"/>
          <w:highlight w:val="none"/>
        </w:rPr>
      </w:pPr>
      <w:r>
        <w:rPr>
          <w:rFonts w:hint="eastAsia" w:hAnsi="宋体" w:cs="宋体"/>
          <w:b/>
          <w:color w:val="auto"/>
          <w:highlight w:val="none"/>
        </w:rPr>
        <w:t>★</w:t>
      </w:r>
      <w:r>
        <w:rPr>
          <w:rFonts w:hint="eastAsia" w:hAnsi="宋体" w:cs="宋体"/>
          <w:color w:val="auto"/>
          <w:highlight w:val="none"/>
        </w:rPr>
        <w:t>（1）有效的营业执照副本等经营资格扫描件或在“国家企业信用信息公示系统”（网址：http://www.gsxt.gov.cn/）上的单位详细信息打印件；</w:t>
      </w:r>
    </w:p>
    <w:p w14:paraId="7DB09CD3">
      <w:pPr>
        <w:pStyle w:val="18"/>
        <w:spacing w:line="360" w:lineRule="auto"/>
        <w:ind w:firstLine="422" w:firstLineChars="200"/>
        <w:rPr>
          <w:rFonts w:hAnsi="宋体" w:cs="宋体"/>
          <w:color w:val="auto"/>
          <w:highlight w:val="none"/>
        </w:rPr>
      </w:pPr>
      <w:r>
        <w:rPr>
          <w:rFonts w:hint="eastAsia" w:hAnsi="宋体" w:cs="宋体"/>
          <w:b/>
          <w:color w:val="auto"/>
          <w:highlight w:val="none"/>
        </w:rPr>
        <w:t>★</w:t>
      </w:r>
      <w:r>
        <w:rPr>
          <w:rFonts w:hint="eastAsia" w:hAnsi="宋体" w:cs="宋体"/>
          <w:color w:val="auto"/>
          <w:highlight w:val="none"/>
        </w:rPr>
        <w:t>（2）义乌市国企采购项目投标承诺书；</w:t>
      </w:r>
    </w:p>
    <w:p w14:paraId="208B02C0">
      <w:pPr>
        <w:pStyle w:val="18"/>
        <w:spacing w:line="360" w:lineRule="auto"/>
        <w:ind w:firstLine="422" w:firstLineChars="200"/>
        <w:rPr>
          <w:rFonts w:hAnsi="宋体" w:cs="宋体"/>
          <w:color w:val="auto"/>
          <w:highlight w:val="none"/>
        </w:rPr>
      </w:pPr>
      <w:r>
        <w:rPr>
          <w:rFonts w:hint="eastAsia" w:hAnsi="宋体" w:cs="宋体"/>
          <w:b/>
          <w:color w:val="auto"/>
          <w:highlight w:val="none"/>
        </w:rPr>
        <w:t>★</w:t>
      </w:r>
      <w:r>
        <w:rPr>
          <w:rFonts w:hint="eastAsia" w:hAnsi="宋体" w:cs="宋体"/>
          <w:color w:val="auto"/>
          <w:highlight w:val="none"/>
        </w:rPr>
        <w:t>（3）法定代表人授权书和被授权人身份证复印件［适用于非法定代表人参加投标的，说明：法定代表人以营业执照载明的人员为准］；</w:t>
      </w:r>
    </w:p>
    <w:p w14:paraId="73C875A8">
      <w:pPr>
        <w:pStyle w:val="18"/>
        <w:spacing w:line="360" w:lineRule="auto"/>
        <w:ind w:firstLine="843" w:firstLineChars="400"/>
        <w:rPr>
          <w:rFonts w:hAnsi="宋体" w:cs="宋体"/>
          <w:color w:val="auto"/>
          <w:highlight w:val="none"/>
        </w:rPr>
      </w:pPr>
      <w:r>
        <w:rPr>
          <w:rFonts w:hint="eastAsia" w:hAnsi="宋体" w:cs="宋体"/>
          <w:b/>
          <w:bCs/>
          <w:color w:val="auto"/>
          <w:highlight w:val="none"/>
        </w:rPr>
        <w:t>12.2.2 商务技术响应文件</w:t>
      </w:r>
      <w:r>
        <w:rPr>
          <w:rFonts w:hint="eastAsia" w:hAnsi="宋体" w:cs="宋体"/>
          <w:color w:val="auto"/>
          <w:highlight w:val="none"/>
        </w:rPr>
        <w:t>：投标货物、服务符合性的有关证明及技术资料：投标人须提交参投货物的详细技术文件，其形式可以是文字资料、图纸和数据等，证明其拟供货物和服务符合招标文件规定的技术响应文件，作为投标文件的一部分。</w:t>
      </w:r>
      <w:r>
        <w:rPr>
          <w:rFonts w:hint="eastAsia" w:hAnsi="宋体" w:cs="宋体"/>
          <w:b/>
          <w:bCs/>
          <w:color w:val="auto"/>
          <w:highlight w:val="none"/>
        </w:rPr>
        <w:t>应包括下列内容（并不仅限于以下）</w:t>
      </w:r>
    </w:p>
    <w:p w14:paraId="1F33349E">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服务简要说明一览表；</w:t>
      </w:r>
    </w:p>
    <w:p w14:paraId="7058271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★（2）规范偏离表；</w:t>
      </w:r>
    </w:p>
    <w:p w14:paraId="3D09DE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技术服务承诺书；</w:t>
      </w:r>
    </w:p>
    <w:p w14:paraId="22FD58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（4）投标单位情况表；</w:t>
      </w:r>
    </w:p>
    <w:p w14:paraId="20B448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（5）项目负责人情况一览表；</w:t>
      </w:r>
    </w:p>
    <w:p w14:paraId="5AA9A1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（6）项目技术负责人及项目实施人员情况表；</w:t>
      </w:r>
    </w:p>
    <w:p w14:paraId="2D3579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（7）公司业绩一览表；</w:t>
      </w:r>
    </w:p>
    <w:p w14:paraId="25ADED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（8）根据评审需要、招标文件要求等，投标人自行考虑需提供的资料。</w:t>
      </w:r>
    </w:p>
    <w:p w14:paraId="690F6FAC">
      <w:pPr>
        <w:pStyle w:val="18"/>
        <w:spacing w:line="360" w:lineRule="auto"/>
        <w:ind w:firstLine="422" w:firstLineChars="200"/>
        <w:rPr>
          <w:rFonts w:hAnsi="宋体" w:cs="宋体"/>
          <w:color w:val="auto"/>
          <w:highlight w:val="none"/>
        </w:rPr>
      </w:pPr>
      <w:r>
        <w:rPr>
          <w:rFonts w:hint="eastAsia" w:hAnsi="宋体" w:cs="宋体"/>
          <w:b/>
          <w:bCs/>
          <w:color w:val="auto"/>
          <w:highlight w:val="none"/>
          <w:u w:val="single"/>
        </w:rPr>
        <w:t>以上文件均需加盖电子签章</w:t>
      </w:r>
    </w:p>
    <w:p w14:paraId="1731F9F4">
      <w:pPr>
        <w:pStyle w:val="18"/>
        <w:spacing w:line="360" w:lineRule="auto"/>
        <w:ind w:firstLine="843" w:firstLineChars="400"/>
        <w:rPr>
          <w:rFonts w:hAnsi="宋体" w:cs="宋体"/>
          <w:b/>
          <w:bCs/>
          <w:color w:val="auto"/>
          <w:highlight w:val="none"/>
        </w:rPr>
      </w:pPr>
      <w:r>
        <w:rPr>
          <w:rFonts w:hint="eastAsia" w:hAnsi="宋体" w:cs="宋体"/>
          <w:b/>
          <w:bCs/>
          <w:color w:val="auto"/>
          <w:highlight w:val="none"/>
        </w:rPr>
        <w:t>12.2.3报价响应文件：应包括下列内容（并不仅限于以下）</w:t>
      </w:r>
    </w:p>
    <w:p w14:paraId="2C8B4C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（1）开标一览表；</w:t>
      </w:r>
    </w:p>
    <w:p w14:paraId="48D0E829">
      <w:pPr>
        <w:pStyle w:val="18"/>
        <w:spacing w:line="360" w:lineRule="auto"/>
        <w:ind w:firstLine="422" w:firstLineChars="200"/>
        <w:rPr>
          <w:rFonts w:hAnsi="宋体" w:cs="宋体"/>
          <w:color w:val="auto"/>
          <w:highlight w:val="none"/>
        </w:rPr>
      </w:pPr>
      <w:r>
        <w:rPr>
          <w:rFonts w:hint="eastAsia" w:hAnsi="宋体" w:cs="宋体"/>
          <w:b/>
          <w:bCs/>
          <w:color w:val="auto"/>
          <w:highlight w:val="none"/>
          <w:u w:val="single"/>
        </w:rPr>
        <w:t>以上文件均需加盖电子签章</w:t>
      </w:r>
    </w:p>
    <w:p w14:paraId="12DC19DD">
      <w:pPr>
        <w:pStyle w:val="15"/>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13.投标人资格的有关证明资料</w:t>
      </w:r>
    </w:p>
    <w:p w14:paraId="6D271B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13.1投标人应提交证明其有资格参加投标和中标后有能力履行合同的文件，并作为其投标文件的一部分。</w:t>
      </w:r>
    </w:p>
    <w:p w14:paraId="5C9CD6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 投标人提交的合格性的证明文件应使采购人满意，投标人在投标时应是符合条件的投标人。</w:t>
      </w:r>
    </w:p>
    <w:p w14:paraId="125108B3">
      <w:pPr>
        <w:pStyle w:val="18"/>
        <w:spacing w:line="360" w:lineRule="auto"/>
        <w:ind w:firstLine="422" w:firstLineChars="200"/>
        <w:rPr>
          <w:rFonts w:hAnsi="宋体" w:cs="宋体"/>
          <w:b/>
          <w:bCs/>
          <w:color w:val="auto"/>
          <w:highlight w:val="none"/>
        </w:rPr>
      </w:pPr>
      <w:r>
        <w:rPr>
          <w:rFonts w:hint="eastAsia" w:hAnsi="宋体" w:cs="宋体"/>
          <w:b/>
          <w:bCs/>
          <w:color w:val="auto"/>
          <w:highlight w:val="none"/>
        </w:rPr>
        <w:t>14.投标报价</w:t>
      </w:r>
    </w:p>
    <w:p w14:paraId="7579D88D">
      <w:pPr>
        <w:pStyle w:val="18"/>
        <w:spacing w:line="360" w:lineRule="auto"/>
        <w:ind w:firstLine="420" w:firstLineChars="200"/>
        <w:rPr>
          <w:rFonts w:hAnsi="宋体" w:cs="宋体"/>
          <w:color w:val="auto"/>
          <w:highlight w:val="none"/>
        </w:rPr>
      </w:pPr>
      <w:r>
        <w:rPr>
          <w:rFonts w:hint="eastAsia" w:hAnsi="宋体" w:cs="宋体"/>
          <w:color w:val="auto"/>
          <w:highlight w:val="none"/>
        </w:rPr>
        <w:t>14.1投标人应根据国家的有关规定和</w:t>
      </w:r>
      <w:r>
        <w:rPr>
          <w:rFonts w:hint="eastAsia" w:hAnsi="宋体" w:cs="宋体"/>
          <w:b/>
          <w:color w:val="auto"/>
          <w:highlight w:val="none"/>
        </w:rPr>
        <w:t>招标文件要求</w:t>
      </w:r>
      <w:r>
        <w:rPr>
          <w:rFonts w:hint="eastAsia" w:hAnsi="宋体" w:cs="宋体"/>
          <w:color w:val="auto"/>
          <w:highlight w:val="none"/>
        </w:rPr>
        <w:t>并结合企业的实际情况进行投标报价。具体详见招标文件第三章中的商务要求。</w:t>
      </w:r>
    </w:p>
    <w:p w14:paraId="545A21FC">
      <w:pPr>
        <w:pStyle w:val="18"/>
        <w:spacing w:line="360" w:lineRule="auto"/>
        <w:ind w:firstLine="422" w:firstLineChars="200"/>
        <w:rPr>
          <w:rFonts w:hAnsi="宋体" w:cs="宋体"/>
          <w:b/>
          <w:bCs/>
          <w:color w:val="auto"/>
          <w:highlight w:val="none"/>
        </w:rPr>
      </w:pPr>
      <w:r>
        <w:rPr>
          <w:rFonts w:hint="eastAsia" w:hAnsi="宋体" w:cs="宋体"/>
          <w:b/>
          <w:bCs/>
          <w:color w:val="auto"/>
          <w:highlight w:val="none"/>
        </w:rPr>
        <w:t>15.投标文件格式</w:t>
      </w:r>
    </w:p>
    <w:p w14:paraId="7A36099E">
      <w:pPr>
        <w:pStyle w:val="18"/>
        <w:spacing w:line="360" w:lineRule="auto"/>
        <w:ind w:firstLine="422" w:firstLineChars="200"/>
        <w:rPr>
          <w:rFonts w:hAnsi="宋体" w:cs="宋体"/>
          <w:b/>
          <w:color w:val="auto"/>
          <w:highlight w:val="none"/>
        </w:rPr>
      </w:pPr>
      <w:r>
        <w:rPr>
          <w:rFonts w:hint="eastAsia" w:hAnsi="宋体" w:cs="宋体"/>
          <w:b/>
          <w:color w:val="auto"/>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33C4AA63">
      <w:pPr>
        <w:pStyle w:val="18"/>
        <w:spacing w:line="360" w:lineRule="auto"/>
        <w:ind w:firstLine="420" w:firstLineChars="200"/>
        <w:rPr>
          <w:rFonts w:hAnsi="宋体" w:cs="宋体"/>
          <w:color w:val="auto"/>
          <w:highlight w:val="none"/>
        </w:rPr>
      </w:pPr>
      <w:r>
        <w:rPr>
          <w:rFonts w:hint="eastAsia" w:hAnsi="宋体" w:cs="宋体"/>
          <w:color w:val="auto"/>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05666846">
      <w:pPr>
        <w:pStyle w:val="18"/>
        <w:spacing w:line="360" w:lineRule="auto"/>
        <w:ind w:firstLine="422" w:firstLineChars="200"/>
        <w:rPr>
          <w:rFonts w:hAnsi="宋体" w:cs="宋体"/>
          <w:b/>
          <w:bCs/>
          <w:color w:val="auto"/>
          <w:highlight w:val="none"/>
        </w:rPr>
      </w:pPr>
      <w:r>
        <w:rPr>
          <w:rFonts w:hint="eastAsia" w:hAnsi="宋体" w:cs="宋体"/>
          <w:b/>
          <w:bCs/>
          <w:color w:val="auto"/>
          <w:highlight w:val="none"/>
        </w:rPr>
        <w:t>16.投标文件编制要求</w:t>
      </w:r>
    </w:p>
    <w:p w14:paraId="779522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16.1投标人应仔细阅读招标文件，了解招标文件的要求，在完全了解招标项目的要求后，编制投标文件。</w:t>
      </w:r>
    </w:p>
    <w:p w14:paraId="3583E4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16.2在招标文件对技术要求中，投标人必须充分应答和满足用户的强制性的需求，如“★”等，否则将导致无效标。</w:t>
      </w:r>
    </w:p>
    <w:p w14:paraId="70585F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16.3编制的投标文件对招标文件中有关条款未提出异议的，均被视为接受和同意。</w:t>
      </w:r>
    </w:p>
    <w:p w14:paraId="21ADF5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16.4投标人应根据电子投标操作指南按本招标文件规定的格式和顺序编制电子投标文件并进行关联定位。</w:t>
      </w:r>
    </w:p>
    <w:p w14:paraId="15BF4E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16.5由于未按招标文件的规定要求编制投标文件，导致评审小组作出的对投标人的误判，责任由投标人自己承担。</w:t>
      </w:r>
    </w:p>
    <w:p w14:paraId="66FFE3A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17.投标有效期</w:t>
      </w:r>
    </w:p>
    <w:p w14:paraId="5253DE4E">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17.1 投标文件从开标之日起，投标有效期为60天。</w:t>
      </w:r>
    </w:p>
    <w:p w14:paraId="4F17A210">
      <w:pPr>
        <w:pStyle w:val="18"/>
        <w:spacing w:line="360" w:lineRule="auto"/>
        <w:ind w:firstLine="420" w:firstLineChars="200"/>
        <w:rPr>
          <w:rFonts w:hAnsi="宋体" w:cs="宋体"/>
          <w:color w:val="auto"/>
          <w:highlight w:val="none"/>
        </w:rPr>
      </w:pPr>
      <w:r>
        <w:rPr>
          <w:rFonts w:hint="eastAsia" w:hAnsi="宋体" w:cs="宋体"/>
          <w:color w:val="auto"/>
          <w:highlight w:val="none"/>
        </w:rPr>
        <w:t>17.2 特殊情况下，在原投标有效期截止之前，采购人可要求投标人同意延长有效期，这种要求与答复均应以书面形式提交。</w:t>
      </w:r>
      <w:bookmarkStart w:id="41" w:name="_Toc362250690"/>
      <w:bookmarkStart w:id="42" w:name="_Toc27009"/>
      <w:bookmarkStart w:id="43" w:name="_Toc8254"/>
      <w:bookmarkStart w:id="44" w:name="_Toc274303232"/>
    </w:p>
    <w:p w14:paraId="1A914437">
      <w:pPr>
        <w:pStyle w:val="3"/>
        <w:spacing w:before="120" w:after="120" w:line="360" w:lineRule="auto"/>
        <w:rPr>
          <w:rFonts w:ascii="宋体" w:hAnsi="宋体" w:eastAsia="宋体" w:cs="宋体"/>
          <w:color w:val="auto"/>
          <w:sz w:val="21"/>
          <w:szCs w:val="21"/>
          <w:highlight w:val="none"/>
        </w:rPr>
      </w:pPr>
      <w:bookmarkStart w:id="45" w:name="_Toc2788"/>
      <w:bookmarkStart w:id="46" w:name="_Toc22091"/>
      <w:bookmarkStart w:id="47" w:name="_Toc17394"/>
      <w:bookmarkStart w:id="48" w:name="_Toc20665"/>
      <w:r>
        <w:rPr>
          <w:rFonts w:hint="eastAsia" w:ascii="宋体" w:hAnsi="宋体" w:eastAsia="宋体" w:cs="宋体"/>
          <w:color w:val="auto"/>
          <w:sz w:val="21"/>
          <w:szCs w:val="21"/>
          <w:highlight w:val="none"/>
        </w:rPr>
        <w:t>四、投标文件的递交</w:t>
      </w:r>
      <w:bookmarkEnd w:id="41"/>
      <w:bookmarkEnd w:id="42"/>
      <w:bookmarkEnd w:id="43"/>
      <w:bookmarkEnd w:id="44"/>
      <w:bookmarkEnd w:id="45"/>
      <w:bookmarkEnd w:id="46"/>
      <w:bookmarkEnd w:id="47"/>
      <w:bookmarkEnd w:id="48"/>
      <w:bookmarkStart w:id="49" w:name="_Toc7770"/>
      <w:bookmarkStart w:id="50" w:name="_Toc6809"/>
    </w:p>
    <w:p w14:paraId="0C13CBD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18.电子投标文件上传的截止时间</w:t>
      </w:r>
    </w:p>
    <w:p w14:paraId="2A30FD53">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2025年10月24日09</w:t>
      </w:r>
      <w:r>
        <w:rPr>
          <w:rFonts w:hint="eastAsia" w:ascii="宋体" w:hAnsi="宋体" w:cs="宋体"/>
          <w:color w:val="auto"/>
          <w:szCs w:val="21"/>
          <w:highlight w:val="none"/>
        </w:rPr>
        <w:t>:30）之前上传投标文件</w:t>
      </w:r>
      <w:r>
        <w:rPr>
          <w:rFonts w:hint="eastAsia" w:ascii="宋体" w:hAnsi="宋体" w:cs="宋体"/>
          <w:b/>
          <w:bCs/>
          <w:color w:val="auto"/>
          <w:szCs w:val="21"/>
          <w:highlight w:val="none"/>
        </w:rPr>
        <w:t>。</w:t>
      </w:r>
    </w:p>
    <w:p w14:paraId="2781D3ED">
      <w:pPr>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投标文件的补充、修改与撤回</w:t>
      </w:r>
    </w:p>
    <w:p w14:paraId="4A1DE624">
      <w:pPr>
        <w:pStyle w:val="18"/>
        <w:spacing w:line="360" w:lineRule="auto"/>
        <w:ind w:firstLine="420" w:firstLineChars="200"/>
        <w:rPr>
          <w:rFonts w:hAnsi="宋体" w:cs="宋体"/>
          <w:color w:val="auto"/>
          <w:highlight w:val="none"/>
        </w:rPr>
      </w:pPr>
      <w:r>
        <w:rPr>
          <w:rFonts w:hint="eastAsia" w:hAnsi="宋体" w:cs="宋体"/>
          <w:color w:val="auto"/>
          <w:highlight w:val="none"/>
        </w:rPr>
        <w:t>19.1投标人在“义乌市阳光招标采购平台”上提交投标文件以后，在规定的投标截止时间之前，可以重新补充修改或撤回已上传的投标文件，补充、修改的内容为投标文件的组成部分。</w:t>
      </w:r>
    </w:p>
    <w:p w14:paraId="35317743">
      <w:pPr>
        <w:pStyle w:val="15"/>
        <w:spacing w:line="360" w:lineRule="auto"/>
        <w:ind w:firstLine="411" w:firstLineChars="196"/>
        <w:rPr>
          <w:rFonts w:ascii="宋体" w:hAnsi="宋体" w:cs="宋体"/>
          <w:color w:val="auto"/>
          <w:spacing w:val="-6"/>
          <w:sz w:val="21"/>
          <w:szCs w:val="21"/>
          <w:highlight w:val="none"/>
        </w:rPr>
      </w:pPr>
      <w:r>
        <w:rPr>
          <w:rFonts w:hint="eastAsia" w:ascii="宋体" w:hAnsi="宋体" w:cs="宋体"/>
          <w:color w:val="auto"/>
          <w:sz w:val="21"/>
          <w:szCs w:val="21"/>
          <w:highlight w:val="none"/>
        </w:rPr>
        <w:t>19.2在投标截止时间之后，</w:t>
      </w:r>
      <w:r>
        <w:rPr>
          <w:rFonts w:hint="eastAsia" w:ascii="宋体" w:hAnsi="宋体" w:cs="宋体"/>
          <w:color w:val="auto"/>
          <w:spacing w:val="-6"/>
          <w:sz w:val="21"/>
          <w:szCs w:val="21"/>
          <w:highlight w:val="none"/>
        </w:rPr>
        <w:t>投标人不得对其投标做任何修改。</w:t>
      </w:r>
    </w:p>
    <w:p w14:paraId="0DB0EB2B">
      <w:pPr>
        <w:pStyle w:val="18"/>
        <w:spacing w:line="360" w:lineRule="auto"/>
        <w:ind w:firstLine="396" w:firstLineChars="200"/>
        <w:rPr>
          <w:rFonts w:hAnsi="宋体" w:cs="宋体"/>
          <w:color w:val="auto"/>
          <w:spacing w:val="-6"/>
          <w:highlight w:val="none"/>
        </w:rPr>
      </w:pPr>
      <w:r>
        <w:rPr>
          <w:rFonts w:hint="eastAsia" w:hAnsi="宋体" w:cs="宋体"/>
          <w:color w:val="auto"/>
          <w:spacing w:val="-6"/>
          <w:highlight w:val="none"/>
        </w:rPr>
        <w:t>19.3从投标截止时间至投标人在投标书格式中确定的投标有效期期满这段时间内，投标人不得撤回其投标，否则将通报市信用管理部门，列入严重失信名单。</w:t>
      </w:r>
    </w:p>
    <w:p w14:paraId="6DB6A7F5">
      <w:pPr>
        <w:pStyle w:val="18"/>
        <w:spacing w:line="360" w:lineRule="auto"/>
        <w:ind w:firstLine="422" w:firstLineChars="200"/>
        <w:rPr>
          <w:rFonts w:hAnsi="宋体" w:cs="宋体"/>
          <w:b/>
          <w:color w:val="auto"/>
          <w:highlight w:val="none"/>
        </w:rPr>
      </w:pPr>
      <w:r>
        <w:rPr>
          <w:rFonts w:hint="eastAsia" w:hAnsi="宋体" w:cs="宋体"/>
          <w:b/>
          <w:color w:val="auto"/>
          <w:highlight w:val="none"/>
        </w:rPr>
        <w:t>20.投标文件解密</w:t>
      </w:r>
    </w:p>
    <w:p w14:paraId="6BCCD588">
      <w:pPr>
        <w:pStyle w:val="18"/>
        <w:spacing w:line="360" w:lineRule="auto"/>
        <w:ind w:firstLine="210"/>
        <w:rPr>
          <w:rFonts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33D852ED">
      <w:pPr>
        <w:snapToGrid w:val="0"/>
        <w:spacing w:line="360" w:lineRule="auto"/>
        <w:ind w:firstLine="413" w:firstLineChars="196"/>
        <w:rPr>
          <w:rFonts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14:paraId="50C09317">
      <w:pPr>
        <w:snapToGrid w:val="0"/>
        <w:spacing w:line="360" w:lineRule="auto"/>
        <w:ind w:firstLine="413" w:firstLineChars="196"/>
        <w:outlineLvl w:val="1"/>
        <w:rPr>
          <w:rFonts w:ascii="宋体" w:hAnsi="宋体" w:cs="宋体"/>
          <w:b/>
          <w:bCs/>
          <w:color w:val="auto"/>
          <w:szCs w:val="21"/>
          <w:highlight w:val="none"/>
        </w:rPr>
      </w:pPr>
      <w:bookmarkStart w:id="51" w:name="_Toc6370"/>
      <w:bookmarkStart w:id="52" w:name="_Toc7171"/>
      <w:bookmarkStart w:id="53" w:name="_Toc30468"/>
      <w:bookmarkStart w:id="54" w:name="_Toc4724"/>
      <w:r>
        <w:rPr>
          <w:rFonts w:hint="eastAsia" w:ascii="宋体" w:hAnsi="宋体" w:cs="宋体"/>
          <w:b/>
          <w:bCs/>
          <w:color w:val="auto"/>
          <w:szCs w:val="21"/>
          <w:highlight w:val="none"/>
        </w:rPr>
        <w:t>五、</w:t>
      </w:r>
      <w:bookmarkEnd w:id="49"/>
      <w:bookmarkEnd w:id="50"/>
      <w:r>
        <w:rPr>
          <w:rFonts w:hint="eastAsia" w:ascii="宋体" w:hAnsi="宋体" w:cs="宋体"/>
          <w:b/>
          <w:bCs/>
          <w:color w:val="auto"/>
          <w:szCs w:val="21"/>
          <w:highlight w:val="none"/>
        </w:rPr>
        <w:t>费用缴纳</w:t>
      </w:r>
      <w:bookmarkEnd w:id="51"/>
      <w:bookmarkEnd w:id="52"/>
      <w:bookmarkEnd w:id="53"/>
      <w:bookmarkEnd w:id="54"/>
    </w:p>
    <w:p w14:paraId="42A777E4">
      <w:pPr>
        <w:spacing w:line="360" w:lineRule="auto"/>
        <w:ind w:firstLine="435"/>
        <w:rPr>
          <w:rFonts w:ascii="宋体" w:hAnsi="宋体" w:cs="宋体"/>
          <w:color w:val="auto"/>
          <w:spacing w:val="-6"/>
          <w:szCs w:val="21"/>
          <w:highlight w:val="none"/>
        </w:rPr>
      </w:pPr>
      <w:r>
        <w:rPr>
          <w:rFonts w:hint="eastAsia" w:ascii="宋体" w:hAnsi="宋体" w:cs="宋体"/>
          <w:color w:val="auto"/>
          <w:spacing w:val="-6"/>
          <w:szCs w:val="21"/>
          <w:highlight w:val="none"/>
        </w:rPr>
        <w:t>1.招标代理服务费于中标通知书发送前按照</w:t>
      </w:r>
      <w:r>
        <w:rPr>
          <w:rFonts w:hint="eastAsia" w:ascii="宋体" w:hAnsi="宋体" w:cs="宋体"/>
          <w:color w:val="auto"/>
          <w:spacing w:val="-6"/>
          <w:szCs w:val="21"/>
          <w:highlight w:val="none"/>
          <w:lang w:val="en-US" w:eastAsia="zh-CN"/>
        </w:rPr>
        <w:t>中标价</w:t>
      </w:r>
      <w:r>
        <w:rPr>
          <w:rFonts w:hint="eastAsia" w:ascii="宋体" w:hAnsi="宋体" w:cs="宋体"/>
          <w:color w:val="auto"/>
          <w:spacing w:val="-6"/>
          <w:szCs w:val="21"/>
          <w:highlight w:val="none"/>
        </w:rPr>
        <w:t>向中标方收取。单宗招标代理服务费不足3000元按3000元收取。</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335"/>
        <w:gridCol w:w="3967"/>
      </w:tblGrid>
      <w:tr w14:paraId="1932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3DF3C5B8">
            <w:pPr>
              <w:pStyle w:val="18"/>
              <w:spacing w:line="360" w:lineRule="auto"/>
              <w:ind w:firstLine="211"/>
              <w:jc w:val="center"/>
              <w:rPr>
                <w:rFonts w:hAnsi="宋体" w:cs="宋体"/>
                <w:b/>
                <w:bCs/>
                <w:color w:val="auto"/>
                <w:highlight w:val="none"/>
              </w:rPr>
            </w:pPr>
            <w:r>
              <w:rPr>
                <w:rFonts w:hint="eastAsia" w:hAnsi="宋体" w:cs="宋体"/>
                <w:b/>
                <w:bCs/>
                <w:color w:val="auto"/>
                <w:highlight w:val="none"/>
              </w:rPr>
              <w:t>中标金额（万元）</w:t>
            </w:r>
          </w:p>
        </w:tc>
        <w:tc>
          <w:tcPr>
            <w:tcW w:w="1335" w:type="dxa"/>
            <w:tcBorders>
              <w:top w:val="single" w:color="auto" w:sz="4" w:space="0"/>
              <w:left w:val="single" w:color="auto" w:sz="4" w:space="0"/>
              <w:bottom w:val="single" w:color="auto" w:sz="4" w:space="0"/>
              <w:right w:val="single" w:color="auto" w:sz="4" w:space="0"/>
            </w:tcBorders>
            <w:vAlign w:val="center"/>
          </w:tcPr>
          <w:p w14:paraId="7DFC8F82">
            <w:pPr>
              <w:pStyle w:val="18"/>
              <w:spacing w:line="360" w:lineRule="auto"/>
              <w:ind w:firstLine="211"/>
              <w:jc w:val="center"/>
              <w:rPr>
                <w:rFonts w:hAnsi="宋体" w:cs="宋体"/>
                <w:b/>
                <w:bCs/>
                <w:color w:val="auto"/>
                <w:highlight w:val="none"/>
              </w:rPr>
            </w:pPr>
            <w:r>
              <w:rPr>
                <w:rFonts w:hint="eastAsia" w:hAnsi="宋体" w:cs="宋体"/>
                <w:b/>
                <w:bCs/>
                <w:color w:val="auto"/>
                <w:highlight w:val="none"/>
              </w:rPr>
              <w:t>收费标准</w:t>
            </w:r>
          </w:p>
        </w:tc>
        <w:tc>
          <w:tcPr>
            <w:tcW w:w="3967" w:type="dxa"/>
            <w:tcBorders>
              <w:top w:val="single" w:color="auto" w:sz="4" w:space="0"/>
              <w:left w:val="single" w:color="auto" w:sz="4" w:space="0"/>
              <w:bottom w:val="single" w:color="auto" w:sz="4" w:space="0"/>
              <w:right w:val="single" w:color="auto" w:sz="4" w:space="0"/>
            </w:tcBorders>
            <w:vAlign w:val="center"/>
          </w:tcPr>
          <w:p w14:paraId="722AB74B">
            <w:pPr>
              <w:pStyle w:val="18"/>
              <w:spacing w:line="360" w:lineRule="auto"/>
              <w:ind w:firstLine="211"/>
              <w:jc w:val="center"/>
              <w:rPr>
                <w:rFonts w:hAnsi="宋体" w:cs="宋体"/>
                <w:b/>
                <w:bCs/>
                <w:color w:val="auto"/>
                <w:highlight w:val="none"/>
              </w:rPr>
            </w:pPr>
            <w:r>
              <w:rPr>
                <w:rFonts w:hint="eastAsia" w:hAnsi="宋体" w:cs="宋体"/>
                <w:b/>
                <w:bCs/>
                <w:color w:val="auto"/>
                <w:highlight w:val="none"/>
              </w:rPr>
              <w:t>备注</w:t>
            </w:r>
          </w:p>
        </w:tc>
      </w:tr>
      <w:tr w14:paraId="0A12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2A4C2274">
            <w:pPr>
              <w:pStyle w:val="18"/>
              <w:spacing w:line="360" w:lineRule="auto"/>
              <w:ind w:firstLine="210"/>
              <w:jc w:val="center"/>
              <w:rPr>
                <w:rFonts w:hAnsi="宋体" w:cs="宋体"/>
                <w:color w:val="auto"/>
                <w:highlight w:val="none"/>
              </w:rPr>
            </w:pPr>
            <w:r>
              <w:rPr>
                <w:rFonts w:hint="eastAsia" w:hAnsi="宋体" w:cs="宋体"/>
                <w:color w:val="auto"/>
                <w:highlight w:val="none"/>
              </w:rPr>
              <w:t>100（含）以下</w:t>
            </w:r>
          </w:p>
        </w:tc>
        <w:tc>
          <w:tcPr>
            <w:tcW w:w="1335" w:type="dxa"/>
            <w:tcBorders>
              <w:top w:val="single" w:color="auto" w:sz="4" w:space="0"/>
              <w:left w:val="single" w:color="auto" w:sz="4" w:space="0"/>
              <w:bottom w:val="single" w:color="auto" w:sz="4" w:space="0"/>
              <w:right w:val="single" w:color="auto" w:sz="4" w:space="0"/>
            </w:tcBorders>
            <w:vAlign w:val="center"/>
          </w:tcPr>
          <w:p w14:paraId="3AEF68F4">
            <w:pPr>
              <w:pStyle w:val="18"/>
              <w:spacing w:line="360" w:lineRule="auto"/>
              <w:ind w:firstLine="210"/>
              <w:jc w:val="center"/>
              <w:rPr>
                <w:rFonts w:hAnsi="宋体" w:cs="宋体"/>
                <w:color w:val="auto"/>
                <w:highlight w:val="none"/>
              </w:rPr>
            </w:pPr>
            <w:r>
              <w:rPr>
                <w:rFonts w:hint="eastAsia" w:hAnsi="宋体" w:cs="宋体"/>
                <w:color w:val="auto"/>
                <w:highlight w:val="none"/>
              </w:rPr>
              <w:t>1.5%</w:t>
            </w:r>
          </w:p>
        </w:tc>
        <w:tc>
          <w:tcPr>
            <w:tcW w:w="3967" w:type="dxa"/>
            <w:vMerge w:val="restart"/>
            <w:tcBorders>
              <w:top w:val="single" w:color="auto" w:sz="4" w:space="0"/>
              <w:left w:val="single" w:color="auto" w:sz="4" w:space="0"/>
              <w:right w:val="single" w:color="auto" w:sz="4" w:space="0"/>
            </w:tcBorders>
            <w:vAlign w:val="center"/>
          </w:tcPr>
          <w:p w14:paraId="232B3782">
            <w:pPr>
              <w:pStyle w:val="18"/>
              <w:spacing w:line="360" w:lineRule="auto"/>
              <w:ind w:firstLine="210"/>
              <w:rPr>
                <w:rFonts w:hAnsi="宋体" w:cs="宋体"/>
                <w:color w:val="auto"/>
                <w:highlight w:val="none"/>
              </w:rPr>
            </w:pPr>
            <w:r>
              <w:rPr>
                <w:rFonts w:hint="eastAsia" w:hAnsi="宋体" w:cs="宋体"/>
                <w:color w:val="auto"/>
                <w:highlight w:val="none"/>
              </w:rPr>
              <w:t>招标服务采用差额定率累进法计算，向中标方单向收取。</w:t>
            </w:r>
          </w:p>
          <w:p w14:paraId="3E7F96F0">
            <w:pPr>
              <w:pStyle w:val="18"/>
              <w:spacing w:line="360" w:lineRule="auto"/>
              <w:ind w:firstLine="210"/>
              <w:rPr>
                <w:rFonts w:hAnsi="宋体" w:cs="宋体"/>
                <w:color w:val="auto"/>
                <w:highlight w:val="none"/>
              </w:rPr>
            </w:pPr>
            <w:r>
              <w:rPr>
                <w:rFonts w:hint="eastAsia" w:hAnsi="宋体" w:cs="宋体"/>
                <w:color w:val="auto"/>
                <w:highlight w:val="none"/>
              </w:rPr>
              <w:t>例：中标金额为1000万。服务费=100万×1.5%+400万×0.8%+500万×0.45%=6.95万</w:t>
            </w:r>
          </w:p>
          <w:p w14:paraId="4C5FC70D">
            <w:pPr>
              <w:rPr>
                <w:color w:val="auto"/>
                <w:highlight w:val="none"/>
              </w:rPr>
            </w:pPr>
            <w:r>
              <w:rPr>
                <w:rFonts w:hint="eastAsia"/>
                <w:color w:val="auto"/>
                <w:highlight w:val="none"/>
              </w:rPr>
              <w:t>服务招标服务费最高300万元。</w:t>
            </w:r>
          </w:p>
        </w:tc>
      </w:tr>
      <w:tr w14:paraId="1DAD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27F35EBF">
            <w:pPr>
              <w:pStyle w:val="18"/>
              <w:spacing w:line="360" w:lineRule="auto"/>
              <w:ind w:firstLine="210"/>
              <w:jc w:val="center"/>
              <w:rPr>
                <w:rFonts w:hAnsi="宋体" w:cs="宋体"/>
                <w:color w:val="auto"/>
                <w:highlight w:val="none"/>
              </w:rPr>
            </w:pPr>
            <w:r>
              <w:rPr>
                <w:rFonts w:hint="eastAsia" w:hAnsi="宋体" w:cs="宋体"/>
                <w:color w:val="auto"/>
                <w:highlight w:val="none"/>
              </w:rPr>
              <w:t>100-500（含）</w:t>
            </w:r>
          </w:p>
        </w:tc>
        <w:tc>
          <w:tcPr>
            <w:tcW w:w="1335" w:type="dxa"/>
            <w:tcBorders>
              <w:top w:val="single" w:color="auto" w:sz="4" w:space="0"/>
              <w:left w:val="single" w:color="auto" w:sz="4" w:space="0"/>
              <w:bottom w:val="single" w:color="auto" w:sz="4" w:space="0"/>
              <w:right w:val="single" w:color="auto" w:sz="4" w:space="0"/>
            </w:tcBorders>
            <w:vAlign w:val="center"/>
          </w:tcPr>
          <w:p w14:paraId="5A2E376E">
            <w:pPr>
              <w:pStyle w:val="18"/>
              <w:spacing w:line="360" w:lineRule="auto"/>
              <w:ind w:firstLine="210"/>
              <w:jc w:val="center"/>
              <w:rPr>
                <w:rFonts w:hAnsi="宋体" w:cs="宋体"/>
                <w:color w:val="auto"/>
                <w:highlight w:val="none"/>
              </w:rPr>
            </w:pPr>
            <w:r>
              <w:rPr>
                <w:rFonts w:hint="eastAsia" w:hAnsi="宋体" w:cs="宋体"/>
                <w:color w:val="auto"/>
                <w:highlight w:val="none"/>
              </w:rPr>
              <w:t>0.8%</w:t>
            </w:r>
          </w:p>
        </w:tc>
        <w:tc>
          <w:tcPr>
            <w:tcW w:w="3967" w:type="dxa"/>
            <w:vMerge w:val="continue"/>
            <w:tcBorders>
              <w:left w:val="single" w:color="auto" w:sz="4" w:space="0"/>
              <w:right w:val="single" w:color="auto" w:sz="4" w:space="0"/>
            </w:tcBorders>
            <w:vAlign w:val="center"/>
          </w:tcPr>
          <w:p w14:paraId="42ECF08D">
            <w:pPr>
              <w:pStyle w:val="18"/>
              <w:spacing w:line="360" w:lineRule="auto"/>
              <w:ind w:firstLine="210"/>
              <w:jc w:val="center"/>
              <w:rPr>
                <w:rFonts w:hAnsi="宋体" w:cs="宋体"/>
                <w:color w:val="auto"/>
                <w:highlight w:val="none"/>
              </w:rPr>
            </w:pPr>
          </w:p>
        </w:tc>
      </w:tr>
      <w:tr w14:paraId="401E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71601455">
            <w:pPr>
              <w:pStyle w:val="18"/>
              <w:spacing w:line="360" w:lineRule="auto"/>
              <w:ind w:firstLine="210"/>
              <w:jc w:val="center"/>
              <w:rPr>
                <w:rFonts w:hAnsi="宋体" w:cs="宋体"/>
                <w:color w:val="auto"/>
                <w:highlight w:val="none"/>
              </w:rPr>
            </w:pPr>
            <w:r>
              <w:rPr>
                <w:rFonts w:hint="eastAsia" w:hAnsi="宋体" w:cs="宋体"/>
                <w:color w:val="auto"/>
                <w:highlight w:val="none"/>
              </w:rPr>
              <w:t>500-1000（含）</w:t>
            </w:r>
          </w:p>
        </w:tc>
        <w:tc>
          <w:tcPr>
            <w:tcW w:w="1335" w:type="dxa"/>
            <w:tcBorders>
              <w:top w:val="single" w:color="auto" w:sz="4" w:space="0"/>
              <w:left w:val="single" w:color="auto" w:sz="4" w:space="0"/>
              <w:bottom w:val="single" w:color="auto" w:sz="4" w:space="0"/>
              <w:right w:val="single" w:color="auto" w:sz="4" w:space="0"/>
            </w:tcBorders>
            <w:vAlign w:val="center"/>
          </w:tcPr>
          <w:p w14:paraId="3E0EC39E">
            <w:pPr>
              <w:pStyle w:val="18"/>
              <w:spacing w:line="360" w:lineRule="auto"/>
              <w:ind w:firstLine="210"/>
              <w:jc w:val="center"/>
              <w:rPr>
                <w:rFonts w:hAnsi="宋体" w:cs="宋体"/>
                <w:color w:val="auto"/>
                <w:highlight w:val="none"/>
              </w:rPr>
            </w:pPr>
            <w:r>
              <w:rPr>
                <w:rFonts w:hint="eastAsia" w:hAnsi="宋体" w:cs="宋体"/>
                <w:color w:val="auto"/>
                <w:highlight w:val="none"/>
              </w:rPr>
              <w:t>0.45%</w:t>
            </w:r>
          </w:p>
        </w:tc>
        <w:tc>
          <w:tcPr>
            <w:tcW w:w="3967" w:type="dxa"/>
            <w:vMerge w:val="continue"/>
            <w:tcBorders>
              <w:left w:val="single" w:color="auto" w:sz="4" w:space="0"/>
              <w:right w:val="single" w:color="auto" w:sz="4" w:space="0"/>
            </w:tcBorders>
            <w:vAlign w:val="center"/>
          </w:tcPr>
          <w:p w14:paraId="61CEA9F9">
            <w:pPr>
              <w:pStyle w:val="18"/>
              <w:spacing w:line="360" w:lineRule="auto"/>
              <w:ind w:firstLine="210"/>
              <w:jc w:val="center"/>
              <w:rPr>
                <w:rFonts w:hAnsi="宋体" w:cs="宋体"/>
                <w:color w:val="auto"/>
                <w:highlight w:val="none"/>
              </w:rPr>
            </w:pPr>
          </w:p>
        </w:tc>
      </w:tr>
      <w:tr w14:paraId="3C16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1FB3E181">
            <w:pPr>
              <w:pStyle w:val="18"/>
              <w:spacing w:line="360" w:lineRule="auto"/>
              <w:ind w:firstLine="210"/>
              <w:jc w:val="center"/>
              <w:rPr>
                <w:rFonts w:hAnsi="宋体" w:cs="宋体"/>
                <w:color w:val="auto"/>
                <w:highlight w:val="none"/>
              </w:rPr>
            </w:pPr>
            <w:r>
              <w:rPr>
                <w:rFonts w:hint="eastAsia" w:hAnsi="宋体" w:cs="宋体"/>
                <w:color w:val="auto"/>
                <w:highlight w:val="none"/>
              </w:rPr>
              <w:t>1000-5000（含）</w:t>
            </w:r>
          </w:p>
        </w:tc>
        <w:tc>
          <w:tcPr>
            <w:tcW w:w="1335" w:type="dxa"/>
            <w:tcBorders>
              <w:top w:val="single" w:color="auto" w:sz="4" w:space="0"/>
              <w:left w:val="single" w:color="auto" w:sz="4" w:space="0"/>
              <w:bottom w:val="single" w:color="auto" w:sz="4" w:space="0"/>
              <w:right w:val="single" w:color="auto" w:sz="4" w:space="0"/>
            </w:tcBorders>
            <w:vAlign w:val="center"/>
          </w:tcPr>
          <w:p w14:paraId="1B649589">
            <w:pPr>
              <w:pStyle w:val="18"/>
              <w:spacing w:line="360" w:lineRule="auto"/>
              <w:ind w:firstLine="210"/>
              <w:jc w:val="center"/>
              <w:rPr>
                <w:rFonts w:hAnsi="宋体" w:cs="宋体"/>
                <w:color w:val="auto"/>
                <w:highlight w:val="none"/>
              </w:rPr>
            </w:pPr>
            <w:r>
              <w:rPr>
                <w:rFonts w:hint="eastAsia" w:hAnsi="宋体" w:cs="宋体"/>
                <w:color w:val="auto"/>
                <w:highlight w:val="none"/>
              </w:rPr>
              <w:t>0.25%</w:t>
            </w:r>
          </w:p>
        </w:tc>
        <w:tc>
          <w:tcPr>
            <w:tcW w:w="3967" w:type="dxa"/>
            <w:vMerge w:val="continue"/>
            <w:tcBorders>
              <w:left w:val="single" w:color="auto" w:sz="4" w:space="0"/>
              <w:right w:val="single" w:color="auto" w:sz="4" w:space="0"/>
            </w:tcBorders>
            <w:vAlign w:val="center"/>
          </w:tcPr>
          <w:p w14:paraId="0CD98B2B">
            <w:pPr>
              <w:pStyle w:val="18"/>
              <w:spacing w:line="360" w:lineRule="auto"/>
              <w:ind w:firstLine="210"/>
              <w:jc w:val="center"/>
              <w:rPr>
                <w:rFonts w:hAnsi="宋体" w:cs="宋体"/>
                <w:color w:val="auto"/>
                <w:highlight w:val="none"/>
              </w:rPr>
            </w:pPr>
          </w:p>
        </w:tc>
      </w:tr>
      <w:tr w14:paraId="3372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7D728826">
            <w:pPr>
              <w:pStyle w:val="18"/>
              <w:spacing w:line="360" w:lineRule="auto"/>
              <w:ind w:firstLine="210"/>
              <w:jc w:val="center"/>
              <w:rPr>
                <w:rFonts w:hAnsi="宋体" w:cs="宋体"/>
                <w:color w:val="auto"/>
                <w:highlight w:val="none"/>
              </w:rPr>
            </w:pPr>
            <w:r>
              <w:rPr>
                <w:rFonts w:hint="eastAsia" w:hAnsi="宋体" w:cs="宋体"/>
                <w:color w:val="auto"/>
                <w:highlight w:val="none"/>
              </w:rPr>
              <w:t>5000-10000（含）</w:t>
            </w:r>
          </w:p>
        </w:tc>
        <w:tc>
          <w:tcPr>
            <w:tcW w:w="1335" w:type="dxa"/>
            <w:tcBorders>
              <w:top w:val="single" w:color="auto" w:sz="4" w:space="0"/>
              <w:left w:val="single" w:color="auto" w:sz="4" w:space="0"/>
              <w:bottom w:val="single" w:color="auto" w:sz="4" w:space="0"/>
              <w:right w:val="single" w:color="auto" w:sz="4" w:space="0"/>
            </w:tcBorders>
            <w:vAlign w:val="center"/>
          </w:tcPr>
          <w:p w14:paraId="4E431F81">
            <w:pPr>
              <w:pStyle w:val="18"/>
              <w:spacing w:line="360" w:lineRule="auto"/>
              <w:ind w:firstLine="210"/>
              <w:jc w:val="center"/>
              <w:rPr>
                <w:rFonts w:hAnsi="宋体" w:cs="宋体"/>
                <w:color w:val="auto"/>
                <w:highlight w:val="none"/>
              </w:rPr>
            </w:pPr>
            <w:r>
              <w:rPr>
                <w:rFonts w:hint="eastAsia" w:hAnsi="宋体" w:cs="宋体"/>
                <w:color w:val="auto"/>
                <w:highlight w:val="none"/>
              </w:rPr>
              <w:t>0.1%</w:t>
            </w:r>
          </w:p>
        </w:tc>
        <w:tc>
          <w:tcPr>
            <w:tcW w:w="3967" w:type="dxa"/>
            <w:vMerge w:val="continue"/>
            <w:tcBorders>
              <w:left w:val="single" w:color="auto" w:sz="4" w:space="0"/>
              <w:right w:val="single" w:color="auto" w:sz="4" w:space="0"/>
            </w:tcBorders>
            <w:vAlign w:val="center"/>
          </w:tcPr>
          <w:p w14:paraId="6F02C798">
            <w:pPr>
              <w:pStyle w:val="18"/>
              <w:spacing w:line="360" w:lineRule="auto"/>
              <w:ind w:firstLine="210"/>
              <w:jc w:val="center"/>
              <w:rPr>
                <w:rFonts w:hAnsi="宋体" w:cs="宋体"/>
                <w:color w:val="auto"/>
                <w:highlight w:val="none"/>
              </w:rPr>
            </w:pPr>
          </w:p>
        </w:tc>
      </w:tr>
      <w:tr w14:paraId="3CD7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0A81F697">
            <w:pPr>
              <w:pStyle w:val="18"/>
              <w:spacing w:line="360" w:lineRule="auto"/>
              <w:ind w:firstLine="210"/>
              <w:jc w:val="center"/>
              <w:rPr>
                <w:rFonts w:hAnsi="宋体" w:cs="宋体"/>
                <w:color w:val="auto"/>
                <w:highlight w:val="none"/>
              </w:rPr>
            </w:pPr>
            <w:r>
              <w:rPr>
                <w:rFonts w:hint="eastAsia" w:hAnsi="宋体" w:cs="宋体"/>
                <w:color w:val="auto"/>
                <w:highlight w:val="none"/>
              </w:rPr>
              <w:t>10000-50000（含）</w:t>
            </w:r>
          </w:p>
        </w:tc>
        <w:tc>
          <w:tcPr>
            <w:tcW w:w="1335" w:type="dxa"/>
            <w:tcBorders>
              <w:top w:val="single" w:color="auto" w:sz="4" w:space="0"/>
              <w:left w:val="single" w:color="auto" w:sz="4" w:space="0"/>
              <w:bottom w:val="single" w:color="auto" w:sz="4" w:space="0"/>
              <w:right w:val="single" w:color="auto" w:sz="4" w:space="0"/>
            </w:tcBorders>
            <w:vAlign w:val="center"/>
          </w:tcPr>
          <w:p w14:paraId="2824E240">
            <w:pPr>
              <w:pStyle w:val="18"/>
              <w:spacing w:line="360" w:lineRule="auto"/>
              <w:ind w:firstLine="210"/>
              <w:jc w:val="center"/>
              <w:rPr>
                <w:rFonts w:hAnsi="宋体" w:cs="宋体"/>
                <w:color w:val="auto"/>
                <w:highlight w:val="none"/>
              </w:rPr>
            </w:pPr>
            <w:r>
              <w:rPr>
                <w:rFonts w:hint="eastAsia" w:hAnsi="宋体" w:cs="宋体"/>
                <w:color w:val="auto"/>
                <w:highlight w:val="none"/>
              </w:rPr>
              <w:t>0.05%</w:t>
            </w:r>
          </w:p>
        </w:tc>
        <w:tc>
          <w:tcPr>
            <w:tcW w:w="3967" w:type="dxa"/>
            <w:vMerge w:val="continue"/>
            <w:tcBorders>
              <w:left w:val="single" w:color="auto" w:sz="4" w:space="0"/>
              <w:right w:val="single" w:color="auto" w:sz="4" w:space="0"/>
            </w:tcBorders>
            <w:vAlign w:val="center"/>
          </w:tcPr>
          <w:p w14:paraId="6F6850F6">
            <w:pPr>
              <w:pStyle w:val="18"/>
              <w:spacing w:line="360" w:lineRule="auto"/>
              <w:ind w:firstLine="210"/>
              <w:jc w:val="center"/>
              <w:rPr>
                <w:rFonts w:hAnsi="宋体" w:cs="宋体"/>
                <w:color w:val="auto"/>
                <w:highlight w:val="none"/>
              </w:rPr>
            </w:pPr>
          </w:p>
        </w:tc>
      </w:tr>
      <w:tr w14:paraId="21D3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31E7E75D">
            <w:pPr>
              <w:pStyle w:val="18"/>
              <w:spacing w:line="360" w:lineRule="auto"/>
              <w:ind w:firstLine="210"/>
              <w:jc w:val="center"/>
              <w:rPr>
                <w:rFonts w:hAnsi="宋体" w:cs="宋体"/>
                <w:color w:val="auto"/>
                <w:highlight w:val="none"/>
              </w:rPr>
            </w:pPr>
            <w:r>
              <w:rPr>
                <w:rFonts w:hint="eastAsia" w:hAnsi="宋体" w:cs="宋体"/>
                <w:color w:val="auto"/>
                <w:highlight w:val="none"/>
              </w:rPr>
              <w:t>50000-100000（含）</w:t>
            </w:r>
          </w:p>
        </w:tc>
        <w:tc>
          <w:tcPr>
            <w:tcW w:w="1335" w:type="dxa"/>
            <w:tcBorders>
              <w:top w:val="single" w:color="auto" w:sz="4" w:space="0"/>
              <w:left w:val="single" w:color="auto" w:sz="4" w:space="0"/>
              <w:bottom w:val="single" w:color="auto" w:sz="4" w:space="0"/>
              <w:right w:val="single" w:color="auto" w:sz="4" w:space="0"/>
            </w:tcBorders>
            <w:vAlign w:val="center"/>
          </w:tcPr>
          <w:p w14:paraId="78445431">
            <w:pPr>
              <w:pStyle w:val="18"/>
              <w:spacing w:line="360" w:lineRule="auto"/>
              <w:ind w:firstLine="210"/>
              <w:jc w:val="center"/>
              <w:rPr>
                <w:rFonts w:hAnsi="宋体" w:cs="宋体"/>
                <w:color w:val="auto"/>
                <w:highlight w:val="none"/>
              </w:rPr>
            </w:pPr>
            <w:r>
              <w:rPr>
                <w:rFonts w:hint="eastAsia" w:hAnsi="宋体" w:cs="宋体"/>
                <w:color w:val="auto"/>
                <w:highlight w:val="none"/>
              </w:rPr>
              <w:t>0.035%</w:t>
            </w:r>
          </w:p>
        </w:tc>
        <w:tc>
          <w:tcPr>
            <w:tcW w:w="3967" w:type="dxa"/>
            <w:vMerge w:val="continue"/>
            <w:tcBorders>
              <w:left w:val="single" w:color="auto" w:sz="4" w:space="0"/>
              <w:right w:val="single" w:color="auto" w:sz="4" w:space="0"/>
            </w:tcBorders>
            <w:vAlign w:val="center"/>
          </w:tcPr>
          <w:p w14:paraId="7F4881C3">
            <w:pPr>
              <w:pStyle w:val="18"/>
              <w:spacing w:line="360" w:lineRule="auto"/>
              <w:ind w:firstLine="210"/>
              <w:jc w:val="center"/>
              <w:rPr>
                <w:rFonts w:hAnsi="宋体" w:cs="宋体"/>
                <w:color w:val="auto"/>
                <w:highlight w:val="none"/>
              </w:rPr>
            </w:pPr>
          </w:p>
        </w:tc>
      </w:tr>
      <w:tr w14:paraId="3DE6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5D68D01B">
            <w:pPr>
              <w:pStyle w:val="18"/>
              <w:spacing w:line="360" w:lineRule="auto"/>
              <w:ind w:firstLine="210"/>
              <w:jc w:val="center"/>
              <w:rPr>
                <w:rFonts w:hAnsi="宋体" w:cs="宋体"/>
                <w:color w:val="auto"/>
                <w:highlight w:val="none"/>
              </w:rPr>
            </w:pPr>
            <w:r>
              <w:rPr>
                <w:rFonts w:hint="eastAsia" w:hAnsi="宋体" w:cs="宋体"/>
                <w:color w:val="auto"/>
                <w:highlight w:val="none"/>
              </w:rPr>
              <w:t>100000-500000（含）</w:t>
            </w:r>
          </w:p>
        </w:tc>
        <w:tc>
          <w:tcPr>
            <w:tcW w:w="1335" w:type="dxa"/>
            <w:tcBorders>
              <w:top w:val="single" w:color="auto" w:sz="4" w:space="0"/>
              <w:left w:val="single" w:color="auto" w:sz="4" w:space="0"/>
              <w:bottom w:val="single" w:color="auto" w:sz="4" w:space="0"/>
              <w:right w:val="single" w:color="auto" w:sz="4" w:space="0"/>
            </w:tcBorders>
            <w:vAlign w:val="center"/>
          </w:tcPr>
          <w:p w14:paraId="360572DD">
            <w:pPr>
              <w:pStyle w:val="18"/>
              <w:spacing w:line="360" w:lineRule="auto"/>
              <w:ind w:firstLine="210"/>
              <w:jc w:val="center"/>
              <w:rPr>
                <w:rFonts w:hAnsi="宋体" w:cs="宋体"/>
                <w:color w:val="auto"/>
                <w:highlight w:val="none"/>
              </w:rPr>
            </w:pPr>
            <w:r>
              <w:rPr>
                <w:rFonts w:hint="eastAsia" w:hAnsi="宋体" w:cs="宋体"/>
                <w:color w:val="auto"/>
                <w:highlight w:val="none"/>
              </w:rPr>
              <w:t>0.008%</w:t>
            </w:r>
          </w:p>
        </w:tc>
        <w:tc>
          <w:tcPr>
            <w:tcW w:w="3967" w:type="dxa"/>
            <w:vMerge w:val="continue"/>
            <w:tcBorders>
              <w:left w:val="single" w:color="auto" w:sz="4" w:space="0"/>
              <w:right w:val="single" w:color="auto" w:sz="4" w:space="0"/>
            </w:tcBorders>
            <w:vAlign w:val="center"/>
          </w:tcPr>
          <w:p w14:paraId="1BE19F4A">
            <w:pPr>
              <w:pStyle w:val="18"/>
              <w:spacing w:line="360" w:lineRule="auto"/>
              <w:ind w:firstLine="210"/>
              <w:jc w:val="center"/>
              <w:rPr>
                <w:rFonts w:hAnsi="宋体" w:cs="宋体"/>
                <w:color w:val="auto"/>
                <w:highlight w:val="none"/>
              </w:rPr>
            </w:pPr>
          </w:p>
        </w:tc>
      </w:tr>
      <w:tr w14:paraId="18D4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3B0E730B">
            <w:pPr>
              <w:pStyle w:val="18"/>
              <w:spacing w:line="360" w:lineRule="auto"/>
              <w:ind w:firstLine="210"/>
              <w:jc w:val="center"/>
              <w:rPr>
                <w:rFonts w:hAnsi="宋体" w:cs="宋体"/>
                <w:color w:val="auto"/>
                <w:highlight w:val="none"/>
              </w:rPr>
            </w:pPr>
            <w:r>
              <w:rPr>
                <w:rFonts w:hint="eastAsia" w:hAnsi="宋体" w:cs="宋体"/>
                <w:color w:val="auto"/>
                <w:highlight w:val="none"/>
              </w:rPr>
              <w:t>500000-1000000（含）</w:t>
            </w:r>
          </w:p>
        </w:tc>
        <w:tc>
          <w:tcPr>
            <w:tcW w:w="1335" w:type="dxa"/>
            <w:tcBorders>
              <w:top w:val="single" w:color="auto" w:sz="4" w:space="0"/>
              <w:left w:val="single" w:color="auto" w:sz="4" w:space="0"/>
              <w:bottom w:val="single" w:color="auto" w:sz="4" w:space="0"/>
              <w:right w:val="single" w:color="auto" w:sz="4" w:space="0"/>
            </w:tcBorders>
            <w:vAlign w:val="center"/>
          </w:tcPr>
          <w:p w14:paraId="06456C69">
            <w:pPr>
              <w:pStyle w:val="18"/>
              <w:spacing w:line="360" w:lineRule="auto"/>
              <w:ind w:firstLine="210"/>
              <w:jc w:val="center"/>
              <w:rPr>
                <w:rFonts w:hAnsi="宋体" w:cs="宋体"/>
                <w:color w:val="auto"/>
                <w:highlight w:val="none"/>
              </w:rPr>
            </w:pPr>
            <w:r>
              <w:rPr>
                <w:rFonts w:hint="eastAsia" w:hAnsi="宋体" w:cs="宋体"/>
                <w:color w:val="auto"/>
                <w:highlight w:val="none"/>
              </w:rPr>
              <w:t>0.006%</w:t>
            </w:r>
          </w:p>
        </w:tc>
        <w:tc>
          <w:tcPr>
            <w:tcW w:w="3967" w:type="dxa"/>
            <w:vMerge w:val="continue"/>
            <w:tcBorders>
              <w:left w:val="single" w:color="auto" w:sz="4" w:space="0"/>
              <w:right w:val="single" w:color="auto" w:sz="4" w:space="0"/>
            </w:tcBorders>
            <w:vAlign w:val="center"/>
          </w:tcPr>
          <w:p w14:paraId="2D757E97">
            <w:pPr>
              <w:pStyle w:val="18"/>
              <w:spacing w:line="360" w:lineRule="auto"/>
              <w:ind w:firstLine="210"/>
              <w:jc w:val="center"/>
              <w:rPr>
                <w:rFonts w:hAnsi="宋体" w:cs="宋体"/>
                <w:color w:val="auto"/>
                <w:highlight w:val="none"/>
              </w:rPr>
            </w:pPr>
          </w:p>
        </w:tc>
      </w:tr>
      <w:tr w14:paraId="2341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vAlign w:val="center"/>
          </w:tcPr>
          <w:p w14:paraId="7415D6B2">
            <w:pPr>
              <w:pStyle w:val="18"/>
              <w:spacing w:line="360" w:lineRule="auto"/>
              <w:ind w:firstLine="210"/>
              <w:jc w:val="center"/>
              <w:rPr>
                <w:rFonts w:hAnsi="宋体" w:cs="宋体"/>
                <w:color w:val="auto"/>
                <w:highlight w:val="none"/>
              </w:rPr>
            </w:pPr>
            <w:r>
              <w:rPr>
                <w:rFonts w:hint="eastAsia" w:hAnsi="宋体" w:cs="宋体"/>
                <w:color w:val="auto"/>
                <w:highlight w:val="none"/>
              </w:rPr>
              <w:t>1000000以上</w:t>
            </w:r>
          </w:p>
        </w:tc>
        <w:tc>
          <w:tcPr>
            <w:tcW w:w="1335" w:type="dxa"/>
            <w:tcBorders>
              <w:top w:val="single" w:color="auto" w:sz="4" w:space="0"/>
              <w:left w:val="single" w:color="auto" w:sz="4" w:space="0"/>
              <w:bottom w:val="single" w:color="auto" w:sz="4" w:space="0"/>
              <w:right w:val="single" w:color="auto" w:sz="4" w:space="0"/>
            </w:tcBorders>
            <w:vAlign w:val="center"/>
          </w:tcPr>
          <w:p w14:paraId="0B2B7EAC">
            <w:pPr>
              <w:pStyle w:val="18"/>
              <w:spacing w:line="360" w:lineRule="auto"/>
              <w:ind w:firstLine="210"/>
              <w:jc w:val="center"/>
              <w:rPr>
                <w:rFonts w:hAnsi="宋体" w:cs="宋体"/>
                <w:color w:val="auto"/>
                <w:highlight w:val="none"/>
              </w:rPr>
            </w:pPr>
            <w:r>
              <w:rPr>
                <w:rFonts w:hint="eastAsia" w:hAnsi="宋体" w:cs="宋体"/>
                <w:color w:val="auto"/>
                <w:highlight w:val="none"/>
              </w:rPr>
              <w:t>0.004%</w:t>
            </w:r>
          </w:p>
        </w:tc>
        <w:tc>
          <w:tcPr>
            <w:tcW w:w="3967" w:type="dxa"/>
            <w:vMerge w:val="continue"/>
            <w:tcBorders>
              <w:left w:val="single" w:color="auto" w:sz="4" w:space="0"/>
              <w:bottom w:val="single" w:color="auto" w:sz="4" w:space="0"/>
              <w:right w:val="single" w:color="auto" w:sz="4" w:space="0"/>
            </w:tcBorders>
            <w:vAlign w:val="center"/>
          </w:tcPr>
          <w:p w14:paraId="296EC43E">
            <w:pPr>
              <w:pStyle w:val="18"/>
              <w:spacing w:line="360" w:lineRule="auto"/>
              <w:ind w:firstLine="210"/>
              <w:jc w:val="center"/>
              <w:rPr>
                <w:rFonts w:hAnsi="宋体" w:cs="宋体"/>
                <w:color w:val="auto"/>
                <w:highlight w:val="none"/>
              </w:rPr>
            </w:pPr>
          </w:p>
        </w:tc>
      </w:tr>
    </w:tbl>
    <w:p w14:paraId="6D23864E">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服务费汇至：</w:t>
      </w:r>
    </w:p>
    <w:p w14:paraId="0C4E21A9">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银行账号名称：义乌产权交易所有限公司</w:t>
      </w:r>
    </w:p>
    <w:p w14:paraId="7DB6EB1E">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 xml:space="preserve">银行账号：1208020009045009586 </w:t>
      </w:r>
    </w:p>
    <w:p w14:paraId="189E9FFE">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开户银行：中国工商银行义乌分行</w:t>
      </w:r>
    </w:p>
    <w:p w14:paraId="502427B9">
      <w:pPr>
        <w:spacing w:line="480" w:lineRule="exact"/>
        <w:ind w:firstLine="396"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9"/>
        <w:gridCol w:w="3180"/>
      </w:tblGrid>
      <w:tr w14:paraId="6043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vAlign w:val="center"/>
          </w:tcPr>
          <w:p w14:paraId="70B6F1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中标金额（万元）</w:t>
            </w:r>
          </w:p>
        </w:tc>
        <w:tc>
          <w:tcPr>
            <w:tcW w:w="2585" w:type="pct"/>
            <w:vAlign w:val="center"/>
          </w:tcPr>
          <w:p w14:paraId="2A3EE5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收费标准</w:t>
            </w:r>
          </w:p>
        </w:tc>
      </w:tr>
      <w:tr w14:paraId="4D1A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vAlign w:val="center"/>
          </w:tcPr>
          <w:p w14:paraId="16708B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100万（含）以下</w:t>
            </w:r>
          </w:p>
        </w:tc>
        <w:tc>
          <w:tcPr>
            <w:tcW w:w="2585" w:type="pct"/>
            <w:vAlign w:val="center"/>
          </w:tcPr>
          <w:p w14:paraId="060223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1000元</w:t>
            </w:r>
          </w:p>
        </w:tc>
      </w:tr>
      <w:tr w14:paraId="22C8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vAlign w:val="center"/>
          </w:tcPr>
          <w:p w14:paraId="359DB8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100万-200万（含）</w:t>
            </w:r>
          </w:p>
        </w:tc>
        <w:tc>
          <w:tcPr>
            <w:tcW w:w="2585" w:type="pct"/>
            <w:vAlign w:val="center"/>
          </w:tcPr>
          <w:p w14:paraId="64E2236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1500元</w:t>
            </w:r>
          </w:p>
        </w:tc>
      </w:tr>
      <w:tr w14:paraId="7B66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vAlign w:val="center"/>
          </w:tcPr>
          <w:p w14:paraId="2C1B93A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200万-500万（含）</w:t>
            </w:r>
          </w:p>
        </w:tc>
        <w:tc>
          <w:tcPr>
            <w:tcW w:w="2585" w:type="pct"/>
            <w:vAlign w:val="center"/>
          </w:tcPr>
          <w:p w14:paraId="391487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3000元</w:t>
            </w:r>
          </w:p>
        </w:tc>
      </w:tr>
      <w:tr w14:paraId="1F9B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vAlign w:val="center"/>
          </w:tcPr>
          <w:p w14:paraId="684CE1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500万-1000万（含）</w:t>
            </w:r>
          </w:p>
        </w:tc>
        <w:tc>
          <w:tcPr>
            <w:tcW w:w="2585" w:type="pct"/>
            <w:vAlign w:val="center"/>
          </w:tcPr>
          <w:p w14:paraId="4D9BA41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8000元</w:t>
            </w:r>
          </w:p>
        </w:tc>
      </w:tr>
      <w:tr w14:paraId="457D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vAlign w:val="center"/>
          </w:tcPr>
          <w:p w14:paraId="4E7754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1000万-2000万（含）</w:t>
            </w:r>
          </w:p>
        </w:tc>
        <w:tc>
          <w:tcPr>
            <w:tcW w:w="2585" w:type="pct"/>
            <w:vAlign w:val="center"/>
          </w:tcPr>
          <w:p w14:paraId="04E18A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16000元</w:t>
            </w:r>
          </w:p>
        </w:tc>
      </w:tr>
      <w:tr w14:paraId="5D75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vAlign w:val="center"/>
          </w:tcPr>
          <w:p w14:paraId="74CB665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2000万-5000万（含）</w:t>
            </w:r>
          </w:p>
        </w:tc>
        <w:tc>
          <w:tcPr>
            <w:tcW w:w="2585" w:type="pct"/>
            <w:vAlign w:val="center"/>
          </w:tcPr>
          <w:p w14:paraId="053A55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25000元</w:t>
            </w:r>
          </w:p>
        </w:tc>
      </w:tr>
      <w:tr w14:paraId="59D6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vAlign w:val="center"/>
          </w:tcPr>
          <w:p w14:paraId="7CDD936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5000万-1亿（含）</w:t>
            </w:r>
          </w:p>
        </w:tc>
        <w:tc>
          <w:tcPr>
            <w:tcW w:w="2585" w:type="pct"/>
            <w:vAlign w:val="center"/>
          </w:tcPr>
          <w:p w14:paraId="0B483F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35000元</w:t>
            </w:r>
          </w:p>
        </w:tc>
      </w:tr>
      <w:tr w14:paraId="77D8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vAlign w:val="center"/>
          </w:tcPr>
          <w:p w14:paraId="5EEC43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1亿以上</w:t>
            </w:r>
          </w:p>
        </w:tc>
        <w:tc>
          <w:tcPr>
            <w:tcW w:w="2585" w:type="pct"/>
            <w:vAlign w:val="center"/>
          </w:tcPr>
          <w:p w14:paraId="01469C4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50000元</w:t>
            </w:r>
          </w:p>
        </w:tc>
      </w:tr>
    </w:tbl>
    <w:p w14:paraId="3A45EEFE">
      <w:pPr>
        <w:spacing w:line="480" w:lineRule="exact"/>
        <w:ind w:firstLine="396" w:firstLineChars="200"/>
        <w:rPr>
          <w:rFonts w:ascii="宋体" w:hAnsi="宋体" w:cs="宋体"/>
          <w:b/>
          <w:bCs/>
          <w:color w:val="auto"/>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p>
    <w:p w14:paraId="09E13FC1">
      <w:pPr>
        <w:pStyle w:val="3"/>
        <w:spacing w:before="120" w:after="120" w:line="360" w:lineRule="auto"/>
        <w:rPr>
          <w:rFonts w:ascii="宋体" w:hAnsi="宋体" w:eastAsia="宋体" w:cs="宋体"/>
          <w:color w:val="auto"/>
          <w:sz w:val="21"/>
          <w:szCs w:val="21"/>
          <w:highlight w:val="none"/>
        </w:rPr>
      </w:pPr>
      <w:bookmarkStart w:id="55" w:name="_Toc20446"/>
      <w:bookmarkStart w:id="56" w:name="_Toc15733"/>
      <w:bookmarkStart w:id="57" w:name="_Toc28591"/>
      <w:bookmarkStart w:id="58" w:name="_Toc12859"/>
      <w:r>
        <w:rPr>
          <w:rFonts w:hint="eastAsia" w:ascii="宋体" w:hAnsi="宋体" w:eastAsia="宋体" w:cs="宋体"/>
          <w:color w:val="auto"/>
          <w:sz w:val="21"/>
          <w:szCs w:val="21"/>
          <w:highlight w:val="none"/>
        </w:rPr>
        <w:t>六、其它</w:t>
      </w:r>
      <w:bookmarkEnd w:id="55"/>
      <w:bookmarkEnd w:id="56"/>
      <w:bookmarkEnd w:id="57"/>
      <w:bookmarkEnd w:id="58"/>
    </w:p>
    <w:p w14:paraId="06E811F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本招标文件解释权归采购人。</w:t>
      </w:r>
    </w:p>
    <w:p w14:paraId="48F6B2C2">
      <w:pPr>
        <w:pStyle w:val="2"/>
        <w:tabs>
          <w:tab w:val="left" w:pos="360"/>
        </w:tabs>
        <w:spacing w:line="240" w:lineRule="exact"/>
        <w:jc w:val="center"/>
        <w:rPr>
          <w:color w:val="auto"/>
          <w:sz w:val="36"/>
          <w:highlight w:val="none"/>
        </w:rPr>
      </w:pPr>
      <w:r>
        <w:rPr>
          <w:rFonts w:hint="eastAsia"/>
          <w:color w:val="auto"/>
          <w:sz w:val="36"/>
          <w:highlight w:val="none"/>
        </w:rPr>
        <w:br w:type="page"/>
      </w:r>
      <w:bookmarkStart w:id="59" w:name="_Toc319"/>
      <w:bookmarkStart w:id="60" w:name="_Toc15044"/>
      <w:bookmarkStart w:id="61" w:name="_Toc30538"/>
      <w:bookmarkStart w:id="62" w:name="_Toc15072"/>
      <w:r>
        <w:rPr>
          <w:rFonts w:hint="eastAsia"/>
          <w:color w:val="auto"/>
          <w:sz w:val="36"/>
          <w:highlight w:val="none"/>
        </w:rPr>
        <w:t>第三章  招标项目要求</w:t>
      </w:r>
      <w:bookmarkEnd w:id="59"/>
      <w:bookmarkEnd w:id="60"/>
      <w:bookmarkEnd w:id="61"/>
      <w:bookmarkEnd w:id="62"/>
    </w:p>
    <w:p w14:paraId="17BB6A41">
      <w:pPr>
        <w:pStyle w:val="104"/>
        <w:spacing w:after="156" w:afterLines="50" w:line="360" w:lineRule="auto"/>
        <w:ind w:left="510" w:hanging="510" w:firstLineChars="0"/>
        <w:outlineLvl w:val="1"/>
        <w:rPr>
          <w:rFonts w:ascii="宋体" w:hAnsi="宋体" w:cs="宋体"/>
          <w:b/>
          <w:bCs/>
          <w:color w:val="auto"/>
          <w:spacing w:val="14"/>
          <w:kern w:val="24"/>
          <w:szCs w:val="21"/>
          <w:highlight w:val="none"/>
        </w:rPr>
      </w:pPr>
      <w:bookmarkStart w:id="63" w:name="_Toc24390"/>
      <w:bookmarkStart w:id="64" w:name="_Toc31427"/>
      <w:bookmarkStart w:id="65" w:name="_Toc30423"/>
      <w:bookmarkStart w:id="66" w:name="_Toc22928"/>
      <w:bookmarkStart w:id="67" w:name="_Toc22256"/>
      <w:bookmarkStart w:id="68" w:name="_Toc28650"/>
      <w:bookmarkStart w:id="69" w:name="_Toc31263"/>
      <w:bookmarkStart w:id="70" w:name="_Toc32053"/>
      <w:bookmarkStart w:id="71" w:name="_Toc20218"/>
      <w:bookmarkStart w:id="72" w:name="_Toc25640"/>
      <w:bookmarkStart w:id="73" w:name="_Toc254507067"/>
      <w:bookmarkStart w:id="74" w:name="_Toc7717"/>
      <w:r>
        <w:rPr>
          <w:rFonts w:ascii="宋体" w:hAnsi="宋体" w:cs="宋体"/>
          <w:b/>
          <w:bCs/>
          <w:color w:val="auto"/>
          <w:spacing w:val="14"/>
          <w:kern w:val="24"/>
          <w:szCs w:val="21"/>
          <w:highlight w:val="none"/>
        </w:rPr>
        <w:t>一、</w:t>
      </w:r>
      <w:r>
        <w:rPr>
          <w:rFonts w:hint="eastAsia" w:ascii="宋体" w:hAnsi="宋体" w:cs="宋体"/>
          <w:b/>
          <w:bCs/>
          <w:color w:val="auto"/>
          <w:spacing w:val="14"/>
          <w:kern w:val="24"/>
          <w:szCs w:val="21"/>
          <w:highlight w:val="none"/>
        </w:rPr>
        <w:t>项目背景</w:t>
      </w:r>
      <w:bookmarkEnd w:id="63"/>
      <w:bookmarkEnd w:id="64"/>
      <w:bookmarkEnd w:id="65"/>
      <w:bookmarkEnd w:id="66"/>
    </w:p>
    <w:p w14:paraId="79701B1E">
      <w:pPr>
        <w:spacing w:line="360" w:lineRule="auto"/>
        <w:ind w:firstLine="420" w:firstLineChars="200"/>
        <w:rPr>
          <w:color w:val="auto"/>
          <w:highlight w:val="none"/>
        </w:rPr>
      </w:pPr>
      <w:r>
        <w:rPr>
          <w:rFonts w:hint="eastAsia"/>
          <w:color w:val="auto"/>
          <w:highlight w:val="none"/>
        </w:rPr>
        <w:t>为响应国家“加快培育数据要素市场”的决策部署，落实《企业数据资源相关会计处理暂行规定》（财会〔</w:t>
      </w:r>
      <w:r>
        <w:rPr>
          <w:color w:val="auto"/>
          <w:highlight w:val="none"/>
        </w:rPr>
        <w:t>2023〕11号）等政策要求，</w:t>
      </w:r>
      <w:r>
        <w:rPr>
          <w:rFonts w:hint="eastAsia"/>
          <w:color w:val="auto"/>
          <w:highlight w:val="none"/>
        </w:rPr>
        <w:t>市场</w:t>
      </w:r>
      <w:r>
        <w:rPr>
          <w:color w:val="auto"/>
          <w:highlight w:val="none"/>
        </w:rPr>
        <w:t>集团拟通过数据资产入表项目，释放数据要素核心价值，健全数据资产全生命周期管理体系。集团数字化业务系统（包括数字服务平台、房管家、统一支付、统一认证）已积累大量商位物业管理类数据资源，涵盖商位基础信息、租户动态、管理服务等多维度数据。然而，当前集团数据资源缺乏系统梳理和标准化目录，数据权属边界模糊，数据资产价值未通过会计核算体现，难以充分发挥数据要素的经济效益和管理价值。为此，亟需开展数</w:t>
      </w:r>
      <w:r>
        <w:rPr>
          <w:rFonts w:hint="eastAsia"/>
          <w:color w:val="auto"/>
          <w:highlight w:val="none"/>
        </w:rPr>
        <w:t>据资产入表工作，通过规范化的“摸清家底</w:t>
      </w:r>
      <w:r>
        <w:rPr>
          <w:color w:val="auto"/>
          <w:highlight w:val="none"/>
        </w:rPr>
        <w:t>-确权计量-合规登记-入表核算</w:t>
      </w:r>
      <w:r>
        <w:rPr>
          <w:rFonts w:hint="eastAsia"/>
          <w:color w:val="auto"/>
          <w:highlight w:val="none"/>
        </w:rPr>
        <w:t>”</w:t>
      </w:r>
      <w:r>
        <w:rPr>
          <w:color w:val="auto"/>
          <w:highlight w:val="none"/>
        </w:rPr>
        <w:t>全流程，将数据资源转化为可计量、可管理的资产，为集团数字化改革和长期发展提供支撑。</w:t>
      </w:r>
    </w:p>
    <w:p w14:paraId="79DEBBEA">
      <w:pPr>
        <w:spacing w:line="360" w:lineRule="auto"/>
        <w:outlineLvl w:val="1"/>
        <w:rPr>
          <w:rFonts w:ascii="宋体" w:hAnsi="宋体" w:cs="宋体"/>
          <w:b/>
          <w:bCs/>
          <w:color w:val="auto"/>
          <w:spacing w:val="14"/>
          <w:kern w:val="24"/>
          <w:szCs w:val="21"/>
          <w:highlight w:val="none"/>
        </w:rPr>
      </w:pPr>
      <w:bookmarkStart w:id="75" w:name="_Toc22975"/>
      <w:bookmarkStart w:id="76" w:name="_Toc12323"/>
      <w:bookmarkStart w:id="77" w:name="_Toc19924"/>
      <w:bookmarkStart w:id="78" w:name="_Toc9150"/>
      <w:r>
        <w:rPr>
          <w:rFonts w:hint="eastAsia" w:ascii="宋体" w:hAnsi="宋体" w:cs="宋体"/>
          <w:b/>
          <w:bCs/>
          <w:color w:val="auto"/>
          <w:spacing w:val="14"/>
          <w:kern w:val="24"/>
          <w:szCs w:val="21"/>
          <w:highlight w:val="none"/>
        </w:rPr>
        <w:t>二、采购内容</w:t>
      </w:r>
      <w:bookmarkEnd w:id="75"/>
      <w:bookmarkEnd w:id="76"/>
      <w:bookmarkEnd w:id="77"/>
      <w:bookmarkEnd w:id="78"/>
    </w:p>
    <w:p w14:paraId="01E815C8">
      <w:pPr>
        <w:spacing w:line="360" w:lineRule="auto"/>
        <w:ind w:firstLine="420" w:firstLineChars="200"/>
        <w:rPr>
          <w:color w:val="auto"/>
          <w:highlight w:val="none"/>
        </w:rPr>
      </w:pPr>
      <w:r>
        <w:rPr>
          <w:rFonts w:hint="eastAsia"/>
          <w:color w:val="auto"/>
          <w:highlight w:val="none"/>
        </w:rPr>
        <w:t>本项目聚焦集团数字服务平台、房管家、统一支付、统一认证等业务系统的商位物业管理类数据资源，开展以下工作：</w:t>
      </w:r>
      <w:r>
        <w:rPr>
          <w:color w:val="auto"/>
          <w:highlight w:val="none"/>
        </w:rPr>
        <w:t xml:space="preserve">  数据资源梳理：全面梳理商位基础信息、租户信息、权属数据及管理数据，建立标准化《数据资源目录》。  </w:t>
      </w:r>
    </w:p>
    <w:p w14:paraId="67EA194B">
      <w:pPr>
        <w:spacing w:line="360" w:lineRule="auto"/>
        <w:ind w:firstLine="420" w:firstLineChars="200"/>
        <w:rPr>
          <w:color w:val="auto"/>
          <w:highlight w:val="none"/>
        </w:rPr>
      </w:pPr>
      <w:r>
        <w:rPr>
          <w:rFonts w:hint="eastAsia"/>
          <w:color w:val="auto"/>
          <w:highlight w:val="none"/>
        </w:rPr>
        <w:t>权属与合规确认：明确数据持有权、加工权及经营权，确保符合《数据安全法》《个人信息保护法》等法规，输出《数据资产权属法律意见书》。</w:t>
      </w:r>
      <w:r>
        <w:rPr>
          <w:color w:val="auto"/>
          <w:highlight w:val="none"/>
        </w:rPr>
        <w:t xml:space="preserve">  </w:t>
      </w:r>
    </w:p>
    <w:p w14:paraId="33A3D751">
      <w:pPr>
        <w:spacing w:line="360" w:lineRule="auto"/>
        <w:ind w:firstLine="420" w:firstLineChars="200"/>
        <w:rPr>
          <w:color w:val="auto"/>
          <w:highlight w:val="none"/>
        </w:rPr>
      </w:pPr>
      <w:r>
        <w:rPr>
          <w:rFonts w:hint="eastAsia"/>
          <w:color w:val="auto"/>
          <w:highlight w:val="none"/>
        </w:rPr>
        <w:t>成本核算与入表：核算数据资产成本（预估60</w:t>
      </w:r>
      <w:r>
        <w:rPr>
          <w:color w:val="auto"/>
          <w:highlight w:val="none"/>
        </w:rPr>
        <w:t xml:space="preserve">万元），包括硬件折旧、运维服务、等保改造及咨询费用，制定《数据资产会计核算手册》及《数据资产化及会计处理方案》。  </w:t>
      </w:r>
    </w:p>
    <w:p w14:paraId="384BB927">
      <w:pPr>
        <w:spacing w:line="360" w:lineRule="auto"/>
        <w:ind w:firstLine="420" w:firstLineChars="200"/>
        <w:rPr>
          <w:color w:val="auto"/>
          <w:highlight w:val="none"/>
        </w:rPr>
      </w:pPr>
      <w:r>
        <w:rPr>
          <w:rFonts w:hint="eastAsia"/>
          <w:color w:val="auto"/>
          <w:highlight w:val="none"/>
        </w:rPr>
        <w:t>经济利益分析：通过数据分析提升管理效率、优化招商策略，探索数据产品开发及交易，输出《数据资产分析报告》及《数据产品规划建议书》。</w:t>
      </w:r>
      <w:r>
        <w:rPr>
          <w:color w:val="auto"/>
          <w:highlight w:val="none"/>
        </w:rPr>
        <w:t xml:space="preserve">  </w:t>
      </w:r>
    </w:p>
    <w:p w14:paraId="1206EB2A">
      <w:pPr>
        <w:spacing w:line="360" w:lineRule="auto"/>
        <w:ind w:firstLine="420" w:firstLineChars="200"/>
        <w:rPr>
          <w:color w:val="auto"/>
          <w:highlight w:val="none"/>
        </w:rPr>
      </w:pPr>
      <w:r>
        <w:rPr>
          <w:rFonts w:hint="eastAsia"/>
          <w:color w:val="auto"/>
          <w:highlight w:val="none"/>
        </w:rPr>
        <w:t>项目管理与成果：制定《无形资产研发项目管理制度》，完成《数据资产化项目立项报告》及《结项报告》，取得《数据产品登记证书》及《数据知识产权登记证书》。</w:t>
      </w:r>
    </w:p>
    <w:p w14:paraId="671BD428">
      <w:pPr>
        <w:spacing w:line="360" w:lineRule="auto"/>
        <w:ind w:firstLine="420" w:firstLineChars="200"/>
        <w:rPr>
          <w:color w:val="auto"/>
          <w:highlight w:val="none"/>
        </w:rPr>
      </w:pPr>
      <w:r>
        <w:rPr>
          <w:color w:val="auto"/>
          <w:highlight w:val="none"/>
        </w:rPr>
        <w:cr/>
      </w:r>
      <w:r>
        <w:rPr>
          <w:rFonts w:hint="eastAsia"/>
          <w:color w:val="auto"/>
          <w:highlight w:val="none"/>
        </w:rPr>
        <w:t>最终输出物清单：</w:t>
      </w:r>
      <w:r>
        <w:rPr>
          <w:rFonts w:hint="eastAsia"/>
          <w:color w:val="auto"/>
          <w:highlight w:val="none"/>
        </w:rPr>
        <w:br w:type="textWrapping"/>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5"/>
      </w:tblGrid>
      <w:tr w14:paraId="57DB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D5FE5D1">
            <w:pPr>
              <w:spacing w:line="360" w:lineRule="auto"/>
              <w:ind w:firstLine="400" w:firstLineChars="200"/>
              <w:rPr>
                <w:color w:val="auto"/>
                <w:kern w:val="0"/>
                <w:sz w:val="20"/>
                <w:highlight w:val="none"/>
              </w:rPr>
            </w:pPr>
            <w:r>
              <w:rPr>
                <w:rFonts w:hint="eastAsia"/>
                <w:color w:val="auto"/>
                <w:kern w:val="0"/>
                <w:sz w:val="20"/>
                <w:highlight w:val="none"/>
              </w:rPr>
              <w:t>1</w:t>
            </w:r>
          </w:p>
        </w:tc>
        <w:tc>
          <w:tcPr>
            <w:tcW w:w="7025" w:type="dxa"/>
          </w:tcPr>
          <w:p w14:paraId="01F94D3D">
            <w:pPr>
              <w:spacing w:line="360" w:lineRule="auto"/>
              <w:ind w:firstLine="400" w:firstLineChars="200"/>
              <w:rPr>
                <w:color w:val="auto"/>
                <w:kern w:val="0"/>
                <w:sz w:val="20"/>
                <w:highlight w:val="none"/>
              </w:rPr>
            </w:pPr>
            <w:r>
              <w:rPr>
                <w:rFonts w:hint="eastAsia"/>
                <w:color w:val="auto"/>
                <w:kern w:val="0"/>
                <w:sz w:val="20"/>
                <w:highlight w:val="none"/>
              </w:rPr>
              <w:t>《数据资源目录》</w:t>
            </w:r>
          </w:p>
        </w:tc>
      </w:tr>
      <w:tr w14:paraId="7298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8BFF5B1">
            <w:pPr>
              <w:spacing w:line="360" w:lineRule="auto"/>
              <w:ind w:firstLine="400" w:firstLineChars="200"/>
              <w:rPr>
                <w:color w:val="auto"/>
                <w:kern w:val="0"/>
                <w:sz w:val="20"/>
                <w:highlight w:val="none"/>
              </w:rPr>
            </w:pPr>
            <w:r>
              <w:rPr>
                <w:rFonts w:hint="eastAsia"/>
                <w:color w:val="auto"/>
                <w:kern w:val="0"/>
                <w:sz w:val="20"/>
                <w:highlight w:val="none"/>
              </w:rPr>
              <w:t>2</w:t>
            </w:r>
          </w:p>
        </w:tc>
        <w:tc>
          <w:tcPr>
            <w:tcW w:w="7025" w:type="dxa"/>
          </w:tcPr>
          <w:p w14:paraId="6505F7A8">
            <w:pPr>
              <w:spacing w:line="360" w:lineRule="auto"/>
              <w:ind w:firstLine="400" w:firstLineChars="200"/>
              <w:rPr>
                <w:color w:val="auto"/>
                <w:kern w:val="0"/>
                <w:sz w:val="20"/>
                <w:highlight w:val="none"/>
              </w:rPr>
            </w:pPr>
            <w:r>
              <w:rPr>
                <w:rFonts w:hint="eastAsia"/>
                <w:color w:val="auto"/>
                <w:kern w:val="0"/>
                <w:sz w:val="20"/>
                <w:highlight w:val="none"/>
              </w:rPr>
              <w:t>《数据资产分析报告》</w:t>
            </w:r>
          </w:p>
        </w:tc>
      </w:tr>
      <w:tr w14:paraId="4AA0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635F9A7">
            <w:pPr>
              <w:spacing w:line="360" w:lineRule="auto"/>
              <w:ind w:firstLine="400" w:firstLineChars="200"/>
              <w:rPr>
                <w:color w:val="auto"/>
                <w:kern w:val="0"/>
                <w:sz w:val="20"/>
                <w:highlight w:val="none"/>
              </w:rPr>
            </w:pPr>
            <w:r>
              <w:rPr>
                <w:rFonts w:hint="eastAsia"/>
                <w:color w:val="auto"/>
                <w:kern w:val="0"/>
                <w:sz w:val="20"/>
                <w:highlight w:val="none"/>
              </w:rPr>
              <w:t>3</w:t>
            </w:r>
          </w:p>
        </w:tc>
        <w:tc>
          <w:tcPr>
            <w:tcW w:w="7025" w:type="dxa"/>
          </w:tcPr>
          <w:p w14:paraId="49656604">
            <w:pPr>
              <w:spacing w:line="360" w:lineRule="auto"/>
              <w:ind w:firstLine="400" w:firstLineChars="200"/>
              <w:rPr>
                <w:color w:val="auto"/>
                <w:kern w:val="0"/>
                <w:sz w:val="20"/>
                <w:highlight w:val="none"/>
              </w:rPr>
            </w:pPr>
            <w:r>
              <w:rPr>
                <w:rFonts w:hint="eastAsia"/>
                <w:color w:val="auto"/>
                <w:kern w:val="0"/>
                <w:sz w:val="20"/>
                <w:highlight w:val="none"/>
              </w:rPr>
              <w:t>《数据资产权属法律意见书》</w:t>
            </w:r>
          </w:p>
        </w:tc>
      </w:tr>
      <w:tr w14:paraId="547D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272770C">
            <w:pPr>
              <w:spacing w:line="360" w:lineRule="auto"/>
              <w:ind w:firstLine="400" w:firstLineChars="200"/>
              <w:rPr>
                <w:color w:val="auto"/>
                <w:kern w:val="0"/>
                <w:sz w:val="20"/>
                <w:highlight w:val="none"/>
              </w:rPr>
            </w:pPr>
            <w:r>
              <w:rPr>
                <w:rFonts w:hint="eastAsia"/>
                <w:color w:val="auto"/>
                <w:kern w:val="0"/>
                <w:sz w:val="20"/>
                <w:highlight w:val="none"/>
              </w:rPr>
              <w:t>4</w:t>
            </w:r>
          </w:p>
        </w:tc>
        <w:tc>
          <w:tcPr>
            <w:tcW w:w="7025" w:type="dxa"/>
          </w:tcPr>
          <w:p w14:paraId="4E768587">
            <w:pPr>
              <w:spacing w:line="360" w:lineRule="auto"/>
              <w:ind w:firstLine="400" w:firstLineChars="200"/>
              <w:rPr>
                <w:color w:val="auto"/>
                <w:kern w:val="0"/>
                <w:sz w:val="20"/>
                <w:highlight w:val="none"/>
              </w:rPr>
            </w:pPr>
            <w:r>
              <w:rPr>
                <w:rFonts w:hint="eastAsia"/>
                <w:color w:val="auto"/>
                <w:kern w:val="0"/>
                <w:sz w:val="20"/>
                <w:highlight w:val="none"/>
              </w:rPr>
              <w:t>《数据资产会计核算手册》</w:t>
            </w:r>
          </w:p>
        </w:tc>
      </w:tr>
      <w:tr w14:paraId="0765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37FA9E73">
            <w:pPr>
              <w:spacing w:line="360" w:lineRule="auto"/>
              <w:ind w:firstLine="400" w:firstLineChars="200"/>
              <w:rPr>
                <w:color w:val="auto"/>
                <w:kern w:val="0"/>
                <w:sz w:val="20"/>
                <w:highlight w:val="none"/>
              </w:rPr>
            </w:pPr>
            <w:r>
              <w:rPr>
                <w:rFonts w:hint="eastAsia"/>
                <w:color w:val="auto"/>
                <w:kern w:val="0"/>
                <w:sz w:val="20"/>
                <w:highlight w:val="none"/>
              </w:rPr>
              <w:t>5</w:t>
            </w:r>
          </w:p>
        </w:tc>
        <w:tc>
          <w:tcPr>
            <w:tcW w:w="7025" w:type="dxa"/>
          </w:tcPr>
          <w:p w14:paraId="1FB4CCEB">
            <w:pPr>
              <w:spacing w:line="360" w:lineRule="auto"/>
              <w:ind w:firstLine="400" w:firstLineChars="200"/>
              <w:rPr>
                <w:color w:val="auto"/>
                <w:kern w:val="0"/>
                <w:sz w:val="20"/>
                <w:highlight w:val="none"/>
              </w:rPr>
            </w:pPr>
            <w:r>
              <w:rPr>
                <w:rFonts w:hint="eastAsia"/>
                <w:color w:val="auto"/>
                <w:kern w:val="0"/>
                <w:sz w:val="20"/>
                <w:highlight w:val="none"/>
              </w:rPr>
              <w:t>《无形资产研发项目管理制度》</w:t>
            </w:r>
          </w:p>
        </w:tc>
      </w:tr>
      <w:tr w14:paraId="0D10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C43664C">
            <w:pPr>
              <w:spacing w:line="360" w:lineRule="auto"/>
              <w:ind w:firstLine="400" w:firstLineChars="200"/>
              <w:rPr>
                <w:color w:val="auto"/>
                <w:kern w:val="0"/>
                <w:sz w:val="20"/>
                <w:highlight w:val="none"/>
              </w:rPr>
            </w:pPr>
            <w:r>
              <w:rPr>
                <w:rFonts w:hint="eastAsia"/>
                <w:color w:val="auto"/>
                <w:kern w:val="0"/>
                <w:sz w:val="20"/>
                <w:highlight w:val="none"/>
              </w:rPr>
              <w:t>6</w:t>
            </w:r>
          </w:p>
        </w:tc>
        <w:tc>
          <w:tcPr>
            <w:tcW w:w="7025" w:type="dxa"/>
          </w:tcPr>
          <w:p w14:paraId="4079D75F">
            <w:pPr>
              <w:spacing w:line="360" w:lineRule="auto"/>
              <w:ind w:firstLine="400" w:firstLineChars="200"/>
              <w:rPr>
                <w:color w:val="auto"/>
                <w:kern w:val="0"/>
                <w:sz w:val="20"/>
                <w:highlight w:val="none"/>
              </w:rPr>
            </w:pPr>
            <w:r>
              <w:rPr>
                <w:rFonts w:hint="eastAsia"/>
                <w:color w:val="auto"/>
                <w:kern w:val="0"/>
                <w:sz w:val="20"/>
                <w:highlight w:val="none"/>
              </w:rPr>
              <w:t>《数据资产化项目立项报告》</w:t>
            </w:r>
          </w:p>
        </w:tc>
      </w:tr>
      <w:tr w14:paraId="4FB2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502B269">
            <w:pPr>
              <w:spacing w:line="360" w:lineRule="auto"/>
              <w:ind w:firstLine="400" w:firstLineChars="200"/>
              <w:rPr>
                <w:color w:val="auto"/>
                <w:kern w:val="0"/>
                <w:sz w:val="20"/>
                <w:highlight w:val="none"/>
              </w:rPr>
            </w:pPr>
            <w:r>
              <w:rPr>
                <w:rFonts w:hint="eastAsia"/>
                <w:color w:val="auto"/>
                <w:kern w:val="0"/>
                <w:sz w:val="20"/>
                <w:highlight w:val="none"/>
              </w:rPr>
              <w:t>7</w:t>
            </w:r>
          </w:p>
        </w:tc>
        <w:tc>
          <w:tcPr>
            <w:tcW w:w="7025" w:type="dxa"/>
          </w:tcPr>
          <w:p w14:paraId="07BD0B09">
            <w:pPr>
              <w:spacing w:line="360" w:lineRule="auto"/>
              <w:ind w:firstLine="400" w:firstLineChars="200"/>
              <w:rPr>
                <w:color w:val="auto"/>
                <w:kern w:val="0"/>
                <w:sz w:val="20"/>
                <w:highlight w:val="none"/>
              </w:rPr>
            </w:pPr>
            <w:r>
              <w:rPr>
                <w:rFonts w:hint="eastAsia"/>
                <w:color w:val="auto"/>
                <w:kern w:val="0"/>
                <w:sz w:val="20"/>
                <w:highlight w:val="none"/>
              </w:rPr>
              <w:t>《数据资产化项目结项报告》</w:t>
            </w:r>
          </w:p>
        </w:tc>
      </w:tr>
      <w:tr w14:paraId="764A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2CBF5AF">
            <w:pPr>
              <w:spacing w:line="360" w:lineRule="auto"/>
              <w:ind w:firstLine="400" w:firstLineChars="200"/>
              <w:rPr>
                <w:color w:val="auto"/>
                <w:kern w:val="0"/>
                <w:sz w:val="20"/>
                <w:highlight w:val="none"/>
              </w:rPr>
            </w:pPr>
            <w:r>
              <w:rPr>
                <w:rFonts w:hint="eastAsia"/>
                <w:color w:val="auto"/>
                <w:kern w:val="0"/>
                <w:sz w:val="20"/>
                <w:highlight w:val="none"/>
              </w:rPr>
              <w:t>8</w:t>
            </w:r>
          </w:p>
        </w:tc>
        <w:tc>
          <w:tcPr>
            <w:tcW w:w="7025" w:type="dxa"/>
          </w:tcPr>
          <w:p w14:paraId="3E76AD20">
            <w:pPr>
              <w:spacing w:line="360" w:lineRule="auto"/>
              <w:ind w:firstLine="400" w:firstLineChars="200"/>
              <w:rPr>
                <w:color w:val="auto"/>
                <w:kern w:val="0"/>
                <w:sz w:val="20"/>
                <w:highlight w:val="none"/>
              </w:rPr>
            </w:pPr>
            <w:r>
              <w:rPr>
                <w:rFonts w:hint="eastAsia"/>
                <w:color w:val="auto"/>
                <w:kern w:val="0"/>
                <w:sz w:val="20"/>
                <w:highlight w:val="none"/>
              </w:rPr>
              <w:t>《数据资产化及会计处理方案》</w:t>
            </w:r>
          </w:p>
        </w:tc>
      </w:tr>
      <w:tr w14:paraId="6A91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4B339F9">
            <w:pPr>
              <w:spacing w:line="360" w:lineRule="auto"/>
              <w:ind w:firstLine="400" w:firstLineChars="200"/>
              <w:rPr>
                <w:color w:val="auto"/>
                <w:kern w:val="0"/>
                <w:sz w:val="20"/>
                <w:highlight w:val="none"/>
              </w:rPr>
            </w:pPr>
            <w:r>
              <w:rPr>
                <w:rFonts w:hint="eastAsia"/>
                <w:color w:val="auto"/>
                <w:kern w:val="0"/>
                <w:sz w:val="20"/>
                <w:highlight w:val="none"/>
              </w:rPr>
              <w:t>9</w:t>
            </w:r>
          </w:p>
        </w:tc>
        <w:tc>
          <w:tcPr>
            <w:tcW w:w="7025" w:type="dxa"/>
          </w:tcPr>
          <w:p w14:paraId="046FF134">
            <w:pPr>
              <w:spacing w:line="360" w:lineRule="auto"/>
              <w:ind w:firstLine="400" w:firstLineChars="200"/>
              <w:rPr>
                <w:color w:val="auto"/>
                <w:kern w:val="0"/>
                <w:sz w:val="20"/>
                <w:highlight w:val="none"/>
              </w:rPr>
            </w:pPr>
            <w:r>
              <w:rPr>
                <w:rFonts w:hint="eastAsia"/>
                <w:color w:val="auto"/>
                <w:kern w:val="0"/>
                <w:sz w:val="20"/>
                <w:highlight w:val="none"/>
              </w:rPr>
              <w:t>《数据产品规划建议书》</w:t>
            </w:r>
          </w:p>
        </w:tc>
      </w:tr>
      <w:tr w14:paraId="1926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66AC82D">
            <w:pPr>
              <w:spacing w:line="360" w:lineRule="auto"/>
              <w:ind w:firstLine="400" w:firstLineChars="200"/>
              <w:rPr>
                <w:color w:val="auto"/>
                <w:kern w:val="0"/>
                <w:sz w:val="20"/>
                <w:highlight w:val="none"/>
              </w:rPr>
            </w:pPr>
            <w:r>
              <w:rPr>
                <w:rFonts w:hint="eastAsia"/>
                <w:color w:val="auto"/>
                <w:kern w:val="0"/>
                <w:sz w:val="20"/>
                <w:highlight w:val="none"/>
              </w:rPr>
              <w:t>10</w:t>
            </w:r>
          </w:p>
        </w:tc>
        <w:tc>
          <w:tcPr>
            <w:tcW w:w="7025" w:type="dxa"/>
          </w:tcPr>
          <w:p w14:paraId="2C12DCFC">
            <w:pPr>
              <w:spacing w:line="360" w:lineRule="auto"/>
              <w:ind w:firstLine="400" w:firstLineChars="200"/>
              <w:rPr>
                <w:color w:val="auto"/>
                <w:kern w:val="0"/>
                <w:sz w:val="20"/>
                <w:highlight w:val="none"/>
              </w:rPr>
            </w:pPr>
            <w:r>
              <w:rPr>
                <w:rFonts w:hint="eastAsia"/>
                <w:color w:val="auto"/>
                <w:kern w:val="0"/>
                <w:sz w:val="20"/>
                <w:highlight w:val="none"/>
              </w:rPr>
              <w:t>《数据产品登记证书》</w:t>
            </w:r>
          </w:p>
        </w:tc>
      </w:tr>
      <w:tr w14:paraId="14E2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2225378">
            <w:pPr>
              <w:spacing w:line="360" w:lineRule="auto"/>
              <w:ind w:firstLine="400" w:firstLineChars="200"/>
              <w:rPr>
                <w:color w:val="auto"/>
                <w:kern w:val="0"/>
                <w:sz w:val="20"/>
                <w:highlight w:val="none"/>
              </w:rPr>
            </w:pPr>
            <w:r>
              <w:rPr>
                <w:rFonts w:hint="eastAsia"/>
                <w:color w:val="auto"/>
                <w:kern w:val="0"/>
                <w:sz w:val="20"/>
                <w:highlight w:val="none"/>
              </w:rPr>
              <w:t>11</w:t>
            </w:r>
          </w:p>
        </w:tc>
        <w:tc>
          <w:tcPr>
            <w:tcW w:w="7025" w:type="dxa"/>
          </w:tcPr>
          <w:p w14:paraId="602DEFD7">
            <w:pPr>
              <w:spacing w:line="360" w:lineRule="auto"/>
              <w:ind w:firstLine="400" w:firstLineChars="200"/>
              <w:rPr>
                <w:color w:val="auto"/>
                <w:kern w:val="0"/>
                <w:sz w:val="20"/>
                <w:highlight w:val="none"/>
              </w:rPr>
            </w:pPr>
            <w:r>
              <w:rPr>
                <w:rFonts w:hint="eastAsia"/>
                <w:color w:val="auto"/>
                <w:kern w:val="0"/>
                <w:sz w:val="20"/>
                <w:highlight w:val="none"/>
              </w:rPr>
              <w:t>《数据知识产权登记证书》</w:t>
            </w:r>
          </w:p>
        </w:tc>
      </w:tr>
    </w:tbl>
    <w:p w14:paraId="046725C0">
      <w:pPr>
        <w:widowControl/>
        <w:snapToGrid w:val="0"/>
        <w:spacing w:before="120" w:after="120" w:line="340" w:lineRule="exact"/>
        <w:ind w:firstLine="420" w:firstLineChars="200"/>
        <w:jc w:val="left"/>
        <w:rPr>
          <w:rFonts w:ascii="宋体" w:hAnsi="宋体" w:cs="宋体"/>
          <w:color w:val="auto"/>
          <w:highlight w:val="none"/>
        </w:rPr>
      </w:pPr>
    </w:p>
    <w:p w14:paraId="531BD778">
      <w:pPr>
        <w:keepNext/>
        <w:keepLines/>
        <w:spacing w:line="360" w:lineRule="auto"/>
        <w:outlineLvl w:val="1"/>
        <w:rPr>
          <w:rFonts w:ascii="宋体" w:hAnsi="宋体" w:cs="宋体"/>
          <w:b/>
          <w:bCs/>
          <w:color w:val="auto"/>
          <w:spacing w:val="14"/>
          <w:kern w:val="24"/>
          <w:szCs w:val="21"/>
          <w:highlight w:val="none"/>
        </w:rPr>
      </w:pPr>
      <w:bookmarkStart w:id="79" w:name="_Toc13980"/>
      <w:bookmarkStart w:id="80" w:name="_Toc9832"/>
      <w:bookmarkStart w:id="81" w:name="_Toc847"/>
      <w:bookmarkStart w:id="82" w:name="_Toc28201"/>
      <w:r>
        <w:rPr>
          <w:rFonts w:hint="eastAsia" w:ascii="宋体" w:hAnsi="宋体" w:cs="宋体"/>
          <w:b/>
          <w:bCs/>
          <w:color w:val="auto"/>
          <w:spacing w:val="14"/>
          <w:kern w:val="24"/>
          <w:szCs w:val="21"/>
          <w:highlight w:val="none"/>
        </w:rPr>
        <w:t>三、</w:t>
      </w:r>
      <w:bookmarkEnd w:id="67"/>
      <w:bookmarkEnd w:id="68"/>
      <w:bookmarkEnd w:id="69"/>
      <w:bookmarkEnd w:id="70"/>
      <w:bookmarkEnd w:id="71"/>
      <w:bookmarkEnd w:id="72"/>
      <w:r>
        <w:rPr>
          <w:rFonts w:hint="eastAsia" w:ascii="宋体" w:hAnsi="宋体" w:cs="宋体"/>
          <w:b/>
          <w:bCs/>
          <w:color w:val="auto"/>
          <w:spacing w:val="14"/>
          <w:kern w:val="24"/>
          <w:szCs w:val="21"/>
          <w:highlight w:val="none"/>
        </w:rPr>
        <w:t>商务要求</w:t>
      </w:r>
      <w:bookmarkEnd w:id="79"/>
      <w:bookmarkEnd w:id="80"/>
      <w:bookmarkEnd w:id="81"/>
      <w:bookmarkEnd w:id="82"/>
    </w:p>
    <w:p w14:paraId="2027DC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（一）投标报价要求</w:t>
      </w:r>
    </w:p>
    <w:p w14:paraId="50E1E0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1.投标人所投报的投标报价为投标人所能承受的整个项目的一次性最终最低报价，包括</w:t>
      </w:r>
      <w:r>
        <w:rPr>
          <w:rFonts w:hint="eastAsia" w:ascii="宋体" w:hAnsi="宋体"/>
          <w:color w:val="auto"/>
          <w:highlight w:val="none"/>
        </w:rPr>
        <w:t>但不限于</w:t>
      </w:r>
      <w:r>
        <w:rPr>
          <w:rFonts w:hint="eastAsia" w:ascii="宋体" w:hAnsi="宋体" w:cs="宋体"/>
          <w:color w:val="auto"/>
          <w:kern w:val="0"/>
          <w:highlight w:val="none"/>
        </w:rPr>
        <w:t>数据资产登记存证费、数据资产盘点服务费、数据资产入表服务费、利润、税金、招标代理费、人员交通、食宿、技术支持与培训及相关劳务支出等工作所发生的全部费用以及投标人企业利润、税金和政策性文件规定及合同中明示或暗示的所有一般风险、责任和义务等一切应由采购人支付的费用</w:t>
      </w:r>
      <w:r>
        <w:rPr>
          <w:rFonts w:hint="eastAsia" w:ascii="宋体" w:hAnsi="宋体" w:cs="宋体"/>
          <w:color w:val="auto"/>
          <w:szCs w:val="21"/>
          <w:highlight w:val="none"/>
        </w:rPr>
        <w:t>，如有漏项，视同已包含在其它项目中，合同总价和单价不做调整。</w:t>
      </w:r>
    </w:p>
    <w:p w14:paraId="7119E793">
      <w:pPr>
        <w:pStyle w:val="18"/>
        <w:spacing w:line="360" w:lineRule="auto"/>
        <w:ind w:firstLine="420" w:firstLineChars="200"/>
        <w:rPr>
          <w:rFonts w:hAnsi="宋体" w:cs="宋体"/>
          <w:color w:val="auto"/>
          <w:highlight w:val="none"/>
        </w:rPr>
      </w:pPr>
      <w:r>
        <w:rPr>
          <w:rFonts w:hint="eastAsia" w:hAnsi="宋体" w:cs="宋体"/>
          <w:color w:val="auto"/>
          <w:highlight w:val="none"/>
        </w:rPr>
        <w:t xml:space="preserve">2.投标方须在《开标一览表》上写明投标内容的单价和投标总价。如果大写金额和小写金额不一致的，以大写金额为准；单价金额小数点或者百分比有明显错位的，以《开标一览表》的总价为准，并修改单价；总价金额与按单价汇总金额不一致的，以单价金额计算结果为准。             </w:t>
      </w:r>
    </w:p>
    <w:p w14:paraId="2CEFA15B">
      <w:pPr>
        <w:pStyle w:val="18"/>
        <w:spacing w:line="360" w:lineRule="auto"/>
        <w:ind w:firstLine="420" w:firstLineChars="200"/>
        <w:rPr>
          <w:rFonts w:hAnsi="宋体" w:cs="宋体"/>
          <w:color w:val="auto"/>
          <w:highlight w:val="none"/>
        </w:rPr>
      </w:pPr>
      <w:r>
        <w:rPr>
          <w:rFonts w:hint="eastAsia" w:hAnsi="宋体" w:cs="宋体"/>
          <w:color w:val="auto"/>
          <w:highlight w:val="none"/>
        </w:rPr>
        <w:t>3.中标后，</w:t>
      </w:r>
      <w:r>
        <w:rPr>
          <w:rFonts w:hint="eastAsia" w:hAnsi="宋体" w:cs="宋体"/>
          <w:b/>
          <w:color w:val="auto"/>
          <w:highlight w:val="none"/>
        </w:rPr>
        <w:t>中标人所填写的单价在合同实施期间不因市场变化因素而变动；</w:t>
      </w:r>
      <w:r>
        <w:rPr>
          <w:rFonts w:hint="eastAsia" w:hAnsi="宋体" w:cs="宋体"/>
          <w:color w:val="auto"/>
          <w:highlight w:val="none"/>
        </w:rPr>
        <w:t>投标人在计算报价时应考虑一定的风险系数。因设计与工程因素引起实际施工中发生设计变更、修改、调整、完善等情况，修改部分则按其投标书相应部分货物及施工的单价同口径计算。</w:t>
      </w:r>
    </w:p>
    <w:p w14:paraId="6A60072B">
      <w:pPr>
        <w:pStyle w:val="18"/>
        <w:spacing w:line="360" w:lineRule="auto"/>
        <w:ind w:firstLine="420" w:firstLineChars="200"/>
        <w:rPr>
          <w:rFonts w:hAnsi="宋体" w:cs="宋体"/>
          <w:color w:val="auto"/>
          <w:highlight w:val="none"/>
        </w:rPr>
      </w:pPr>
      <w:r>
        <w:rPr>
          <w:rFonts w:hAnsi="宋体" w:cs="宋体"/>
          <w:color w:val="auto"/>
          <w:highlight w:val="none"/>
        </w:rPr>
        <w:t>4</w:t>
      </w:r>
      <w:r>
        <w:rPr>
          <w:rFonts w:hint="eastAsia" w:hAnsi="宋体" w:cs="宋体"/>
          <w:color w:val="auto"/>
          <w:highlight w:val="none"/>
        </w:rPr>
        <w:t>.投标人应按招标文件规定的报价格式进行投标报价。投标人对每项内容只允许有一个报价，采购人不接受任何有选择性的报价。</w:t>
      </w:r>
    </w:p>
    <w:p w14:paraId="2537674B">
      <w:pPr>
        <w:pStyle w:val="18"/>
        <w:spacing w:line="360" w:lineRule="auto"/>
        <w:ind w:firstLine="420" w:firstLineChars="200"/>
        <w:rPr>
          <w:rFonts w:hAnsi="宋体" w:cs="宋体"/>
          <w:color w:val="auto"/>
          <w:spacing w:val="-8"/>
          <w:highlight w:val="none"/>
        </w:rPr>
      </w:pPr>
      <w:r>
        <w:rPr>
          <w:rFonts w:hAnsi="宋体" w:cs="宋体"/>
          <w:color w:val="auto"/>
          <w:highlight w:val="none"/>
        </w:rPr>
        <w:t>5</w:t>
      </w:r>
      <w:r>
        <w:rPr>
          <w:rFonts w:hint="eastAsia" w:hAnsi="宋体" w:cs="宋体"/>
          <w:color w:val="auto"/>
          <w:highlight w:val="none"/>
        </w:rPr>
        <w:t>.</w:t>
      </w:r>
      <w:r>
        <w:rPr>
          <w:rFonts w:hint="eastAsia" w:hAnsi="宋体" w:cs="宋体"/>
          <w:color w:val="auto"/>
          <w:spacing w:val="-8"/>
          <w:highlight w:val="none"/>
        </w:rPr>
        <w:t>采购人不接受低于成本的投标报价。</w:t>
      </w:r>
    </w:p>
    <w:p w14:paraId="4E15897F">
      <w:pPr>
        <w:pStyle w:val="18"/>
        <w:spacing w:line="360" w:lineRule="auto"/>
        <w:ind w:firstLine="420" w:firstLineChars="200"/>
        <w:rPr>
          <w:rFonts w:hAnsi="宋体" w:cs="宋体"/>
          <w:color w:val="auto"/>
          <w:highlight w:val="none"/>
        </w:rPr>
      </w:pPr>
      <w:r>
        <w:rPr>
          <w:rFonts w:hAnsi="宋体" w:cs="宋体"/>
          <w:color w:val="auto"/>
          <w:highlight w:val="none"/>
        </w:rPr>
        <w:t>6</w:t>
      </w:r>
      <w:r>
        <w:rPr>
          <w:rFonts w:hint="eastAsia" w:hAnsi="宋体" w:cs="宋体"/>
          <w:color w:val="auto"/>
          <w:highlight w:val="none"/>
        </w:rPr>
        <w:t>.投标人按照上述要求编制投标报价。一旦确认某一投标人中标，除合同规定的可调整内容外，中标人不得要求追加任何费用。</w:t>
      </w:r>
    </w:p>
    <w:p w14:paraId="367F7A58">
      <w:pPr>
        <w:pStyle w:val="18"/>
        <w:spacing w:line="360" w:lineRule="auto"/>
        <w:ind w:firstLine="420" w:firstLineChars="200"/>
        <w:rPr>
          <w:rFonts w:hAnsi="宋体" w:cs="宋体"/>
          <w:color w:val="auto"/>
          <w:highlight w:val="none"/>
        </w:rPr>
      </w:pPr>
      <w:r>
        <w:rPr>
          <w:rFonts w:hAnsi="宋体" w:cs="宋体"/>
          <w:color w:val="auto"/>
          <w:highlight w:val="none"/>
        </w:rPr>
        <w:t>7</w:t>
      </w:r>
      <w:r>
        <w:rPr>
          <w:rFonts w:hint="eastAsia" w:hAnsi="宋体" w:cs="宋体"/>
          <w:color w:val="auto"/>
          <w:highlight w:val="none"/>
        </w:rPr>
        <w:t>.须由中标单位开具正式发票。</w:t>
      </w:r>
    </w:p>
    <w:p w14:paraId="2F20C4C6">
      <w:pPr>
        <w:pStyle w:val="18"/>
        <w:spacing w:line="360" w:lineRule="auto"/>
        <w:ind w:firstLine="420" w:firstLineChars="200"/>
        <w:rPr>
          <w:rFonts w:hAnsi="宋体" w:cs="宋体"/>
          <w:color w:val="auto"/>
          <w:highlight w:val="none"/>
        </w:rPr>
      </w:pPr>
      <w:r>
        <w:rPr>
          <w:rFonts w:hint="eastAsia" w:hAnsi="宋体" w:cs="宋体"/>
          <w:color w:val="auto"/>
          <w:highlight w:val="none"/>
        </w:rPr>
        <w:t>8.招标文件中规定由投标单位承担并支付的相关费用在投标报价时应一并考虑。</w:t>
      </w:r>
    </w:p>
    <w:p w14:paraId="5D07E87E">
      <w:pPr>
        <w:keepNext/>
        <w:keepLines/>
        <w:spacing w:line="360" w:lineRule="auto"/>
        <w:ind w:firstLine="420" w:firstLineChars="200"/>
        <w:rPr>
          <w:rFonts w:ascii="宋体" w:hAnsi="宋体" w:cs="宋体"/>
          <w:bCs/>
          <w:color w:val="auto"/>
          <w:spacing w:val="14"/>
          <w:kern w:val="24"/>
          <w:szCs w:val="21"/>
          <w:highlight w:val="none"/>
        </w:rPr>
      </w:pPr>
      <w:bookmarkStart w:id="83" w:name="_Toc8662"/>
      <w:r>
        <w:rPr>
          <w:rFonts w:hint="eastAsia" w:ascii="宋体" w:hAnsi="宋体" w:cs="宋体"/>
          <w:bCs/>
          <w:color w:val="auto"/>
          <w:szCs w:val="21"/>
          <w:highlight w:val="none"/>
        </w:rPr>
        <w:t>（三）</w:t>
      </w:r>
      <w:r>
        <w:rPr>
          <w:rFonts w:hint="eastAsia" w:ascii="宋体" w:hAnsi="宋体" w:cs="宋体"/>
          <w:bCs/>
          <w:color w:val="auto"/>
          <w:spacing w:val="14"/>
          <w:kern w:val="24"/>
          <w:szCs w:val="21"/>
          <w:highlight w:val="none"/>
        </w:rPr>
        <w:t>工期要求</w:t>
      </w:r>
      <w:bookmarkEnd w:id="83"/>
    </w:p>
    <w:p w14:paraId="6095B7B1">
      <w:pPr>
        <w:autoSpaceDE w:val="0"/>
        <w:autoSpaceDN w:val="0"/>
        <w:adjustRightInd w:val="0"/>
        <w:spacing w:line="360" w:lineRule="auto"/>
        <w:ind w:firstLine="422" w:firstLineChars="200"/>
        <w:outlineLvl w:val="3"/>
        <w:rPr>
          <w:rFonts w:ascii="宋体" w:hAnsi="宋体"/>
          <w:b/>
          <w:color w:val="auto"/>
          <w:highlight w:val="none"/>
        </w:rPr>
      </w:pPr>
      <w:r>
        <w:rPr>
          <w:rFonts w:hint="eastAsia" w:ascii="宋体" w:hAnsi="宋体"/>
          <w:b/>
          <w:color w:val="auto"/>
          <w:highlight w:val="none"/>
        </w:rPr>
        <w:t>1、实施要求</w:t>
      </w:r>
    </w:p>
    <w:p w14:paraId="32C4CF60">
      <w:pPr>
        <w:autoSpaceDE w:val="0"/>
        <w:autoSpaceDN w:val="0"/>
        <w:adjustRightInd w:val="0"/>
        <w:spacing w:line="360" w:lineRule="auto"/>
        <w:ind w:firstLine="420" w:firstLineChars="200"/>
        <w:rPr>
          <w:rFonts w:ascii="宋体" w:hAnsi="宋体"/>
          <w:bCs/>
          <w:color w:val="auto"/>
          <w:highlight w:val="none"/>
        </w:rPr>
      </w:pPr>
      <w:r>
        <w:rPr>
          <w:rFonts w:hint="eastAsia" w:ascii="宋体" w:hAnsi="宋体"/>
          <w:bCs/>
          <w:color w:val="auto"/>
          <w:highlight w:val="none"/>
        </w:rPr>
        <w:t>本项目实施工期自</w:t>
      </w:r>
      <w:r>
        <w:rPr>
          <w:rFonts w:hint="eastAsia" w:ascii="宋体" w:hAnsi="宋体" w:cs="Arial"/>
          <w:color w:val="auto"/>
          <w:szCs w:val="21"/>
          <w:highlight w:val="none"/>
        </w:rPr>
        <w:t>合同签订</w:t>
      </w:r>
      <w:r>
        <w:rPr>
          <w:rFonts w:hint="eastAsia" w:ascii="宋体" w:hAnsi="宋体" w:cs="Arial"/>
          <w:color w:val="auto"/>
          <w:szCs w:val="21"/>
          <w:highlight w:val="none"/>
          <w:lang w:val="zh-CN"/>
        </w:rPr>
        <w:t>后</w:t>
      </w:r>
      <w:r>
        <w:rPr>
          <w:rFonts w:hint="eastAsia" w:ascii="宋体" w:hAnsi="宋体" w:cs="Arial"/>
          <w:color w:val="auto"/>
          <w:szCs w:val="21"/>
          <w:highlight w:val="none"/>
        </w:rPr>
        <w:t>60</w:t>
      </w:r>
      <w:r>
        <w:rPr>
          <w:rFonts w:hint="eastAsia" w:ascii="宋体" w:hAnsi="宋体" w:cs="Arial"/>
          <w:color w:val="auto"/>
          <w:szCs w:val="21"/>
          <w:highlight w:val="none"/>
          <w:lang w:val="zh-CN"/>
        </w:rPr>
        <w:t>日历天内完成</w:t>
      </w:r>
      <w:r>
        <w:rPr>
          <w:rFonts w:hint="eastAsia" w:ascii="宋体" w:hAnsi="宋体" w:cs="Arial"/>
          <w:color w:val="auto"/>
          <w:szCs w:val="21"/>
          <w:highlight w:val="none"/>
        </w:rPr>
        <w:t>项目服务</w:t>
      </w:r>
      <w:r>
        <w:rPr>
          <w:rFonts w:hint="eastAsia" w:ascii="宋体" w:hAnsi="宋体"/>
          <w:bCs/>
          <w:color w:val="auto"/>
          <w:highlight w:val="none"/>
        </w:rPr>
        <w:t>。</w:t>
      </w:r>
    </w:p>
    <w:p w14:paraId="0135773F">
      <w:pPr>
        <w:autoSpaceDE w:val="0"/>
        <w:autoSpaceDN w:val="0"/>
        <w:adjustRightInd w:val="0"/>
        <w:spacing w:line="360" w:lineRule="auto"/>
        <w:ind w:firstLine="422" w:firstLineChars="200"/>
        <w:outlineLvl w:val="3"/>
        <w:rPr>
          <w:rFonts w:ascii="宋体" w:hAnsi="宋体"/>
          <w:b/>
          <w:color w:val="auto"/>
          <w:highlight w:val="none"/>
        </w:rPr>
      </w:pPr>
      <w:r>
        <w:rPr>
          <w:rFonts w:ascii="宋体" w:hAnsi="宋体"/>
          <w:b/>
          <w:color w:val="auto"/>
          <w:highlight w:val="none"/>
        </w:rPr>
        <w:t>2</w:t>
      </w:r>
      <w:r>
        <w:rPr>
          <w:rFonts w:hint="eastAsia" w:ascii="宋体" w:hAnsi="宋体"/>
          <w:b/>
          <w:color w:val="auto"/>
          <w:highlight w:val="none"/>
        </w:rPr>
        <w:t>、文档及培训要求</w:t>
      </w:r>
    </w:p>
    <w:p w14:paraId="18EA29CA">
      <w:pPr>
        <w:autoSpaceDE w:val="0"/>
        <w:autoSpaceDN w:val="0"/>
        <w:adjustRightInd w:val="0"/>
        <w:spacing w:line="360" w:lineRule="auto"/>
        <w:ind w:firstLine="420" w:firstLineChars="200"/>
        <w:rPr>
          <w:rFonts w:ascii="宋体" w:hAnsi="宋体"/>
          <w:bCs/>
          <w:color w:val="auto"/>
          <w:highlight w:val="none"/>
        </w:rPr>
      </w:pPr>
      <w:r>
        <w:rPr>
          <w:rFonts w:hint="eastAsia" w:ascii="宋体" w:hAnsi="宋体"/>
          <w:bCs/>
          <w:color w:val="auto"/>
          <w:highlight w:val="none"/>
        </w:rPr>
        <w:t>供应商负责对采购人相关部门及指定的用户进行培训。供应商须根据项目实施的进度及时安排培训和授课。培训的主要内容应侧重于数据资产化常见问题及解决办法等方面，并提供实践性的操作解答。</w:t>
      </w:r>
    </w:p>
    <w:p w14:paraId="50022EC0">
      <w:pPr>
        <w:spacing w:line="360" w:lineRule="auto"/>
        <w:ind w:firstLine="420" w:firstLineChars="200"/>
        <w:rPr>
          <w:rFonts w:ascii="宋体" w:hAnsi="宋体" w:cs="宋体"/>
          <w:b/>
          <w:color w:val="auto"/>
          <w:szCs w:val="21"/>
          <w:highlight w:val="none"/>
        </w:rPr>
      </w:pPr>
      <w:r>
        <w:rPr>
          <w:rFonts w:hint="eastAsia" w:ascii="宋体" w:hAnsi="宋体"/>
          <w:bCs/>
          <w:color w:val="auto"/>
          <w:highlight w:val="none"/>
        </w:rPr>
        <w:t>投标供应商须制定详细的培训计划，明确培训目标、参训人员、课程内容、时间、场地等相关安排</w:t>
      </w:r>
      <w:r>
        <w:rPr>
          <w:rFonts w:hint="eastAsia" w:ascii="宋体" w:hAnsi="宋体" w:cs="宋体"/>
          <w:color w:val="auto"/>
          <w:szCs w:val="21"/>
          <w:highlight w:val="none"/>
        </w:rPr>
        <w:t>。</w:t>
      </w:r>
    </w:p>
    <w:p w14:paraId="5F16237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（四）验收标准</w:t>
      </w:r>
    </w:p>
    <w:p w14:paraId="6A54AEF5">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w:t>
      </w:r>
      <w:r>
        <w:rPr>
          <w:rFonts w:hint="eastAsia" w:ascii="宋体" w:hAnsi="宋体" w:cs="宋体"/>
          <w:color w:val="auto"/>
          <w:szCs w:val="21"/>
          <w:highlight w:val="none"/>
        </w:rPr>
        <w:t>验收产生的费用由中标方承担。同时，投标方应在投标文件中提供设备的验收标准、检测方法，验收标准应符合国家有关相应的规定和标准。</w:t>
      </w:r>
    </w:p>
    <w:p w14:paraId="4F2D7B0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（五）付款方式</w:t>
      </w:r>
    </w:p>
    <w:p w14:paraId="210E17E1">
      <w:pPr>
        <w:pStyle w:val="86"/>
        <w:ind w:firstLine="420" w:firstLineChars="200"/>
        <w:rPr>
          <w:rFonts w:ascii="宋体" w:hAnsi="宋体" w:cs="宋体"/>
          <w:color w:val="auto"/>
          <w:sz w:val="21"/>
          <w:szCs w:val="16"/>
          <w:highlight w:val="none"/>
        </w:rPr>
      </w:pPr>
      <w:r>
        <w:rPr>
          <w:rFonts w:hint="eastAsia" w:ascii="宋体" w:hAnsi="宋体" w:cs="宋体"/>
          <w:color w:val="auto"/>
          <w:sz w:val="21"/>
          <w:szCs w:val="16"/>
          <w:highlight w:val="none"/>
        </w:rPr>
        <w:t xml:space="preserve">合同生效后7个工作日内，需方向供方支付合同款的50%预付款；供方服务完成并向需方提交交付物，经需方验收合格后15个工作日内，需方向供方支付至合同总额的95%；余下5%在验收合格一年且无其他质量问题后，全部无息付清。 </w:t>
      </w:r>
    </w:p>
    <w:p w14:paraId="2B237C55">
      <w:pPr>
        <w:spacing w:before="120" w:after="120" w:line="360" w:lineRule="auto"/>
        <w:rPr>
          <w:rFonts w:ascii="宋体" w:hAnsi="宋体" w:cs="宋体"/>
          <w:color w:val="auto"/>
          <w:szCs w:val="21"/>
          <w:highlight w:val="none"/>
        </w:rPr>
      </w:pPr>
      <w:bookmarkStart w:id="84" w:name="_Toc28779"/>
      <w:r>
        <w:rPr>
          <w:rFonts w:hint="eastAsia" w:ascii="宋体" w:hAnsi="宋体" w:cs="宋体"/>
          <w:color w:val="auto"/>
          <w:szCs w:val="16"/>
          <w:highlight w:val="none"/>
        </w:rPr>
        <w:t>备注：如中标单位的投标文件与招标文件要求不一致的，履约时应以有利于采购人的条款执行</w:t>
      </w:r>
      <w:bookmarkEnd w:id="84"/>
      <w:r>
        <w:rPr>
          <w:rFonts w:hint="eastAsia" w:ascii="宋体" w:hAnsi="宋体" w:cs="宋体"/>
          <w:color w:val="auto"/>
          <w:szCs w:val="16"/>
          <w:highlight w:val="none"/>
        </w:rPr>
        <w:t>。</w:t>
      </w:r>
    </w:p>
    <w:p w14:paraId="2257EAB5">
      <w:pPr>
        <w:pStyle w:val="3"/>
        <w:spacing w:before="120" w:after="120" w:line="360" w:lineRule="auto"/>
        <w:rPr>
          <w:rFonts w:ascii="宋体" w:hAnsi="宋体" w:eastAsia="宋体" w:cs="宋体"/>
          <w:color w:val="auto"/>
          <w:sz w:val="21"/>
          <w:szCs w:val="21"/>
          <w:highlight w:val="none"/>
        </w:rPr>
      </w:pPr>
    </w:p>
    <w:bookmarkEnd w:id="73"/>
    <w:p w14:paraId="4C4A7C04">
      <w:pPr>
        <w:pStyle w:val="2"/>
        <w:jc w:val="center"/>
        <w:rPr>
          <w:color w:val="auto"/>
          <w:sz w:val="36"/>
          <w:highlight w:val="none"/>
        </w:rPr>
      </w:pPr>
      <w:r>
        <w:rPr>
          <w:rFonts w:hint="eastAsia"/>
          <w:color w:val="auto"/>
          <w:highlight w:val="none"/>
        </w:rPr>
        <w:br w:type="page"/>
      </w:r>
      <w:bookmarkStart w:id="85" w:name="_Toc10595"/>
      <w:bookmarkStart w:id="86" w:name="_Toc2228"/>
      <w:bookmarkStart w:id="87" w:name="_Toc266"/>
      <w:bookmarkStart w:id="88" w:name="_Toc1654"/>
      <w:r>
        <w:rPr>
          <w:rFonts w:hint="eastAsia"/>
          <w:color w:val="auto"/>
          <w:sz w:val="36"/>
          <w:highlight w:val="none"/>
        </w:rPr>
        <w:t>第四章  开标、评标和定标须知</w:t>
      </w:r>
      <w:bookmarkEnd w:id="74"/>
      <w:bookmarkEnd w:id="85"/>
      <w:bookmarkEnd w:id="86"/>
      <w:bookmarkEnd w:id="87"/>
      <w:bookmarkEnd w:id="88"/>
    </w:p>
    <w:p w14:paraId="1D1ED3A9">
      <w:pPr>
        <w:pStyle w:val="3"/>
        <w:spacing w:before="0" w:after="0" w:line="360" w:lineRule="auto"/>
        <w:rPr>
          <w:rFonts w:ascii="宋体" w:hAnsi="宋体" w:eastAsia="宋体" w:cs="宋体"/>
          <w:color w:val="auto"/>
          <w:sz w:val="21"/>
          <w:szCs w:val="21"/>
          <w:highlight w:val="none"/>
        </w:rPr>
      </w:pPr>
      <w:bookmarkStart w:id="89" w:name="_Toc22509"/>
      <w:bookmarkStart w:id="90" w:name="_Toc18298"/>
      <w:bookmarkStart w:id="91" w:name="_Toc406413937"/>
      <w:bookmarkStart w:id="92" w:name="_Toc10846"/>
      <w:bookmarkStart w:id="93" w:name="_Toc10715"/>
      <w:bookmarkStart w:id="94" w:name="_Toc27387"/>
      <w:bookmarkStart w:id="95" w:name="_Toc362250705"/>
      <w:bookmarkStart w:id="96" w:name="_Toc226973002"/>
      <w:bookmarkStart w:id="97" w:name="_Toc263090375"/>
      <w:bookmarkStart w:id="98" w:name="_Toc20175"/>
      <w:bookmarkStart w:id="99" w:name="_Toc27000"/>
      <w:bookmarkStart w:id="100" w:name="_Toc261519847"/>
      <w:bookmarkStart w:id="101" w:name="_Toc274303253"/>
      <w:r>
        <w:rPr>
          <w:rFonts w:hint="eastAsia" w:ascii="宋体" w:hAnsi="宋体" w:eastAsia="宋体" w:cs="宋体"/>
          <w:color w:val="auto"/>
          <w:sz w:val="21"/>
          <w:szCs w:val="21"/>
          <w:highlight w:val="none"/>
        </w:rPr>
        <w:t>一、开标</w:t>
      </w:r>
      <w:bookmarkEnd w:id="89"/>
      <w:bookmarkEnd w:id="90"/>
      <w:bookmarkEnd w:id="91"/>
      <w:bookmarkEnd w:id="92"/>
      <w:bookmarkEnd w:id="93"/>
      <w:bookmarkEnd w:id="94"/>
    </w:p>
    <w:p w14:paraId="0FF8BC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1.本项目实行电子开评标，投标人无需前往开评标现场，应在规定时间内在“义乌市阳光招标采购平台”上上传电子投标文件和准时在线参加开标。</w:t>
      </w:r>
    </w:p>
    <w:p w14:paraId="5D530F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2.电子开评标及评审程序</w:t>
      </w:r>
    </w:p>
    <w:p w14:paraId="11FB9D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470744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0FA8C4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36162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2.4在系统上公布评审结果。</w:t>
      </w:r>
    </w:p>
    <w:p w14:paraId="0E540846">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1593F038">
      <w:pPr>
        <w:pStyle w:val="3"/>
        <w:spacing w:before="120" w:after="120" w:line="360" w:lineRule="auto"/>
        <w:rPr>
          <w:rFonts w:ascii="宋体" w:hAnsi="宋体" w:eastAsia="宋体" w:cs="宋体"/>
          <w:color w:val="auto"/>
          <w:sz w:val="21"/>
          <w:szCs w:val="21"/>
          <w:highlight w:val="none"/>
        </w:rPr>
      </w:pPr>
      <w:bookmarkStart w:id="102" w:name="_Toc12851"/>
      <w:bookmarkStart w:id="103" w:name="_Toc26905"/>
      <w:bookmarkStart w:id="104" w:name="_Toc24248"/>
      <w:bookmarkStart w:id="105" w:name="_Toc18733"/>
      <w:r>
        <w:rPr>
          <w:rFonts w:hint="eastAsia" w:ascii="宋体" w:hAnsi="宋体" w:eastAsia="宋体" w:cs="宋体"/>
          <w:color w:val="auto"/>
          <w:sz w:val="21"/>
          <w:szCs w:val="21"/>
          <w:highlight w:val="none"/>
        </w:rPr>
        <w:t>二、评标</w:t>
      </w:r>
      <w:bookmarkEnd w:id="95"/>
      <w:bookmarkEnd w:id="96"/>
      <w:bookmarkEnd w:id="97"/>
      <w:bookmarkEnd w:id="98"/>
      <w:bookmarkEnd w:id="99"/>
      <w:bookmarkEnd w:id="100"/>
      <w:bookmarkEnd w:id="101"/>
      <w:bookmarkEnd w:id="102"/>
      <w:bookmarkEnd w:id="103"/>
      <w:bookmarkEnd w:id="104"/>
      <w:bookmarkEnd w:id="105"/>
    </w:p>
    <w:p w14:paraId="1BFFA604">
      <w:pPr>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2AAADF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 评标小组将根据招标采购项目的特点确定。其成员由专家和采购人代表5人及以上单数组成。评标小组对投标文件进行审查、质疑、评估和比较。</w:t>
      </w:r>
    </w:p>
    <w:p w14:paraId="791A1C9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3.2 评审过程中招标代理人员通过“义乌市阳光招标采购平台”在线询标方式进行询标的，投标单位应在30分钟内予以回应，否则后果自负。</w:t>
      </w:r>
    </w:p>
    <w:p w14:paraId="2BF7190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4.评标原则</w:t>
      </w:r>
    </w:p>
    <w:p w14:paraId="4DDE8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6636B74B">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3FCD9F24">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51631B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4.4有利于提高投资效益，节约建设资金。</w:t>
      </w:r>
    </w:p>
    <w:p w14:paraId="68F085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6998F79D">
      <w:pPr>
        <w:pStyle w:val="18"/>
        <w:spacing w:line="360" w:lineRule="auto"/>
        <w:ind w:firstLine="422" w:firstLineChars="200"/>
        <w:rPr>
          <w:rFonts w:hAnsi="宋体" w:cs="宋体"/>
          <w:color w:val="auto"/>
          <w:highlight w:val="none"/>
        </w:rPr>
      </w:pPr>
      <w:r>
        <w:rPr>
          <w:rFonts w:hint="eastAsia" w:hAnsi="宋体" w:cs="宋体"/>
          <w:b/>
          <w:color w:val="auto"/>
          <w:highlight w:val="none"/>
        </w:rPr>
        <w:t>5.评标过程的保密</w:t>
      </w:r>
    </w:p>
    <w:p w14:paraId="73ACA66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5.1开标后，直至授予中标人合同为止，凡属于对投标文件的审查、澄清、评价和比较等有关的资料以及中标候选人的推荐情况等与评标有关的任何情况均严格保密。</w:t>
      </w:r>
    </w:p>
    <w:p w14:paraId="2B4838A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5.2在投标文件的评审和比较、中标候选人推荐以及授予合同的过程中，投标人向采购人和评标小组施加影响的任何行为，都将会导致其投标被拒绝。</w:t>
      </w:r>
    </w:p>
    <w:p w14:paraId="5F5EABFB">
      <w:pPr>
        <w:pStyle w:val="18"/>
        <w:spacing w:line="360" w:lineRule="auto"/>
        <w:ind w:firstLine="420" w:firstLineChars="200"/>
        <w:rPr>
          <w:rFonts w:hAnsi="宋体" w:cs="宋体"/>
          <w:color w:val="auto"/>
          <w:highlight w:val="none"/>
        </w:rPr>
      </w:pPr>
      <w:r>
        <w:rPr>
          <w:rFonts w:hint="eastAsia" w:hAnsi="宋体" w:cs="宋体"/>
          <w:color w:val="auto"/>
          <w:highlight w:val="none"/>
        </w:rPr>
        <w:t>5.3中标人确认后，采购人不对未中标人就评标过程以及未能中标原因作出任何解释。未中标人不得向评标小组人员或其他有关人员索问评标过程的全部情况。</w:t>
      </w:r>
    </w:p>
    <w:p w14:paraId="747E627C">
      <w:pPr>
        <w:spacing w:line="360" w:lineRule="auto"/>
        <w:ind w:firstLine="420" w:firstLineChars="200"/>
        <w:rPr>
          <w:rFonts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0BEBB2B5">
      <w:pPr>
        <w:spacing w:line="360" w:lineRule="auto"/>
        <w:ind w:firstLine="406" w:firstLineChars="200"/>
        <w:rPr>
          <w:rFonts w:ascii="宋体" w:hAnsi="宋体" w:cs="宋体"/>
          <w:color w:val="auto"/>
          <w:spacing w:val="-4"/>
          <w:szCs w:val="21"/>
          <w:highlight w:val="none"/>
        </w:rPr>
      </w:pPr>
      <w:r>
        <w:rPr>
          <w:rFonts w:hint="eastAsia" w:ascii="宋体" w:hAnsi="宋体" w:cs="宋体"/>
          <w:b/>
          <w:bCs/>
          <w:color w:val="auto"/>
          <w:spacing w:val="-4"/>
          <w:szCs w:val="21"/>
          <w:highlight w:val="none"/>
        </w:rPr>
        <w:t>6.投标文件中内容不一致的处理</w:t>
      </w:r>
    </w:p>
    <w:p w14:paraId="44AC7A8C">
      <w:pPr>
        <w:spacing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5C11EC54">
      <w:pPr>
        <w:spacing w:line="360" w:lineRule="auto"/>
        <w:ind w:firstLine="406" w:firstLineChars="200"/>
        <w:rPr>
          <w:rFonts w:ascii="宋体" w:hAnsi="宋体" w:cs="宋体"/>
          <w:b/>
          <w:color w:val="auto"/>
          <w:szCs w:val="21"/>
          <w:highlight w:val="none"/>
        </w:rPr>
      </w:pPr>
      <w:r>
        <w:rPr>
          <w:rFonts w:hint="eastAsia" w:ascii="宋体" w:hAnsi="宋体" w:cs="宋体"/>
          <w:b/>
          <w:bCs/>
          <w:color w:val="auto"/>
          <w:spacing w:val="-4"/>
          <w:szCs w:val="21"/>
          <w:highlight w:val="none"/>
        </w:rPr>
        <w:t>7.</w:t>
      </w:r>
      <w:r>
        <w:rPr>
          <w:rFonts w:hint="eastAsia" w:ascii="宋体" w:hAnsi="宋体" w:cs="宋体"/>
          <w:b/>
          <w:bCs/>
          <w:color w:val="auto"/>
          <w:szCs w:val="21"/>
          <w:highlight w:val="none"/>
        </w:rPr>
        <w:t>供应商的认定</w:t>
      </w:r>
    </w:p>
    <w:p w14:paraId="1805747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66792BFC">
      <w:pPr>
        <w:tabs>
          <w:tab w:val="left" w:pos="362"/>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8.投标文件的澄清</w:t>
      </w:r>
    </w:p>
    <w:p w14:paraId="7D3CDC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27AE82F7">
      <w:pPr>
        <w:tabs>
          <w:tab w:val="left" w:pos="36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8.2如果投标人代表拒绝按评标委员会要求在“义乌市阳光招标采购平台”作出在线回复且无其他有效回复方式的，评标委员会可以对其作出无效标处理。</w:t>
      </w:r>
    </w:p>
    <w:p w14:paraId="0C8F6DA0">
      <w:pPr>
        <w:tabs>
          <w:tab w:val="left" w:pos="362"/>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9.投标文件的初步评审</w:t>
      </w:r>
    </w:p>
    <w:p w14:paraId="41C3645A">
      <w:pPr>
        <w:tabs>
          <w:tab w:val="left" w:pos="36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9.1开标后，采购人应将投标文件提交评标小组进行初步评审，初步评审内容为：</w:t>
      </w:r>
    </w:p>
    <w:p w14:paraId="49E9AA3D">
      <w:pPr>
        <w:tabs>
          <w:tab w:val="left" w:pos="36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9.1.1是否出现第五章规定的内容；</w:t>
      </w:r>
    </w:p>
    <w:p w14:paraId="2FB190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534D36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3C6ED8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9.3如果投标文件实质上不响应招标文件的各项要求，评标小组将予以拒绝，并且不允许投标人通过修改或撤销其不符合要求的差异或保留，使之成为具有响应性的投标。</w:t>
      </w:r>
    </w:p>
    <w:p w14:paraId="363B70B5">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10.投标文件计算错误的修正</w:t>
      </w:r>
    </w:p>
    <w:p w14:paraId="208C0084">
      <w:pPr>
        <w:adjustRightInd w:val="0"/>
        <w:snapToGrid w:val="0"/>
        <w:spacing w:line="360" w:lineRule="auto"/>
        <w:ind w:firstLine="411" w:firstLineChars="196"/>
        <w:rPr>
          <w:rFonts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1216D958">
      <w:pPr>
        <w:adjustRightInd w:val="0"/>
        <w:snapToGrid w:val="0"/>
        <w:spacing w:line="360" w:lineRule="auto"/>
        <w:ind w:firstLine="840" w:firstLineChars="400"/>
        <w:rPr>
          <w:rFonts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268F5AB2">
      <w:pPr>
        <w:adjustRightInd w:val="0"/>
        <w:snapToGrid w:val="0"/>
        <w:spacing w:line="360" w:lineRule="auto"/>
        <w:ind w:firstLine="831" w:firstLineChars="396"/>
        <w:rPr>
          <w:rFonts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68337980">
      <w:pPr>
        <w:adjustRightInd w:val="0"/>
        <w:snapToGrid w:val="0"/>
        <w:spacing w:line="360" w:lineRule="auto"/>
        <w:ind w:firstLine="831" w:firstLineChars="396"/>
        <w:rPr>
          <w:rFonts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40599380">
      <w:pPr>
        <w:adjustRightInd w:val="0"/>
        <w:snapToGrid w:val="0"/>
        <w:spacing w:line="360" w:lineRule="auto"/>
        <w:ind w:firstLine="831" w:firstLineChars="396"/>
        <w:rPr>
          <w:rFonts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0A45C65B">
      <w:pPr>
        <w:adjustRightInd w:val="0"/>
        <w:snapToGrid w:val="0"/>
        <w:spacing w:line="360" w:lineRule="auto"/>
        <w:ind w:firstLine="831" w:firstLineChars="396"/>
        <w:rPr>
          <w:rFonts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5AAB5A5A">
      <w:pPr>
        <w:adjustRightInd w:val="0"/>
        <w:snapToGrid w:val="0"/>
        <w:spacing w:line="360" w:lineRule="auto"/>
        <w:ind w:firstLine="411" w:firstLineChars="196"/>
        <w:rPr>
          <w:rFonts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301F6DCE">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11.投标文件的评审、比较和否决</w:t>
      </w:r>
    </w:p>
    <w:p w14:paraId="61D0984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11.1评标小组将按照本须知规定，仅对在实质上响应招标文件要求的投标文件进行评估和比较。</w:t>
      </w:r>
    </w:p>
    <w:p w14:paraId="6C0F430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11.2在评审过程后，评标小组可以以书面形式要求投标人就投标文件中含义不明确的内容进行书面说明并提供相关材料。</w:t>
      </w:r>
    </w:p>
    <w:p w14:paraId="29426C0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11.3评标小组在作出任何一项无效标决定前，都应当严格遵循以下程序：</w:t>
      </w:r>
    </w:p>
    <w:p w14:paraId="6FEA661F">
      <w:pPr>
        <w:adjustRightInd w:val="0"/>
        <w:snapToGrid w:val="0"/>
        <w:spacing w:line="360" w:lineRule="auto"/>
        <w:ind w:firstLine="835" w:firstLineChars="396"/>
        <w:rPr>
          <w:rFonts w:ascii="宋体" w:hAnsi="宋体" w:cs="宋体"/>
          <w:b/>
          <w:color w:val="auto"/>
          <w:szCs w:val="21"/>
          <w:highlight w:val="none"/>
        </w:rPr>
      </w:pPr>
      <w:r>
        <w:rPr>
          <w:rFonts w:hint="eastAsia" w:ascii="宋体" w:hAnsi="宋体" w:cs="宋体"/>
          <w:b/>
          <w:color w:val="auto"/>
          <w:szCs w:val="21"/>
          <w:highlight w:val="none"/>
        </w:rPr>
        <w:t>11.3.1要求当事投标人做相应的答辩；</w:t>
      </w:r>
    </w:p>
    <w:p w14:paraId="52AD8CB5">
      <w:pPr>
        <w:adjustRightInd w:val="0"/>
        <w:snapToGrid w:val="0"/>
        <w:spacing w:line="360" w:lineRule="auto"/>
        <w:ind w:firstLine="835" w:firstLineChars="396"/>
        <w:rPr>
          <w:rFonts w:ascii="宋体" w:hAnsi="宋体" w:cs="宋体"/>
          <w:b/>
          <w:color w:val="auto"/>
          <w:szCs w:val="21"/>
          <w:highlight w:val="none"/>
        </w:rPr>
      </w:pPr>
      <w:r>
        <w:rPr>
          <w:rFonts w:hint="eastAsia" w:ascii="宋体" w:hAnsi="宋体" w:cs="宋体"/>
          <w:b/>
          <w:color w:val="auto"/>
          <w:szCs w:val="21"/>
          <w:highlight w:val="none"/>
        </w:rPr>
        <w:t>11.3.2将答辩记录送当事投标人法定代表人或其授权委托的全权代表签字确认；</w:t>
      </w:r>
    </w:p>
    <w:p w14:paraId="05C881D2">
      <w:pPr>
        <w:adjustRightInd w:val="0"/>
        <w:snapToGrid w:val="0"/>
        <w:spacing w:line="360" w:lineRule="auto"/>
        <w:ind w:firstLine="835" w:firstLineChars="396"/>
        <w:rPr>
          <w:rFonts w:ascii="宋体" w:hAnsi="宋体" w:cs="宋体"/>
          <w:b/>
          <w:color w:val="auto"/>
          <w:szCs w:val="21"/>
          <w:highlight w:val="none"/>
        </w:rPr>
      </w:pPr>
      <w:r>
        <w:rPr>
          <w:rFonts w:hint="eastAsia" w:ascii="宋体" w:hAnsi="宋体" w:cs="宋体"/>
          <w:b/>
          <w:color w:val="auto"/>
          <w:szCs w:val="21"/>
          <w:highlight w:val="none"/>
        </w:rPr>
        <w:t>11.3.3在充分讨论的基础上集体表决；</w:t>
      </w:r>
    </w:p>
    <w:p w14:paraId="269FE7FF">
      <w:pPr>
        <w:adjustRightInd w:val="0"/>
        <w:snapToGrid w:val="0"/>
        <w:spacing w:line="360" w:lineRule="auto"/>
        <w:ind w:firstLine="835" w:firstLineChars="396"/>
        <w:rPr>
          <w:rFonts w:ascii="宋体" w:hAnsi="宋体" w:cs="宋体"/>
          <w:b/>
          <w:color w:val="auto"/>
          <w:szCs w:val="21"/>
          <w:highlight w:val="none"/>
        </w:rPr>
      </w:pPr>
      <w:r>
        <w:rPr>
          <w:rFonts w:hint="eastAsia" w:ascii="宋体" w:hAnsi="宋体" w:cs="宋体"/>
          <w:b/>
          <w:color w:val="auto"/>
          <w:szCs w:val="21"/>
          <w:highlight w:val="none"/>
        </w:rPr>
        <w:t>11.3.4若表决通过无效标决定，告知当事投标人，并在评标报告中详细载明废标理由、依据、答辩的情况和集体表决的情况（同意废标和不同意废标的评标小组成员均应当注明）。</w:t>
      </w:r>
    </w:p>
    <w:p w14:paraId="1CD09958">
      <w:pPr>
        <w:pStyle w:val="18"/>
        <w:spacing w:line="360" w:lineRule="auto"/>
        <w:ind w:firstLine="420" w:firstLineChars="200"/>
        <w:rPr>
          <w:rFonts w:hAnsi="宋体" w:cs="宋体"/>
          <w:color w:val="auto"/>
          <w:highlight w:val="none"/>
        </w:rPr>
      </w:pPr>
      <w:r>
        <w:rPr>
          <w:rFonts w:hint="eastAsia" w:hAnsi="宋体" w:cs="宋体"/>
          <w:color w:val="auto"/>
          <w:highlight w:val="none"/>
        </w:rPr>
        <w:t>11.4评标小组经评审，认为所有投标都不符合招标文件要求时，可以否决所有投标。所有投标被否决后，采购人应当依法重新招标。</w:t>
      </w:r>
    </w:p>
    <w:p w14:paraId="2AD8FFBB">
      <w:pPr>
        <w:pStyle w:val="18"/>
        <w:spacing w:line="360" w:lineRule="auto"/>
        <w:ind w:firstLine="406" w:firstLineChars="200"/>
        <w:rPr>
          <w:rFonts w:hAnsi="宋体" w:cs="宋体"/>
          <w:b/>
          <w:color w:val="auto"/>
          <w:spacing w:val="-4"/>
          <w:highlight w:val="none"/>
        </w:rPr>
      </w:pPr>
      <w:r>
        <w:rPr>
          <w:rFonts w:hint="eastAsia" w:hAnsi="宋体" w:cs="宋体"/>
          <w:b/>
          <w:color w:val="auto"/>
          <w:spacing w:val="-4"/>
          <w:highlight w:val="none"/>
        </w:rPr>
        <w:t>12.评标办法</w:t>
      </w:r>
    </w:p>
    <w:p w14:paraId="22EB2BF3">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12.1采用综合评分法（具体评标办法见后）。</w:t>
      </w:r>
    </w:p>
    <w:p w14:paraId="198630A4">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13.决标</w:t>
      </w:r>
    </w:p>
    <w:p w14:paraId="0B3639D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采购人也可以授权评标小组直接确定中标人。</w:t>
      </w:r>
      <w:bookmarkStart w:id="106" w:name="_Toc261519848"/>
      <w:bookmarkStart w:id="107" w:name="_Toc362250706"/>
      <w:bookmarkStart w:id="108" w:name="_Toc10636"/>
      <w:bookmarkStart w:id="109" w:name="_Toc4305"/>
      <w:bookmarkStart w:id="110" w:name="_Toc263090376"/>
      <w:bookmarkStart w:id="111" w:name="_Toc274303254"/>
      <w:bookmarkStart w:id="112" w:name="_Toc226973003"/>
    </w:p>
    <w:p w14:paraId="56BFD888">
      <w:pPr>
        <w:pStyle w:val="3"/>
        <w:spacing w:before="120" w:after="120" w:line="360" w:lineRule="auto"/>
        <w:rPr>
          <w:rFonts w:ascii="宋体" w:hAnsi="宋体" w:eastAsia="宋体" w:cs="宋体"/>
          <w:color w:val="auto"/>
          <w:sz w:val="21"/>
          <w:szCs w:val="21"/>
          <w:highlight w:val="none"/>
        </w:rPr>
      </w:pPr>
      <w:bookmarkStart w:id="113" w:name="_Toc4062"/>
      <w:bookmarkStart w:id="114" w:name="_Toc7422"/>
      <w:bookmarkStart w:id="115" w:name="_Toc18947"/>
      <w:bookmarkStart w:id="116" w:name="_Toc15980"/>
      <w:r>
        <w:rPr>
          <w:rFonts w:hint="eastAsia" w:ascii="宋体" w:hAnsi="宋体" w:eastAsia="宋体" w:cs="宋体"/>
          <w:color w:val="auto"/>
          <w:sz w:val="21"/>
          <w:szCs w:val="21"/>
          <w:highlight w:val="none"/>
        </w:rPr>
        <w:t>三、定标</w:t>
      </w:r>
      <w:bookmarkEnd w:id="106"/>
      <w:bookmarkEnd w:id="107"/>
      <w:bookmarkEnd w:id="108"/>
      <w:bookmarkEnd w:id="109"/>
      <w:bookmarkEnd w:id="110"/>
      <w:bookmarkEnd w:id="111"/>
      <w:bookmarkEnd w:id="112"/>
      <w:bookmarkEnd w:id="113"/>
      <w:bookmarkEnd w:id="114"/>
      <w:bookmarkEnd w:id="115"/>
      <w:bookmarkEnd w:id="116"/>
    </w:p>
    <w:p w14:paraId="52580C3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14.中标通知</w:t>
      </w:r>
    </w:p>
    <w:p w14:paraId="4756D5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w:t>
      </w:r>
      <w:r>
        <w:rPr>
          <w:rFonts w:hint="eastAsia" w:ascii="宋体" w:hAnsi="宋体" w:cs="宋体"/>
          <w:color w:val="auto"/>
          <w:highlight w:val="none"/>
        </w:rPr>
        <w:t>义乌市阳光招标采购平台(www.ywygzc.com)、义乌产权交易网（www.ywcq.com）</w:t>
      </w:r>
      <w:r>
        <w:rPr>
          <w:rFonts w:hint="eastAsia" w:ascii="宋体" w:hAnsi="宋体" w:cs="宋体"/>
          <w:color w:val="auto"/>
          <w:szCs w:val="21"/>
          <w:highlight w:val="none"/>
        </w:rPr>
        <w:t>。</w:t>
      </w:r>
    </w:p>
    <w:p w14:paraId="0FD885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66D345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501BAF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14.4质疑投诉的相关规定</w:t>
      </w:r>
    </w:p>
    <w:p w14:paraId="71CDAF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50A7F4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30DCD0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5500AC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7581D8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6BBE75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0D9146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2EE890F3">
      <w:pPr>
        <w:pStyle w:val="18"/>
        <w:tabs>
          <w:tab w:val="left" w:pos="900"/>
        </w:tabs>
        <w:spacing w:line="360" w:lineRule="auto"/>
        <w:ind w:firstLine="422" w:firstLineChars="200"/>
        <w:rPr>
          <w:rFonts w:hAnsi="宋体" w:cs="宋体"/>
          <w:b/>
          <w:color w:val="auto"/>
          <w:highlight w:val="none"/>
        </w:rPr>
      </w:pPr>
      <w:r>
        <w:rPr>
          <w:rFonts w:hint="eastAsia" w:hAnsi="宋体" w:cs="宋体"/>
          <w:b/>
          <w:color w:val="auto"/>
          <w:highlight w:val="none"/>
        </w:rPr>
        <w:t>15.合同签订</w:t>
      </w:r>
    </w:p>
    <w:p w14:paraId="213AC6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15.1中标人自接到《中标通知书》后应在三十天内与采购人签订合同。</w:t>
      </w:r>
    </w:p>
    <w:p w14:paraId="0DA006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034314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41730A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25D11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21EEA4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42A6D5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45FF76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15.7采购人变更数量的权利</w:t>
      </w:r>
    </w:p>
    <w:p w14:paraId="00EE36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6080568D">
      <w:pPr>
        <w:spacing w:line="420" w:lineRule="exact"/>
        <w:ind w:firstLine="480" w:firstLineChars="200"/>
        <w:rPr>
          <w:color w:val="auto"/>
          <w:sz w:val="24"/>
          <w:highlight w:val="none"/>
        </w:rPr>
      </w:pPr>
    </w:p>
    <w:p w14:paraId="3740CAB9">
      <w:pPr>
        <w:spacing w:line="420" w:lineRule="exact"/>
        <w:ind w:firstLine="480" w:firstLineChars="200"/>
        <w:rPr>
          <w:color w:val="auto"/>
          <w:sz w:val="24"/>
          <w:highlight w:val="none"/>
        </w:rPr>
      </w:pPr>
    </w:p>
    <w:p w14:paraId="027B4F9E">
      <w:pPr>
        <w:spacing w:line="420" w:lineRule="exact"/>
        <w:ind w:firstLine="480" w:firstLineChars="200"/>
        <w:rPr>
          <w:color w:val="auto"/>
          <w:sz w:val="24"/>
          <w:highlight w:val="none"/>
        </w:rPr>
      </w:pPr>
    </w:p>
    <w:p w14:paraId="1AE4C289">
      <w:pPr>
        <w:spacing w:line="420" w:lineRule="exact"/>
        <w:ind w:firstLine="480" w:firstLineChars="200"/>
        <w:rPr>
          <w:color w:val="auto"/>
          <w:sz w:val="24"/>
          <w:highlight w:val="none"/>
        </w:rPr>
      </w:pPr>
    </w:p>
    <w:p w14:paraId="7F9542D5">
      <w:pPr>
        <w:pStyle w:val="2"/>
        <w:tabs>
          <w:tab w:val="left" w:pos="360"/>
        </w:tabs>
        <w:spacing w:line="240" w:lineRule="exact"/>
        <w:jc w:val="center"/>
        <w:rPr>
          <w:color w:val="auto"/>
          <w:sz w:val="36"/>
          <w:highlight w:val="none"/>
        </w:rPr>
      </w:pPr>
      <w:bookmarkStart w:id="117" w:name="_Toc23756"/>
      <w:r>
        <w:rPr>
          <w:rFonts w:hint="eastAsia"/>
          <w:color w:val="auto"/>
          <w:sz w:val="36"/>
          <w:highlight w:val="none"/>
        </w:rPr>
        <w:br w:type="page"/>
      </w:r>
      <w:bookmarkStart w:id="118" w:name="_Toc31075"/>
      <w:bookmarkStart w:id="119" w:name="_Toc6684"/>
      <w:bookmarkStart w:id="120" w:name="_Toc5814"/>
      <w:bookmarkStart w:id="121" w:name="_Toc1241"/>
      <w:r>
        <w:rPr>
          <w:rFonts w:hint="eastAsia"/>
          <w:color w:val="auto"/>
          <w:sz w:val="36"/>
          <w:highlight w:val="none"/>
        </w:rPr>
        <w:t>第五章  投标文件的有效性</w:t>
      </w:r>
      <w:bookmarkEnd w:id="117"/>
      <w:bookmarkEnd w:id="118"/>
      <w:bookmarkEnd w:id="119"/>
      <w:bookmarkEnd w:id="120"/>
      <w:bookmarkEnd w:id="121"/>
    </w:p>
    <w:p w14:paraId="2DA59840">
      <w:pPr>
        <w:pStyle w:val="18"/>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021ABE6C">
      <w:pPr>
        <w:tabs>
          <w:tab w:val="left" w:pos="5325"/>
        </w:tabs>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337075EB">
      <w:pPr>
        <w:adjustRightInd w:val="0"/>
        <w:snapToGrid w:val="0"/>
        <w:spacing w:line="440" w:lineRule="exact"/>
        <w:ind w:firstLine="420" w:firstLineChars="200"/>
        <w:rPr>
          <w:rFonts w:eastAsia="新宋体"/>
          <w:color w:val="auto"/>
          <w:highlight w:val="none"/>
        </w:rPr>
      </w:pPr>
      <w:r>
        <w:rPr>
          <w:rFonts w:hint="eastAsia" w:ascii="新宋体" w:hAnsi="新宋体" w:eastAsia="新宋体"/>
          <w:color w:val="auto"/>
          <w:szCs w:val="21"/>
          <w:highlight w:val="none"/>
        </w:rPr>
        <w:t>1.2电子投标文件在规定时间内解密未成功的；</w:t>
      </w:r>
    </w:p>
    <w:p w14:paraId="47ECAC3C">
      <w:pPr>
        <w:adjustRightInd w:val="0"/>
        <w:snapToGrid w:val="0"/>
        <w:spacing w:line="440" w:lineRule="exact"/>
        <w:ind w:firstLine="422" w:firstLineChars="200"/>
        <w:rPr>
          <w:rFonts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69FFEED4">
      <w:pPr>
        <w:tabs>
          <w:tab w:val="left" w:pos="5325"/>
        </w:tabs>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7D8741F6">
      <w:pPr>
        <w:tabs>
          <w:tab w:val="left" w:pos="5325"/>
        </w:tabs>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1E441F29">
      <w:pPr>
        <w:tabs>
          <w:tab w:val="left" w:pos="5325"/>
        </w:tabs>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00EAE8E8">
      <w:pPr>
        <w:tabs>
          <w:tab w:val="left" w:pos="5325"/>
        </w:tabs>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4FBA5BB5">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2E9070CD">
      <w:pPr>
        <w:spacing w:line="440" w:lineRule="exact"/>
        <w:ind w:firstLine="420" w:firstLineChars="200"/>
        <w:rPr>
          <w:rFonts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3432676C">
      <w:pPr>
        <w:spacing w:line="440" w:lineRule="exact"/>
        <w:ind w:firstLine="420" w:firstLineChars="200"/>
        <w:rPr>
          <w:rFonts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15E03ACE">
      <w:pPr>
        <w:spacing w:line="440" w:lineRule="exact"/>
        <w:ind w:firstLine="420" w:firstLineChars="200"/>
        <w:rPr>
          <w:rFonts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7FC69180">
      <w:pPr>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1C80C5C3">
      <w:pPr>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3D24CDAB">
      <w:pPr>
        <w:adjustRightInd w:val="0"/>
        <w:snapToGrid w:val="0"/>
        <w:spacing w:line="440" w:lineRule="exact"/>
        <w:ind w:firstLine="422" w:firstLineChars="200"/>
        <w:rPr>
          <w:rFonts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55097E61">
      <w:pPr>
        <w:adjustRightInd w:val="0"/>
        <w:snapToGrid w:val="0"/>
        <w:spacing w:line="440" w:lineRule="exact"/>
        <w:ind w:firstLine="420" w:firstLineChars="200"/>
        <w:rPr>
          <w:rFonts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5D71696B">
      <w:pPr>
        <w:adjustRightInd w:val="0"/>
        <w:snapToGrid w:val="0"/>
        <w:spacing w:line="440" w:lineRule="exact"/>
        <w:ind w:firstLine="420" w:firstLineChars="200"/>
        <w:rPr>
          <w:rFonts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p>
    <w:p w14:paraId="38F61897">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3F6EE86A">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62884A2B">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40BEB75B">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7E380665">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1F3F455E">
      <w:pPr>
        <w:adjustRightInd w:val="0"/>
        <w:snapToGrid w:val="0"/>
        <w:spacing w:line="440" w:lineRule="exact"/>
        <w:ind w:firstLine="422" w:firstLineChars="200"/>
        <w:rPr>
          <w:rFonts w:ascii="新宋体" w:hAnsi="新宋体" w:eastAsia="新宋体"/>
          <w:b/>
          <w:bCs/>
          <w:color w:val="auto"/>
          <w:szCs w:val="21"/>
          <w:highlight w:val="none"/>
        </w:rPr>
      </w:pPr>
      <w:r>
        <w:rPr>
          <w:rFonts w:hint="eastAsia" w:ascii="新宋体" w:hAnsi="新宋体" w:eastAsia="新宋体"/>
          <w:b/>
          <w:bCs/>
          <w:color w:val="auto"/>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1B0D8B62">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0067C1D1">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7DE59BD3">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43D95FB0">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08C789E1">
      <w:pPr>
        <w:adjustRightInd w:val="0"/>
        <w:snapToGrid w:val="0"/>
        <w:spacing w:line="440" w:lineRule="exact"/>
        <w:ind w:firstLine="420" w:firstLineChars="200"/>
        <w:rPr>
          <w:rFonts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2C94CD73">
      <w:pPr>
        <w:spacing w:line="44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5.同一个标段（包）的供应商存在下列情形之一的，其投标（响应）文件无效：</w:t>
      </w:r>
    </w:p>
    <w:p w14:paraId="0223AB6C">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5.1不同供应商制作电子投标（响应）文件的计算机网卡 mAc 地址相同的。</w:t>
      </w:r>
    </w:p>
    <w:p w14:paraId="28A1D2B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5.2不同供应商制作电子投标（响应）文件的计算机硬盘序列号相同的。</w:t>
      </w:r>
    </w:p>
    <w:p w14:paraId="37505FBD">
      <w:pPr>
        <w:adjustRightInd w:val="0"/>
        <w:snapToGrid w:val="0"/>
        <w:spacing w:line="440" w:lineRule="exact"/>
        <w:ind w:firstLine="420" w:firstLineChars="200"/>
        <w:rPr>
          <w:rFonts w:ascii="新宋体" w:hAnsi="新宋体" w:eastAsia="新宋体"/>
          <w:b/>
          <w:bCs/>
          <w:color w:val="auto"/>
          <w:szCs w:val="21"/>
          <w:highlight w:val="none"/>
        </w:rPr>
      </w:pPr>
      <w:r>
        <w:rPr>
          <w:rFonts w:hint="eastAsia" w:ascii="宋体" w:hAnsi="宋体" w:cs="宋体"/>
          <w:color w:val="auto"/>
          <w:szCs w:val="21"/>
          <w:highlight w:val="none"/>
        </w:rPr>
        <w:t>5.3不同供应商的投标（响应）文件的内容存在两处以上细节错误一致，且无法合理解释的。</w:t>
      </w:r>
    </w:p>
    <w:p w14:paraId="3A37C058">
      <w:pPr>
        <w:adjustRightInd w:val="0"/>
        <w:snapToGrid w:val="0"/>
        <w:spacing w:line="440" w:lineRule="exact"/>
        <w:ind w:firstLine="422" w:firstLineChars="200"/>
        <w:rPr>
          <w:rFonts w:ascii="新宋体" w:hAnsi="新宋体" w:eastAsia="新宋体"/>
          <w:b/>
          <w:bCs/>
          <w:color w:val="auto"/>
          <w:szCs w:val="21"/>
          <w:highlight w:val="none"/>
        </w:rPr>
      </w:pPr>
      <w:r>
        <w:rPr>
          <w:rFonts w:hint="eastAsia" w:ascii="新宋体" w:hAnsi="新宋体" w:eastAsia="新宋体"/>
          <w:b/>
          <w:bCs/>
          <w:color w:val="auto"/>
          <w:szCs w:val="21"/>
          <w:highlight w:val="none"/>
        </w:rPr>
        <w:t>6.其他违反法律法规的情况。</w:t>
      </w:r>
    </w:p>
    <w:p w14:paraId="08CCF9BA">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rPr>
        <w:t>7.评标过程中，非上述所罗列的情况，不得以无效标处理</w:t>
      </w:r>
      <w:r>
        <w:rPr>
          <w:rFonts w:hint="eastAsia" w:ascii="宋体" w:hAnsi="宋体" w:cs="宋体"/>
          <w:b/>
          <w:bCs/>
          <w:color w:val="auto"/>
          <w:kern w:val="0"/>
          <w:szCs w:val="21"/>
          <w:highlight w:val="none"/>
        </w:rPr>
        <w:t>。</w:t>
      </w:r>
    </w:p>
    <w:p w14:paraId="38D86233">
      <w:pPr>
        <w:spacing w:line="420" w:lineRule="exact"/>
        <w:ind w:firstLine="422" w:firstLineChars="200"/>
        <w:rPr>
          <w:b/>
          <w:bCs/>
          <w:color w:val="auto"/>
          <w:szCs w:val="21"/>
          <w:highlight w:val="none"/>
        </w:rPr>
      </w:pPr>
    </w:p>
    <w:p w14:paraId="532E0566">
      <w:pPr>
        <w:spacing w:line="420" w:lineRule="exact"/>
        <w:ind w:firstLine="422" w:firstLineChars="200"/>
        <w:rPr>
          <w:b/>
          <w:bCs/>
          <w:color w:val="auto"/>
          <w:szCs w:val="21"/>
          <w:highlight w:val="none"/>
        </w:rPr>
      </w:pPr>
    </w:p>
    <w:p w14:paraId="50769AE7">
      <w:pPr>
        <w:spacing w:line="420" w:lineRule="exact"/>
        <w:ind w:firstLine="480" w:firstLineChars="200"/>
        <w:rPr>
          <w:color w:val="auto"/>
          <w:sz w:val="24"/>
          <w:highlight w:val="none"/>
        </w:rPr>
      </w:pPr>
    </w:p>
    <w:p w14:paraId="28B3448B">
      <w:pPr>
        <w:spacing w:line="420" w:lineRule="exact"/>
        <w:rPr>
          <w:color w:val="auto"/>
          <w:sz w:val="24"/>
          <w:highlight w:val="none"/>
        </w:rPr>
      </w:pPr>
    </w:p>
    <w:p w14:paraId="0560E68C">
      <w:pPr>
        <w:spacing w:line="420" w:lineRule="exact"/>
        <w:rPr>
          <w:color w:val="auto"/>
          <w:sz w:val="24"/>
          <w:highlight w:val="none"/>
        </w:rPr>
      </w:pPr>
    </w:p>
    <w:p w14:paraId="5AC36B47">
      <w:pPr>
        <w:spacing w:line="420" w:lineRule="exact"/>
        <w:rPr>
          <w:color w:val="auto"/>
          <w:sz w:val="24"/>
          <w:highlight w:val="none"/>
        </w:rPr>
      </w:pPr>
    </w:p>
    <w:p w14:paraId="760ED76E">
      <w:pPr>
        <w:spacing w:line="420" w:lineRule="exact"/>
        <w:rPr>
          <w:color w:val="auto"/>
          <w:sz w:val="24"/>
          <w:highlight w:val="none"/>
        </w:rPr>
      </w:pPr>
    </w:p>
    <w:p w14:paraId="6E34783B">
      <w:pPr>
        <w:spacing w:line="420" w:lineRule="exact"/>
        <w:rPr>
          <w:color w:val="auto"/>
          <w:sz w:val="24"/>
          <w:highlight w:val="none"/>
        </w:rPr>
      </w:pPr>
    </w:p>
    <w:p w14:paraId="76AE48E7">
      <w:pPr>
        <w:spacing w:line="420" w:lineRule="exact"/>
        <w:rPr>
          <w:color w:val="auto"/>
          <w:sz w:val="24"/>
          <w:highlight w:val="none"/>
        </w:rPr>
      </w:pPr>
    </w:p>
    <w:p w14:paraId="70F2B24B">
      <w:pPr>
        <w:spacing w:line="420" w:lineRule="exact"/>
        <w:rPr>
          <w:color w:val="auto"/>
          <w:sz w:val="24"/>
          <w:highlight w:val="none"/>
        </w:rPr>
      </w:pPr>
    </w:p>
    <w:p w14:paraId="02384519">
      <w:pPr>
        <w:pStyle w:val="2"/>
        <w:tabs>
          <w:tab w:val="left" w:pos="360"/>
        </w:tabs>
        <w:spacing w:line="240" w:lineRule="exact"/>
        <w:jc w:val="center"/>
        <w:rPr>
          <w:rFonts w:ascii="宋体" w:hAnsi="宋体" w:cs="宋体"/>
          <w:color w:val="auto"/>
          <w:sz w:val="21"/>
          <w:szCs w:val="21"/>
          <w:highlight w:val="none"/>
        </w:rPr>
      </w:pPr>
      <w:bookmarkStart w:id="122" w:name="_Toc274303255"/>
      <w:bookmarkStart w:id="123" w:name="_Toc145992551"/>
      <w:bookmarkStart w:id="124" w:name="_Toc226973004"/>
      <w:bookmarkStart w:id="125" w:name="_Toc19786"/>
      <w:bookmarkStart w:id="126" w:name="_Toc362250708"/>
      <w:bookmarkStart w:id="127" w:name="_Toc274303257"/>
      <w:r>
        <w:rPr>
          <w:rFonts w:hint="eastAsia"/>
          <w:color w:val="auto"/>
          <w:sz w:val="36"/>
          <w:highlight w:val="none"/>
        </w:rPr>
        <w:br w:type="page"/>
      </w:r>
      <w:bookmarkStart w:id="128" w:name="_Toc28452"/>
      <w:bookmarkStart w:id="129" w:name="_Toc8136"/>
      <w:bookmarkStart w:id="130" w:name="_Toc11654"/>
      <w:bookmarkStart w:id="131" w:name="_Toc16423"/>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122"/>
      <w:bookmarkEnd w:id="123"/>
      <w:bookmarkEnd w:id="124"/>
      <w:bookmarkEnd w:id="125"/>
      <w:bookmarkEnd w:id="126"/>
      <w:bookmarkEnd w:id="128"/>
      <w:bookmarkEnd w:id="129"/>
      <w:bookmarkEnd w:id="130"/>
      <w:bookmarkEnd w:id="131"/>
    </w:p>
    <w:p w14:paraId="6A71533A">
      <w:pPr>
        <w:pStyle w:val="86"/>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6732DA91">
      <w:pPr>
        <w:pStyle w:val="3"/>
        <w:spacing w:before="120" w:after="120" w:line="360" w:lineRule="auto"/>
        <w:rPr>
          <w:rFonts w:ascii="宋体" w:hAnsi="宋体" w:eastAsia="宋体" w:cs="宋体"/>
          <w:color w:val="auto"/>
          <w:sz w:val="21"/>
          <w:szCs w:val="21"/>
          <w:highlight w:val="none"/>
        </w:rPr>
      </w:pPr>
      <w:bookmarkStart w:id="132" w:name="_Toc13393"/>
      <w:bookmarkStart w:id="133" w:name="_Toc29033"/>
      <w:bookmarkStart w:id="134" w:name="_Toc20078"/>
      <w:bookmarkStart w:id="135" w:name="_Toc28246"/>
      <w:r>
        <w:rPr>
          <w:rFonts w:hint="eastAsia" w:ascii="宋体" w:hAnsi="宋体" w:eastAsia="宋体" w:cs="宋体"/>
          <w:color w:val="auto"/>
          <w:sz w:val="21"/>
          <w:szCs w:val="21"/>
          <w:highlight w:val="none"/>
        </w:rPr>
        <w:t>一、评审程序</w:t>
      </w:r>
      <w:bookmarkEnd w:id="132"/>
      <w:bookmarkEnd w:id="133"/>
      <w:bookmarkEnd w:id="134"/>
      <w:bookmarkEnd w:id="135"/>
    </w:p>
    <w:p w14:paraId="079E36E5">
      <w:pPr>
        <w:pStyle w:val="18"/>
        <w:spacing w:line="360" w:lineRule="auto"/>
        <w:ind w:firstLine="420" w:firstLineChars="200"/>
        <w:rPr>
          <w:rFonts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44F915DC">
      <w:pPr>
        <w:pStyle w:val="18"/>
        <w:spacing w:line="360" w:lineRule="auto"/>
        <w:ind w:firstLine="420" w:firstLineChars="200"/>
        <w:rPr>
          <w:rFonts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246EA3FD">
      <w:pPr>
        <w:pStyle w:val="18"/>
        <w:spacing w:line="360" w:lineRule="auto"/>
        <w:ind w:firstLine="420" w:firstLineChars="200"/>
        <w:rPr>
          <w:rFonts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1ED653AE">
      <w:pPr>
        <w:pStyle w:val="18"/>
        <w:spacing w:line="360" w:lineRule="auto"/>
        <w:ind w:firstLine="420" w:firstLineChars="200"/>
        <w:rPr>
          <w:rFonts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3B54B2A3">
      <w:pPr>
        <w:pStyle w:val="18"/>
        <w:spacing w:line="360" w:lineRule="auto"/>
        <w:ind w:firstLine="420" w:firstLineChars="200"/>
        <w:rPr>
          <w:rFonts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77DA21F">
      <w:pPr>
        <w:pStyle w:val="18"/>
        <w:spacing w:line="360" w:lineRule="auto"/>
        <w:ind w:firstLine="420" w:firstLineChars="200"/>
        <w:rPr>
          <w:rFonts w:hAnsi="宋体" w:cs="宋体"/>
          <w:color w:val="auto"/>
          <w:highlight w:val="none"/>
        </w:rPr>
      </w:pPr>
      <w:r>
        <w:rPr>
          <w:rFonts w:hint="eastAsia" w:hAnsi="宋体" w:cs="宋体"/>
          <w:color w:val="auto"/>
          <w:highlight w:val="none"/>
        </w:rPr>
        <w:t>（五）对通过报价评审有效的投标人，由“义乌市阳光招标采购平台”平台计算出其报价分及总得分，并由评标委员会进行确认；</w:t>
      </w:r>
    </w:p>
    <w:p w14:paraId="4523897E">
      <w:pPr>
        <w:pStyle w:val="18"/>
        <w:spacing w:line="360" w:lineRule="auto"/>
        <w:ind w:firstLine="420" w:firstLineChars="200"/>
        <w:rPr>
          <w:rFonts w:hAnsi="宋体" w:cs="宋体"/>
          <w:color w:val="auto"/>
          <w:highlight w:val="none"/>
        </w:rPr>
      </w:pPr>
      <w:r>
        <w:rPr>
          <w:rFonts w:hint="eastAsia" w:hAnsi="宋体" w:cs="宋体"/>
          <w:color w:val="auto"/>
          <w:highlight w:val="none"/>
        </w:rPr>
        <w:t>（六）确定中标人</w:t>
      </w:r>
    </w:p>
    <w:p w14:paraId="33B9C2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363E88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69835B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（七）完成评标报告</w:t>
      </w:r>
    </w:p>
    <w:p w14:paraId="2E8416F2">
      <w:pPr>
        <w:pStyle w:val="18"/>
        <w:spacing w:line="360" w:lineRule="auto"/>
        <w:ind w:firstLine="420" w:firstLineChars="200"/>
        <w:jc w:val="left"/>
        <w:rPr>
          <w:rFonts w:hAnsi="宋体" w:cs="宋体"/>
          <w:color w:val="auto"/>
          <w:highlight w:val="none"/>
        </w:rPr>
      </w:pPr>
      <w:r>
        <w:rPr>
          <w:rFonts w:hint="eastAsia" w:hAnsi="宋体" w:cs="宋体"/>
          <w:color w:val="auto"/>
          <w:highlight w:val="none"/>
        </w:rPr>
        <w:t xml:space="preserve">评标委员会根据评审相关情况作出评标报告。 </w:t>
      </w:r>
    </w:p>
    <w:p w14:paraId="3ED26ECA">
      <w:pPr>
        <w:pStyle w:val="3"/>
        <w:spacing w:before="120" w:after="120" w:line="360" w:lineRule="auto"/>
        <w:rPr>
          <w:rFonts w:ascii="宋体" w:hAnsi="宋体" w:eastAsia="宋体" w:cs="宋体"/>
          <w:color w:val="auto"/>
          <w:sz w:val="21"/>
          <w:szCs w:val="21"/>
          <w:highlight w:val="none"/>
        </w:rPr>
      </w:pPr>
      <w:bookmarkStart w:id="136" w:name="_Toc15590"/>
      <w:bookmarkStart w:id="137" w:name="_Toc2962"/>
      <w:bookmarkStart w:id="138" w:name="_Toc87"/>
      <w:bookmarkStart w:id="139" w:name="_Toc32623"/>
      <w:r>
        <w:rPr>
          <w:rFonts w:hint="eastAsia" w:ascii="宋体" w:hAnsi="宋体" w:eastAsia="宋体" w:cs="宋体"/>
          <w:color w:val="auto"/>
          <w:sz w:val="21"/>
          <w:szCs w:val="21"/>
          <w:highlight w:val="none"/>
        </w:rPr>
        <w:t>二、确定的中标人放弃中标等情况的处理</w:t>
      </w:r>
      <w:bookmarkEnd w:id="136"/>
      <w:bookmarkEnd w:id="137"/>
      <w:bookmarkEnd w:id="138"/>
      <w:bookmarkEnd w:id="139"/>
    </w:p>
    <w:p w14:paraId="00319F93">
      <w:pPr>
        <w:pStyle w:val="18"/>
        <w:spacing w:line="360" w:lineRule="auto"/>
        <w:ind w:firstLine="420" w:firstLineChars="200"/>
        <w:jc w:val="left"/>
        <w:rPr>
          <w:rFonts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20FCA9E2">
      <w:pPr>
        <w:pStyle w:val="18"/>
        <w:spacing w:line="360" w:lineRule="auto"/>
        <w:ind w:firstLine="420" w:firstLineChars="200"/>
        <w:jc w:val="left"/>
        <w:rPr>
          <w:color w:val="auto"/>
          <w:highlight w:val="none"/>
        </w:rPr>
      </w:pPr>
      <w:r>
        <w:rPr>
          <w:rFonts w:hint="eastAsia" w:hAnsi="宋体" w:cs="宋体"/>
          <w:color w:val="auto"/>
          <w:highlight w:val="none"/>
        </w:rPr>
        <w:t>2.因中标人原因导致定标后无法签订合同的，中标人应按本文件服务费规定支付招标服务费。</w:t>
      </w:r>
    </w:p>
    <w:p w14:paraId="08C4674D">
      <w:pPr>
        <w:pStyle w:val="3"/>
        <w:spacing w:before="120" w:after="120" w:line="360" w:lineRule="auto"/>
        <w:rPr>
          <w:color w:val="auto"/>
          <w:highlight w:val="none"/>
        </w:rPr>
      </w:pPr>
      <w:bookmarkStart w:id="140" w:name="_Toc10530"/>
      <w:bookmarkStart w:id="141" w:name="_Toc8816"/>
      <w:bookmarkStart w:id="142" w:name="_Toc25173"/>
      <w:bookmarkStart w:id="143" w:name="_Toc6594"/>
      <w:r>
        <w:rPr>
          <w:rFonts w:hint="eastAsia" w:ascii="宋体" w:hAnsi="宋体" w:eastAsia="宋体" w:cs="宋体"/>
          <w:color w:val="auto"/>
          <w:sz w:val="21"/>
          <w:szCs w:val="21"/>
          <w:highlight w:val="none"/>
        </w:rPr>
        <w:t>三、评</w:t>
      </w:r>
      <w:bookmarkEnd w:id="127"/>
      <w:bookmarkStart w:id="144" w:name="_Toc295815145"/>
      <w:bookmarkStart w:id="145" w:name="_Toc330474791"/>
      <w:bookmarkStart w:id="146" w:name="_Toc362250710"/>
      <w:bookmarkStart w:id="147" w:name="_Toc269969080"/>
      <w:bookmarkStart w:id="148" w:name="_Toc358884475"/>
      <w:bookmarkStart w:id="149" w:name="_Toc323024194"/>
      <w:r>
        <w:rPr>
          <w:rFonts w:hint="eastAsia" w:ascii="宋体" w:hAnsi="宋体" w:eastAsia="宋体" w:cs="宋体"/>
          <w:color w:val="auto"/>
          <w:sz w:val="21"/>
          <w:szCs w:val="21"/>
          <w:highlight w:val="none"/>
        </w:rPr>
        <w:t>分细则</w:t>
      </w:r>
      <w:bookmarkEnd w:id="140"/>
      <w:bookmarkEnd w:id="141"/>
      <w:bookmarkEnd w:id="142"/>
      <w:bookmarkEnd w:id="143"/>
    </w:p>
    <w:tbl>
      <w:tblPr>
        <w:tblStyle w:val="38"/>
        <w:tblW w:w="9278" w:type="dxa"/>
        <w:tblInd w:w="98" w:type="dxa"/>
        <w:tblLayout w:type="fixed"/>
        <w:tblCellMar>
          <w:top w:w="0" w:type="dxa"/>
          <w:left w:w="108" w:type="dxa"/>
          <w:bottom w:w="0" w:type="dxa"/>
          <w:right w:w="108" w:type="dxa"/>
        </w:tblCellMar>
      </w:tblPr>
      <w:tblGrid>
        <w:gridCol w:w="572"/>
        <w:gridCol w:w="1635"/>
        <w:gridCol w:w="1309"/>
        <w:gridCol w:w="5762"/>
      </w:tblGrid>
      <w:tr w14:paraId="7928C850">
        <w:tblPrEx>
          <w:tblCellMar>
            <w:top w:w="0" w:type="dxa"/>
            <w:left w:w="108" w:type="dxa"/>
            <w:bottom w:w="0" w:type="dxa"/>
            <w:right w:w="108" w:type="dxa"/>
          </w:tblCellMar>
        </w:tblPrEx>
        <w:trPr>
          <w:trHeight w:val="80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F048">
            <w:pPr>
              <w:widowControl/>
              <w:jc w:val="center"/>
              <w:textAlignment w:val="center"/>
              <w:rPr>
                <w:rFonts w:ascii="宋体" w:hAnsi="宋体" w:cs="宋体"/>
                <w:b/>
                <w:bCs/>
                <w:color w:val="auto"/>
                <w:sz w:val="21"/>
                <w:szCs w:val="21"/>
                <w:highlight w:val="none"/>
              </w:rPr>
            </w:pPr>
            <w:r>
              <w:rPr>
                <w:rStyle w:val="82"/>
                <w:rFonts w:hint="default"/>
                <w:color w:val="auto"/>
                <w:sz w:val="21"/>
                <w:szCs w:val="21"/>
                <w:highlight w:val="none"/>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43C0">
            <w:pPr>
              <w:widowControl/>
              <w:jc w:val="center"/>
              <w:textAlignment w:val="center"/>
              <w:rPr>
                <w:rFonts w:ascii="宋体" w:hAnsi="宋体" w:cs="宋体"/>
                <w:b/>
                <w:bCs/>
                <w:color w:val="auto"/>
                <w:sz w:val="21"/>
                <w:szCs w:val="21"/>
                <w:highlight w:val="none"/>
              </w:rPr>
            </w:pPr>
            <w:r>
              <w:rPr>
                <w:rStyle w:val="82"/>
                <w:rFonts w:hint="default"/>
                <w:color w:val="auto"/>
                <w:sz w:val="21"/>
                <w:szCs w:val="21"/>
                <w:highlight w:val="none"/>
              </w:rPr>
              <w:t>评分内容</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1BDC">
            <w:pPr>
              <w:widowControl/>
              <w:jc w:val="center"/>
              <w:textAlignment w:val="center"/>
              <w:rPr>
                <w:rFonts w:ascii="宋体" w:hAnsi="宋体" w:cs="宋体"/>
                <w:b/>
                <w:bCs/>
                <w:color w:val="auto"/>
                <w:sz w:val="21"/>
                <w:szCs w:val="21"/>
                <w:highlight w:val="none"/>
              </w:rPr>
            </w:pPr>
            <w:r>
              <w:rPr>
                <w:rStyle w:val="82"/>
                <w:rFonts w:hint="default"/>
                <w:color w:val="auto"/>
                <w:sz w:val="21"/>
                <w:szCs w:val="21"/>
                <w:highlight w:val="none"/>
              </w:rPr>
              <w:t>分数</w:t>
            </w:r>
          </w:p>
        </w:tc>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155D">
            <w:pPr>
              <w:widowControl/>
              <w:jc w:val="center"/>
              <w:textAlignment w:val="center"/>
              <w:rPr>
                <w:rFonts w:ascii="宋体" w:hAnsi="宋体" w:cs="宋体"/>
                <w:b/>
                <w:bCs/>
                <w:color w:val="auto"/>
                <w:sz w:val="21"/>
                <w:szCs w:val="21"/>
                <w:highlight w:val="none"/>
              </w:rPr>
            </w:pPr>
            <w:r>
              <w:rPr>
                <w:rStyle w:val="82"/>
                <w:rFonts w:hint="default"/>
                <w:color w:val="auto"/>
                <w:sz w:val="21"/>
                <w:szCs w:val="21"/>
                <w:highlight w:val="none"/>
              </w:rPr>
              <w:t>评分标准</w:t>
            </w:r>
          </w:p>
        </w:tc>
      </w:tr>
      <w:tr w14:paraId="517D5C4B">
        <w:tblPrEx>
          <w:tblCellMar>
            <w:top w:w="0" w:type="dxa"/>
            <w:left w:w="108" w:type="dxa"/>
            <w:bottom w:w="0" w:type="dxa"/>
            <w:right w:w="108" w:type="dxa"/>
          </w:tblCellMar>
        </w:tblPrEx>
        <w:trPr>
          <w:trHeight w:val="17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08CA">
            <w:pPr>
              <w:widowControl/>
              <w:jc w:val="center"/>
              <w:textAlignment w:val="center"/>
              <w:rPr>
                <w:rFonts w:ascii="新宋体" w:hAnsi="新宋体" w:eastAsia="新宋体" w:cs="新宋体"/>
                <w:color w:val="auto"/>
                <w:sz w:val="21"/>
                <w:szCs w:val="21"/>
                <w:highlight w:val="none"/>
              </w:rPr>
            </w:pPr>
            <w:r>
              <w:rPr>
                <w:rStyle w:val="84"/>
                <w:rFonts w:hint="default"/>
                <w:color w:val="auto"/>
                <w:sz w:val="21"/>
                <w:szCs w:val="21"/>
                <w:highlight w:val="none"/>
              </w:rPr>
              <w:t>一</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5AB1">
            <w:pPr>
              <w:widowControl/>
              <w:jc w:val="center"/>
              <w:textAlignment w:val="center"/>
              <w:rPr>
                <w:rFonts w:ascii="新宋体" w:hAnsi="新宋体" w:eastAsia="新宋体" w:cs="新宋体"/>
                <w:color w:val="auto"/>
                <w:sz w:val="21"/>
                <w:szCs w:val="21"/>
                <w:highlight w:val="none"/>
              </w:rPr>
            </w:pPr>
            <w:r>
              <w:rPr>
                <w:rStyle w:val="84"/>
                <w:rFonts w:hint="default"/>
                <w:color w:val="auto"/>
                <w:sz w:val="21"/>
                <w:szCs w:val="21"/>
                <w:highlight w:val="none"/>
              </w:rPr>
              <w:t>技术分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E9A7">
            <w:pPr>
              <w:widowControl/>
              <w:jc w:val="center"/>
              <w:textAlignment w:val="center"/>
              <w:rPr>
                <w:rFonts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70</w:t>
            </w:r>
          </w:p>
        </w:tc>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FF9E">
            <w:pPr>
              <w:widowControl/>
              <w:textAlignment w:val="center"/>
              <w:rPr>
                <w:rFonts w:ascii="新宋体" w:hAnsi="新宋体" w:eastAsia="新宋体" w:cs="新宋体"/>
                <w:color w:val="auto"/>
                <w:sz w:val="21"/>
                <w:szCs w:val="21"/>
                <w:highlight w:val="none"/>
              </w:rPr>
            </w:pPr>
            <w:r>
              <w:rPr>
                <w:rStyle w:val="84"/>
                <w:rFonts w:hint="default"/>
                <w:color w:val="auto"/>
                <w:sz w:val="21"/>
                <w:szCs w:val="21"/>
                <w:highlight w:val="none"/>
              </w:rPr>
              <w:t>评标委员会根据评分细则，对各投标人的技术文件进行书面审核和评论后，由各成员独立给分，打分时保留小数1位，每人一份评分表，并签名。在统计得分时，如果发现某一单项评分超过评分细则规定的分值范围，则该张评分表无效。投标人技术分的最终得分为评标委员会组成员的有效评分的算术平均值。计算结果保留小数2位(第三位四舍五入)。</w:t>
            </w:r>
          </w:p>
        </w:tc>
      </w:tr>
      <w:tr w14:paraId="7519F7D5">
        <w:tblPrEx>
          <w:tblCellMar>
            <w:top w:w="0" w:type="dxa"/>
            <w:left w:w="108" w:type="dxa"/>
            <w:bottom w:w="0" w:type="dxa"/>
            <w:right w:w="108" w:type="dxa"/>
          </w:tblCellMar>
        </w:tblPrEx>
        <w:trPr>
          <w:trHeight w:val="1000"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7F9B">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5A57">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资信实力</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29F2">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0-6（客观分）</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3E5F">
            <w:pPr>
              <w:widowControl/>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属于市级及以上研发中心、浙江省中小型科技企业、国家高新技术企业，每一个得2分，满分6分。</w:t>
            </w:r>
          </w:p>
          <w:p w14:paraId="7676922F">
            <w:pPr>
              <w:widowControl/>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（以提供的证书扫描件或复印件为准）</w:t>
            </w:r>
          </w:p>
        </w:tc>
      </w:tr>
      <w:tr w14:paraId="356E914F">
        <w:tblPrEx>
          <w:tblCellMar>
            <w:top w:w="0" w:type="dxa"/>
            <w:left w:w="108" w:type="dxa"/>
            <w:bottom w:w="0" w:type="dxa"/>
            <w:right w:w="108" w:type="dxa"/>
          </w:tblCellMar>
        </w:tblPrEx>
        <w:trPr>
          <w:trHeight w:val="1000" w:hRule="atLeast"/>
        </w:trPr>
        <w:tc>
          <w:tcPr>
            <w:tcW w:w="57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A146C1D">
            <w:pPr>
              <w:jc w:val="center"/>
              <w:rPr>
                <w:rFonts w:ascii="宋体" w:hAnsi="宋体" w:cs="宋体"/>
                <w:color w:val="auto"/>
                <w:sz w:val="21"/>
                <w:szCs w:val="21"/>
                <w:highlight w:val="none"/>
              </w:rPr>
            </w:pPr>
          </w:p>
        </w:tc>
        <w:tc>
          <w:tcPr>
            <w:tcW w:w="163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4255A74">
            <w:pPr>
              <w:jc w:val="center"/>
              <w:rPr>
                <w:rFonts w:ascii="宋体" w:hAnsi="宋体" w:cs="宋体"/>
                <w:color w:val="auto"/>
                <w:sz w:val="21"/>
                <w:szCs w:val="21"/>
                <w:highlight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ED79">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0-9（客观分）</w:t>
            </w:r>
          </w:p>
        </w:tc>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9521">
            <w:pPr>
              <w:widowControl/>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投标人提供国企数据资产化项目案例，提供一个案例得3分，最多得6分，不提供不得分。提供公共数据运营案例，提供一个案例得3分，不提供不得分。(投标文件中需提供同类项目案例合同或中标通知书复印件)</w:t>
            </w:r>
          </w:p>
        </w:tc>
      </w:tr>
      <w:tr w14:paraId="0B06B9C1">
        <w:tblPrEx>
          <w:tblCellMar>
            <w:top w:w="0" w:type="dxa"/>
            <w:left w:w="108" w:type="dxa"/>
            <w:bottom w:w="0" w:type="dxa"/>
            <w:right w:w="108" w:type="dxa"/>
          </w:tblCellMar>
        </w:tblPrEx>
        <w:trPr>
          <w:trHeight w:val="1985" w:hRule="atLeast"/>
        </w:trPr>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E92BC">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16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15836D">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项目团队</w:t>
            </w:r>
          </w:p>
        </w:tc>
        <w:tc>
          <w:tcPr>
            <w:tcW w:w="130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7BDA55F">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0-5（客观分）</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A1DD">
            <w:pPr>
              <w:widowControl/>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本项目拟派的项目负责人应具有3年及以上信息化相关从业经验，同时具有信息技术类中级工程师证书或PMP证书及以上的得5分，没有不得分；</w:t>
            </w:r>
            <w:r>
              <w:rPr>
                <w:rFonts w:hint="eastAsia" w:ascii="宋体" w:hAnsi="宋体" w:cs="宋体"/>
                <w:color w:val="auto"/>
                <w:kern w:val="0"/>
                <w:sz w:val="21"/>
                <w:szCs w:val="21"/>
                <w:highlight w:val="none"/>
              </w:rPr>
              <w:br w:type="textWrapping"/>
            </w:r>
            <w:r>
              <w:rPr>
                <w:rStyle w:val="82"/>
                <w:rFonts w:hint="default"/>
                <w:color w:val="auto"/>
                <w:sz w:val="21"/>
                <w:szCs w:val="21"/>
                <w:highlight w:val="none"/>
              </w:rPr>
              <w:t>注：提供以上人员相关证书扫描件及社保缴纳证明。拟派项目人员必须为本公司在职人员，参保单位名称与投标人名称一致，需提供近三个月（2025年7月1日至今）的社保缴纳证明，不提供不得分。</w:t>
            </w:r>
          </w:p>
        </w:tc>
      </w:tr>
      <w:tr w14:paraId="1290C0EC">
        <w:tblPrEx>
          <w:tblCellMar>
            <w:top w:w="0" w:type="dxa"/>
            <w:left w:w="108" w:type="dxa"/>
            <w:bottom w:w="0" w:type="dxa"/>
            <w:right w:w="108" w:type="dxa"/>
          </w:tblCellMar>
        </w:tblPrEx>
        <w:trPr>
          <w:trHeight w:val="1730" w:hRule="atLeast"/>
        </w:trPr>
        <w:tc>
          <w:tcPr>
            <w:tcW w:w="57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A4C9672">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635" w:type="dxa"/>
            <w:vMerge w:val="continue"/>
            <w:tcBorders>
              <w:top w:val="single" w:color="auto" w:sz="4" w:space="0"/>
              <w:left w:val="single" w:color="000000" w:sz="4" w:space="0"/>
              <w:right w:val="single" w:color="auto" w:sz="4" w:space="0"/>
            </w:tcBorders>
            <w:shd w:val="clear" w:color="auto" w:fill="auto"/>
            <w:noWrap/>
            <w:vAlign w:val="center"/>
          </w:tcPr>
          <w:p w14:paraId="3783F2C6">
            <w:pPr>
              <w:widowControl/>
              <w:jc w:val="center"/>
              <w:textAlignment w:val="center"/>
              <w:rPr>
                <w:rFonts w:ascii="宋体" w:hAnsi="宋体" w:cs="宋体"/>
                <w:color w:val="auto"/>
                <w:kern w:val="0"/>
                <w:sz w:val="21"/>
                <w:szCs w:val="21"/>
                <w:highlight w:val="none"/>
              </w:rPr>
            </w:pPr>
          </w:p>
        </w:tc>
        <w:tc>
          <w:tcPr>
            <w:tcW w:w="130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CDADCB9">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0-9（客观分）</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47E1">
            <w:pPr>
              <w:widowControl/>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投标人拟派提供服务的专家顾问及其合作方专家顾问中，</w:t>
            </w:r>
            <w:r>
              <w:rPr>
                <w:rFonts w:ascii="宋体" w:hAnsi="宋体" w:cs="宋体"/>
                <w:color w:val="auto"/>
                <w:kern w:val="0"/>
                <w:sz w:val="21"/>
                <w:szCs w:val="21"/>
                <w:highlight w:val="none"/>
              </w:rPr>
              <w:t>持有注册会计师、</w:t>
            </w:r>
            <w:r>
              <w:rPr>
                <w:rFonts w:hint="eastAsia" w:ascii="宋体" w:hAnsi="宋体" w:cs="宋体"/>
                <w:color w:val="auto"/>
                <w:kern w:val="0"/>
                <w:sz w:val="21"/>
                <w:szCs w:val="21"/>
                <w:highlight w:val="none"/>
              </w:rPr>
              <w:t>高级经济师、资产评估师</w:t>
            </w:r>
            <w:r>
              <w:rPr>
                <w:rFonts w:ascii="宋体" w:hAnsi="宋体" w:cs="宋体"/>
                <w:color w:val="auto"/>
                <w:kern w:val="0"/>
                <w:sz w:val="21"/>
                <w:szCs w:val="21"/>
                <w:highlight w:val="none"/>
              </w:rPr>
              <w:t>等</w:t>
            </w:r>
            <w:r>
              <w:rPr>
                <w:rFonts w:hint="eastAsia" w:ascii="宋体" w:hAnsi="宋体" w:cs="宋体"/>
                <w:color w:val="auto"/>
                <w:kern w:val="0"/>
                <w:sz w:val="21"/>
                <w:szCs w:val="21"/>
                <w:highlight w:val="none"/>
              </w:rPr>
              <w:t>证书</w:t>
            </w:r>
            <w:r>
              <w:rPr>
                <w:rFonts w:ascii="宋体" w:hAnsi="宋体" w:cs="宋体"/>
                <w:color w:val="auto"/>
                <w:kern w:val="0"/>
                <w:sz w:val="21"/>
                <w:szCs w:val="21"/>
                <w:highlight w:val="none"/>
              </w:rPr>
              <w:t>，持有其中任意一个证书的得3分</w:t>
            </w:r>
            <w:r>
              <w:rPr>
                <w:rFonts w:hint="eastAsia" w:ascii="宋体" w:hAnsi="宋体" w:cs="宋体"/>
                <w:color w:val="auto"/>
                <w:kern w:val="0"/>
                <w:sz w:val="21"/>
                <w:szCs w:val="21"/>
                <w:highlight w:val="none"/>
              </w:rPr>
              <w:t>，满分9分。</w:t>
            </w:r>
          </w:p>
          <w:p w14:paraId="61797EE8">
            <w:pPr>
              <w:widowControl/>
              <w:textAlignment w:val="center"/>
              <w:rPr>
                <w:rFonts w:ascii="宋体" w:hAnsi="宋体" w:cs="宋体"/>
                <w:color w:val="auto"/>
                <w:kern w:val="0"/>
                <w:sz w:val="21"/>
                <w:szCs w:val="21"/>
                <w:highlight w:val="none"/>
              </w:rPr>
            </w:pPr>
            <w:r>
              <w:rPr>
                <w:rStyle w:val="82"/>
                <w:rFonts w:hint="default"/>
                <w:color w:val="auto"/>
                <w:sz w:val="21"/>
                <w:szCs w:val="21"/>
                <w:highlight w:val="none"/>
              </w:rPr>
              <w:t>注：提供以上人员相关证书扫描件，拟派单位需与投标人名称一致或与投标人签订合作合同，不提供不得分。</w:t>
            </w:r>
          </w:p>
        </w:tc>
      </w:tr>
      <w:tr w14:paraId="59762CED">
        <w:tblPrEx>
          <w:tblCellMar>
            <w:top w:w="0" w:type="dxa"/>
            <w:left w:w="108" w:type="dxa"/>
            <w:bottom w:w="0" w:type="dxa"/>
            <w:right w:w="108" w:type="dxa"/>
          </w:tblCellMar>
        </w:tblPrEx>
        <w:trPr>
          <w:trHeight w:val="368" w:hRule="atLeast"/>
        </w:trPr>
        <w:tc>
          <w:tcPr>
            <w:tcW w:w="572" w:type="dxa"/>
            <w:tcBorders>
              <w:top w:val="single" w:color="auto" w:sz="4" w:space="0"/>
              <w:left w:val="single" w:color="000000" w:sz="4" w:space="0"/>
              <w:right w:val="single" w:color="000000" w:sz="4" w:space="0"/>
            </w:tcBorders>
            <w:shd w:val="clear" w:color="auto" w:fill="auto"/>
            <w:noWrap/>
            <w:vAlign w:val="center"/>
          </w:tcPr>
          <w:p w14:paraId="7E3EB2A4">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1635" w:type="dxa"/>
            <w:tcBorders>
              <w:left w:val="single" w:color="auto" w:sz="4" w:space="0"/>
              <w:right w:val="single" w:color="auto" w:sz="4" w:space="0"/>
            </w:tcBorders>
            <w:shd w:val="clear" w:color="auto" w:fill="auto"/>
            <w:noWrap/>
            <w:vAlign w:val="center"/>
          </w:tcPr>
          <w:p w14:paraId="057E0F61">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总体服务方案</w:t>
            </w:r>
          </w:p>
        </w:tc>
        <w:tc>
          <w:tcPr>
            <w:tcW w:w="130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C27A5C">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0-24（主观分）</w:t>
            </w:r>
          </w:p>
        </w:tc>
        <w:tc>
          <w:tcPr>
            <w:tcW w:w="57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256EB82">
            <w:pPr>
              <w:widowControl/>
              <w:textAlignment w:val="center"/>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根据投标人提供的总体服务方案与招标需求的吻合程度和偏差情况、与投标人提供的对项目的理解、具体服务内容（数据资产盘点、数据资产入表、数据产品交易、数据资产治理与运营工作规划等）进行打分。</w:t>
            </w:r>
          </w:p>
          <w:p w14:paraId="092ACFF5">
            <w:pPr>
              <w:widowControl/>
              <w:textAlignment w:val="center"/>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编制的项目方案对项目内容考虑全面，针对性强，得17-24分。</w:t>
            </w:r>
          </w:p>
          <w:p w14:paraId="4F63A16A">
            <w:pPr>
              <w:widowControl/>
              <w:textAlignment w:val="center"/>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编制的项目方案对项目内容考虑较全面性，针对性一般，得8-16分。</w:t>
            </w:r>
          </w:p>
          <w:p w14:paraId="5CEC65A8">
            <w:pPr>
              <w:widowControl/>
              <w:textAlignment w:val="center"/>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编制的项目方案对项目内容考虑不全面，方案无针对性，管理不到位的，得1-7分。</w:t>
            </w:r>
          </w:p>
          <w:p w14:paraId="04679B15">
            <w:pPr>
              <w:widowControl/>
              <w:textAlignment w:val="center"/>
              <w:rPr>
                <w:rFonts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无服务方案的得0分。</w:t>
            </w:r>
          </w:p>
        </w:tc>
      </w:tr>
      <w:tr w14:paraId="1D18EBDD">
        <w:tblPrEx>
          <w:tblCellMar>
            <w:top w:w="0" w:type="dxa"/>
            <w:left w:w="108" w:type="dxa"/>
            <w:bottom w:w="0" w:type="dxa"/>
            <w:right w:w="108" w:type="dxa"/>
          </w:tblCellMar>
        </w:tblPrEx>
        <w:trPr>
          <w:trHeight w:val="725" w:hRule="atLeast"/>
        </w:trPr>
        <w:tc>
          <w:tcPr>
            <w:tcW w:w="572" w:type="dxa"/>
            <w:vMerge w:val="restart"/>
            <w:tcBorders>
              <w:top w:val="single" w:color="000000" w:sz="4" w:space="0"/>
              <w:left w:val="single" w:color="000000" w:sz="4" w:space="0"/>
              <w:right w:val="single" w:color="000000" w:sz="4" w:space="0"/>
            </w:tcBorders>
            <w:shd w:val="clear" w:color="auto" w:fill="auto"/>
            <w:noWrap/>
            <w:vAlign w:val="center"/>
          </w:tcPr>
          <w:p w14:paraId="1B6C313A">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1635" w:type="dxa"/>
            <w:vMerge w:val="restart"/>
            <w:tcBorders>
              <w:top w:val="single" w:color="000000" w:sz="4" w:space="0"/>
              <w:left w:val="single" w:color="000000" w:sz="4" w:space="0"/>
              <w:right w:val="single" w:color="000000" w:sz="4" w:space="0"/>
            </w:tcBorders>
            <w:shd w:val="clear" w:color="auto" w:fill="auto"/>
            <w:noWrap/>
            <w:vAlign w:val="center"/>
          </w:tcPr>
          <w:p w14:paraId="1022F20E">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培训方案</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1DBC">
            <w:pPr>
              <w:widowControl/>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0-2（客观分）</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D979">
            <w:pPr>
              <w:widowControl/>
              <w:textAlignment w:val="center"/>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提供不少于2次培训，得2分；</w:t>
            </w:r>
          </w:p>
        </w:tc>
      </w:tr>
      <w:tr w14:paraId="67B084A9">
        <w:tblPrEx>
          <w:tblCellMar>
            <w:top w:w="0" w:type="dxa"/>
            <w:left w:w="108" w:type="dxa"/>
            <w:bottom w:w="0" w:type="dxa"/>
            <w:right w:w="108" w:type="dxa"/>
          </w:tblCellMar>
        </w:tblPrEx>
        <w:trPr>
          <w:trHeight w:val="1210" w:hRule="atLeast"/>
        </w:trPr>
        <w:tc>
          <w:tcPr>
            <w:tcW w:w="572" w:type="dxa"/>
            <w:vMerge w:val="continue"/>
            <w:tcBorders>
              <w:left w:val="single" w:color="000000" w:sz="4" w:space="0"/>
              <w:bottom w:val="single" w:color="000000" w:sz="4" w:space="0"/>
              <w:right w:val="single" w:color="000000" w:sz="4" w:space="0"/>
            </w:tcBorders>
            <w:shd w:val="clear" w:color="auto" w:fill="auto"/>
            <w:noWrap/>
            <w:vAlign w:val="center"/>
          </w:tcPr>
          <w:p w14:paraId="575DA2BC">
            <w:pPr>
              <w:widowControl/>
              <w:jc w:val="center"/>
              <w:textAlignment w:val="center"/>
              <w:rPr>
                <w:rFonts w:ascii="宋体" w:hAnsi="宋体" w:cs="宋体"/>
                <w:color w:val="auto"/>
                <w:sz w:val="21"/>
                <w:szCs w:val="21"/>
                <w:highlight w:val="none"/>
              </w:rPr>
            </w:pPr>
          </w:p>
        </w:tc>
        <w:tc>
          <w:tcPr>
            <w:tcW w:w="1635" w:type="dxa"/>
            <w:vMerge w:val="continue"/>
            <w:tcBorders>
              <w:left w:val="single" w:color="000000" w:sz="4" w:space="0"/>
              <w:bottom w:val="single" w:color="000000" w:sz="4" w:space="0"/>
              <w:right w:val="single" w:color="000000" w:sz="4" w:space="0"/>
            </w:tcBorders>
            <w:shd w:val="clear" w:color="auto" w:fill="auto"/>
            <w:noWrap/>
            <w:vAlign w:val="center"/>
          </w:tcPr>
          <w:p w14:paraId="32D2C0FE">
            <w:pPr>
              <w:widowControl/>
              <w:jc w:val="center"/>
              <w:textAlignment w:val="center"/>
              <w:rPr>
                <w:rFonts w:ascii="宋体" w:hAnsi="宋体" w:cs="宋体"/>
                <w:color w:val="auto"/>
                <w:sz w:val="21"/>
                <w:szCs w:val="21"/>
                <w:highlight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D5A3">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0-6（主观分）</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1090">
            <w:pPr>
              <w:widowControl/>
              <w:textAlignment w:val="center"/>
              <w:rPr>
                <w:rFonts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1、根据培训内容的完整性、合理性及可操作性进行打分，得0-3分。</w:t>
            </w:r>
            <w:r>
              <w:rPr>
                <w:rFonts w:hint="eastAsia" w:ascii="新宋体" w:hAnsi="新宋体" w:eastAsia="新宋体" w:cs="新宋体"/>
                <w:color w:val="auto"/>
                <w:kern w:val="0"/>
                <w:sz w:val="21"/>
                <w:szCs w:val="21"/>
                <w:highlight w:val="none"/>
              </w:rPr>
              <w:br w:type="textWrapping"/>
            </w:r>
            <w:r>
              <w:rPr>
                <w:rFonts w:hint="eastAsia" w:ascii="新宋体" w:hAnsi="新宋体" w:eastAsia="新宋体" w:cs="新宋体"/>
                <w:color w:val="auto"/>
                <w:kern w:val="0"/>
                <w:sz w:val="21"/>
                <w:szCs w:val="21"/>
                <w:highlight w:val="none"/>
              </w:rPr>
              <w:t>2、根据培训人员配备合理性及经验是否丰富等方面进行打分，得0-3分。</w:t>
            </w:r>
          </w:p>
        </w:tc>
      </w:tr>
      <w:tr w14:paraId="35D5806B">
        <w:tblPrEx>
          <w:tblCellMar>
            <w:top w:w="0" w:type="dxa"/>
            <w:left w:w="108" w:type="dxa"/>
            <w:bottom w:w="0" w:type="dxa"/>
            <w:right w:w="108" w:type="dxa"/>
          </w:tblCellMar>
        </w:tblPrEx>
        <w:trPr>
          <w:trHeight w:val="10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971B">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B1BC">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服务承诺</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AC49">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0-4（主观分）</w:t>
            </w:r>
          </w:p>
        </w:tc>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4CB1">
            <w:pPr>
              <w:widowControl/>
              <w:textAlignment w:val="center"/>
              <w:rPr>
                <w:rFonts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根据投标人提供的服务承诺对质量、协调配合、资源配置、创优等相关服务的承诺及具体措施进行评价，最高得4分，</w:t>
            </w:r>
            <w:bookmarkStart w:id="150" w:name="OLE_LINK1"/>
            <w:r>
              <w:rPr>
                <w:rFonts w:hint="eastAsia" w:ascii="新宋体" w:hAnsi="新宋体" w:eastAsia="新宋体" w:cs="新宋体"/>
                <w:color w:val="auto"/>
                <w:kern w:val="0"/>
                <w:sz w:val="21"/>
                <w:szCs w:val="21"/>
                <w:highlight w:val="none"/>
              </w:rPr>
              <w:t>有欠缺或缺漏或不合理的每项0.5分，扣完为止。</w:t>
            </w:r>
            <w:bookmarkEnd w:id="150"/>
          </w:p>
        </w:tc>
      </w:tr>
      <w:tr w14:paraId="5DD29267">
        <w:tblPrEx>
          <w:tblCellMar>
            <w:top w:w="0" w:type="dxa"/>
            <w:left w:w="108" w:type="dxa"/>
            <w:bottom w:w="0" w:type="dxa"/>
            <w:right w:w="108" w:type="dxa"/>
          </w:tblCellMar>
        </w:tblPrEx>
        <w:trPr>
          <w:trHeight w:val="10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C96C">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78EE">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项目实施进度方案</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58E8">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0-5（主观分）</w:t>
            </w:r>
          </w:p>
        </w:tc>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7ED7">
            <w:pPr>
              <w:widowControl/>
              <w:textAlignment w:val="center"/>
              <w:rPr>
                <w:rFonts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项目进度实施计划及进度保障措施，内容完善可实施强得5分，内容较齐全描述简单可实施得3分，内容有缺陷需完善后实施得1分，不合理不得分。</w:t>
            </w:r>
          </w:p>
        </w:tc>
      </w:tr>
      <w:tr w14:paraId="181D754A">
        <w:tblPrEx>
          <w:tblCellMar>
            <w:top w:w="0" w:type="dxa"/>
            <w:left w:w="108" w:type="dxa"/>
            <w:bottom w:w="0" w:type="dxa"/>
            <w:right w:w="108" w:type="dxa"/>
          </w:tblCellMar>
        </w:tblPrEx>
        <w:trPr>
          <w:trHeight w:val="206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DE56">
            <w:pPr>
              <w:widowControl/>
              <w:jc w:val="center"/>
              <w:textAlignment w:val="center"/>
              <w:rPr>
                <w:rFonts w:ascii="宋体" w:hAnsi="宋体" w:cs="宋体"/>
                <w:color w:val="auto"/>
                <w:sz w:val="21"/>
                <w:szCs w:val="21"/>
                <w:highlight w:val="none"/>
              </w:rPr>
            </w:pPr>
            <w:r>
              <w:rPr>
                <w:rStyle w:val="83"/>
                <w:rFonts w:hint="default"/>
                <w:color w:val="auto"/>
                <w:sz w:val="21"/>
                <w:szCs w:val="21"/>
                <w:highlight w:val="none"/>
              </w:rPr>
              <w:t>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6583">
            <w:pPr>
              <w:widowControl/>
              <w:textAlignment w:val="center"/>
              <w:rPr>
                <w:rFonts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商务报价分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4F7C">
            <w:pPr>
              <w:widowControl/>
              <w:jc w:val="center"/>
              <w:textAlignment w:val="center"/>
              <w:rPr>
                <w:rFonts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30</w:t>
            </w:r>
          </w:p>
        </w:tc>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1D90">
            <w:pPr>
              <w:widowControl/>
              <w:textAlignment w:val="center"/>
              <w:rPr>
                <w:rFonts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投标报价=投标总价</w:t>
            </w:r>
            <w:r>
              <w:rPr>
                <w:rFonts w:hint="eastAsia" w:ascii="新宋体" w:hAnsi="新宋体" w:eastAsia="新宋体" w:cs="新宋体"/>
                <w:color w:val="auto"/>
                <w:kern w:val="0"/>
                <w:sz w:val="21"/>
                <w:szCs w:val="21"/>
                <w:highlight w:val="none"/>
              </w:rPr>
              <w:br w:type="textWrapping"/>
            </w:r>
            <w:r>
              <w:rPr>
                <w:rFonts w:hint="eastAsia" w:ascii="新宋体" w:hAnsi="新宋体" w:eastAsia="新宋体" w:cs="新宋体"/>
                <w:color w:val="auto"/>
                <w:kern w:val="0"/>
                <w:sz w:val="21"/>
                <w:szCs w:val="21"/>
                <w:highlight w:val="none"/>
              </w:rPr>
              <w:t>1.以满足招标文件要求且投标总价最低的投标报价为评标基准价，其商务报价得分为满分。</w:t>
            </w:r>
            <w:r>
              <w:rPr>
                <w:rFonts w:hint="eastAsia" w:ascii="新宋体" w:hAnsi="新宋体" w:eastAsia="新宋体" w:cs="新宋体"/>
                <w:color w:val="auto"/>
                <w:kern w:val="0"/>
                <w:sz w:val="21"/>
                <w:szCs w:val="21"/>
                <w:highlight w:val="none"/>
              </w:rPr>
              <w:br w:type="textWrapping"/>
            </w:r>
            <w:r>
              <w:rPr>
                <w:rFonts w:hint="eastAsia" w:ascii="新宋体" w:hAnsi="新宋体" w:eastAsia="新宋体" w:cs="新宋体"/>
                <w:color w:val="auto"/>
                <w:kern w:val="0"/>
                <w:sz w:val="21"/>
                <w:szCs w:val="21"/>
                <w:highlight w:val="none"/>
              </w:rPr>
              <w:t>2.其他投标人的商务报价分统一按照下列公式计算：</w:t>
            </w:r>
            <w:r>
              <w:rPr>
                <w:rFonts w:hint="eastAsia" w:ascii="新宋体" w:hAnsi="新宋体" w:eastAsia="新宋体" w:cs="新宋体"/>
                <w:color w:val="auto"/>
                <w:kern w:val="0"/>
                <w:sz w:val="21"/>
                <w:szCs w:val="21"/>
                <w:highlight w:val="none"/>
              </w:rPr>
              <w:br w:type="textWrapping"/>
            </w:r>
            <w:r>
              <w:rPr>
                <w:rFonts w:hint="eastAsia" w:ascii="新宋体" w:hAnsi="新宋体" w:eastAsia="新宋体" w:cs="新宋体"/>
                <w:color w:val="auto"/>
                <w:kern w:val="0"/>
                <w:sz w:val="21"/>
                <w:szCs w:val="21"/>
                <w:highlight w:val="none"/>
              </w:rPr>
              <w:t>商务报价得分 = (评标基准价／投标报价)×30%×100</w:t>
            </w:r>
            <w:r>
              <w:rPr>
                <w:rFonts w:hint="eastAsia" w:ascii="新宋体" w:hAnsi="新宋体" w:eastAsia="新宋体" w:cs="新宋体"/>
                <w:color w:val="auto"/>
                <w:kern w:val="0"/>
                <w:sz w:val="21"/>
                <w:szCs w:val="21"/>
                <w:highlight w:val="none"/>
              </w:rPr>
              <w:br w:type="textWrapping"/>
            </w:r>
            <w:r>
              <w:rPr>
                <w:rFonts w:hint="eastAsia" w:ascii="新宋体" w:hAnsi="新宋体" w:eastAsia="新宋体" w:cs="新宋体"/>
                <w:color w:val="auto"/>
                <w:kern w:val="0"/>
                <w:sz w:val="21"/>
                <w:szCs w:val="21"/>
                <w:highlight w:val="none"/>
              </w:rPr>
              <w:t>计算结果保留小数两位（第3位四舍五入）</w:t>
            </w:r>
          </w:p>
        </w:tc>
      </w:tr>
      <w:tr w14:paraId="0C54C3FE">
        <w:tblPrEx>
          <w:tblCellMar>
            <w:top w:w="0" w:type="dxa"/>
            <w:left w:w="108" w:type="dxa"/>
            <w:bottom w:w="0" w:type="dxa"/>
            <w:right w:w="108" w:type="dxa"/>
          </w:tblCellMar>
        </w:tblPrEx>
        <w:trPr>
          <w:trHeight w:val="80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88E7">
            <w:pPr>
              <w:widowControl/>
              <w:jc w:val="center"/>
              <w:textAlignment w:val="center"/>
              <w:rPr>
                <w:rFonts w:ascii="宋体" w:hAnsi="宋体" w:cs="宋体"/>
                <w:color w:val="auto"/>
                <w:sz w:val="21"/>
                <w:szCs w:val="21"/>
                <w:highlight w:val="none"/>
              </w:rPr>
            </w:pPr>
            <w:r>
              <w:rPr>
                <w:rStyle w:val="83"/>
                <w:rFonts w:hint="default"/>
                <w:color w:val="auto"/>
                <w:sz w:val="21"/>
                <w:szCs w:val="21"/>
                <w:highlight w:val="none"/>
              </w:rPr>
              <w:t>三</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FF8C">
            <w:pPr>
              <w:widowControl/>
              <w:textAlignment w:val="center"/>
              <w:rPr>
                <w:rFonts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综合得分</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53D9">
            <w:pPr>
              <w:widowControl/>
              <w:jc w:val="center"/>
              <w:textAlignment w:val="center"/>
              <w:rPr>
                <w:rFonts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100</w:t>
            </w:r>
          </w:p>
        </w:tc>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687E">
            <w:pPr>
              <w:widowControl/>
              <w:textAlignment w:val="center"/>
              <w:rPr>
                <w:rFonts w:ascii="新宋体" w:hAnsi="新宋体" w:eastAsia="新宋体" w:cs="新宋体"/>
                <w:color w:val="auto"/>
                <w:sz w:val="21"/>
                <w:szCs w:val="21"/>
                <w:highlight w:val="none"/>
              </w:rPr>
            </w:pPr>
            <w:r>
              <w:rPr>
                <w:rStyle w:val="84"/>
                <w:rFonts w:hint="default"/>
                <w:color w:val="auto"/>
                <w:sz w:val="21"/>
                <w:szCs w:val="21"/>
                <w:highlight w:val="none"/>
              </w:rPr>
              <w:t>投标人综合得分=技术分+商务报价分</w:t>
            </w:r>
          </w:p>
        </w:tc>
      </w:tr>
    </w:tbl>
    <w:p w14:paraId="25EA3524">
      <w:pPr>
        <w:rPr>
          <w:rFonts w:ascii="宋体" w:hAnsi="宋体" w:cs="宋体"/>
          <w:color w:val="auto"/>
          <w:szCs w:val="21"/>
          <w:highlight w:val="none"/>
        </w:rPr>
      </w:pPr>
    </w:p>
    <w:p w14:paraId="2E6DF486">
      <w:pPr>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以上评分内容仅限对未打“★”条款进行评分</w:t>
      </w:r>
      <w:r>
        <w:rPr>
          <w:rFonts w:hint="eastAsia" w:ascii="宋体" w:hAnsi="宋体" w:cs="宋体"/>
          <w:b/>
          <w:bCs/>
          <w:color w:val="auto"/>
          <w:szCs w:val="21"/>
          <w:highlight w:val="none"/>
        </w:rPr>
        <w:t>。</w:t>
      </w:r>
    </w:p>
    <w:p w14:paraId="285A1938">
      <w:pPr>
        <w:spacing w:line="420" w:lineRule="exact"/>
        <w:rPr>
          <w:rFonts w:ascii="宋体" w:hAnsi="宋体" w:cs="宋体"/>
          <w:color w:val="auto"/>
          <w:szCs w:val="21"/>
          <w:highlight w:val="none"/>
        </w:rPr>
      </w:pPr>
    </w:p>
    <w:p w14:paraId="49CCCB62">
      <w:pPr>
        <w:pStyle w:val="2"/>
        <w:tabs>
          <w:tab w:val="left" w:pos="360"/>
        </w:tabs>
        <w:spacing w:after="200" w:line="240" w:lineRule="auto"/>
        <w:jc w:val="center"/>
        <w:rPr>
          <w:color w:val="auto"/>
          <w:sz w:val="36"/>
          <w:highlight w:val="none"/>
        </w:rPr>
      </w:pPr>
      <w:r>
        <w:rPr>
          <w:rFonts w:hint="eastAsia"/>
          <w:color w:val="auto"/>
          <w:sz w:val="36"/>
          <w:highlight w:val="none"/>
        </w:rPr>
        <w:br w:type="page"/>
      </w:r>
      <w:bookmarkStart w:id="151" w:name="_Toc13554"/>
      <w:bookmarkStart w:id="152" w:name="_Toc5592"/>
      <w:bookmarkStart w:id="153" w:name="_Toc15984"/>
      <w:bookmarkStart w:id="154" w:name="_Toc18738"/>
      <w:r>
        <w:rPr>
          <w:rFonts w:hint="eastAsia"/>
          <w:color w:val="auto"/>
          <w:sz w:val="36"/>
          <w:highlight w:val="none"/>
        </w:rPr>
        <w:t>第七章  合同主要条款</w:t>
      </w:r>
      <w:bookmarkEnd w:id="151"/>
      <w:bookmarkEnd w:id="152"/>
      <w:bookmarkEnd w:id="153"/>
      <w:bookmarkEnd w:id="154"/>
    </w:p>
    <w:p w14:paraId="3112D53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供方：________________________________</w:t>
      </w:r>
    </w:p>
    <w:p w14:paraId="0B1B27D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需方：________________________________</w:t>
      </w:r>
    </w:p>
    <w:p w14:paraId="5333114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供、需双方根据____年____月____日浙江省义乌市国企采购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项目成交结果和投标文件的要求，依据《中华人民共和国民法典》并经双方协调一致，订立本采购合同。</w:t>
      </w:r>
    </w:p>
    <w:p w14:paraId="1B6679DF">
      <w:pPr>
        <w:widowControl/>
        <w:spacing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一、合同文件组成</w:t>
      </w:r>
    </w:p>
    <w:p w14:paraId="72EADEAB">
      <w:pPr>
        <w:widowControl/>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招标文件及其补充文件、询标承诺、询疑答复、投标响应文件、双方来函。合同文件组成的所有内容是构成合同不可分割的部分，与合同具有同等法律效力。</w:t>
      </w:r>
    </w:p>
    <w:p w14:paraId="044BDB5C">
      <w:pPr>
        <w:widowControl/>
        <w:spacing w:after="12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二、合同金额</w:t>
      </w:r>
    </w:p>
    <w:p w14:paraId="3E13FB44">
      <w:pPr>
        <w:widowControl/>
        <w:spacing w:line="360" w:lineRule="auto"/>
        <w:ind w:right="480" w:firstLine="420" w:firstLineChars="200"/>
        <w:jc w:val="left"/>
        <w:rPr>
          <w:rFonts w:hAnsi="宋体" w:cs="宋体"/>
          <w:color w:val="auto"/>
          <w:highlight w:val="none"/>
        </w:rPr>
      </w:pPr>
      <w:r>
        <w:rPr>
          <w:rFonts w:hint="eastAsia" w:ascii="宋体" w:hAnsi="宋体" w:cs="宋体"/>
          <w:color w:val="auto"/>
          <w:kern w:val="0"/>
          <w:highlight w:val="none"/>
        </w:rPr>
        <w:t>合同总价中须包括数据资产登记存证费、数据资产盘点服务费、数据资产入表服务费、利润、税金、招标代理费、人员交通、食宿、技术支持与培训及相关劳务支出等工作所发生的全部费用以及投标人企业利润、税金和政策性文件规定及合同中明示或暗示的所有一般风险、责任和义务等一切应由采购人支付的费用。</w:t>
      </w:r>
    </w:p>
    <w:tbl>
      <w:tblPr>
        <w:tblStyle w:val="38"/>
        <w:tblW w:w="9829"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346"/>
        <w:gridCol w:w="1741"/>
        <w:gridCol w:w="967"/>
        <w:gridCol w:w="1744"/>
        <w:gridCol w:w="1218"/>
      </w:tblGrid>
      <w:tr w14:paraId="7589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813" w:type="dxa"/>
            <w:vAlign w:val="center"/>
          </w:tcPr>
          <w:p w14:paraId="28CC2A2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3346" w:type="dxa"/>
            <w:vAlign w:val="center"/>
          </w:tcPr>
          <w:p w14:paraId="7087B19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采购项目</w:t>
            </w:r>
          </w:p>
        </w:tc>
        <w:tc>
          <w:tcPr>
            <w:tcW w:w="1741" w:type="dxa"/>
            <w:vAlign w:val="center"/>
          </w:tcPr>
          <w:p w14:paraId="05F4F6A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单价（元）</w:t>
            </w:r>
          </w:p>
        </w:tc>
        <w:tc>
          <w:tcPr>
            <w:tcW w:w="967" w:type="dxa"/>
            <w:vAlign w:val="center"/>
          </w:tcPr>
          <w:p w14:paraId="79DA2CE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744" w:type="dxa"/>
            <w:vAlign w:val="center"/>
          </w:tcPr>
          <w:p w14:paraId="3874239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总价（元）</w:t>
            </w:r>
          </w:p>
        </w:tc>
        <w:tc>
          <w:tcPr>
            <w:tcW w:w="1218" w:type="dxa"/>
            <w:vAlign w:val="center"/>
          </w:tcPr>
          <w:p w14:paraId="7AA7396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65B1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3" w:type="dxa"/>
            <w:vAlign w:val="center"/>
          </w:tcPr>
          <w:p w14:paraId="03B4235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3346" w:type="dxa"/>
            <w:vAlign w:val="center"/>
          </w:tcPr>
          <w:p w14:paraId="47F80838">
            <w:pPr>
              <w:pStyle w:val="18"/>
              <w:spacing w:line="360" w:lineRule="auto"/>
              <w:ind w:firstLine="240"/>
              <w:rPr>
                <w:rFonts w:hAnsi="宋体" w:cs="宋体"/>
                <w:color w:val="auto"/>
                <w:sz w:val="24"/>
                <w:highlight w:val="none"/>
              </w:rPr>
            </w:pPr>
          </w:p>
        </w:tc>
        <w:tc>
          <w:tcPr>
            <w:tcW w:w="1741" w:type="dxa"/>
            <w:vAlign w:val="center"/>
          </w:tcPr>
          <w:p w14:paraId="28BAAEEC">
            <w:pPr>
              <w:spacing w:line="360" w:lineRule="auto"/>
              <w:jc w:val="center"/>
              <w:rPr>
                <w:rFonts w:ascii="宋体" w:hAnsi="宋体" w:cs="宋体"/>
                <w:color w:val="auto"/>
                <w:sz w:val="24"/>
                <w:highlight w:val="none"/>
              </w:rPr>
            </w:pPr>
          </w:p>
        </w:tc>
        <w:tc>
          <w:tcPr>
            <w:tcW w:w="967" w:type="dxa"/>
            <w:vAlign w:val="center"/>
          </w:tcPr>
          <w:p w14:paraId="75BBDD77">
            <w:pPr>
              <w:spacing w:line="360" w:lineRule="auto"/>
              <w:jc w:val="center"/>
              <w:rPr>
                <w:rFonts w:ascii="宋体" w:hAnsi="宋体" w:cs="宋体"/>
                <w:color w:val="auto"/>
                <w:sz w:val="24"/>
                <w:highlight w:val="none"/>
              </w:rPr>
            </w:pPr>
          </w:p>
        </w:tc>
        <w:tc>
          <w:tcPr>
            <w:tcW w:w="1744" w:type="dxa"/>
          </w:tcPr>
          <w:p w14:paraId="009095F1">
            <w:pPr>
              <w:spacing w:line="360" w:lineRule="auto"/>
              <w:rPr>
                <w:rFonts w:ascii="宋体" w:hAnsi="宋体" w:cs="宋体"/>
                <w:color w:val="auto"/>
                <w:sz w:val="24"/>
                <w:highlight w:val="none"/>
              </w:rPr>
            </w:pPr>
          </w:p>
        </w:tc>
        <w:tc>
          <w:tcPr>
            <w:tcW w:w="1218" w:type="dxa"/>
          </w:tcPr>
          <w:p w14:paraId="4900EF78">
            <w:pPr>
              <w:spacing w:line="360" w:lineRule="auto"/>
              <w:rPr>
                <w:rFonts w:ascii="宋体" w:hAnsi="宋体" w:cs="宋体"/>
                <w:color w:val="auto"/>
                <w:sz w:val="24"/>
                <w:highlight w:val="none"/>
              </w:rPr>
            </w:pPr>
          </w:p>
        </w:tc>
      </w:tr>
      <w:tr w14:paraId="2ABC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13" w:type="dxa"/>
            <w:vAlign w:val="center"/>
          </w:tcPr>
          <w:p w14:paraId="7EE374F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合计</w:t>
            </w:r>
          </w:p>
        </w:tc>
        <w:tc>
          <w:tcPr>
            <w:tcW w:w="7798" w:type="dxa"/>
            <w:gridSpan w:val="4"/>
            <w:vAlign w:val="center"/>
          </w:tcPr>
          <w:p w14:paraId="60770247">
            <w:pPr>
              <w:spacing w:line="360" w:lineRule="auto"/>
              <w:rPr>
                <w:rFonts w:ascii="宋体" w:hAnsi="宋体" w:cs="宋体"/>
                <w:color w:val="auto"/>
                <w:sz w:val="24"/>
                <w:highlight w:val="none"/>
              </w:rPr>
            </w:pPr>
            <w:r>
              <w:rPr>
                <w:rFonts w:hint="eastAsia" w:ascii="宋体" w:hAnsi="宋体" w:cs="宋体"/>
                <w:color w:val="auto"/>
                <w:sz w:val="24"/>
                <w:highlight w:val="none"/>
              </w:rPr>
              <w:t>小写：     元，大写人民币：</w:t>
            </w:r>
            <w:r>
              <w:rPr>
                <w:rFonts w:hint="eastAsia" w:ascii="宋体" w:hAnsi="宋体" w:cs="宋体"/>
                <w:color w:val="auto"/>
                <w:sz w:val="24"/>
                <w:highlight w:val="none"/>
                <w:u w:val="single"/>
              </w:rPr>
              <w:t xml:space="preserve">                                        </w:t>
            </w:r>
          </w:p>
        </w:tc>
        <w:tc>
          <w:tcPr>
            <w:tcW w:w="1218" w:type="dxa"/>
          </w:tcPr>
          <w:p w14:paraId="602D9D15">
            <w:pPr>
              <w:spacing w:line="360" w:lineRule="auto"/>
              <w:rPr>
                <w:rFonts w:ascii="宋体" w:hAnsi="宋体" w:cs="宋体"/>
                <w:color w:val="auto"/>
                <w:sz w:val="24"/>
                <w:highlight w:val="none"/>
              </w:rPr>
            </w:pPr>
          </w:p>
        </w:tc>
      </w:tr>
    </w:tbl>
    <w:p w14:paraId="53D8A255">
      <w:pPr>
        <w:widowControl/>
        <w:spacing w:line="360" w:lineRule="auto"/>
        <w:ind w:right="480"/>
        <w:jc w:val="right"/>
        <w:rPr>
          <w:rFonts w:ascii="宋体" w:hAnsi="宋体" w:cs="宋体"/>
          <w:color w:val="auto"/>
          <w:kern w:val="0"/>
          <w:szCs w:val="21"/>
          <w:highlight w:val="none"/>
        </w:rPr>
      </w:pPr>
      <w:r>
        <w:rPr>
          <w:rFonts w:hint="eastAsia" w:ascii="宋体" w:hAnsi="宋体" w:cs="宋体"/>
          <w:color w:val="auto"/>
          <w:kern w:val="0"/>
          <w:szCs w:val="21"/>
          <w:highlight w:val="none"/>
        </w:rPr>
        <w:t>单位：人民币元</w:t>
      </w:r>
    </w:p>
    <w:p w14:paraId="2E678641">
      <w:pPr>
        <w:widowControl/>
        <w:spacing w:line="440" w:lineRule="exact"/>
        <w:ind w:left="420" w:leftChars="200"/>
        <w:jc w:val="left"/>
        <w:rPr>
          <w:color w:val="auto"/>
          <w:kern w:val="0"/>
          <w:szCs w:val="21"/>
          <w:highlight w:val="none"/>
          <w:lang w:val="zh-CN"/>
        </w:rPr>
      </w:pPr>
      <w:r>
        <w:rPr>
          <w:rFonts w:hint="eastAsia"/>
          <w:b/>
          <w:color w:val="auto"/>
          <w:kern w:val="0"/>
          <w:szCs w:val="21"/>
          <w:highlight w:val="none"/>
        </w:rPr>
        <w:t>三、采购内容和范围</w:t>
      </w:r>
    </w:p>
    <w:p w14:paraId="44387601">
      <w:pPr>
        <w:spacing w:line="440" w:lineRule="exact"/>
        <w:ind w:firstLine="420" w:firstLineChars="200"/>
        <w:rPr>
          <w:color w:val="auto"/>
          <w:highlight w:val="none"/>
        </w:rPr>
      </w:pPr>
      <w:r>
        <w:rPr>
          <w:rFonts w:hint="eastAsia" w:ascii="宋体" w:hAnsi="宋体" w:cs="宋体"/>
          <w:color w:val="auto"/>
          <w:kern w:val="0"/>
          <w:szCs w:val="21"/>
          <w:highlight w:val="none"/>
        </w:rPr>
        <w:t>本项目采购内容包括数据资产盘点、数据资产入表服务。</w:t>
      </w:r>
    </w:p>
    <w:p w14:paraId="3972E58F">
      <w:pPr>
        <w:numPr>
          <w:ilvl w:val="255"/>
          <w:numId w:val="0"/>
        </w:num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数据资产盘点。</w:t>
      </w:r>
    </w:p>
    <w:p w14:paraId="6785802B">
      <w:pPr>
        <w:numPr>
          <w:ilvl w:val="255"/>
          <w:numId w:val="0"/>
        </w:num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梳理</w:t>
      </w:r>
      <w:r>
        <w:rPr>
          <w:rFonts w:hint="eastAsia" w:ascii="宋体" w:hAnsi="宋体" w:cs="宋体"/>
          <w:color w:val="auto"/>
          <w:kern w:val="0"/>
          <w:szCs w:val="21"/>
          <w:highlight w:val="none"/>
        </w:rPr>
        <w:t>需方</w:t>
      </w:r>
      <w:r>
        <w:rPr>
          <w:rFonts w:ascii="宋体" w:hAnsi="宋体" w:cs="宋体"/>
          <w:color w:val="auto"/>
          <w:kern w:val="0"/>
          <w:szCs w:val="21"/>
          <w:highlight w:val="none"/>
        </w:rPr>
        <w:t>软件及其承载的数据在用情况、分布情况，梳理确认数据资源，识别分析数据资源对企业利润表的影响，形成数据资产清单。</w:t>
      </w:r>
    </w:p>
    <w:p w14:paraId="67051047">
      <w:pPr>
        <w:numPr>
          <w:ilvl w:val="255"/>
          <w:numId w:val="0"/>
        </w:num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数据资产入表。</w:t>
      </w:r>
    </w:p>
    <w:p w14:paraId="1B4817AB">
      <w:pPr>
        <w:widowControl/>
        <w:snapToGrid w:val="0"/>
        <w:spacing w:before="120" w:after="120"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根据财政部的《企业数据资源相关会计处理暂行规定》</w:t>
      </w:r>
      <w:r>
        <w:rPr>
          <w:rFonts w:hint="eastAsia" w:ascii="宋体" w:hAnsi="宋体" w:cs="宋体"/>
          <w:color w:val="auto"/>
          <w:kern w:val="0"/>
          <w:szCs w:val="21"/>
          <w:highlight w:val="none"/>
        </w:rPr>
        <w:t>，</w:t>
      </w:r>
      <w:r>
        <w:rPr>
          <w:rFonts w:ascii="宋体" w:hAnsi="宋体" w:cs="宋体"/>
          <w:color w:val="auto"/>
          <w:kern w:val="0"/>
          <w:szCs w:val="21"/>
          <w:highlight w:val="none"/>
        </w:rPr>
        <w:t>协助</w:t>
      </w:r>
      <w:r>
        <w:rPr>
          <w:rFonts w:hint="eastAsia" w:ascii="宋体" w:hAnsi="宋体" w:cs="宋体"/>
          <w:color w:val="auto"/>
          <w:kern w:val="0"/>
          <w:szCs w:val="21"/>
          <w:highlight w:val="none"/>
        </w:rPr>
        <w:t>需方</w:t>
      </w:r>
      <w:r>
        <w:rPr>
          <w:rFonts w:ascii="宋体" w:hAnsi="宋体" w:cs="宋体"/>
          <w:color w:val="auto"/>
          <w:kern w:val="0"/>
          <w:szCs w:val="21"/>
          <w:highlight w:val="none"/>
        </w:rPr>
        <w:t>制定数据资产入表会计核算手册，</w:t>
      </w:r>
      <w:r>
        <w:rPr>
          <w:rFonts w:hint="eastAsia"/>
          <w:color w:val="auto"/>
          <w:highlight w:val="none"/>
        </w:rPr>
        <w:t>在会计意义上进行数据资产初始计量、后续计量，辅导完成数据资产入表</w:t>
      </w:r>
      <w:r>
        <w:rPr>
          <w:rFonts w:hint="eastAsia" w:ascii="宋体" w:hAnsi="宋体" w:cs="宋体"/>
          <w:color w:val="auto"/>
          <w:kern w:val="0"/>
          <w:szCs w:val="21"/>
          <w:highlight w:val="none"/>
        </w:rPr>
        <w:t>。</w:t>
      </w:r>
      <w:r>
        <w:rPr>
          <w:rFonts w:ascii="宋体" w:hAnsi="宋体" w:cs="宋体"/>
          <w:color w:val="auto"/>
          <w:kern w:val="0"/>
          <w:szCs w:val="21"/>
          <w:highlight w:val="none"/>
        </w:rPr>
        <w:t>服务期内开展财务人员相关数据资产入表业务培训</w:t>
      </w:r>
      <w:r>
        <w:rPr>
          <w:rFonts w:hint="eastAsia" w:ascii="宋体" w:hAnsi="宋体" w:cs="宋体"/>
          <w:color w:val="auto"/>
          <w:kern w:val="0"/>
          <w:szCs w:val="21"/>
          <w:highlight w:val="none"/>
        </w:rPr>
        <w:t>。</w:t>
      </w:r>
    </w:p>
    <w:p w14:paraId="1A0535D5">
      <w:pPr>
        <w:widowControl/>
        <w:snapToGrid w:val="0"/>
        <w:spacing w:before="120" w:after="120"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四、技术资料</w:t>
      </w:r>
    </w:p>
    <w:p w14:paraId="39FF9805">
      <w:pPr>
        <w:widowControl/>
        <w:snapToGrid w:val="0"/>
        <w:spacing w:before="120" w:after="120" w:line="360" w:lineRule="auto"/>
        <w:ind w:left="78" w:leftChars="37"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供方应按招标文件规定的时间向需方提供使用服务的有关技术资料。甲方应及时配合乙方提供项目所需的必要资料素材，如甲方未能及时提供资料素材配合或其他配合对乙方提供服务产生影响，则乙方有权将提供服务（包括提交工作成果）的期限相应顺延且不视为违约。</w:t>
      </w:r>
    </w:p>
    <w:p w14:paraId="29B4DB6D">
      <w:pPr>
        <w:widowControl/>
        <w:snapToGrid w:val="0"/>
        <w:spacing w:before="120" w:after="120" w:line="360" w:lineRule="auto"/>
        <w:ind w:left="78" w:leftChars="37"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684B774B">
      <w:pPr>
        <w:widowControl/>
        <w:snapToGrid w:val="0"/>
        <w:spacing w:before="120" w:after="120" w:line="360" w:lineRule="auto"/>
        <w:ind w:left="78" w:leftChars="37" w:firstLine="422" w:firstLineChars="200"/>
        <w:jc w:val="left"/>
        <w:rPr>
          <w:rFonts w:ascii="宋体" w:hAnsi="宋体" w:cs="宋体"/>
          <w:color w:val="auto"/>
          <w:kern w:val="0"/>
          <w:szCs w:val="21"/>
          <w:highlight w:val="none"/>
          <w:u w:val="single"/>
        </w:rPr>
      </w:pPr>
      <w:r>
        <w:rPr>
          <w:rFonts w:hint="eastAsia" w:ascii="宋体" w:hAnsi="宋体" w:cs="宋体"/>
          <w:b/>
          <w:color w:val="auto"/>
          <w:kern w:val="0"/>
          <w:szCs w:val="21"/>
          <w:highlight w:val="none"/>
        </w:rPr>
        <w:t>五、产权担保</w:t>
      </w:r>
    </w:p>
    <w:p w14:paraId="7EDB73ED">
      <w:pPr>
        <w:widowControl/>
        <w:snapToGrid w:val="0"/>
        <w:spacing w:before="120" w:after="120" w:line="360" w:lineRule="auto"/>
        <w:ind w:firstLine="413"/>
        <w:jc w:val="left"/>
        <w:rPr>
          <w:rFonts w:ascii="宋体" w:hAnsi="宋体" w:cs="宋体"/>
          <w:color w:val="auto"/>
          <w:kern w:val="0"/>
          <w:szCs w:val="21"/>
          <w:highlight w:val="none"/>
          <w:u w:val="single"/>
        </w:rPr>
      </w:pPr>
      <w:r>
        <w:rPr>
          <w:rFonts w:hint="eastAsia"/>
          <w:color w:val="auto"/>
          <w:szCs w:val="21"/>
          <w:highlight w:val="none"/>
        </w:rPr>
        <w:t>供方</w:t>
      </w:r>
      <w:r>
        <w:rPr>
          <w:color w:val="auto"/>
          <w:szCs w:val="21"/>
          <w:highlight w:val="none"/>
        </w:rPr>
        <w:t>保证所交付的产品与服务的所有权完全属于</w:t>
      </w:r>
      <w:r>
        <w:rPr>
          <w:rFonts w:hint="eastAsia"/>
          <w:color w:val="auto"/>
          <w:szCs w:val="21"/>
          <w:highlight w:val="none"/>
        </w:rPr>
        <w:t>供方</w:t>
      </w:r>
      <w:r>
        <w:rPr>
          <w:color w:val="auto"/>
          <w:szCs w:val="21"/>
          <w:highlight w:val="none"/>
        </w:rPr>
        <w:t>且无任何抵押、查封等产权瑕疵。</w:t>
      </w:r>
    </w:p>
    <w:p w14:paraId="7247C96A">
      <w:pPr>
        <w:widowControl/>
        <w:snapToGrid w:val="0"/>
        <w:spacing w:before="120" w:after="120" w:line="360" w:lineRule="auto"/>
        <w:ind w:firstLine="413" w:firstLineChars="196"/>
        <w:jc w:val="left"/>
        <w:rPr>
          <w:rFonts w:ascii="宋体" w:hAnsi="宋体" w:cs="宋体"/>
          <w:b/>
          <w:color w:val="auto"/>
          <w:kern w:val="0"/>
          <w:szCs w:val="21"/>
          <w:highlight w:val="none"/>
        </w:rPr>
      </w:pPr>
      <w:r>
        <w:rPr>
          <w:rFonts w:hint="eastAsia" w:ascii="宋体" w:hAnsi="宋体" w:cs="宋体"/>
          <w:b/>
          <w:color w:val="auto"/>
          <w:kern w:val="0"/>
          <w:szCs w:val="21"/>
          <w:highlight w:val="none"/>
        </w:rPr>
        <w:t>六、工期要求</w:t>
      </w:r>
    </w:p>
    <w:p w14:paraId="6D2A8E33">
      <w:pPr>
        <w:widowControl/>
        <w:snapToGrid w:val="0"/>
        <w:spacing w:before="120" w:after="120" w:line="360" w:lineRule="auto"/>
        <w:ind w:firstLine="48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1、交付期：</w:t>
      </w:r>
      <w:r>
        <w:rPr>
          <w:rFonts w:hint="eastAsia" w:ascii="宋体" w:hAnsi="宋体" w:cs="宋体"/>
          <w:b/>
          <w:color w:val="auto"/>
          <w:kern w:val="0"/>
          <w:szCs w:val="21"/>
          <w:highlight w:val="none"/>
        </w:rPr>
        <w:t>_____________________</w:t>
      </w:r>
      <w:r>
        <w:rPr>
          <w:rFonts w:hint="eastAsia" w:ascii="宋体" w:hAnsi="宋体" w:cs="宋体"/>
          <w:bCs/>
          <w:color w:val="auto"/>
          <w:kern w:val="0"/>
          <w:szCs w:val="21"/>
          <w:highlight w:val="none"/>
        </w:rPr>
        <w:t xml:space="preserve"> </w:t>
      </w:r>
      <w:r>
        <w:rPr>
          <w:rFonts w:hint="eastAsia" w:ascii="宋体" w:hAnsi="宋体" w:cs="宋体"/>
          <w:b/>
          <w:color w:val="auto"/>
          <w:kern w:val="0"/>
          <w:szCs w:val="21"/>
          <w:highlight w:val="none"/>
        </w:rPr>
        <w:t>(与招标文件保持一致)</w:t>
      </w:r>
    </w:p>
    <w:p w14:paraId="42BC3064">
      <w:pPr>
        <w:widowControl/>
        <w:snapToGrid w:val="0"/>
        <w:spacing w:before="120" w:after="120" w:line="360" w:lineRule="auto"/>
        <w:ind w:firstLine="480"/>
        <w:jc w:val="left"/>
        <w:rPr>
          <w:rFonts w:ascii="宋体" w:hAnsi="宋体" w:cs="宋体"/>
          <w:bCs/>
          <w:color w:val="auto"/>
          <w:kern w:val="0"/>
          <w:szCs w:val="21"/>
          <w:highlight w:val="none"/>
        </w:rPr>
      </w:pPr>
      <w:r>
        <w:rPr>
          <w:rFonts w:hint="eastAsia" w:ascii="宋体" w:hAnsi="宋体" w:cs="宋体"/>
          <w:bCs/>
          <w:color w:val="auto"/>
          <w:kern w:val="0"/>
          <w:szCs w:val="21"/>
          <w:highlight w:val="none"/>
        </w:rPr>
        <w:t>2、工期要求：</w:t>
      </w:r>
    </w:p>
    <w:p w14:paraId="79848C3A">
      <w:pPr>
        <w:widowControl/>
        <w:snapToGrid w:val="0"/>
        <w:spacing w:before="120" w:after="12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七、货款支付</w:t>
      </w:r>
    </w:p>
    <w:p w14:paraId="69D5FE88">
      <w:pPr>
        <w:widowControl/>
        <w:snapToGrid w:val="0"/>
        <w:spacing w:before="120" w:after="12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1、付款方式：_______________________(与招标文件保持一致)</w:t>
      </w:r>
    </w:p>
    <w:p w14:paraId="34809914">
      <w:pPr>
        <w:widowControl/>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2、当采购数量与实际使用数量不一致时，供方应根据实际使用量供货，合同的最终结算金额按实际使用量乘以中标单价进行计算。</w:t>
      </w:r>
    </w:p>
    <w:p w14:paraId="75680EEC">
      <w:pPr>
        <w:widowControl/>
        <w:snapToGrid w:val="0"/>
        <w:spacing w:before="156" w:beforeLines="50" w:after="156" w:afterLines="5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八、税费</w:t>
      </w:r>
    </w:p>
    <w:p w14:paraId="65A617BB">
      <w:pPr>
        <w:widowControl/>
        <w:snapToGrid w:val="0"/>
        <w:spacing w:before="156" w:beforeLines="50" w:after="156" w:after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本合同执行中相关的一切税费均由供方负担。</w:t>
      </w:r>
    </w:p>
    <w:p w14:paraId="419A78F5">
      <w:pPr>
        <w:widowControl/>
        <w:snapToGrid w:val="0"/>
        <w:spacing w:before="156" w:beforeLines="50" w:after="156" w:afterLines="5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九、质量保证及售后服务：</w:t>
      </w:r>
    </w:p>
    <w:p w14:paraId="19485A24">
      <w:pPr>
        <w:widowControl/>
        <w:spacing w:line="360" w:lineRule="auto"/>
        <w:ind w:firstLine="480"/>
        <w:jc w:val="left"/>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、合同实施期内，乙方解答与本项目服务内容相关但不涉及新需求的问题。</w:t>
      </w:r>
    </w:p>
    <w:p w14:paraId="4C9D236E">
      <w:pPr>
        <w:widowControl/>
        <w:spacing w:line="360" w:lineRule="auto"/>
        <w:ind w:firstLine="48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、供方应提供完整系统的培训，使需方的财务人员今后能自行完成入表工作。</w:t>
      </w:r>
    </w:p>
    <w:p w14:paraId="3E96551B">
      <w:pPr>
        <w:widowControl/>
        <w:snapToGrid w:val="0"/>
        <w:spacing w:before="60" w:after="6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十、违约责任</w:t>
      </w:r>
    </w:p>
    <w:p w14:paraId="2F60EC33">
      <w:pPr>
        <w:pStyle w:val="32"/>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1.甲方无正当理由拒收产品和服务的，甲方向乙方偿付合同总额的千分之</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违约金。</w:t>
      </w:r>
    </w:p>
    <w:p w14:paraId="3B005772">
      <w:pPr>
        <w:pStyle w:val="32"/>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2.甲方无故逾期验收和办理货款支付手续的，甲方应按合同总额每日千分之</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向乙方支付违约金。</w:t>
      </w:r>
    </w:p>
    <w:p w14:paraId="42E6EE39">
      <w:pPr>
        <w:pStyle w:val="32"/>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3.因乙方原因不能按期完成项目建设的，乙方向甲方每日偿付合同总额千分之</w:t>
      </w:r>
      <w:r>
        <w:rPr>
          <w:rFonts w:hint="eastAsia" w:ascii="宋体" w:hAnsi="宋体" w:cs="宋体"/>
          <w:color w:val="auto"/>
          <w:sz w:val="21"/>
          <w:szCs w:val="21"/>
          <w:highlight w:val="none"/>
          <w:u w:val="single"/>
        </w:rPr>
        <w:t xml:space="preserve">五 </w:t>
      </w:r>
      <w:r>
        <w:rPr>
          <w:rFonts w:hint="eastAsia" w:ascii="宋体" w:hAnsi="宋体" w:cs="宋体"/>
          <w:color w:val="auto"/>
          <w:sz w:val="21"/>
          <w:szCs w:val="21"/>
          <w:highlight w:val="none"/>
        </w:rPr>
        <w:t>的违约金。项目建设逾期超过20天的，甲方有权解除合同。</w:t>
      </w:r>
    </w:p>
    <w:p w14:paraId="7BEF2914">
      <w:pPr>
        <w:pStyle w:val="32"/>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4.乙方所交的产品和服务的质量不符合合同规定及招标文件规定标准的，甲方有权拒收，乙方愿意更换但逾期交付的，按乙方逾期交付处理。乙方拒绝更换的，甲方可单方面解除合同。</w:t>
      </w:r>
    </w:p>
    <w:p w14:paraId="7D9633CF">
      <w:pPr>
        <w:pStyle w:val="32"/>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5.未按规定提供完整的技术资料处以合同总额千分之</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的违约金。</w:t>
      </w:r>
    </w:p>
    <w:p w14:paraId="0564CC7D">
      <w:pPr>
        <w:pStyle w:val="32"/>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6.项目实施人员变更的，乙方应提前15天以书面形式告知甲方，经甲方面试合格后方可变更。项目负责人变更的，乙方向甲方每次偿付合同总额千分之</w:t>
      </w:r>
      <w:r>
        <w:rPr>
          <w:rFonts w:hint="eastAsia" w:ascii="宋体" w:hAnsi="宋体" w:cs="宋体"/>
          <w:color w:val="auto"/>
          <w:sz w:val="21"/>
          <w:szCs w:val="21"/>
          <w:highlight w:val="none"/>
          <w:u w:val="single"/>
        </w:rPr>
        <w:t xml:space="preserve"> 一 </w:t>
      </w:r>
      <w:r>
        <w:rPr>
          <w:rFonts w:hint="eastAsia" w:ascii="宋体" w:hAnsi="宋体" w:cs="宋体"/>
          <w:color w:val="auto"/>
          <w:sz w:val="21"/>
          <w:szCs w:val="21"/>
          <w:highlight w:val="none"/>
        </w:rPr>
        <w:t>的违约金。项目初始实施人员以乙方投标文件为准。</w:t>
      </w:r>
    </w:p>
    <w:p w14:paraId="5AA0E8E7">
      <w:pPr>
        <w:pStyle w:val="32"/>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7.除本合同特别约定外，一方违反本合同约定时，若甲乙双方协商继续履行本合同，违反合同约定方应按照合同总金额的百分之</w:t>
      </w:r>
      <w:r>
        <w:rPr>
          <w:rFonts w:hint="eastAsia" w:ascii="宋体" w:hAnsi="宋体" w:cs="宋体"/>
          <w:color w:val="auto"/>
          <w:sz w:val="21"/>
          <w:szCs w:val="21"/>
          <w:highlight w:val="none"/>
          <w:u w:val="single"/>
        </w:rPr>
        <w:t xml:space="preserve"> 五 </w:t>
      </w:r>
      <w:r>
        <w:rPr>
          <w:rFonts w:hint="eastAsia" w:ascii="宋体" w:hAnsi="宋体" w:cs="宋体"/>
          <w:color w:val="auto"/>
          <w:sz w:val="21"/>
          <w:szCs w:val="21"/>
          <w:highlight w:val="none"/>
        </w:rPr>
        <w:t>向守约方支付违约金，且守约方有权要求违约方赔偿实际造成的损失。</w:t>
      </w:r>
    </w:p>
    <w:p w14:paraId="206C568C">
      <w:pPr>
        <w:pStyle w:val="32"/>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8.乙方违反网络安全、数据安全相关法律、法规、条例，利用工作中获取的数据、网络等资源从事有损甲方名誉、利益的活动并造成甲方损失的，乙方向甲方每次偿付合同总额的百分之</w:t>
      </w:r>
      <w:r>
        <w:rPr>
          <w:rFonts w:hint="eastAsia" w:ascii="宋体" w:hAnsi="宋体" w:cs="宋体"/>
          <w:color w:val="auto"/>
          <w:sz w:val="21"/>
          <w:szCs w:val="21"/>
          <w:highlight w:val="none"/>
          <w:u w:val="single"/>
        </w:rPr>
        <w:t xml:space="preserve"> 五 </w:t>
      </w:r>
      <w:r>
        <w:rPr>
          <w:rFonts w:hint="eastAsia" w:ascii="宋体" w:hAnsi="宋体" w:cs="宋体"/>
          <w:color w:val="auto"/>
          <w:sz w:val="21"/>
          <w:szCs w:val="21"/>
          <w:highlight w:val="none"/>
        </w:rPr>
        <w:t>的违约金，并赔偿实际造成的损失，直至追究法律责任；涉嫌违法犯罪的，甲方将立即向公安机关报案。</w:t>
      </w:r>
    </w:p>
    <w:p w14:paraId="1443026B">
      <w:pPr>
        <w:widowControl/>
        <w:snapToGrid w:val="0"/>
        <w:spacing w:before="120" w:after="12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十一、不可抗力事件处理</w:t>
      </w:r>
    </w:p>
    <w:p w14:paraId="27DAC167">
      <w:pPr>
        <w:widowControl/>
        <w:snapToGrid w:val="0"/>
        <w:spacing w:before="120" w:after="120"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14:paraId="4964A131">
      <w:pPr>
        <w:widowControl/>
        <w:snapToGrid w:val="0"/>
        <w:spacing w:before="120" w:after="120" w:line="360" w:lineRule="auto"/>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2、不可抗力事件发生后，应立即通知对方，并寄送有关权威机构出具的证明。</w:t>
      </w:r>
    </w:p>
    <w:p w14:paraId="58CFCA54">
      <w:pPr>
        <w:widowControl/>
        <w:snapToGrid w:val="0"/>
        <w:spacing w:before="120" w:after="120" w:line="360" w:lineRule="auto"/>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3、不可抗力事件延续</w:t>
      </w:r>
      <w:r>
        <w:rPr>
          <w:rFonts w:hint="eastAsia" w:ascii="宋体" w:hAnsi="宋体" w:cs="宋体"/>
          <w:color w:val="auto"/>
          <w:kern w:val="0"/>
          <w:szCs w:val="21"/>
          <w:highlight w:val="none"/>
          <w:u w:val="single"/>
        </w:rPr>
        <w:t>五</w:t>
      </w:r>
      <w:r>
        <w:rPr>
          <w:rFonts w:hint="eastAsia" w:ascii="宋体" w:hAnsi="宋体" w:cs="宋体"/>
          <w:color w:val="auto"/>
          <w:kern w:val="0"/>
          <w:szCs w:val="21"/>
          <w:highlight w:val="none"/>
        </w:rPr>
        <w:t>天以上，双方应通过友好协商，确定是否继续履行合同。</w:t>
      </w:r>
    </w:p>
    <w:p w14:paraId="20FA41FB">
      <w:pPr>
        <w:widowControl/>
        <w:snapToGrid w:val="0"/>
        <w:spacing w:before="120" w:after="12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十二、诉讼</w:t>
      </w:r>
    </w:p>
    <w:p w14:paraId="79F6008F">
      <w:pPr>
        <w:widowControl/>
        <w:snapToGrid w:val="0"/>
        <w:spacing w:before="120" w:after="120"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本合同项目所在地为义乌市，本合同发生争议产生的诉讼，可向项目所在地有管辖权的法院提起诉讼。</w:t>
      </w:r>
    </w:p>
    <w:p w14:paraId="36393411">
      <w:pPr>
        <w:widowControl/>
        <w:snapToGrid w:val="0"/>
        <w:spacing w:before="120" w:after="12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三、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47CC7B35">
      <w:pPr>
        <w:widowControl/>
        <w:snapToGrid w:val="0"/>
        <w:spacing w:before="120" w:after="120" w:line="360" w:lineRule="auto"/>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十四、合同生效及其它</w:t>
      </w:r>
    </w:p>
    <w:p w14:paraId="63D0D649">
      <w:pPr>
        <w:widowControl/>
        <w:snapToGrid w:val="0"/>
        <w:spacing w:before="120" w:after="120"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1、合同经双方法定代表人或授权代表签字并加盖单位公章后生效。</w:t>
      </w:r>
    </w:p>
    <w:p w14:paraId="61DC4D81">
      <w:pPr>
        <w:widowControl/>
        <w:snapToGrid w:val="0"/>
        <w:spacing w:before="120" w:after="120" w:line="360" w:lineRule="auto"/>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2、本合同未尽事宜，遵照《中华人民共和国民法典》有关条文执行。</w:t>
      </w:r>
    </w:p>
    <w:p w14:paraId="7FBF7DF7">
      <w:pPr>
        <w:widowControl/>
        <w:spacing w:line="360" w:lineRule="auto"/>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十五、本合同一式</w:t>
      </w:r>
      <w:r>
        <w:rPr>
          <w:rFonts w:hint="eastAsia" w:ascii="宋体" w:hAnsi="宋体" w:cs="宋体"/>
          <w:b/>
          <w:bCs/>
          <w:color w:val="auto"/>
          <w:kern w:val="0"/>
          <w:szCs w:val="21"/>
          <w:highlight w:val="none"/>
          <w:u w:val="single"/>
        </w:rPr>
        <w:t>伍</w:t>
      </w:r>
      <w:r>
        <w:rPr>
          <w:rFonts w:hint="eastAsia" w:ascii="宋体" w:hAnsi="宋体" w:cs="宋体"/>
          <w:b/>
          <w:bCs/>
          <w:color w:val="auto"/>
          <w:kern w:val="0"/>
          <w:szCs w:val="21"/>
          <w:highlight w:val="none"/>
        </w:rPr>
        <w:t>份，供需双方各执</w:t>
      </w:r>
      <w:r>
        <w:rPr>
          <w:rFonts w:hint="eastAsia" w:ascii="宋体" w:hAnsi="宋体" w:cs="宋体"/>
          <w:b/>
          <w:bCs/>
          <w:color w:val="auto"/>
          <w:kern w:val="0"/>
          <w:szCs w:val="21"/>
          <w:highlight w:val="none"/>
          <w:u w:val="single"/>
        </w:rPr>
        <w:t>贰</w:t>
      </w:r>
      <w:r>
        <w:rPr>
          <w:rFonts w:hint="eastAsia" w:ascii="宋体" w:hAnsi="宋体" w:cs="宋体"/>
          <w:b/>
          <w:bCs/>
          <w:color w:val="auto"/>
          <w:kern w:val="0"/>
          <w:szCs w:val="21"/>
          <w:highlight w:val="none"/>
        </w:rPr>
        <w:t>份，义乌产权交易所有限公司执</w:t>
      </w:r>
      <w:r>
        <w:rPr>
          <w:rFonts w:hint="eastAsia" w:ascii="宋体" w:hAnsi="宋体" w:cs="宋体"/>
          <w:b/>
          <w:bCs/>
          <w:color w:val="auto"/>
          <w:kern w:val="0"/>
          <w:szCs w:val="21"/>
          <w:highlight w:val="none"/>
          <w:u w:val="single"/>
        </w:rPr>
        <w:t>壹</w:t>
      </w:r>
      <w:r>
        <w:rPr>
          <w:rFonts w:hint="eastAsia" w:ascii="宋体" w:hAnsi="宋体" w:cs="宋体"/>
          <w:b/>
          <w:bCs/>
          <w:color w:val="auto"/>
          <w:kern w:val="0"/>
          <w:szCs w:val="21"/>
          <w:highlight w:val="none"/>
        </w:rPr>
        <w:t>份，均具同等效力。</w:t>
      </w:r>
    </w:p>
    <w:p w14:paraId="620E7033">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14:paraId="0BDF17E6">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14:paraId="7F33BA82">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14:paraId="4171E1AB">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授权代表：______________________    授权代表：________________________</w:t>
      </w:r>
      <w:r>
        <w:rPr>
          <w:rFonts w:hint="eastAsia" w:ascii="宋体" w:hAnsi="宋体" w:cs="宋体"/>
          <w:color w:val="auto"/>
          <w:kern w:val="0"/>
          <w:szCs w:val="21"/>
          <w:highlight w:val="none"/>
          <w:u w:val="single"/>
        </w:rPr>
        <w:t xml:space="preserve">    </w:t>
      </w:r>
    </w:p>
    <w:p w14:paraId="541F2DE8">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14:paraId="6BBA17B1">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账户名称：________________________  账户名称：________________________</w:t>
      </w:r>
    </w:p>
    <w:p w14:paraId="0BD68A06">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14:paraId="7A8151EA">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账    号：________________________  账    号：________________________</w:t>
      </w:r>
    </w:p>
    <w:p w14:paraId="2F59AA4C">
      <w:pPr>
        <w:widowControl/>
        <w:spacing w:line="360" w:lineRule="auto"/>
        <w:ind w:firstLine="210" w:firstLineChars="100"/>
        <w:jc w:val="left"/>
        <w:rPr>
          <w:rFonts w:ascii="宋体" w:hAnsi="宋体" w:cs="宋体"/>
          <w:color w:val="auto"/>
          <w:sz w:val="36"/>
          <w:highlight w:val="none"/>
        </w:rPr>
      </w:pPr>
      <w:r>
        <w:rPr>
          <w:rFonts w:hint="eastAsia" w:ascii="宋体" w:hAnsi="宋体" w:cs="宋体"/>
          <w:color w:val="auto"/>
          <w:kern w:val="0"/>
          <w:szCs w:val="21"/>
          <w:highlight w:val="none"/>
        </w:rPr>
        <w:t>签约时间：________________________  签约地点：________________________</w:t>
      </w:r>
    </w:p>
    <w:p w14:paraId="595C742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D6458AF">
      <w:pPr>
        <w:widowControl/>
        <w:spacing w:line="360" w:lineRule="auto"/>
        <w:ind w:firstLine="210" w:firstLineChars="100"/>
        <w:jc w:val="left"/>
        <w:rPr>
          <w:rFonts w:ascii="宋体" w:hAnsi="宋体" w:cs="宋体"/>
          <w:color w:val="auto"/>
          <w:kern w:val="0"/>
          <w:szCs w:val="21"/>
          <w:highlight w:val="none"/>
        </w:rPr>
      </w:pPr>
    </w:p>
    <w:p w14:paraId="57D6E3A6">
      <w:pPr>
        <w:widowControl/>
        <w:spacing w:line="360" w:lineRule="auto"/>
        <w:ind w:firstLine="210" w:firstLineChars="100"/>
        <w:jc w:val="left"/>
        <w:rPr>
          <w:rFonts w:ascii="宋体" w:hAnsi="宋体" w:cs="宋体"/>
          <w:color w:val="auto"/>
          <w:kern w:val="0"/>
          <w:szCs w:val="21"/>
          <w:highlight w:val="none"/>
        </w:rPr>
      </w:pPr>
    </w:p>
    <w:p w14:paraId="5A6672D9">
      <w:pPr>
        <w:pStyle w:val="2"/>
        <w:tabs>
          <w:tab w:val="left" w:pos="360"/>
        </w:tabs>
        <w:spacing w:after="200" w:line="240" w:lineRule="auto"/>
        <w:jc w:val="center"/>
        <w:rPr>
          <w:color w:val="auto"/>
          <w:sz w:val="36"/>
          <w:highlight w:val="none"/>
        </w:rPr>
      </w:pPr>
      <w:r>
        <w:rPr>
          <w:rFonts w:hint="eastAsia"/>
          <w:color w:val="auto"/>
          <w:sz w:val="36"/>
          <w:highlight w:val="none"/>
        </w:rPr>
        <w:br w:type="page"/>
      </w:r>
      <w:bookmarkStart w:id="155" w:name="_Toc11099"/>
      <w:bookmarkStart w:id="156" w:name="_Toc9800"/>
      <w:bookmarkStart w:id="157" w:name="_Toc10782"/>
      <w:bookmarkStart w:id="158" w:name="_Toc19036"/>
      <w:r>
        <w:rPr>
          <w:rFonts w:hint="eastAsia"/>
          <w:color w:val="auto"/>
          <w:sz w:val="36"/>
          <w:highlight w:val="none"/>
        </w:rPr>
        <w:t>第八章  投标文件部分格式</w:t>
      </w:r>
      <w:bookmarkEnd w:id="155"/>
      <w:bookmarkEnd w:id="156"/>
      <w:bookmarkEnd w:id="157"/>
      <w:bookmarkEnd w:id="158"/>
    </w:p>
    <w:p w14:paraId="1122586B">
      <w:pPr>
        <w:pStyle w:val="3"/>
        <w:spacing w:before="120" w:after="120" w:line="360" w:lineRule="auto"/>
        <w:rPr>
          <w:rFonts w:ascii="宋体" w:hAnsi="宋体" w:eastAsia="宋体" w:cs="宋体"/>
          <w:color w:val="auto"/>
          <w:sz w:val="21"/>
          <w:szCs w:val="21"/>
          <w:highlight w:val="none"/>
        </w:rPr>
      </w:pPr>
      <w:bookmarkStart w:id="159" w:name="_Toc12385"/>
      <w:bookmarkStart w:id="160" w:name="_Toc16180"/>
      <w:bookmarkStart w:id="161" w:name="_Toc5668"/>
      <w:bookmarkStart w:id="162" w:name="_Toc7250"/>
      <w:r>
        <w:rPr>
          <w:rFonts w:hint="eastAsia" w:ascii="宋体" w:hAnsi="宋体" w:eastAsia="宋体" w:cs="宋体"/>
          <w:color w:val="auto"/>
          <w:sz w:val="21"/>
          <w:szCs w:val="21"/>
          <w:highlight w:val="none"/>
        </w:rPr>
        <w:t>一、资格响应文件、商务技术响应文件部分格式</w:t>
      </w:r>
      <w:bookmarkEnd w:id="159"/>
      <w:bookmarkEnd w:id="160"/>
      <w:bookmarkEnd w:id="161"/>
      <w:bookmarkEnd w:id="162"/>
    </w:p>
    <w:p w14:paraId="200BE4DC">
      <w:pPr>
        <w:tabs>
          <w:tab w:val="left" w:pos="1050"/>
        </w:tabs>
        <w:spacing w:line="360" w:lineRule="auto"/>
        <w:ind w:left="528"/>
        <w:rPr>
          <w:rFonts w:ascii="宋体" w:hAnsi="宋体" w:cs="宋体"/>
          <w:color w:val="auto"/>
          <w:szCs w:val="21"/>
          <w:highlight w:val="none"/>
        </w:rPr>
      </w:pPr>
      <w:r>
        <w:rPr>
          <w:rFonts w:hint="eastAsia" w:ascii="宋体" w:hAnsi="宋体" w:cs="宋体"/>
          <w:color w:val="auto"/>
          <w:szCs w:val="21"/>
          <w:highlight w:val="none"/>
        </w:rPr>
        <w:t>1.法定代表人授权书和被授权人身份证复印件［适用于非法定代表人参加投标的,说明：法定代表人以营业执照载明的人员为准］；</w:t>
      </w:r>
    </w:p>
    <w:p w14:paraId="4F9C181A">
      <w:pPr>
        <w:tabs>
          <w:tab w:val="left" w:pos="1050"/>
        </w:tabs>
        <w:spacing w:line="360" w:lineRule="auto"/>
        <w:ind w:left="528"/>
        <w:rPr>
          <w:rFonts w:ascii="宋体" w:hAnsi="宋体" w:cs="宋体"/>
          <w:color w:val="auto"/>
          <w:szCs w:val="21"/>
          <w:highlight w:val="none"/>
        </w:rPr>
      </w:pPr>
      <w:r>
        <w:rPr>
          <w:rFonts w:hint="eastAsia" w:ascii="宋体" w:hAnsi="宋体" w:cs="宋体"/>
          <w:color w:val="auto"/>
          <w:szCs w:val="21"/>
          <w:highlight w:val="none"/>
        </w:rPr>
        <w:t>2.义乌市国企采购项目投标承诺书；</w:t>
      </w:r>
    </w:p>
    <w:p w14:paraId="43B4688C">
      <w:pPr>
        <w:tabs>
          <w:tab w:val="left" w:pos="1050"/>
        </w:tabs>
        <w:spacing w:line="360" w:lineRule="auto"/>
        <w:ind w:left="528"/>
        <w:rPr>
          <w:rFonts w:ascii="宋体" w:hAnsi="宋体" w:cs="宋体"/>
          <w:color w:val="auto"/>
          <w:szCs w:val="21"/>
          <w:highlight w:val="none"/>
        </w:rPr>
      </w:pPr>
      <w:r>
        <w:rPr>
          <w:rFonts w:hint="eastAsia" w:ascii="宋体" w:hAnsi="宋体" w:cs="宋体"/>
          <w:color w:val="auto"/>
          <w:szCs w:val="21"/>
          <w:highlight w:val="none"/>
        </w:rPr>
        <w:t>3.规范偏离表；</w:t>
      </w:r>
    </w:p>
    <w:p w14:paraId="6403BE67">
      <w:pPr>
        <w:tabs>
          <w:tab w:val="left" w:pos="1050"/>
        </w:tabs>
        <w:spacing w:line="360" w:lineRule="auto"/>
        <w:ind w:left="528"/>
        <w:rPr>
          <w:rFonts w:ascii="宋体" w:hAnsi="宋体" w:cs="宋体"/>
          <w:color w:val="auto"/>
          <w:szCs w:val="21"/>
          <w:highlight w:val="none"/>
        </w:rPr>
      </w:pPr>
      <w:r>
        <w:rPr>
          <w:rFonts w:hint="eastAsia" w:ascii="宋体" w:hAnsi="宋体" w:cs="宋体"/>
          <w:color w:val="auto"/>
          <w:szCs w:val="21"/>
          <w:highlight w:val="none"/>
        </w:rPr>
        <w:t>4.服务简要说明一览表；</w:t>
      </w:r>
    </w:p>
    <w:p w14:paraId="7C749334">
      <w:pPr>
        <w:tabs>
          <w:tab w:val="left" w:pos="1050"/>
        </w:tabs>
        <w:spacing w:line="360" w:lineRule="auto"/>
        <w:ind w:left="528"/>
        <w:rPr>
          <w:rFonts w:ascii="宋体" w:hAnsi="宋体" w:cs="宋体"/>
          <w:color w:val="auto"/>
          <w:szCs w:val="21"/>
          <w:highlight w:val="none"/>
        </w:rPr>
      </w:pPr>
      <w:r>
        <w:rPr>
          <w:rFonts w:hint="eastAsia" w:ascii="宋体" w:hAnsi="宋体" w:cs="宋体"/>
          <w:color w:val="auto"/>
          <w:szCs w:val="21"/>
          <w:highlight w:val="none"/>
        </w:rPr>
        <w:t>5.技术服务承诺书；</w:t>
      </w:r>
    </w:p>
    <w:p w14:paraId="2A675ECE">
      <w:pPr>
        <w:tabs>
          <w:tab w:val="left" w:pos="1050"/>
        </w:tabs>
        <w:spacing w:line="360" w:lineRule="auto"/>
        <w:ind w:left="528"/>
        <w:rPr>
          <w:rFonts w:ascii="宋体" w:hAnsi="宋体" w:cs="宋体"/>
          <w:color w:val="auto"/>
          <w:szCs w:val="21"/>
          <w:highlight w:val="none"/>
        </w:rPr>
      </w:pPr>
      <w:r>
        <w:rPr>
          <w:rFonts w:hint="eastAsia" w:ascii="宋体" w:hAnsi="宋体" w:cs="宋体"/>
          <w:color w:val="auto"/>
          <w:szCs w:val="21"/>
          <w:highlight w:val="none"/>
        </w:rPr>
        <w:t>6.投标单位情况表；</w:t>
      </w:r>
    </w:p>
    <w:p w14:paraId="40ADAC8D">
      <w:pPr>
        <w:tabs>
          <w:tab w:val="left" w:pos="1050"/>
        </w:tabs>
        <w:spacing w:line="360" w:lineRule="auto"/>
        <w:ind w:left="528"/>
        <w:rPr>
          <w:rFonts w:ascii="宋体" w:hAnsi="宋体" w:cs="宋体"/>
          <w:color w:val="auto"/>
          <w:szCs w:val="21"/>
          <w:highlight w:val="none"/>
        </w:rPr>
      </w:pPr>
      <w:r>
        <w:rPr>
          <w:rFonts w:hint="eastAsia" w:ascii="宋体" w:hAnsi="宋体" w:cs="宋体"/>
          <w:color w:val="auto"/>
          <w:szCs w:val="21"/>
          <w:highlight w:val="none"/>
        </w:rPr>
        <w:t>7.项目负责人情况一览表；</w:t>
      </w:r>
    </w:p>
    <w:p w14:paraId="0ECB1CEC">
      <w:pPr>
        <w:tabs>
          <w:tab w:val="left" w:pos="1050"/>
        </w:tabs>
        <w:spacing w:line="360" w:lineRule="auto"/>
        <w:ind w:left="528"/>
        <w:rPr>
          <w:rFonts w:ascii="宋体" w:hAnsi="宋体" w:cs="宋体"/>
          <w:color w:val="auto"/>
          <w:szCs w:val="21"/>
          <w:highlight w:val="none"/>
        </w:rPr>
      </w:pPr>
      <w:r>
        <w:rPr>
          <w:rFonts w:hint="eastAsia" w:ascii="宋体" w:hAnsi="宋体" w:cs="宋体"/>
          <w:color w:val="auto"/>
          <w:szCs w:val="21"/>
          <w:highlight w:val="none"/>
        </w:rPr>
        <w:t>8.项目技术负责人及项目实施人员情况表；</w:t>
      </w:r>
    </w:p>
    <w:p w14:paraId="179310E9">
      <w:pPr>
        <w:tabs>
          <w:tab w:val="left" w:pos="1050"/>
        </w:tabs>
        <w:spacing w:line="360" w:lineRule="auto"/>
        <w:ind w:left="528"/>
        <w:rPr>
          <w:rFonts w:ascii="宋体" w:hAnsi="宋体" w:cs="宋体"/>
          <w:color w:val="auto"/>
          <w:szCs w:val="21"/>
          <w:highlight w:val="none"/>
        </w:rPr>
      </w:pPr>
      <w:r>
        <w:rPr>
          <w:rFonts w:hint="eastAsia" w:ascii="宋体" w:hAnsi="宋体" w:cs="宋体"/>
          <w:color w:val="auto"/>
          <w:szCs w:val="21"/>
          <w:highlight w:val="none"/>
        </w:rPr>
        <w:t>9.公司业绩一览表</w:t>
      </w:r>
    </w:p>
    <w:p w14:paraId="49609712">
      <w:pPr>
        <w:tabs>
          <w:tab w:val="left" w:pos="1050"/>
        </w:tabs>
        <w:spacing w:line="520" w:lineRule="exact"/>
        <w:ind w:left="528"/>
        <w:rPr>
          <w:rFonts w:ascii="宋体" w:hAnsi="宋体" w:cs="宋体"/>
          <w:color w:val="auto"/>
          <w:szCs w:val="21"/>
          <w:highlight w:val="none"/>
        </w:rPr>
      </w:pPr>
    </w:p>
    <w:p w14:paraId="1292DA75">
      <w:pPr>
        <w:tabs>
          <w:tab w:val="left" w:pos="1050"/>
        </w:tabs>
        <w:spacing w:line="520" w:lineRule="exact"/>
        <w:ind w:left="528"/>
        <w:rPr>
          <w:rFonts w:ascii="宋体" w:hAnsi="宋体" w:cs="宋体"/>
          <w:color w:val="auto"/>
          <w:szCs w:val="21"/>
          <w:highlight w:val="none"/>
        </w:rPr>
      </w:pPr>
    </w:p>
    <w:p w14:paraId="3A77444D">
      <w:pPr>
        <w:pStyle w:val="3"/>
        <w:spacing w:before="120" w:after="120" w:line="360" w:lineRule="auto"/>
        <w:rPr>
          <w:rFonts w:ascii="宋体" w:hAnsi="宋体" w:eastAsia="宋体" w:cs="宋体"/>
          <w:color w:val="auto"/>
          <w:sz w:val="21"/>
          <w:szCs w:val="21"/>
          <w:highlight w:val="none"/>
        </w:rPr>
      </w:pPr>
      <w:bookmarkStart w:id="163" w:name="_Toc26622"/>
      <w:bookmarkStart w:id="164" w:name="_Toc32667"/>
      <w:bookmarkStart w:id="165" w:name="_Toc476"/>
      <w:bookmarkStart w:id="166" w:name="_Toc9940"/>
      <w:r>
        <w:rPr>
          <w:rFonts w:hint="eastAsia" w:ascii="宋体" w:hAnsi="宋体" w:eastAsia="宋体" w:cs="宋体"/>
          <w:color w:val="auto"/>
          <w:sz w:val="21"/>
          <w:szCs w:val="21"/>
          <w:highlight w:val="none"/>
        </w:rPr>
        <w:t>二、报价响应文件部分格式</w:t>
      </w:r>
      <w:bookmarkEnd w:id="163"/>
      <w:bookmarkEnd w:id="164"/>
      <w:bookmarkEnd w:id="165"/>
      <w:bookmarkEnd w:id="166"/>
    </w:p>
    <w:p w14:paraId="5ADA1D9A">
      <w:pPr>
        <w:tabs>
          <w:tab w:val="left" w:pos="1080"/>
        </w:tabs>
        <w:spacing w:line="520" w:lineRule="exact"/>
        <w:ind w:left="528"/>
        <w:rPr>
          <w:rFonts w:ascii="宋体" w:hAnsi="宋体" w:cs="宋体"/>
          <w:color w:val="auto"/>
          <w:szCs w:val="21"/>
          <w:highlight w:val="none"/>
        </w:rPr>
      </w:pPr>
      <w:r>
        <w:rPr>
          <w:rFonts w:hint="eastAsia" w:ascii="宋体" w:hAnsi="宋体" w:cs="宋体"/>
          <w:color w:val="auto"/>
          <w:szCs w:val="21"/>
          <w:highlight w:val="none"/>
        </w:rPr>
        <w:t>1.开标一览表格式</w:t>
      </w:r>
    </w:p>
    <w:p w14:paraId="71E35BA2">
      <w:pPr>
        <w:spacing w:line="340" w:lineRule="exact"/>
        <w:rPr>
          <w:rFonts w:ascii="宋体" w:hAnsi="宋体" w:cs="宋体"/>
          <w:color w:val="auto"/>
          <w:szCs w:val="21"/>
          <w:highlight w:val="none"/>
        </w:rPr>
      </w:pPr>
    </w:p>
    <w:p w14:paraId="76024F59">
      <w:pPr>
        <w:spacing w:line="340" w:lineRule="exact"/>
        <w:rPr>
          <w:rFonts w:ascii="宋体" w:hAnsi="宋体" w:cs="宋体"/>
          <w:color w:val="auto"/>
          <w:szCs w:val="21"/>
          <w:highlight w:val="none"/>
        </w:rPr>
      </w:pPr>
    </w:p>
    <w:p w14:paraId="5114CF1D">
      <w:pPr>
        <w:pStyle w:val="3"/>
        <w:spacing w:before="120" w:after="120" w:line="360" w:lineRule="auto"/>
        <w:rPr>
          <w:rFonts w:ascii="宋体" w:hAnsi="宋体" w:eastAsia="宋体" w:cs="宋体"/>
          <w:color w:val="auto"/>
          <w:sz w:val="21"/>
          <w:szCs w:val="21"/>
          <w:highlight w:val="none"/>
        </w:rPr>
      </w:pPr>
      <w:bookmarkStart w:id="167" w:name="_Toc300"/>
      <w:bookmarkStart w:id="168" w:name="_Toc11577"/>
      <w:bookmarkStart w:id="169" w:name="_Toc19080"/>
      <w:bookmarkStart w:id="170" w:name="_Toc20876"/>
      <w:r>
        <w:rPr>
          <w:rFonts w:hint="eastAsia" w:ascii="宋体" w:hAnsi="宋体" w:eastAsia="宋体" w:cs="宋体"/>
          <w:color w:val="auto"/>
          <w:sz w:val="21"/>
          <w:szCs w:val="21"/>
          <w:highlight w:val="none"/>
        </w:rPr>
        <w:t>三、质疑函范本</w:t>
      </w:r>
      <w:bookmarkEnd w:id="167"/>
      <w:bookmarkEnd w:id="168"/>
      <w:bookmarkEnd w:id="169"/>
      <w:bookmarkEnd w:id="170"/>
    </w:p>
    <w:p w14:paraId="3C5E7E41">
      <w:pPr>
        <w:spacing w:line="340" w:lineRule="exact"/>
        <w:rPr>
          <w:rFonts w:ascii="宋体" w:hAnsi="宋体" w:cs="宋体"/>
          <w:color w:val="auto"/>
          <w:szCs w:val="21"/>
          <w:highlight w:val="none"/>
        </w:rPr>
      </w:pPr>
    </w:p>
    <w:p w14:paraId="786ED930">
      <w:pPr>
        <w:spacing w:line="340" w:lineRule="exact"/>
        <w:rPr>
          <w:rFonts w:ascii="宋体" w:hAnsi="宋体" w:cs="宋体"/>
          <w:color w:val="auto"/>
          <w:szCs w:val="21"/>
          <w:highlight w:val="none"/>
        </w:rPr>
      </w:pPr>
    </w:p>
    <w:p w14:paraId="7432834A">
      <w:pPr>
        <w:spacing w:line="340" w:lineRule="exact"/>
        <w:rPr>
          <w:rFonts w:ascii="宋体" w:cs="宋体"/>
          <w:color w:val="auto"/>
          <w:sz w:val="24"/>
          <w:highlight w:val="none"/>
        </w:rPr>
      </w:pPr>
    </w:p>
    <w:p w14:paraId="61833EE2">
      <w:pPr>
        <w:spacing w:line="340" w:lineRule="exact"/>
        <w:rPr>
          <w:rFonts w:ascii="宋体" w:cs="宋体"/>
          <w:color w:val="auto"/>
          <w:sz w:val="24"/>
          <w:highlight w:val="none"/>
        </w:rPr>
      </w:pPr>
    </w:p>
    <w:p w14:paraId="2C2D7E3A">
      <w:pPr>
        <w:spacing w:line="340" w:lineRule="exact"/>
        <w:rPr>
          <w:rFonts w:ascii="宋体" w:cs="宋体"/>
          <w:color w:val="auto"/>
          <w:sz w:val="24"/>
          <w:highlight w:val="none"/>
        </w:rPr>
      </w:pPr>
    </w:p>
    <w:p w14:paraId="3891865B">
      <w:pPr>
        <w:spacing w:line="340" w:lineRule="exact"/>
        <w:rPr>
          <w:rFonts w:ascii="宋体" w:cs="宋体"/>
          <w:color w:val="auto"/>
          <w:sz w:val="24"/>
          <w:highlight w:val="none"/>
        </w:rPr>
      </w:pPr>
    </w:p>
    <w:p w14:paraId="2FE03793">
      <w:pPr>
        <w:spacing w:line="340" w:lineRule="exact"/>
        <w:rPr>
          <w:rFonts w:ascii="宋体" w:cs="宋体"/>
          <w:color w:val="auto"/>
          <w:sz w:val="24"/>
          <w:highlight w:val="none"/>
        </w:rPr>
      </w:pPr>
    </w:p>
    <w:p w14:paraId="046D5100">
      <w:pPr>
        <w:spacing w:line="340" w:lineRule="exact"/>
        <w:rPr>
          <w:rFonts w:ascii="宋体" w:cs="宋体"/>
          <w:color w:val="auto"/>
          <w:sz w:val="24"/>
          <w:highlight w:val="none"/>
        </w:rPr>
      </w:pPr>
    </w:p>
    <w:p w14:paraId="140FD186">
      <w:pPr>
        <w:spacing w:line="340" w:lineRule="exact"/>
        <w:rPr>
          <w:rFonts w:ascii="宋体" w:cs="宋体"/>
          <w:color w:val="auto"/>
          <w:sz w:val="24"/>
          <w:highlight w:val="none"/>
        </w:rPr>
      </w:pPr>
    </w:p>
    <w:p w14:paraId="6BB38AB3">
      <w:pPr>
        <w:spacing w:line="340" w:lineRule="exact"/>
        <w:rPr>
          <w:rFonts w:ascii="宋体" w:cs="宋体"/>
          <w:color w:val="auto"/>
          <w:sz w:val="24"/>
          <w:highlight w:val="none"/>
        </w:rPr>
      </w:pPr>
    </w:p>
    <w:p w14:paraId="5D5AC484">
      <w:pPr>
        <w:spacing w:line="340" w:lineRule="exact"/>
        <w:rPr>
          <w:rFonts w:ascii="宋体" w:cs="宋体"/>
          <w:color w:val="auto"/>
          <w:sz w:val="24"/>
          <w:highlight w:val="none"/>
        </w:rPr>
      </w:pPr>
    </w:p>
    <w:p w14:paraId="3F761A65">
      <w:pPr>
        <w:rPr>
          <w:rFonts w:ascii="宋体" w:hAnsi="宋体"/>
          <w:color w:val="auto"/>
          <w:sz w:val="52"/>
          <w:highlight w:val="none"/>
          <w:u w:val="single"/>
        </w:rPr>
      </w:pPr>
      <w:r>
        <w:rPr>
          <w:rFonts w:hint="eastAsia" w:ascii="宋体" w:hAnsi="宋体"/>
          <w:b/>
          <w:bCs/>
          <w:color w:val="auto"/>
          <w:sz w:val="28"/>
          <w:highlight w:val="none"/>
        </w:rPr>
        <w:t>封面格式</w:t>
      </w:r>
    </w:p>
    <w:p w14:paraId="520ED64E">
      <w:pPr>
        <w:jc w:val="right"/>
        <w:rPr>
          <w:rFonts w:ascii="宋体" w:hAnsi="宋体"/>
          <w:b/>
          <w:color w:val="auto"/>
          <w:sz w:val="30"/>
          <w:szCs w:val="30"/>
          <w:highlight w:val="none"/>
        </w:rPr>
      </w:pPr>
      <w:r>
        <w:rPr>
          <w:rFonts w:hint="eastAsia" w:ascii="宋体" w:hAnsi="宋体"/>
          <w:b/>
          <w:color w:val="auto"/>
          <w:sz w:val="30"/>
          <w:szCs w:val="30"/>
          <w:highlight w:val="none"/>
        </w:rPr>
        <w:t>正本（副本）</w:t>
      </w:r>
    </w:p>
    <w:p w14:paraId="38FF20EB">
      <w:pPr>
        <w:jc w:val="center"/>
        <w:rPr>
          <w:rFonts w:ascii="宋体" w:hAnsi="宋体"/>
          <w:color w:val="auto"/>
          <w:sz w:val="24"/>
          <w:highlight w:val="none"/>
          <w:u w:val="single"/>
        </w:rPr>
      </w:pPr>
    </w:p>
    <w:p w14:paraId="520EB9A4">
      <w:pPr>
        <w:jc w:val="center"/>
        <w:rPr>
          <w:rFonts w:ascii="宋体" w:hAnsi="宋体"/>
          <w:color w:val="auto"/>
          <w:sz w:val="24"/>
          <w:highlight w:val="none"/>
          <w:u w:val="single"/>
        </w:rPr>
      </w:pPr>
    </w:p>
    <w:p w14:paraId="628B5FB7">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771161CA">
      <w:pPr>
        <w:rPr>
          <w:rFonts w:ascii="宋体" w:hAnsi="宋体"/>
          <w:color w:val="auto"/>
          <w:sz w:val="52"/>
          <w:highlight w:val="none"/>
        </w:rPr>
      </w:pPr>
    </w:p>
    <w:p w14:paraId="634A088C">
      <w:pPr>
        <w:jc w:val="center"/>
        <w:rPr>
          <w:rFonts w:ascii="宋体" w:hAnsi="宋体"/>
          <w:b/>
          <w:bCs/>
          <w:color w:val="auto"/>
          <w:sz w:val="72"/>
          <w:highlight w:val="none"/>
        </w:rPr>
      </w:pPr>
      <w:r>
        <w:rPr>
          <w:rFonts w:hint="eastAsia" w:ascii="宋体" w:hAnsi="宋体"/>
          <w:b/>
          <w:bCs/>
          <w:color w:val="auto"/>
          <w:sz w:val="72"/>
          <w:highlight w:val="none"/>
        </w:rPr>
        <w:t>投标文件</w:t>
      </w:r>
    </w:p>
    <w:p w14:paraId="6916610E">
      <w:pPr>
        <w:jc w:val="center"/>
        <w:rPr>
          <w:rFonts w:ascii="宋体" w:hAnsi="宋体"/>
          <w:b/>
          <w:bCs/>
          <w:color w:val="auto"/>
          <w:sz w:val="28"/>
          <w:highlight w:val="none"/>
        </w:rPr>
      </w:pPr>
      <w:r>
        <w:rPr>
          <w:rFonts w:hint="eastAsia" w:ascii="宋体" w:hAnsi="宋体"/>
          <w:b/>
          <w:bCs/>
          <w:color w:val="auto"/>
          <w:sz w:val="28"/>
          <w:highlight w:val="none"/>
        </w:rPr>
        <w:t>（采购编号）</w:t>
      </w:r>
    </w:p>
    <w:p w14:paraId="0F624165">
      <w:pPr>
        <w:jc w:val="center"/>
        <w:rPr>
          <w:rFonts w:ascii="宋体" w:hAnsi="宋体"/>
          <w:b/>
          <w:bCs/>
          <w:color w:val="auto"/>
          <w:sz w:val="28"/>
          <w:highlight w:val="none"/>
        </w:rPr>
      </w:pPr>
    </w:p>
    <w:p w14:paraId="13B9F131">
      <w:pPr>
        <w:jc w:val="center"/>
        <w:rPr>
          <w:rFonts w:ascii="宋体" w:hAnsi="宋体"/>
          <w:b/>
          <w:bCs/>
          <w:color w:val="auto"/>
          <w:sz w:val="28"/>
          <w:highlight w:val="none"/>
        </w:rPr>
      </w:pPr>
    </w:p>
    <w:p w14:paraId="52A0A5EE">
      <w:pPr>
        <w:jc w:val="center"/>
        <w:rPr>
          <w:rFonts w:ascii="宋体" w:hAnsi="宋体"/>
          <w:b/>
          <w:bCs/>
          <w:color w:val="auto"/>
          <w:sz w:val="28"/>
          <w:highlight w:val="none"/>
        </w:rPr>
      </w:pPr>
    </w:p>
    <w:p w14:paraId="49C7FDFD">
      <w:pPr>
        <w:jc w:val="center"/>
        <w:rPr>
          <w:rFonts w:ascii="宋体" w:hAnsi="宋体"/>
          <w:b/>
          <w:bCs/>
          <w:color w:val="auto"/>
          <w:sz w:val="28"/>
          <w:highlight w:val="none"/>
        </w:rPr>
      </w:pPr>
    </w:p>
    <w:p w14:paraId="5031F390">
      <w:pPr>
        <w:jc w:val="center"/>
        <w:rPr>
          <w:rFonts w:ascii="宋体" w:hAnsi="宋体"/>
          <w:b/>
          <w:bCs/>
          <w:color w:val="auto"/>
          <w:sz w:val="28"/>
          <w:highlight w:val="none"/>
        </w:rPr>
      </w:pPr>
    </w:p>
    <w:p w14:paraId="6773924A">
      <w:pPr>
        <w:spacing w:line="900" w:lineRule="exact"/>
        <w:ind w:firstLine="320" w:firstLineChars="100"/>
        <w:rPr>
          <w:rFonts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69E657BB">
      <w:pPr>
        <w:spacing w:line="900" w:lineRule="exact"/>
        <w:ind w:firstLine="313" w:firstLineChars="98"/>
        <w:rPr>
          <w:rFonts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52AB5EF0">
      <w:pPr>
        <w:spacing w:line="900" w:lineRule="exact"/>
        <w:ind w:left="-4" w:leftChars="-2" w:firstLine="320" w:firstLineChars="100"/>
        <w:rPr>
          <w:rFonts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21D1D912">
      <w:pPr>
        <w:spacing w:line="900" w:lineRule="exact"/>
        <w:ind w:firstLine="160" w:firstLineChars="50"/>
        <w:rPr>
          <w:rFonts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75EB4C50">
      <w:pPr>
        <w:rPr>
          <w:b/>
          <w:bCs/>
          <w:color w:val="auto"/>
          <w:sz w:val="36"/>
          <w:highlight w:val="none"/>
        </w:rPr>
      </w:pPr>
    </w:p>
    <w:p w14:paraId="604B5988">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法定代表人授权书（格式）</w:t>
      </w:r>
    </w:p>
    <w:p w14:paraId="63EAE5F0">
      <w:pPr>
        <w:spacing w:line="480" w:lineRule="auto"/>
        <w:jc w:val="center"/>
        <w:rPr>
          <w:rFonts w:ascii="宋体" w:hAnsi="宋体" w:cs="宋体"/>
          <w:b/>
          <w:color w:val="auto"/>
          <w:sz w:val="48"/>
          <w:highlight w:val="none"/>
        </w:rPr>
      </w:pPr>
    </w:p>
    <w:p w14:paraId="348FCC4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824CE2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08984CE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6038E8A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108EE2A3">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1EE75112">
      <w:pPr>
        <w:spacing w:line="360" w:lineRule="auto"/>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375198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729D52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4BCEB517">
      <w:pP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w:t>
      </w:r>
    </w:p>
    <w:p w14:paraId="57A490B0">
      <w:pPr>
        <w:spacing w:line="360" w:lineRule="auto"/>
        <w:rPr>
          <w:rFonts w:ascii="宋体" w:hAnsi="宋体" w:cs="宋体"/>
          <w:color w:val="auto"/>
          <w:sz w:val="24"/>
          <w:highlight w:val="none"/>
        </w:rPr>
      </w:pPr>
    </w:p>
    <w:p w14:paraId="5EF445F3">
      <w:pPr>
        <w:spacing w:line="360" w:lineRule="auto"/>
        <w:rPr>
          <w:rFonts w:ascii="宋体" w:hAnsi="宋体" w:cs="宋体"/>
          <w:color w:val="auto"/>
          <w:sz w:val="24"/>
          <w:highlight w:val="none"/>
        </w:rPr>
      </w:pPr>
    </w:p>
    <w:p w14:paraId="7D28A142">
      <w:pPr>
        <w:spacing w:line="360" w:lineRule="auto"/>
        <w:rPr>
          <w:rFonts w:ascii="宋体" w:hAnsi="宋体" w:cs="宋体"/>
          <w:color w:val="auto"/>
          <w:sz w:val="24"/>
          <w:highlight w:val="none"/>
        </w:rPr>
      </w:pPr>
    </w:p>
    <w:p w14:paraId="24CEB2C9">
      <w:pPr>
        <w:spacing w:line="800" w:lineRule="exact"/>
        <w:rPr>
          <w:rFonts w:ascii="宋体" w:hAnsi="宋体" w:cs="宋体"/>
          <w:color w:val="auto"/>
          <w:sz w:val="24"/>
          <w:highlight w:val="none"/>
        </w:rPr>
      </w:pPr>
      <w:r>
        <w:rPr>
          <w:rFonts w:hint="eastAsia" w:ascii="宋体" w:hAnsi="宋体" w:cs="宋体"/>
          <w:color w:val="auto"/>
          <w:sz w:val="24"/>
          <w:highlight w:val="none"/>
        </w:rPr>
        <w:t>投标人（盖电子签章）：</w:t>
      </w:r>
    </w:p>
    <w:p w14:paraId="4065F7A9">
      <w:pPr>
        <w:spacing w:line="800" w:lineRule="exact"/>
        <w:rPr>
          <w:rFonts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7A80FF59">
      <w:pPr>
        <w:spacing w:line="800" w:lineRule="exact"/>
        <w:rPr>
          <w:rFonts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700B22E">
      <w:pPr>
        <w:spacing w:line="360" w:lineRule="auto"/>
        <w:rPr>
          <w:rFonts w:ascii="宋体" w:hAnsi="宋体" w:cs="宋体"/>
          <w:color w:val="auto"/>
          <w:sz w:val="24"/>
          <w:highlight w:val="none"/>
        </w:rPr>
      </w:pPr>
    </w:p>
    <w:p w14:paraId="3FD92FC0">
      <w:pPr>
        <w:spacing w:line="360" w:lineRule="auto"/>
        <w:rPr>
          <w:rFonts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3A5F656E">
      <w:pPr>
        <w:jc w:val="center"/>
        <w:rPr>
          <w:rFonts w:ascii="宋体" w:hAnsi="宋体" w:cs="宋体"/>
          <w:b/>
          <w:bCs/>
          <w:color w:val="auto"/>
          <w:sz w:val="36"/>
          <w:highlight w:val="none"/>
        </w:rPr>
      </w:pPr>
    </w:p>
    <w:p w14:paraId="30119F46">
      <w:pPr>
        <w:spacing w:line="360" w:lineRule="auto"/>
        <w:jc w:val="center"/>
        <w:outlineLvl w:val="2"/>
        <w:rPr>
          <w:rFonts w:ascii="宋体" w:hAnsi="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cs="宋体"/>
          <w:b/>
          <w:color w:val="auto"/>
          <w:sz w:val="32"/>
          <w:szCs w:val="32"/>
          <w:highlight w:val="none"/>
        </w:rPr>
        <w:t>义乌市国企采购项目投标承诺书</w:t>
      </w:r>
    </w:p>
    <w:p w14:paraId="033061DA">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686F8705">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2.自愿接受义乌市财政局（以下简称市财政局）的管理，并严格遵守市财政局制定的招投标管理制度、规范和纪律。</w:t>
      </w:r>
    </w:p>
    <w:p w14:paraId="3C6CDB02">
      <w:pPr>
        <w:pStyle w:val="18"/>
        <w:spacing w:line="360" w:lineRule="exact"/>
        <w:ind w:firstLine="464" w:firstLineChars="200"/>
        <w:rPr>
          <w:rFonts w:hAnsi="宋体" w:cs="宋体"/>
          <w:color w:val="auto"/>
          <w:w w:val="97"/>
          <w:sz w:val="24"/>
          <w:szCs w:val="24"/>
          <w:highlight w:val="none"/>
        </w:rPr>
      </w:pPr>
      <w:r>
        <w:rPr>
          <w:rFonts w:hint="eastAsia" w:hAnsi="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02937E0A">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7AB5C48D">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657BC6FE">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5AB63892">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7.在备案、招标、投标、报名、开标、评标、询标、中标、签订合同、合同备案等招投标预备和进行的全过程中提供的资料均真实、有效，不弄虚作假。</w:t>
      </w:r>
    </w:p>
    <w:p w14:paraId="3B8445C0">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4FADE19E">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4C012E8B">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10BBB4EC">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412DB80E">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611E6FE3">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687BFA74">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14.严格遵守开标会议纪律，不在开标会场吵闹、滋事，服从工作人员指挥。</w:t>
      </w:r>
    </w:p>
    <w:p w14:paraId="5960A278">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16AA10C0">
      <w:pPr>
        <w:pStyle w:val="18"/>
        <w:spacing w:line="3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153BFED5">
      <w:pPr>
        <w:rPr>
          <w:color w:val="auto"/>
          <w:szCs w:val="20"/>
          <w:highlight w:val="none"/>
        </w:rPr>
      </w:pPr>
    </w:p>
    <w:p w14:paraId="1BD91112">
      <w:pPr>
        <w:pStyle w:val="18"/>
        <w:spacing w:line="380" w:lineRule="exact"/>
        <w:ind w:firstLine="240"/>
        <w:rPr>
          <w:rFonts w:hAnsi="宋体" w:cs="宋体"/>
          <w:color w:val="auto"/>
          <w:sz w:val="24"/>
          <w:szCs w:val="24"/>
          <w:highlight w:val="none"/>
        </w:rPr>
      </w:pPr>
      <w:r>
        <w:rPr>
          <w:rFonts w:hint="eastAsia" w:hAnsi="宋体" w:cs="宋体"/>
          <w:color w:val="auto"/>
          <w:sz w:val="24"/>
          <w:szCs w:val="24"/>
          <w:highlight w:val="none"/>
        </w:rPr>
        <w:t xml:space="preserve">投标人（电子签章）：法定代表人或其授权的委托代理人（签字或盖章）：   </w:t>
      </w:r>
    </w:p>
    <w:p w14:paraId="3F9A23D2">
      <w:pPr>
        <w:pStyle w:val="18"/>
        <w:spacing w:line="380" w:lineRule="exact"/>
        <w:ind w:firstLine="240"/>
        <w:rPr>
          <w:rFonts w:hAnsi="宋体" w:cs="宋体"/>
          <w:color w:val="auto"/>
          <w:sz w:val="24"/>
          <w:szCs w:val="24"/>
          <w:highlight w:val="none"/>
        </w:rPr>
      </w:pPr>
      <w:r>
        <w:rPr>
          <w:rFonts w:hint="eastAsia" w:hAnsi="宋体" w:cs="宋体"/>
          <w:color w:val="auto"/>
          <w:sz w:val="24"/>
          <w:szCs w:val="24"/>
          <w:highlight w:val="none"/>
        </w:rPr>
        <w:t>年   月   日</w:t>
      </w:r>
    </w:p>
    <w:p w14:paraId="4C9617AF">
      <w:pPr>
        <w:spacing w:line="360" w:lineRule="auto"/>
        <w:jc w:val="center"/>
        <w:outlineLvl w:val="2"/>
        <w:rPr>
          <w:rFonts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规范偏离表</w:t>
      </w:r>
    </w:p>
    <w:p w14:paraId="6423F11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投标人名称（盖电子签章）：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采购编号：_____________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3056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51557C1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vAlign w:val="center"/>
          </w:tcPr>
          <w:p w14:paraId="2FBF50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vAlign w:val="center"/>
          </w:tcPr>
          <w:p w14:paraId="0A0CA8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招标文件</w:t>
            </w:r>
          </w:p>
          <w:p w14:paraId="22D83F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vAlign w:val="center"/>
          </w:tcPr>
          <w:p w14:paraId="5209AF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投标文件</w:t>
            </w:r>
          </w:p>
          <w:p w14:paraId="3D47565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vAlign w:val="center"/>
          </w:tcPr>
          <w:p w14:paraId="07BC279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偏离情况</w:t>
            </w:r>
          </w:p>
          <w:p w14:paraId="78D4EFF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详细说明</w:t>
            </w:r>
          </w:p>
        </w:tc>
      </w:tr>
      <w:tr w14:paraId="3CA7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2C799E06">
            <w:pPr>
              <w:spacing w:line="360" w:lineRule="auto"/>
              <w:rPr>
                <w:rFonts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14:paraId="58951BE1">
            <w:pPr>
              <w:spacing w:line="360" w:lineRule="auto"/>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5E782DCA">
            <w:pPr>
              <w:spacing w:line="360" w:lineRule="auto"/>
              <w:rPr>
                <w:rFonts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tcPr>
          <w:p w14:paraId="69A02838">
            <w:pPr>
              <w:spacing w:line="360" w:lineRule="auto"/>
              <w:rPr>
                <w:rFonts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tcPr>
          <w:p w14:paraId="30B2F46C">
            <w:pPr>
              <w:spacing w:line="360" w:lineRule="auto"/>
              <w:rPr>
                <w:rFonts w:ascii="宋体" w:hAnsi="宋体" w:cs="宋体"/>
                <w:color w:val="auto"/>
                <w:sz w:val="24"/>
                <w:highlight w:val="none"/>
              </w:rPr>
            </w:pPr>
          </w:p>
        </w:tc>
      </w:tr>
      <w:tr w14:paraId="545E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565C3237">
            <w:pPr>
              <w:spacing w:line="360" w:lineRule="auto"/>
              <w:rPr>
                <w:rFonts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14:paraId="51AD65AE">
            <w:pPr>
              <w:spacing w:line="360" w:lineRule="auto"/>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52B1BF92">
            <w:pPr>
              <w:spacing w:line="360" w:lineRule="auto"/>
              <w:rPr>
                <w:rFonts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tcPr>
          <w:p w14:paraId="21A652C5">
            <w:pPr>
              <w:spacing w:line="360" w:lineRule="auto"/>
              <w:rPr>
                <w:rFonts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tcPr>
          <w:p w14:paraId="7C297D68">
            <w:pPr>
              <w:spacing w:line="360" w:lineRule="auto"/>
              <w:rPr>
                <w:rFonts w:ascii="宋体" w:hAnsi="宋体" w:cs="宋体"/>
                <w:color w:val="auto"/>
                <w:sz w:val="24"/>
                <w:highlight w:val="none"/>
              </w:rPr>
            </w:pPr>
          </w:p>
        </w:tc>
      </w:tr>
      <w:tr w14:paraId="1DF0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37E16961">
            <w:pPr>
              <w:spacing w:line="360" w:lineRule="auto"/>
              <w:rPr>
                <w:rFonts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14:paraId="12403498">
            <w:pPr>
              <w:spacing w:line="360" w:lineRule="auto"/>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510A6C33">
            <w:pPr>
              <w:spacing w:line="360" w:lineRule="auto"/>
              <w:rPr>
                <w:rFonts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tcPr>
          <w:p w14:paraId="42D8ECD4">
            <w:pPr>
              <w:spacing w:line="360" w:lineRule="auto"/>
              <w:rPr>
                <w:rFonts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tcPr>
          <w:p w14:paraId="382733FD">
            <w:pPr>
              <w:spacing w:line="360" w:lineRule="auto"/>
              <w:rPr>
                <w:rFonts w:ascii="宋体" w:hAnsi="宋体" w:cs="宋体"/>
                <w:color w:val="auto"/>
                <w:sz w:val="24"/>
                <w:highlight w:val="none"/>
              </w:rPr>
            </w:pPr>
          </w:p>
        </w:tc>
      </w:tr>
      <w:tr w14:paraId="5D41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tcPr>
          <w:p w14:paraId="554DE58A">
            <w:pPr>
              <w:spacing w:line="360" w:lineRule="auto"/>
              <w:rPr>
                <w:rFonts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14:paraId="7B8884A5">
            <w:pPr>
              <w:spacing w:line="360" w:lineRule="auto"/>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47219F7A">
            <w:pPr>
              <w:spacing w:line="360" w:lineRule="auto"/>
              <w:rPr>
                <w:rFonts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tcPr>
          <w:p w14:paraId="4A82011D">
            <w:pPr>
              <w:spacing w:line="360" w:lineRule="auto"/>
              <w:rPr>
                <w:rFonts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tcPr>
          <w:p w14:paraId="2547BE1E">
            <w:pPr>
              <w:spacing w:line="360" w:lineRule="auto"/>
              <w:rPr>
                <w:rFonts w:ascii="宋体" w:hAnsi="宋体" w:cs="宋体"/>
                <w:color w:val="auto"/>
                <w:sz w:val="24"/>
                <w:highlight w:val="none"/>
              </w:rPr>
            </w:pPr>
          </w:p>
        </w:tc>
      </w:tr>
      <w:tr w14:paraId="13CF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4B63A489">
            <w:pPr>
              <w:spacing w:line="360" w:lineRule="auto"/>
              <w:rPr>
                <w:rFonts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14:paraId="75301DF2">
            <w:pPr>
              <w:spacing w:line="360" w:lineRule="auto"/>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36934629">
            <w:pPr>
              <w:spacing w:line="360" w:lineRule="auto"/>
              <w:rPr>
                <w:rFonts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tcPr>
          <w:p w14:paraId="3693994B">
            <w:pPr>
              <w:spacing w:line="360" w:lineRule="auto"/>
              <w:rPr>
                <w:rFonts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tcPr>
          <w:p w14:paraId="7A362B97">
            <w:pPr>
              <w:spacing w:line="360" w:lineRule="auto"/>
              <w:rPr>
                <w:rFonts w:ascii="宋体" w:hAnsi="宋体" w:cs="宋体"/>
                <w:color w:val="auto"/>
                <w:sz w:val="24"/>
                <w:highlight w:val="none"/>
              </w:rPr>
            </w:pPr>
          </w:p>
        </w:tc>
      </w:tr>
      <w:tr w14:paraId="6F85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6184203F">
            <w:pPr>
              <w:spacing w:line="360" w:lineRule="auto"/>
              <w:rPr>
                <w:rFonts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14:paraId="3A668376">
            <w:pPr>
              <w:spacing w:line="360" w:lineRule="auto"/>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7DA623A1">
            <w:pPr>
              <w:spacing w:line="360" w:lineRule="auto"/>
              <w:rPr>
                <w:rFonts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tcPr>
          <w:p w14:paraId="0772F12E">
            <w:pPr>
              <w:spacing w:line="360" w:lineRule="auto"/>
              <w:rPr>
                <w:rFonts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tcPr>
          <w:p w14:paraId="0941D611">
            <w:pPr>
              <w:spacing w:line="360" w:lineRule="auto"/>
              <w:rPr>
                <w:rFonts w:ascii="宋体" w:hAnsi="宋体" w:cs="宋体"/>
                <w:color w:val="auto"/>
                <w:sz w:val="24"/>
                <w:highlight w:val="none"/>
              </w:rPr>
            </w:pPr>
          </w:p>
        </w:tc>
      </w:tr>
      <w:tr w14:paraId="5A5B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564C4757">
            <w:pPr>
              <w:spacing w:line="360" w:lineRule="auto"/>
              <w:rPr>
                <w:rFonts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14:paraId="5C07ED22">
            <w:pPr>
              <w:spacing w:line="360" w:lineRule="auto"/>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12502979">
            <w:pPr>
              <w:spacing w:line="360" w:lineRule="auto"/>
              <w:rPr>
                <w:rFonts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tcPr>
          <w:p w14:paraId="37B538D9">
            <w:pPr>
              <w:spacing w:line="360" w:lineRule="auto"/>
              <w:rPr>
                <w:rFonts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tcPr>
          <w:p w14:paraId="0EEA5246">
            <w:pPr>
              <w:spacing w:line="360" w:lineRule="auto"/>
              <w:rPr>
                <w:rFonts w:ascii="宋体" w:hAnsi="宋体" w:cs="宋体"/>
                <w:color w:val="auto"/>
                <w:sz w:val="24"/>
                <w:highlight w:val="none"/>
              </w:rPr>
            </w:pPr>
          </w:p>
        </w:tc>
      </w:tr>
      <w:tr w14:paraId="4D68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04AAA0DD">
            <w:pPr>
              <w:spacing w:line="360" w:lineRule="auto"/>
              <w:rPr>
                <w:rFonts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tcPr>
          <w:p w14:paraId="720995B1">
            <w:pPr>
              <w:spacing w:line="360" w:lineRule="auto"/>
              <w:rPr>
                <w:rFonts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6CD7FF1">
            <w:pPr>
              <w:spacing w:line="360" w:lineRule="auto"/>
              <w:rPr>
                <w:rFonts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tcPr>
          <w:p w14:paraId="494AABB6">
            <w:pPr>
              <w:spacing w:line="360" w:lineRule="auto"/>
              <w:rPr>
                <w:rFonts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tcPr>
          <w:p w14:paraId="2A706900">
            <w:pPr>
              <w:spacing w:line="360" w:lineRule="auto"/>
              <w:rPr>
                <w:rFonts w:ascii="宋体" w:hAnsi="宋体" w:cs="宋体"/>
                <w:color w:val="auto"/>
                <w:sz w:val="24"/>
                <w:highlight w:val="none"/>
              </w:rPr>
            </w:pPr>
          </w:p>
        </w:tc>
      </w:tr>
    </w:tbl>
    <w:p w14:paraId="3FB4AF7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116490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2B9B62E9">
      <w:pPr>
        <w:spacing w:line="360" w:lineRule="auto"/>
        <w:rPr>
          <w:rFonts w:ascii="宋体" w:hAnsi="宋体" w:cs="宋体"/>
          <w:color w:val="auto"/>
          <w:sz w:val="24"/>
          <w:highlight w:val="none"/>
        </w:rPr>
      </w:pPr>
      <w:r>
        <w:rPr>
          <w:rFonts w:hint="eastAsia" w:ascii="宋体" w:hAnsi="宋体" w:cs="宋体"/>
          <w:color w:val="auto"/>
          <w:sz w:val="24"/>
          <w:highlight w:val="none"/>
        </w:rPr>
        <w:t>日 期：      年    月      日</w:t>
      </w:r>
    </w:p>
    <w:p w14:paraId="6CBC7F34">
      <w:pPr>
        <w:spacing w:line="360" w:lineRule="auto"/>
        <w:rPr>
          <w:rFonts w:ascii="宋体" w:hAnsi="宋体" w:cs="宋体"/>
          <w:color w:val="auto"/>
          <w:sz w:val="24"/>
          <w:highlight w:val="none"/>
        </w:rPr>
      </w:pPr>
    </w:p>
    <w:p w14:paraId="00B00A74">
      <w:pPr>
        <w:spacing w:line="360" w:lineRule="auto"/>
        <w:rPr>
          <w:rFonts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538882CF">
      <w:pPr>
        <w:spacing w:line="360" w:lineRule="auto"/>
        <w:rPr>
          <w:rFonts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311DBBE3">
      <w:pPr>
        <w:spacing w:line="360" w:lineRule="auto"/>
        <w:rPr>
          <w:rFonts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7F06836B">
      <w:pPr>
        <w:pStyle w:val="18"/>
        <w:spacing w:line="360" w:lineRule="auto"/>
        <w:ind w:firstLine="240"/>
        <w:rPr>
          <w:rFonts w:hAnsi="宋体" w:cs="宋体"/>
          <w:color w:val="auto"/>
          <w:sz w:val="24"/>
          <w:szCs w:val="24"/>
          <w:highlight w:val="none"/>
        </w:rPr>
      </w:pPr>
    </w:p>
    <w:p w14:paraId="0E4F4BC0">
      <w:pPr>
        <w:spacing w:line="360" w:lineRule="auto"/>
        <w:jc w:val="center"/>
        <w:outlineLvl w:val="2"/>
        <w:rPr>
          <w:rFonts w:ascii="宋体" w:hAnsi="宋体" w:cs="宋体"/>
          <w:b/>
          <w:bCs/>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bCs/>
          <w:color w:val="auto"/>
          <w:sz w:val="36"/>
          <w:szCs w:val="36"/>
          <w:highlight w:val="none"/>
        </w:rPr>
        <w:t>服务简要说明一览表</w:t>
      </w:r>
    </w:p>
    <w:p w14:paraId="43A8E4E1">
      <w:pPr>
        <w:spacing w:before="156" w:beforeLines="50" w:after="156" w:afterLines="50" w:line="360" w:lineRule="auto"/>
        <w:rPr>
          <w:rFonts w:ascii="宋体" w:hAnsi="宋体" w:cs="宋体"/>
          <w:color w:val="auto"/>
          <w:szCs w:val="21"/>
          <w:highlight w:val="none"/>
        </w:rPr>
      </w:pPr>
      <w:r>
        <w:rPr>
          <w:rFonts w:hint="eastAsia" w:ascii="宋体" w:hAnsi="宋体" w:cs="宋体"/>
          <w:color w:val="auto"/>
          <w:sz w:val="24"/>
          <w:highlight w:val="none"/>
        </w:rPr>
        <w:t>投标人名称（电子盖章）：___________________    采购编号：_____________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4097"/>
        <w:gridCol w:w="4258"/>
      </w:tblGrid>
      <w:tr w14:paraId="07C5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5" w:type="dxa"/>
            <w:vAlign w:val="center"/>
          </w:tcPr>
          <w:p w14:paraId="2347A752">
            <w:pPr>
              <w:pStyle w:val="32"/>
              <w:widowControl/>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4097" w:type="dxa"/>
            <w:vAlign w:val="center"/>
          </w:tcPr>
          <w:p w14:paraId="5D1A1F6A">
            <w:pPr>
              <w:pStyle w:val="32"/>
              <w:widowControl/>
              <w:spacing w:line="360" w:lineRule="auto"/>
              <w:jc w:val="center"/>
              <w:rPr>
                <w:rFonts w:ascii="宋体" w:hAnsi="宋体" w:cs="宋体"/>
                <w:color w:val="auto"/>
                <w:highlight w:val="none"/>
              </w:rPr>
            </w:pPr>
            <w:r>
              <w:rPr>
                <w:rFonts w:hint="eastAsia" w:ascii="宋体" w:hAnsi="宋体" w:cs="宋体"/>
                <w:color w:val="auto"/>
                <w:highlight w:val="none"/>
              </w:rPr>
              <w:t>服务内容</w:t>
            </w:r>
          </w:p>
        </w:tc>
        <w:tc>
          <w:tcPr>
            <w:tcW w:w="4258" w:type="dxa"/>
            <w:vAlign w:val="center"/>
          </w:tcPr>
          <w:p w14:paraId="543D5164">
            <w:pPr>
              <w:pStyle w:val="32"/>
              <w:widowControl/>
              <w:spacing w:line="360" w:lineRule="auto"/>
              <w:jc w:val="center"/>
              <w:rPr>
                <w:rFonts w:ascii="宋体" w:hAnsi="宋体" w:cs="宋体"/>
                <w:color w:val="auto"/>
                <w:highlight w:val="none"/>
              </w:rPr>
            </w:pPr>
            <w:r>
              <w:rPr>
                <w:rFonts w:hint="eastAsia" w:ascii="宋体" w:hAnsi="宋体" w:cs="宋体"/>
                <w:color w:val="auto"/>
                <w:highlight w:val="none"/>
              </w:rPr>
              <w:t>备注</w:t>
            </w:r>
          </w:p>
        </w:tc>
      </w:tr>
      <w:tr w14:paraId="3B02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5" w:type="dxa"/>
            <w:vAlign w:val="center"/>
          </w:tcPr>
          <w:p w14:paraId="0880B6FC">
            <w:pPr>
              <w:spacing w:line="360" w:lineRule="auto"/>
              <w:jc w:val="center"/>
              <w:rPr>
                <w:rFonts w:ascii="宋体" w:hAnsi="宋体" w:cs="宋体"/>
                <w:color w:val="auto"/>
                <w:szCs w:val="21"/>
                <w:highlight w:val="none"/>
              </w:rPr>
            </w:pPr>
          </w:p>
        </w:tc>
        <w:tc>
          <w:tcPr>
            <w:tcW w:w="4097" w:type="dxa"/>
            <w:vAlign w:val="center"/>
          </w:tcPr>
          <w:p w14:paraId="367B3805">
            <w:pPr>
              <w:spacing w:line="360" w:lineRule="auto"/>
              <w:jc w:val="center"/>
              <w:rPr>
                <w:rFonts w:ascii="宋体" w:hAnsi="宋体" w:cs="宋体"/>
                <w:color w:val="auto"/>
                <w:szCs w:val="21"/>
                <w:highlight w:val="none"/>
              </w:rPr>
            </w:pPr>
          </w:p>
        </w:tc>
        <w:tc>
          <w:tcPr>
            <w:tcW w:w="4258" w:type="dxa"/>
            <w:vAlign w:val="center"/>
          </w:tcPr>
          <w:p w14:paraId="10E11AED">
            <w:pPr>
              <w:spacing w:line="360" w:lineRule="auto"/>
              <w:jc w:val="center"/>
              <w:rPr>
                <w:rFonts w:ascii="宋体" w:hAnsi="宋体" w:cs="宋体"/>
                <w:color w:val="auto"/>
                <w:szCs w:val="21"/>
                <w:highlight w:val="none"/>
              </w:rPr>
            </w:pPr>
          </w:p>
        </w:tc>
      </w:tr>
      <w:tr w14:paraId="49E2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5" w:type="dxa"/>
            <w:vAlign w:val="center"/>
          </w:tcPr>
          <w:p w14:paraId="2D12AC17">
            <w:pPr>
              <w:spacing w:line="360" w:lineRule="auto"/>
              <w:jc w:val="center"/>
              <w:rPr>
                <w:rFonts w:ascii="宋体" w:hAnsi="宋体" w:cs="宋体"/>
                <w:color w:val="auto"/>
                <w:szCs w:val="21"/>
                <w:highlight w:val="none"/>
              </w:rPr>
            </w:pPr>
          </w:p>
        </w:tc>
        <w:tc>
          <w:tcPr>
            <w:tcW w:w="4097" w:type="dxa"/>
            <w:vAlign w:val="center"/>
          </w:tcPr>
          <w:p w14:paraId="4B78F0AA">
            <w:pPr>
              <w:spacing w:line="360" w:lineRule="auto"/>
              <w:jc w:val="center"/>
              <w:rPr>
                <w:rFonts w:ascii="宋体" w:hAnsi="宋体" w:cs="宋体"/>
                <w:color w:val="auto"/>
                <w:szCs w:val="21"/>
                <w:highlight w:val="none"/>
              </w:rPr>
            </w:pPr>
          </w:p>
        </w:tc>
        <w:tc>
          <w:tcPr>
            <w:tcW w:w="4258" w:type="dxa"/>
            <w:vAlign w:val="center"/>
          </w:tcPr>
          <w:p w14:paraId="30D29C7B">
            <w:pPr>
              <w:spacing w:line="360" w:lineRule="auto"/>
              <w:jc w:val="center"/>
              <w:rPr>
                <w:rFonts w:ascii="宋体" w:hAnsi="宋体" w:cs="宋体"/>
                <w:color w:val="auto"/>
                <w:szCs w:val="21"/>
                <w:highlight w:val="none"/>
              </w:rPr>
            </w:pPr>
          </w:p>
        </w:tc>
      </w:tr>
      <w:tr w14:paraId="5042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5" w:type="dxa"/>
            <w:vAlign w:val="center"/>
          </w:tcPr>
          <w:p w14:paraId="02DD9878">
            <w:pPr>
              <w:spacing w:line="360" w:lineRule="auto"/>
              <w:jc w:val="center"/>
              <w:rPr>
                <w:rFonts w:ascii="宋体" w:hAnsi="宋体" w:cs="宋体"/>
                <w:color w:val="auto"/>
                <w:szCs w:val="21"/>
                <w:highlight w:val="none"/>
              </w:rPr>
            </w:pPr>
          </w:p>
        </w:tc>
        <w:tc>
          <w:tcPr>
            <w:tcW w:w="4097" w:type="dxa"/>
            <w:vAlign w:val="center"/>
          </w:tcPr>
          <w:p w14:paraId="45248B88">
            <w:pPr>
              <w:spacing w:line="360" w:lineRule="auto"/>
              <w:jc w:val="center"/>
              <w:rPr>
                <w:rFonts w:ascii="宋体" w:hAnsi="宋体" w:cs="宋体"/>
                <w:color w:val="auto"/>
                <w:szCs w:val="21"/>
                <w:highlight w:val="none"/>
              </w:rPr>
            </w:pPr>
          </w:p>
        </w:tc>
        <w:tc>
          <w:tcPr>
            <w:tcW w:w="4258" w:type="dxa"/>
            <w:vAlign w:val="center"/>
          </w:tcPr>
          <w:p w14:paraId="0CD3A950">
            <w:pPr>
              <w:spacing w:line="360" w:lineRule="auto"/>
              <w:jc w:val="center"/>
              <w:rPr>
                <w:rFonts w:ascii="宋体" w:hAnsi="宋体" w:cs="宋体"/>
                <w:color w:val="auto"/>
                <w:szCs w:val="21"/>
                <w:highlight w:val="none"/>
              </w:rPr>
            </w:pPr>
          </w:p>
        </w:tc>
      </w:tr>
      <w:tr w14:paraId="65FF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5" w:type="dxa"/>
            <w:vAlign w:val="center"/>
          </w:tcPr>
          <w:p w14:paraId="66A7065F">
            <w:pPr>
              <w:spacing w:line="360" w:lineRule="auto"/>
              <w:jc w:val="center"/>
              <w:rPr>
                <w:rFonts w:ascii="宋体" w:hAnsi="宋体" w:cs="宋体"/>
                <w:color w:val="auto"/>
                <w:szCs w:val="21"/>
                <w:highlight w:val="none"/>
              </w:rPr>
            </w:pPr>
          </w:p>
        </w:tc>
        <w:tc>
          <w:tcPr>
            <w:tcW w:w="4097" w:type="dxa"/>
            <w:vAlign w:val="center"/>
          </w:tcPr>
          <w:p w14:paraId="32E8009B">
            <w:pPr>
              <w:spacing w:line="360" w:lineRule="auto"/>
              <w:jc w:val="center"/>
              <w:rPr>
                <w:rFonts w:ascii="宋体" w:hAnsi="宋体" w:cs="宋体"/>
                <w:color w:val="auto"/>
                <w:szCs w:val="21"/>
                <w:highlight w:val="none"/>
              </w:rPr>
            </w:pPr>
          </w:p>
        </w:tc>
        <w:tc>
          <w:tcPr>
            <w:tcW w:w="4258" w:type="dxa"/>
            <w:vAlign w:val="center"/>
          </w:tcPr>
          <w:p w14:paraId="277163AA">
            <w:pPr>
              <w:spacing w:line="360" w:lineRule="auto"/>
              <w:jc w:val="center"/>
              <w:rPr>
                <w:rFonts w:ascii="宋体" w:hAnsi="宋体" w:cs="宋体"/>
                <w:color w:val="auto"/>
                <w:szCs w:val="21"/>
                <w:highlight w:val="none"/>
              </w:rPr>
            </w:pPr>
          </w:p>
        </w:tc>
      </w:tr>
      <w:tr w14:paraId="3F3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5" w:type="dxa"/>
            <w:vAlign w:val="center"/>
          </w:tcPr>
          <w:p w14:paraId="2572C6CB">
            <w:pPr>
              <w:spacing w:line="360" w:lineRule="auto"/>
              <w:jc w:val="center"/>
              <w:rPr>
                <w:rFonts w:ascii="宋体" w:hAnsi="宋体" w:cs="宋体"/>
                <w:color w:val="auto"/>
                <w:szCs w:val="21"/>
                <w:highlight w:val="none"/>
              </w:rPr>
            </w:pPr>
          </w:p>
        </w:tc>
        <w:tc>
          <w:tcPr>
            <w:tcW w:w="4097" w:type="dxa"/>
            <w:vAlign w:val="center"/>
          </w:tcPr>
          <w:p w14:paraId="670FD0D5">
            <w:pPr>
              <w:spacing w:line="360" w:lineRule="auto"/>
              <w:jc w:val="center"/>
              <w:rPr>
                <w:rFonts w:ascii="宋体" w:hAnsi="宋体" w:cs="宋体"/>
                <w:color w:val="auto"/>
                <w:szCs w:val="21"/>
                <w:highlight w:val="none"/>
              </w:rPr>
            </w:pPr>
          </w:p>
        </w:tc>
        <w:tc>
          <w:tcPr>
            <w:tcW w:w="4258" w:type="dxa"/>
            <w:vAlign w:val="center"/>
          </w:tcPr>
          <w:p w14:paraId="15CE3DDB">
            <w:pPr>
              <w:spacing w:line="360" w:lineRule="auto"/>
              <w:jc w:val="center"/>
              <w:rPr>
                <w:rFonts w:ascii="宋体" w:hAnsi="宋体" w:cs="宋体"/>
                <w:color w:val="auto"/>
                <w:szCs w:val="21"/>
                <w:highlight w:val="none"/>
              </w:rPr>
            </w:pPr>
          </w:p>
        </w:tc>
      </w:tr>
      <w:tr w14:paraId="202C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5" w:type="dxa"/>
            <w:vAlign w:val="center"/>
          </w:tcPr>
          <w:p w14:paraId="4E7B5CBC">
            <w:pPr>
              <w:spacing w:line="360" w:lineRule="auto"/>
              <w:jc w:val="center"/>
              <w:rPr>
                <w:rFonts w:ascii="宋体" w:hAnsi="宋体" w:cs="宋体"/>
                <w:color w:val="auto"/>
                <w:szCs w:val="21"/>
                <w:highlight w:val="none"/>
              </w:rPr>
            </w:pPr>
          </w:p>
        </w:tc>
        <w:tc>
          <w:tcPr>
            <w:tcW w:w="4097" w:type="dxa"/>
            <w:vAlign w:val="center"/>
          </w:tcPr>
          <w:p w14:paraId="35B8B36F">
            <w:pPr>
              <w:spacing w:line="360" w:lineRule="auto"/>
              <w:jc w:val="center"/>
              <w:rPr>
                <w:rFonts w:ascii="宋体" w:hAnsi="宋体" w:cs="宋体"/>
                <w:color w:val="auto"/>
                <w:szCs w:val="21"/>
                <w:highlight w:val="none"/>
              </w:rPr>
            </w:pPr>
          </w:p>
        </w:tc>
        <w:tc>
          <w:tcPr>
            <w:tcW w:w="4258" w:type="dxa"/>
            <w:vAlign w:val="center"/>
          </w:tcPr>
          <w:p w14:paraId="3E0500C6">
            <w:pPr>
              <w:spacing w:line="360" w:lineRule="auto"/>
              <w:jc w:val="center"/>
              <w:rPr>
                <w:rFonts w:ascii="宋体" w:hAnsi="宋体" w:cs="宋体"/>
                <w:color w:val="auto"/>
                <w:szCs w:val="21"/>
                <w:highlight w:val="none"/>
              </w:rPr>
            </w:pPr>
          </w:p>
        </w:tc>
      </w:tr>
      <w:tr w14:paraId="5BE8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5" w:type="dxa"/>
            <w:vAlign w:val="center"/>
          </w:tcPr>
          <w:p w14:paraId="041D3088">
            <w:pPr>
              <w:spacing w:line="360" w:lineRule="auto"/>
              <w:jc w:val="center"/>
              <w:rPr>
                <w:rFonts w:ascii="宋体" w:hAnsi="宋体" w:cs="宋体"/>
                <w:color w:val="auto"/>
                <w:szCs w:val="21"/>
                <w:highlight w:val="none"/>
              </w:rPr>
            </w:pPr>
          </w:p>
        </w:tc>
        <w:tc>
          <w:tcPr>
            <w:tcW w:w="4097" w:type="dxa"/>
            <w:vAlign w:val="center"/>
          </w:tcPr>
          <w:p w14:paraId="6702CEB6">
            <w:pPr>
              <w:spacing w:line="360" w:lineRule="auto"/>
              <w:jc w:val="center"/>
              <w:rPr>
                <w:rFonts w:ascii="宋体" w:hAnsi="宋体" w:cs="宋体"/>
                <w:color w:val="auto"/>
                <w:szCs w:val="21"/>
                <w:highlight w:val="none"/>
              </w:rPr>
            </w:pPr>
          </w:p>
        </w:tc>
        <w:tc>
          <w:tcPr>
            <w:tcW w:w="4258" w:type="dxa"/>
            <w:vAlign w:val="center"/>
          </w:tcPr>
          <w:p w14:paraId="4463CE9C">
            <w:pPr>
              <w:spacing w:line="360" w:lineRule="auto"/>
              <w:jc w:val="center"/>
              <w:rPr>
                <w:rFonts w:ascii="宋体" w:hAnsi="宋体" w:cs="宋体"/>
                <w:color w:val="auto"/>
                <w:szCs w:val="21"/>
                <w:highlight w:val="none"/>
              </w:rPr>
            </w:pPr>
          </w:p>
        </w:tc>
      </w:tr>
    </w:tbl>
    <w:p w14:paraId="2CD3CEC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372CCC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7514CF15">
      <w:pPr>
        <w:spacing w:line="360" w:lineRule="auto"/>
        <w:rPr>
          <w:rFonts w:ascii="宋体" w:hAnsi="宋体" w:cs="宋体"/>
          <w:color w:val="auto"/>
          <w:sz w:val="24"/>
          <w:highlight w:val="none"/>
        </w:rPr>
      </w:pPr>
      <w:r>
        <w:rPr>
          <w:rFonts w:hint="eastAsia" w:ascii="宋体" w:hAnsi="宋体" w:cs="宋体"/>
          <w:color w:val="auto"/>
          <w:sz w:val="24"/>
          <w:highlight w:val="none"/>
        </w:rPr>
        <w:t>日 期：      年    月      日</w:t>
      </w:r>
    </w:p>
    <w:p w14:paraId="73707123">
      <w:pPr>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45A25B50">
      <w:pPr>
        <w:spacing w:line="360" w:lineRule="auto"/>
        <w:rPr>
          <w:rFonts w:ascii="宋体" w:hAnsi="宋体" w:cs="宋体"/>
          <w:color w:val="auto"/>
          <w:sz w:val="24"/>
          <w:highlight w:val="none"/>
        </w:rPr>
      </w:pPr>
      <w:r>
        <w:rPr>
          <w:rFonts w:hint="eastAsia" w:ascii="宋体" w:hAnsi="宋体" w:cs="宋体"/>
          <w:color w:val="auto"/>
          <w:sz w:val="24"/>
          <w:highlight w:val="none"/>
        </w:rPr>
        <w:t>1、此表在不改变格式的情况下可自行制作。</w:t>
      </w:r>
    </w:p>
    <w:p w14:paraId="70CF6B30">
      <w:pPr>
        <w:spacing w:line="360" w:lineRule="auto"/>
        <w:jc w:val="center"/>
        <w:outlineLvl w:val="2"/>
        <w:rPr>
          <w:rFonts w:ascii="宋体" w:hAnsi="宋体" w:cs="宋体"/>
          <w:b/>
          <w:bCs/>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bCs/>
          <w:color w:val="auto"/>
          <w:sz w:val="36"/>
          <w:szCs w:val="36"/>
          <w:highlight w:val="none"/>
        </w:rPr>
        <w:t>技术服务承诺书</w:t>
      </w:r>
    </w:p>
    <w:p w14:paraId="44496B3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（投标方自行书写）</w:t>
      </w:r>
    </w:p>
    <w:p w14:paraId="7A5B8EE1">
      <w:pPr>
        <w:spacing w:line="360" w:lineRule="auto"/>
        <w:jc w:val="center"/>
        <w:rPr>
          <w:rFonts w:ascii="宋体" w:hAnsi="宋体" w:cs="宋体"/>
          <w:color w:val="auto"/>
          <w:sz w:val="24"/>
          <w:highlight w:val="none"/>
        </w:rPr>
      </w:pPr>
    </w:p>
    <w:p w14:paraId="6377711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投标单位须对服务期、服务质量、售后服务、人员等招标文件中要求做出承诺的内容做出相应承诺</w:t>
      </w:r>
    </w:p>
    <w:p w14:paraId="5EA90633">
      <w:pPr>
        <w:spacing w:line="360" w:lineRule="auto"/>
        <w:jc w:val="center"/>
        <w:rPr>
          <w:rFonts w:ascii="宋体" w:hAnsi="宋体" w:cs="宋体"/>
          <w:color w:val="auto"/>
          <w:sz w:val="24"/>
          <w:highlight w:val="none"/>
        </w:rPr>
      </w:pPr>
    </w:p>
    <w:p w14:paraId="4BC3BFAB">
      <w:pPr>
        <w:spacing w:line="360" w:lineRule="auto"/>
        <w:jc w:val="center"/>
        <w:rPr>
          <w:rFonts w:ascii="宋体" w:hAnsi="宋体" w:cs="宋体"/>
          <w:color w:val="auto"/>
          <w:sz w:val="24"/>
          <w:highlight w:val="none"/>
        </w:rPr>
      </w:pPr>
    </w:p>
    <w:p w14:paraId="796B8E1C">
      <w:pPr>
        <w:spacing w:line="360" w:lineRule="auto"/>
        <w:jc w:val="center"/>
        <w:rPr>
          <w:rFonts w:ascii="宋体" w:hAnsi="宋体" w:cs="宋体"/>
          <w:color w:val="auto"/>
          <w:sz w:val="24"/>
          <w:highlight w:val="none"/>
        </w:rPr>
      </w:pPr>
    </w:p>
    <w:p w14:paraId="447FE4C7">
      <w:pPr>
        <w:spacing w:line="360" w:lineRule="auto"/>
        <w:jc w:val="center"/>
        <w:rPr>
          <w:rFonts w:ascii="宋体" w:hAnsi="宋体" w:cs="宋体"/>
          <w:color w:val="auto"/>
          <w:sz w:val="24"/>
          <w:highlight w:val="none"/>
        </w:rPr>
      </w:pPr>
    </w:p>
    <w:p w14:paraId="7DFC712D">
      <w:pPr>
        <w:spacing w:line="360" w:lineRule="auto"/>
        <w:jc w:val="center"/>
        <w:rPr>
          <w:rFonts w:ascii="宋体" w:hAnsi="宋体" w:cs="宋体"/>
          <w:color w:val="auto"/>
          <w:sz w:val="24"/>
          <w:highlight w:val="none"/>
        </w:rPr>
      </w:pPr>
    </w:p>
    <w:p w14:paraId="4AF6FB58">
      <w:pPr>
        <w:spacing w:line="360" w:lineRule="auto"/>
        <w:jc w:val="center"/>
        <w:rPr>
          <w:rFonts w:ascii="宋体" w:hAnsi="宋体" w:cs="宋体"/>
          <w:color w:val="auto"/>
          <w:sz w:val="24"/>
          <w:highlight w:val="none"/>
        </w:rPr>
      </w:pPr>
    </w:p>
    <w:p w14:paraId="7E54E690">
      <w:pPr>
        <w:spacing w:line="360" w:lineRule="auto"/>
        <w:jc w:val="center"/>
        <w:rPr>
          <w:rFonts w:ascii="宋体" w:hAnsi="宋体" w:cs="宋体"/>
          <w:color w:val="auto"/>
          <w:sz w:val="24"/>
          <w:highlight w:val="none"/>
        </w:rPr>
      </w:pPr>
    </w:p>
    <w:p w14:paraId="43DB2D13">
      <w:pPr>
        <w:spacing w:line="360" w:lineRule="auto"/>
        <w:jc w:val="center"/>
        <w:rPr>
          <w:rFonts w:ascii="宋体" w:hAnsi="宋体" w:cs="宋体"/>
          <w:color w:val="auto"/>
          <w:sz w:val="24"/>
          <w:highlight w:val="none"/>
        </w:rPr>
      </w:pPr>
    </w:p>
    <w:p w14:paraId="3F221659">
      <w:pPr>
        <w:spacing w:line="360" w:lineRule="auto"/>
        <w:jc w:val="center"/>
        <w:rPr>
          <w:rFonts w:ascii="宋体" w:hAnsi="宋体" w:cs="宋体"/>
          <w:color w:val="auto"/>
          <w:sz w:val="24"/>
          <w:highlight w:val="none"/>
        </w:rPr>
      </w:pPr>
    </w:p>
    <w:p w14:paraId="080F1A8F">
      <w:pPr>
        <w:spacing w:line="36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法定代表人（或负责人）或其授权的委托代理人：</w:t>
      </w:r>
    </w:p>
    <w:p w14:paraId="5FEFC013">
      <w:pPr>
        <w:spacing w:line="360" w:lineRule="auto"/>
        <w:ind w:firstLine="4560" w:firstLineChars="1900"/>
        <w:rPr>
          <w:rFonts w:ascii="宋体" w:hAnsi="宋体" w:cs="宋体"/>
          <w:color w:val="auto"/>
          <w:sz w:val="24"/>
          <w:highlight w:val="none"/>
          <w:u w:val="single"/>
        </w:rPr>
      </w:pPr>
      <w:r>
        <w:rPr>
          <w:rFonts w:hint="eastAsia" w:ascii="宋体" w:hAnsi="宋体" w:cs="宋体"/>
          <w:color w:val="auto"/>
          <w:sz w:val="24"/>
          <w:highlight w:val="none"/>
        </w:rPr>
        <w:t>投标人名称（电子签章）：</w:t>
      </w:r>
      <w:r>
        <w:rPr>
          <w:rFonts w:hint="eastAsia" w:ascii="宋体" w:hAnsi="宋体" w:cs="宋体"/>
          <w:color w:val="auto"/>
          <w:sz w:val="24"/>
          <w:highlight w:val="none"/>
          <w:u w:val="single"/>
        </w:rPr>
        <w:t xml:space="preserve">                        </w:t>
      </w:r>
    </w:p>
    <w:p w14:paraId="4567ED18">
      <w:pPr>
        <w:spacing w:line="360" w:lineRule="auto"/>
        <w:jc w:val="right"/>
        <w:rPr>
          <w:rFonts w:ascii="宋体" w:hAnsi="宋体" w:cs="宋体"/>
          <w:color w:val="auto"/>
          <w:sz w:val="24"/>
          <w:highlight w:val="none"/>
        </w:rPr>
        <w:sectPr>
          <w:pgSz w:w="11906" w:h="16838"/>
          <w:pgMar w:top="1246" w:right="1803" w:bottom="1440" w:left="1803" w:header="851" w:footer="992" w:gutter="0"/>
          <w:cols w:space="720" w:num="1"/>
          <w:titlePg/>
          <w:docGrid w:type="lines" w:linePitch="312" w:charSpace="0"/>
        </w:sectPr>
      </w:pPr>
      <w:r>
        <w:rPr>
          <w:rFonts w:hint="eastAsia" w:ascii="宋体" w:hAnsi="宋体" w:cs="宋体"/>
          <w:color w:val="auto"/>
          <w:sz w:val="24"/>
          <w:highlight w:val="none"/>
        </w:rPr>
        <w:t>年      月      日</w:t>
      </w:r>
    </w:p>
    <w:p w14:paraId="64033105">
      <w:pPr>
        <w:spacing w:line="360"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投标单位情况表</w:t>
      </w:r>
    </w:p>
    <w:p w14:paraId="28E9BE4F">
      <w:pPr>
        <w:spacing w:line="360" w:lineRule="auto"/>
        <w:jc w:val="center"/>
        <w:rPr>
          <w:rFonts w:ascii="宋体" w:hAnsi="宋体" w:cs="宋体"/>
          <w:color w:val="auto"/>
          <w:sz w:val="24"/>
          <w:highlight w:val="none"/>
        </w:rPr>
      </w:pPr>
    </w:p>
    <w:p w14:paraId="4BB36D8E">
      <w:pPr>
        <w:spacing w:line="360" w:lineRule="auto"/>
        <w:rPr>
          <w:rFonts w:ascii="宋体" w:hAnsi="宋体" w:cs="宋体"/>
          <w:color w:val="auto"/>
          <w:szCs w:val="21"/>
          <w:highlight w:val="none"/>
        </w:rPr>
      </w:pPr>
      <w:r>
        <w:rPr>
          <w:rFonts w:hint="eastAsia" w:ascii="宋体" w:hAnsi="宋体" w:cs="宋体"/>
          <w:color w:val="auto"/>
          <w:szCs w:val="21"/>
          <w:highlight w:val="none"/>
        </w:rPr>
        <w:t>投标人名称（电子签章）：                                   填表日期：</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305"/>
        <w:gridCol w:w="2824"/>
        <w:gridCol w:w="1222"/>
        <w:gridCol w:w="166"/>
        <w:gridCol w:w="2534"/>
      </w:tblGrid>
      <w:tr w14:paraId="5757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gridSpan w:val="2"/>
            <w:vAlign w:val="center"/>
          </w:tcPr>
          <w:p w14:paraId="4746AE4B">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w:t>
            </w:r>
          </w:p>
        </w:tc>
        <w:tc>
          <w:tcPr>
            <w:tcW w:w="2824" w:type="dxa"/>
            <w:vAlign w:val="center"/>
          </w:tcPr>
          <w:p w14:paraId="474CE00B">
            <w:pPr>
              <w:widowControl/>
              <w:spacing w:line="360" w:lineRule="auto"/>
              <w:jc w:val="center"/>
              <w:rPr>
                <w:rFonts w:ascii="宋体" w:hAnsi="宋体" w:cs="宋体"/>
                <w:color w:val="auto"/>
                <w:sz w:val="24"/>
                <w:highlight w:val="none"/>
              </w:rPr>
            </w:pPr>
          </w:p>
        </w:tc>
        <w:tc>
          <w:tcPr>
            <w:tcW w:w="1388" w:type="dxa"/>
            <w:gridSpan w:val="2"/>
            <w:vAlign w:val="center"/>
          </w:tcPr>
          <w:p w14:paraId="20DA6E2B">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2534" w:type="dxa"/>
            <w:vAlign w:val="center"/>
          </w:tcPr>
          <w:p w14:paraId="30D4BBBF">
            <w:pPr>
              <w:spacing w:line="360" w:lineRule="auto"/>
              <w:jc w:val="center"/>
              <w:rPr>
                <w:rFonts w:ascii="宋体" w:hAnsi="宋体" w:cs="宋体"/>
                <w:color w:val="auto"/>
                <w:szCs w:val="21"/>
                <w:highlight w:val="none"/>
              </w:rPr>
            </w:pPr>
          </w:p>
        </w:tc>
      </w:tr>
      <w:tr w14:paraId="30EC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gridSpan w:val="2"/>
            <w:vAlign w:val="center"/>
          </w:tcPr>
          <w:p w14:paraId="1DC5D06C">
            <w:pPr>
              <w:spacing w:line="360" w:lineRule="auto"/>
              <w:rPr>
                <w:rFonts w:ascii="宋体" w:hAnsi="宋体" w:cs="宋体"/>
                <w:color w:val="auto"/>
                <w:szCs w:val="21"/>
                <w:highlight w:val="none"/>
              </w:rPr>
            </w:pPr>
            <w:r>
              <w:rPr>
                <w:rFonts w:hint="eastAsia" w:ascii="宋体" w:hAnsi="宋体" w:cs="宋体"/>
                <w:color w:val="auto"/>
                <w:szCs w:val="21"/>
                <w:highlight w:val="none"/>
              </w:rPr>
              <w:t>地址</w:t>
            </w:r>
          </w:p>
        </w:tc>
        <w:tc>
          <w:tcPr>
            <w:tcW w:w="2824" w:type="dxa"/>
            <w:vAlign w:val="center"/>
          </w:tcPr>
          <w:p w14:paraId="4F7EF15C">
            <w:pPr>
              <w:spacing w:line="360" w:lineRule="auto"/>
              <w:jc w:val="center"/>
              <w:rPr>
                <w:rFonts w:ascii="宋体" w:hAnsi="宋体" w:cs="宋体"/>
                <w:color w:val="auto"/>
                <w:szCs w:val="21"/>
                <w:highlight w:val="none"/>
              </w:rPr>
            </w:pPr>
          </w:p>
        </w:tc>
        <w:tc>
          <w:tcPr>
            <w:tcW w:w="1388" w:type="dxa"/>
            <w:gridSpan w:val="2"/>
            <w:vAlign w:val="center"/>
          </w:tcPr>
          <w:p w14:paraId="78C2BAB7">
            <w:pPr>
              <w:spacing w:line="360" w:lineRule="auto"/>
              <w:rPr>
                <w:rFonts w:ascii="宋体" w:hAnsi="宋体" w:cs="宋体"/>
                <w:color w:val="auto"/>
                <w:szCs w:val="21"/>
                <w:highlight w:val="none"/>
              </w:rPr>
            </w:pPr>
            <w:r>
              <w:rPr>
                <w:rFonts w:hint="eastAsia" w:ascii="宋体" w:hAnsi="宋体" w:cs="宋体"/>
                <w:color w:val="auto"/>
                <w:szCs w:val="21"/>
                <w:highlight w:val="none"/>
              </w:rPr>
              <w:t>传真</w:t>
            </w:r>
          </w:p>
        </w:tc>
        <w:tc>
          <w:tcPr>
            <w:tcW w:w="2534" w:type="dxa"/>
            <w:vAlign w:val="center"/>
          </w:tcPr>
          <w:p w14:paraId="3BC176A6">
            <w:pPr>
              <w:spacing w:line="360" w:lineRule="auto"/>
              <w:jc w:val="center"/>
              <w:rPr>
                <w:rFonts w:ascii="宋体" w:hAnsi="宋体" w:cs="宋体"/>
                <w:color w:val="auto"/>
                <w:szCs w:val="21"/>
                <w:highlight w:val="none"/>
              </w:rPr>
            </w:pPr>
          </w:p>
        </w:tc>
      </w:tr>
      <w:tr w14:paraId="6A95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gridSpan w:val="2"/>
            <w:vAlign w:val="center"/>
          </w:tcPr>
          <w:p w14:paraId="0C40E2BA">
            <w:pPr>
              <w:spacing w:line="360" w:lineRule="auto"/>
              <w:rPr>
                <w:rFonts w:ascii="宋体" w:hAnsi="宋体" w:cs="宋体"/>
                <w:color w:val="auto"/>
                <w:szCs w:val="21"/>
                <w:highlight w:val="none"/>
              </w:rPr>
            </w:pPr>
            <w:r>
              <w:rPr>
                <w:rFonts w:hint="eastAsia" w:ascii="宋体" w:hAnsi="宋体" w:cs="宋体"/>
                <w:color w:val="auto"/>
                <w:szCs w:val="21"/>
                <w:highlight w:val="none"/>
              </w:rPr>
              <w:t>主管部门</w:t>
            </w:r>
          </w:p>
        </w:tc>
        <w:tc>
          <w:tcPr>
            <w:tcW w:w="2824" w:type="dxa"/>
            <w:vAlign w:val="center"/>
          </w:tcPr>
          <w:p w14:paraId="43130FCD">
            <w:pPr>
              <w:spacing w:line="360" w:lineRule="auto"/>
              <w:jc w:val="center"/>
              <w:rPr>
                <w:rFonts w:ascii="宋体" w:hAnsi="宋体" w:cs="宋体"/>
                <w:color w:val="auto"/>
                <w:szCs w:val="21"/>
                <w:highlight w:val="none"/>
              </w:rPr>
            </w:pPr>
          </w:p>
        </w:tc>
        <w:tc>
          <w:tcPr>
            <w:tcW w:w="1388" w:type="dxa"/>
            <w:gridSpan w:val="2"/>
            <w:vAlign w:val="center"/>
          </w:tcPr>
          <w:p w14:paraId="27B7E963">
            <w:pPr>
              <w:spacing w:line="360" w:lineRule="auto"/>
              <w:rPr>
                <w:rFonts w:ascii="宋体" w:hAnsi="宋体" w:cs="宋体"/>
                <w:color w:val="auto"/>
                <w:szCs w:val="21"/>
                <w:highlight w:val="none"/>
              </w:rPr>
            </w:pPr>
            <w:r>
              <w:rPr>
                <w:rFonts w:hint="eastAsia" w:ascii="宋体" w:hAnsi="宋体" w:cs="宋体"/>
                <w:color w:val="auto"/>
                <w:szCs w:val="21"/>
                <w:highlight w:val="none"/>
              </w:rPr>
              <w:t>企业性质</w:t>
            </w:r>
          </w:p>
        </w:tc>
        <w:tc>
          <w:tcPr>
            <w:tcW w:w="2534" w:type="dxa"/>
            <w:vAlign w:val="center"/>
          </w:tcPr>
          <w:p w14:paraId="1F164B3E">
            <w:pPr>
              <w:spacing w:line="360" w:lineRule="auto"/>
              <w:jc w:val="center"/>
              <w:rPr>
                <w:rFonts w:ascii="宋体" w:hAnsi="宋体" w:cs="宋体"/>
                <w:color w:val="auto"/>
                <w:szCs w:val="21"/>
                <w:highlight w:val="none"/>
              </w:rPr>
            </w:pPr>
          </w:p>
        </w:tc>
      </w:tr>
      <w:tr w14:paraId="4B97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gridSpan w:val="2"/>
            <w:vAlign w:val="center"/>
          </w:tcPr>
          <w:p w14:paraId="33C58DDF">
            <w:pPr>
              <w:spacing w:line="360" w:lineRule="auto"/>
              <w:rPr>
                <w:rFonts w:ascii="宋体" w:hAnsi="宋体" w:cs="宋体"/>
                <w:color w:val="auto"/>
                <w:szCs w:val="21"/>
                <w:highlight w:val="none"/>
              </w:rPr>
            </w:pPr>
            <w:r>
              <w:rPr>
                <w:rFonts w:hint="eastAsia" w:ascii="宋体" w:hAnsi="宋体" w:cs="宋体"/>
                <w:color w:val="auto"/>
                <w:szCs w:val="21"/>
                <w:highlight w:val="none"/>
              </w:rPr>
              <w:t>企业法定代表人（负责人）</w:t>
            </w:r>
          </w:p>
        </w:tc>
        <w:tc>
          <w:tcPr>
            <w:tcW w:w="2824" w:type="dxa"/>
            <w:vAlign w:val="center"/>
          </w:tcPr>
          <w:p w14:paraId="34874DC3">
            <w:pPr>
              <w:spacing w:line="360" w:lineRule="auto"/>
              <w:jc w:val="center"/>
              <w:rPr>
                <w:rFonts w:ascii="宋体" w:hAnsi="宋体" w:cs="宋体"/>
                <w:color w:val="auto"/>
                <w:szCs w:val="21"/>
                <w:highlight w:val="none"/>
              </w:rPr>
            </w:pPr>
          </w:p>
        </w:tc>
        <w:tc>
          <w:tcPr>
            <w:tcW w:w="1388" w:type="dxa"/>
            <w:gridSpan w:val="2"/>
            <w:vAlign w:val="center"/>
          </w:tcPr>
          <w:p w14:paraId="132B758D">
            <w:pPr>
              <w:spacing w:line="360" w:lineRule="auto"/>
              <w:rPr>
                <w:rFonts w:ascii="宋体" w:hAnsi="宋体" w:cs="宋体"/>
                <w:color w:val="auto"/>
                <w:szCs w:val="21"/>
                <w:highlight w:val="none"/>
              </w:rPr>
            </w:pPr>
            <w:r>
              <w:rPr>
                <w:rFonts w:hint="eastAsia" w:ascii="宋体" w:hAnsi="宋体" w:cs="宋体"/>
                <w:color w:val="auto"/>
                <w:szCs w:val="21"/>
                <w:highlight w:val="none"/>
              </w:rPr>
              <w:t>资质等级</w:t>
            </w:r>
          </w:p>
        </w:tc>
        <w:tc>
          <w:tcPr>
            <w:tcW w:w="2534" w:type="dxa"/>
            <w:vAlign w:val="center"/>
          </w:tcPr>
          <w:p w14:paraId="5E7975BC">
            <w:pPr>
              <w:spacing w:line="360" w:lineRule="auto"/>
              <w:jc w:val="center"/>
              <w:rPr>
                <w:rFonts w:ascii="宋体" w:hAnsi="宋体" w:cs="宋体"/>
                <w:color w:val="auto"/>
                <w:szCs w:val="21"/>
                <w:highlight w:val="none"/>
              </w:rPr>
            </w:pPr>
          </w:p>
        </w:tc>
      </w:tr>
      <w:tr w14:paraId="71AD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92" w:type="dxa"/>
            <w:gridSpan w:val="2"/>
            <w:vAlign w:val="center"/>
          </w:tcPr>
          <w:p w14:paraId="6979171A">
            <w:pPr>
              <w:spacing w:line="360" w:lineRule="auto"/>
              <w:rPr>
                <w:rFonts w:ascii="宋体" w:hAnsi="宋体" w:cs="宋体"/>
                <w:color w:val="auto"/>
                <w:szCs w:val="21"/>
                <w:highlight w:val="none"/>
              </w:rPr>
            </w:pPr>
            <w:r>
              <w:rPr>
                <w:rFonts w:hint="eastAsia" w:ascii="宋体" w:hAnsi="宋体" w:cs="宋体"/>
                <w:color w:val="auto"/>
                <w:szCs w:val="21"/>
                <w:highlight w:val="none"/>
              </w:rPr>
              <w:t>授权代表</w:t>
            </w:r>
          </w:p>
        </w:tc>
        <w:tc>
          <w:tcPr>
            <w:tcW w:w="2824" w:type="dxa"/>
            <w:vAlign w:val="center"/>
          </w:tcPr>
          <w:p w14:paraId="6DE0D608">
            <w:pPr>
              <w:spacing w:line="360" w:lineRule="auto"/>
              <w:jc w:val="center"/>
              <w:rPr>
                <w:rFonts w:ascii="宋体" w:hAnsi="宋体" w:cs="宋体"/>
                <w:color w:val="auto"/>
                <w:szCs w:val="21"/>
                <w:highlight w:val="none"/>
              </w:rPr>
            </w:pPr>
          </w:p>
        </w:tc>
        <w:tc>
          <w:tcPr>
            <w:tcW w:w="1388" w:type="dxa"/>
            <w:gridSpan w:val="2"/>
            <w:vAlign w:val="center"/>
          </w:tcPr>
          <w:p w14:paraId="52488C75">
            <w:pPr>
              <w:spacing w:line="360" w:lineRule="auto"/>
              <w:rPr>
                <w:rFonts w:ascii="宋体" w:hAnsi="宋体" w:cs="宋体"/>
                <w:color w:val="auto"/>
                <w:szCs w:val="21"/>
                <w:highlight w:val="none"/>
              </w:rPr>
            </w:pPr>
            <w:r>
              <w:rPr>
                <w:rFonts w:hint="eastAsia" w:ascii="宋体" w:hAnsi="宋体" w:cs="宋体"/>
                <w:color w:val="auto"/>
                <w:szCs w:val="21"/>
                <w:highlight w:val="none"/>
              </w:rPr>
              <w:t>职务</w:t>
            </w:r>
          </w:p>
        </w:tc>
        <w:tc>
          <w:tcPr>
            <w:tcW w:w="2534" w:type="dxa"/>
            <w:vAlign w:val="center"/>
          </w:tcPr>
          <w:p w14:paraId="0D4539D5">
            <w:pPr>
              <w:spacing w:line="360" w:lineRule="auto"/>
              <w:jc w:val="center"/>
              <w:rPr>
                <w:rFonts w:ascii="宋体" w:hAnsi="宋体" w:cs="宋体"/>
                <w:color w:val="auto"/>
                <w:szCs w:val="21"/>
                <w:highlight w:val="none"/>
              </w:rPr>
            </w:pPr>
          </w:p>
        </w:tc>
      </w:tr>
      <w:tr w14:paraId="56BE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7" w:type="dxa"/>
            <w:vMerge w:val="restart"/>
            <w:vAlign w:val="center"/>
          </w:tcPr>
          <w:p w14:paraId="0ED997DB">
            <w:pPr>
              <w:spacing w:line="360" w:lineRule="auto"/>
              <w:jc w:val="center"/>
              <w:rPr>
                <w:rFonts w:ascii="宋体" w:hAnsi="宋体" w:cs="宋体"/>
                <w:color w:val="auto"/>
                <w:szCs w:val="21"/>
                <w:highlight w:val="none"/>
              </w:rPr>
            </w:pPr>
          </w:p>
          <w:p w14:paraId="63823C6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单位概况</w:t>
            </w:r>
          </w:p>
          <w:p w14:paraId="287F3CAC">
            <w:pPr>
              <w:spacing w:line="360" w:lineRule="auto"/>
              <w:jc w:val="center"/>
              <w:rPr>
                <w:rFonts w:ascii="宋体" w:hAnsi="宋体" w:cs="宋体"/>
                <w:color w:val="auto"/>
                <w:szCs w:val="21"/>
                <w:highlight w:val="none"/>
              </w:rPr>
            </w:pPr>
          </w:p>
          <w:p w14:paraId="7614B34F">
            <w:pPr>
              <w:spacing w:line="360" w:lineRule="auto"/>
              <w:jc w:val="center"/>
              <w:rPr>
                <w:rFonts w:ascii="宋体" w:hAnsi="宋体" w:cs="宋体"/>
                <w:color w:val="auto"/>
                <w:szCs w:val="21"/>
                <w:highlight w:val="none"/>
              </w:rPr>
            </w:pPr>
          </w:p>
          <w:p w14:paraId="6D2E4582">
            <w:pPr>
              <w:spacing w:line="360" w:lineRule="auto"/>
              <w:jc w:val="center"/>
              <w:rPr>
                <w:rFonts w:ascii="宋体" w:hAnsi="宋体" w:cs="宋体"/>
                <w:color w:val="auto"/>
                <w:szCs w:val="21"/>
                <w:highlight w:val="none"/>
              </w:rPr>
            </w:pPr>
          </w:p>
          <w:p w14:paraId="57C2B159">
            <w:pPr>
              <w:spacing w:line="360" w:lineRule="auto"/>
              <w:jc w:val="center"/>
              <w:rPr>
                <w:rFonts w:ascii="宋体" w:hAnsi="宋体" w:cs="宋体"/>
                <w:color w:val="auto"/>
                <w:szCs w:val="21"/>
                <w:highlight w:val="none"/>
              </w:rPr>
            </w:pPr>
          </w:p>
        </w:tc>
        <w:tc>
          <w:tcPr>
            <w:tcW w:w="1305" w:type="dxa"/>
            <w:vMerge w:val="restart"/>
            <w:vAlign w:val="center"/>
          </w:tcPr>
          <w:p w14:paraId="567D273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职工总数</w:t>
            </w:r>
          </w:p>
        </w:tc>
        <w:tc>
          <w:tcPr>
            <w:tcW w:w="2824" w:type="dxa"/>
            <w:vAlign w:val="center"/>
          </w:tcPr>
          <w:p w14:paraId="08FAEC38">
            <w:pPr>
              <w:spacing w:line="360" w:lineRule="auto"/>
              <w:rPr>
                <w:rFonts w:ascii="宋体" w:hAnsi="宋体" w:cs="宋体"/>
                <w:color w:val="auto"/>
                <w:szCs w:val="21"/>
                <w:highlight w:val="none"/>
              </w:rPr>
            </w:pPr>
            <w:r>
              <w:rPr>
                <w:rFonts w:hint="eastAsia" w:ascii="宋体" w:hAnsi="宋体" w:cs="宋体"/>
                <w:color w:val="auto"/>
                <w:szCs w:val="21"/>
                <w:highlight w:val="none"/>
              </w:rPr>
              <w:t>员工：           人</w:t>
            </w:r>
          </w:p>
        </w:tc>
        <w:tc>
          <w:tcPr>
            <w:tcW w:w="3922" w:type="dxa"/>
            <w:gridSpan w:val="3"/>
            <w:vAlign w:val="center"/>
          </w:tcPr>
          <w:p w14:paraId="45BBC903">
            <w:pPr>
              <w:spacing w:line="360" w:lineRule="auto"/>
              <w:rPr>
                <w:rFonts w:ascii="宋体" w:hAnsi="宋体" w:cs="宋体"/>
                <w:color w:val="auto"/>
                <w:szCs w:val="21"/>
                <w:highlight w:val="none"/>
              </w:rPr>
            </w:pPr>
            <w:r>
              <w:rPr>
                <w:rFonts w:hint="eastAsia" w:ascii="宋体" w:hAnsi="宋体" w:cs="宋体"/>
                <w:color w:val="auto"/>
                <w:szCs w:val="21"/>
                <w:highlight w:val="none"/>
              </w:rPr>
              <w:t>技术工人：          人</w:t>
            </w:r>
          </w:p>
        </w:tc>
      </w:tr>
      <w:tr w14:paraId="66AD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7" w:type="dxa"/>
            <w:vMerge w:val="continue"/>
            <w:vAlign w:val="center"/>
          </w:tcPr>
          <w:p w14:paraId="33CDD492">
            <w:pPr>
              <w:spacing w:line="360" w:lineRule="auto"/>
              <w:jc w:val="center"/>
              <w:rPr>
                <w:rFonts w:ascii="宋体" w:hAnsi="宋体" w:cs="宋体"/>
                <w:color w:val="auto"/>
                <w:szCs w:val="21"/>
                <w:highlight w:val="none"/>
              </w:rPr>
            </w:pPr>
          </w:p>
        </w:tc>
        <w:tc>
          <w:tcPr>
            <w:tcW w:w="1305" w:type="dxa"/>
            <w:vMerge w:val="continue"/>
            <w:vAlign w:val="center"/>
          </w:tcPr>
          <w:p w14:paraId="7E13118F">
            <w:pPr>
              <w:widowControl/>
              <w:spacing w:line="360" w:lineRule="auto"/>
              <w:jc w:val="center"/>
              <w:rPr>
                <w:rFonts w:ascii="宋体" w:hAnsi="宋体" w:cs="宋体"/>
                <w:color w:val="auto"/>
                <w:sz w:val="24"/>
                <w:highlight w:val="none"/>
              </w:rPr>
            </w:pPr>
          </w:p>
        </w:tc>
        <w:tc>
          <w:tcPr>
            <w:tcW w:w="2824" w:type="dxa"/>
            <w:vAlign w:val="center"/>
          </w:tcPr>
          <w:p w14:paraId="56FFD3F3">
            <w:pPr>
              <w:spacing w:line="360" w:lineRule="auto"/>
              <w:rPr>
                <w:rFonts w:ascii="宋体" w:hAnsi="宋体" w:cs="宋体"/>
                <w:color w:val="auto"/>
                <w:szCs w:val="21"/>
                <w:highlight w:val="none"/>
              </w:rPr>
            </w:pPr>
            <w:r>
              <w:rPr>
                <w:rFonts w:hint="eastAsia" w:ascii="宋体" w:hAnsi="宋体" w:cs="宋体"/>
                <w:color w:val="auto"/>
                <w:szCs w:val="21"/>
                <w:highlight w:val="none"/>
              </w:rPr>
              <w:t>高级技师：       人</w:t>
            </w:r>
          </w:p>
        </w:tc>
        <w:tc>
          <w:tcPr>
            <w:tcW w:w="3922" w:type="dxa"/>
            <w:gridSpan w:val="3"/>
            <w:vAlign w:val="center"/>
          </w:tcPr>
          <w:p w14:paraId="299CF6CA">
            <w:pPr>
              <w:spacing w:line="360" w:lineRule="auto"/>
              <w:rPr>
                <w:rFonts w:ascii="宋体" w:hAnsi="宋体" w:cs="宋体"/>
                <w:color w:val="auto"/>
                <w:szCs w:val="21"/>
                <w:highlight w:val="none"/>
              </w:rPr>
            </w:pPr>
            <w:r>
              <w:rPr>
                <w:rFonts w:hint="eastAsia" w:ascii="宋体" w:hAnsi="宋体" w:cs="宋体"/>
                <w:color w:val="auto"/>
                <w:szCs w:val="21"/>
                <w:highlight w:val="none"/>
              </w:rPr>
              <w:t>工程师：            人</w:t>
            </w:r>
          </w:p>
        </w:tc>
      </w:tr>
      <w:tr w14:paraId="5A7F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7" w:type="dxa"/>
            <w:vMerge w:val="continue"/>
            <w:vAlign w:val="center"/>
          </w:tcPr>
          <w:p w14:paraId="178D5238">
            <w:pPr>
              <w:spacing w:line="360" w:lineRule="auto"/>
              <w:jc w:val="center"/>
              <w:rPr>
                <w:rFonts w:ascii="宋体" w:hAnsi="宋体" w:cs="宋体"/>
                <w:color w:val="auto"/>
                <w:szCs w:val="21"/>
                <w:highlight w:val="none"/>
              </w:rPr>
            </w:pPr>
          </w:p>
        </w:tc>
        <w:tc>
          <w:tcPr>
            <w:tcW w:w="1305" w:type="dxa"/>
            <w:vAlign w:val="center"/>
          </w:tcPr>
          <w:p w14:paraId="3D0667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流动资金</w:t>
            </w:r>
          </w:p>
        </w:tc>
        <w:tc>
          <w:tcPr>
            <w:tcW w:w="2824" w:type="dxa"/>
            <w:vAlign w:val="center"/>
          </w:tcPr>
          <w:p w14:paraId="70821226">
            <w:pPr>
              <w:spacing w:line="360" w:lineRule="auto"/>
              <w:jc w:val="center"/>
              <w:rPr>
                <w:rFonts w:ascii="宋体" w:hAnsi="宋体" w:cs="宋体"/>
                <w:color w:val="auto"/>
                <w:szCs w:val="21"/>
                <w:highlight w:val="none"/>
              </w:rPr>
            </w:pPr>
          </w:p>
        </w:tc>
        <w:tc>
          <w:tcPr>
            <w:tcW w:w="1222" w:type="dxa"/>
            <w:vAlign w:val="center"/>
          </w:tcPr>
          <w:p w14:paraId="7340FA1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营业面积</w:t>
            </w:r>
          </w:p>
        </w:tc>
        <w:tc>
          <w:tcPr>
            <w:tcW w:w="2700" w:type="dxa"/>
            <w:gridSpan w:val="2"/>
            <w:vAlign w:val="center"/>
          </w:tcPr>
          <w:p w14:paraId="62B756B7">
            <w:pPr>
              <w:spacing w:line="360" w:lineRule="auto"/>
              <w:jc w:val="center"/>
              <w:rPr>
                <w:rFonts w:ascii="宋体" w:hAnsi="宋体" w:cs="宋体"/>
                <w:color w:val="auto"/>
                <w:szCs w:val="21"/>
                <w:highlight w:val="none"/>
              </w:rPr>
            </w:pPr>
          </w:p>
        </w:tc>
      </w:tr>
      <w:tr w14:paraId="3CC5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7" w:type="dxa"/>
            <w:vMerge w:val="continue"/>
            <w:vAlign w:val="center"/>
          </w:tcPr>
          <w:p w14:paraId="1637F068">
            <w:pPr>
              <w:spacing w:line="360" w:lineRule="auto"/>
              <w:jc w:val="center"/>
              <w:rPr>
                <w:rFonts w:ascii="宋体" w:hAnsi="宋体" w:cs="宋体"/>
                <w:color w:val="auto"/>
                <w:szCs w:val="21"/>
                <w:highlight w:val="none"/>
              </w:rPr>
            </w:pPr>
          </w:p>
        </w:tc>
        <w:tc>
          <w:tcPr>
            <w:tcW w:w="1305" w:type="dxa"/>
            <w:vAlign w:val="center"/>
          </w:tcPr>
          <w:p w14:paraId="3948614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固定资金</w:t>
            </w:r>
          </w:p>
        </w:tc>
        <w:tc>
          <w:tcPr>
            <w:tcW w:w="2824" w:type="dxa"/>
            <w:vAlign w:val="center"/>
          </w:tcPr>
          <w:p w14:paraId="4D314838">
            <w:pPr>
              <w:widowControl/>
              <w:spacing w:line="360" w:lineRule="auto"/>
              <w:jc w:val="center"/>
              <w:rPr>
                <w:rFonts w:ascii="宋体" w:hAnsi="宋体" w:cs="宋体"/>
                <w:color w:val="auto"/>
                <w:sz w:val="24"/>
                <w:highlight w:val="none"/>
              </w:rPr>
            </w:pPr>
          </w:p>
        </w:tc>
        <w:tc>
          <w:tcPr>
            <w:tcW w:w="1222" w:type="dxa"/>
            <w:vAlign w:val="center"/>
          </w:tcPr>
          <w:p w14:paraId="7C5253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维修网点</w:t>
            </w:r>
          </w:p>
        </w:tc>
        <w:tc>
          <w:tcPr>
            <w:tcW w:w="2700" w:type="dxa"/>
            <w:gridSpan w:val="2"/>
            <w:vAlign w:val="center"/>
          </w:tcPr>
          <w:p w14:paraId="4765A66A">
            <w:pPr>
              <w:widowControl/>
              <w:spacing w:line="360" w:lineRule="auto"/>
              <w:jc w:val="center"/>
              <w:rPr>
                <w:rFonts w:ascii="宋体" w:hAnsi="宋体" w:cs="宋体"/>
                <w:color w:val="auto"/>
                <w:sz w:val="24"/>
                <w:highlight w:val="none"/>
              </w:rPr>
            </w:pPr>
          </w:p>
        </w:tc>
      </w:tr>
      <w:tr w14:paraId="5B01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jc w:val="center"/>
        </w:trPr>
        <w:tc>
          <w:tcPr>
            <w:tcW w:w="1287" w:type="dxa"/>
            <w:vAlign w:val="center"/>
          </w:tcPr>
          <w:p w14:paraId="18A941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单位简历</w:t>
            </w:r>
          </w:p>
        </w:tc>
        <w:tc>
          <w:tcPr>
            <w:tcW w:w="8051" w:type="dxa"/>
            <w:gridSpan w:val="5"/>
          </w:tcPr>
          <w:p w14:paraId="150A9015">
            <w:pPr>
              <w:spacing w:line="360" w:lineRule="auto"/>
              <w:jc w:val="left"/>
              <w:rPr>
                <w:rFonts w:ascii="宋体" w:hAnsi="宋体" w:cs="宋体"/>
                <w:color w:val="auto"/>
                <w:sz w:val="24"/>
                <w:highlight w:val="none"/>
              </w:rPr>
            </w:pPr>
          </w:p>
        </w:tc>
      </w:tr>
      <w:tr w14:paraId="1997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1287" w:type="dxa"/>
            <w:vAlign w:val="center"/>
          </w:tcPr>
          <w:p w14:paraId="601E08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优势及特长</w:t>
            </w:r>
          </w:p>
        </w:tc>
        <w:tc>
          <w:tcPr>
            <w:tcW w:w="8051" w:type="dxa"/>
            <w:gridSpan w:val="5"/>
          </w:tcPr>
          <w:p w14:paraId="76F1E65C">
            <w:pPr>
              <w:spacing w:line="360" w:lineRule="auto"/>
              <w:jc w:val="left"/>
              <w:rPr>
                <w:rFonts w:ascii="宋体" w:hAnsi="宋体" w:cs="宋体"/>
                <w:color w:val="auto"/>
                <w:sz w:val="24"/>
                <w:highlight w:val="none"/>
              </w:rPr>
            </w:pPr>
          </w:p>
        </w:tc>
      </w:tr>
    </w:tbl>
    <w:p w14:paraId="49163AE2">
      <w:pPr>
        <w:spacing w:line="360" w:lineRule="auto"/>
        <w:jc w:val="right"/>
        <w:rPr>
          <w:rFonts w:ascii="宋体" w:hAnsi="宋体" w:cs="宋体"/>
          <w:color w:val="auto"/>
          <w:sz w:val="24"/>
          <w:highlight w:val="none"/>
        </w:rPr>
        <w:sectPr>
          <w:pgSz w:w="11906" w:h="16838"/>
          <w:pgMar w:top="1246" w:right="1803" w:bottom="1440" w:left="1803" w:header="851" w:footer="992" w:gutter="0"/>
          <w:cols w:space="720" w:num="1"/>
          <w:titlePg/>
          <w:docGrid w:type="lines" w:linePitch="312" w:charSpace="0"/>
        </w:sectPr>
      </w:pPr>
    </w:p>
    <w:p w14:paraId="164E347E">
      <w:pPr>
        <w:spacing w:line="360" w:lineRule="auto"/>
        <w:jc w:val="center"/>
        <w:outlineLvl w:val="2"/>
        <w:rPr>
          <w:rFonts w:ascii="宋体" w:hAnsi="宋体" w:cs="宋体"/>
          <w:color w:val="auto"/>
          <w:sz w:val="32"/>
          <w:szCs w:val="32"/>
          <w:highlight w:val="none"/>
        </w:rPr>
      </w:pPr>
      <w:r>
        <w:rPr>
          <w:rFonts w:hint="eastAsia" w:ascii="宋体" w:hAnsi="宋体" w:cs="宋体"/>
          <w:b/>
          <w:bCs/>
          <w:color w:val="auto"/>
          <w:sz w:val="32"/>
          <w:szCs w:val="32"/>
          <w:highlight w:val="none"/>
        </w:rPr>
        <w:t>项目负责人情况一览表</w:t>
      </w:r>
    </w:p>
    <w:p w14:paraId="65181C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投标人名称（电子签章）：      </w:t>
      </w:r>
    </w:p>
    <w:tbl>
      <w:tblPr>
        <w:tblStyle w:val="38"/>
        <w:tblpPr w:leftFromText="180" w:rightFromText="180" w:vertAnchor="text" w:tblpXSpec="center" w:tblpY="1"/>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1851"/>
        <w:gridCol w:w="1329"/>
        <w:gridCol w:w="1065"/>
        <w:gridCol w:w="1083"/>
        <w:gridCol w:w="1254"/>
        <w:gridCol w:w="1818"/>
      </w:tblGrid>
      <w:tr w14:paraId="73F5B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trPr>
        <w:tc>
          <w:tcPr>
            <w:tcW w:w="628" w:type="dxa"/>
            <w:vAlign w:val="center"/>
          </w:tcPr>
          <w:p w14:paraId="2E733A1F">
            <w:pPr>
              <w:spacing w:line="360" w:lineRule="auto"/>
              <w:ind w:left="-2"/>
              <w:jc w:val="center"/>
              <w:rPr>
                <w:rFonts w:ascii="宋体" w:hAnsi="宋体" w:cs="宋体"/>
                <w:color w:val="auto"/>
                <w:szCs w:val="21"/>
                <w:highlight w:val="none"/>
              </w:rPr>
            </w:pPr>
            <w:r>
              <w:rPr>
                <w:rFonts w:hint="eastAsia" w:ascii="宋体" w:hAnsi="宋体" w:cs="宋体"/>
                <w:color w:val="auto"/>
                <w:szCs w:val="21"/>
                <w:highlight w:val="none"/>
              </w:rPr>
              <w:t>1</w:t>
            </w:r>
          </w:p>
        </w:tc>
        <w:tc>
          <w:tcPr>
            <w:tcW w:w="1851" w:type="dxa"/>
            <w:vAlign w:val="center"/>
          </w:tcPr>
          <w:p w14:paraId="443813A7">
            <w:pPr>
              <w:pStyle w:val="12"/>
              <w:overflowPunct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姓      名</w:t>
            </w:r>
          </w:p>
        </w:tc>
        <w:tc>
          <w:tcPr>
            <w:tcW w:w="2394" w:type="dxa"/>
            <w:gridSpan w:val="2"/>
            <w:vAlign w:val="center"/>
          </w:tcPr>
          <w:p w14:paraId="243C71C1">
            <w:pPr>
              <w:pStyle w:val="12"/>
              <w:overflowPunct w:val="0"/>
              <w:spacing w:line="360" w:lineRule="auto"/>
              <w:ind w:firstLine="0"/>
              <w:jc w:val="left"/>
              <w:rPr>
                <w:rFonts w:ascii="宋体" w:hAnsi="宋体" w:cs="宋体"/>
                <w:color w:val="auto"/>
                <w:szCs w:val="21"/>
                <w:highlight w:val="none"/>
              </w:rPr>
            </w:pPr>
          </w:p>
        </w:tc>
        <w:tc>
          <w:tcPr>
            <w:tcW w:w="1083" w:type="dxa"/>
            <w:vAlign w:val="center"/>
          </w:tcPr>
          <w:p w14:paraId="6DEEA2C3">
            <w:pPr>
              <w:pStyle w:val="12"/>
              <w:overflowPunct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性   别</w:t>
            </w:r>
          </w:p>
        </w:tc>
        <w:tc>
          <w:tcPr>
            <w:tcW w:w="3072" w:type="dxa"/>
            <w:gridSpan w:val="2"/>
            <w:vAlign w:val="center"/>
          </w:tcPr>
          <w:p w14:paraId="7865F3E9">
            <w:pPr>
              <w:pStyle w:val="12"/>
              <w:overflowPunct w:val="0"/>
              <w:spacing w:line="360" w:lineRule="auto"/>
              <w:ind w:firstLine="0"/>
              <w:jc w:val="left"/>
              <w:rPr>
                <w:rFonts w:ascii="宋体" w:hAnsi="宋体" w:cs="宋体"/>
                <w:color w:val="auto"/>
                <w:szCs w:val="21"/>
                <w:highlight w:val="none"/>
              </w:rPr>
            </w:pPr>
          </w:p>
        </w:tc>
      </w:tr>
      <w:tr w14:paraId="78F01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628" w:type="dxa"/>
            <w:vAlign w:val="center"/>
          </w:tcPr>
          <w:p w14:paraId="6BFA4F23">
            <w:pPr>
              <w:spacing w:line="360" w:lineRule="auto"/>
              <w:ind w:left="-2"/>
              <w:jc w:val="center"/>
              <w:rPr>
                <w:rFonts w:ascii="宋体" w:hAnsi="宋体" w:cs="宋体"/>
                <w:color w:val="auto"/>
                <w:szCs w:val="21"/>
                <w:highlight w:val="none"/>
              </w:rPr>
            </w:pPr>
            <w:r>
              <w:rPr>
                <w:rFonts w:hint="eastAsia" w:ascii="宋体" w:hAnsi="宋体" w:cs="宋体"/>
                <w:color w:val="auto"/>
                <w:szCs w:val="21"/>
                <w:highlight w:val="none"/>
              </w:rPr>
              <w:t>2</w:t>
            </w:r>
          </w:p>
        </w:tc>
        <w:tc>
          <w:tcPr>
            <w:tcW w:w="1851" w:type="dxa"/>
            <w:vAlign w:val="center"/>
          </w:tcPr>
          <w:p w14:paraId="36A3E0A8">
            <w:pPr>
              <w:pStyle w:val="12"/>
              <w:overflowPunct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身份证号码</w:t>
            </w:r>
          </w:p>
        </w:tc>
        <w:tc>
          <w:tcPr>
            <w:tcW w:w="3477" w:type="dxa"/>
            <w:gridSpan w:val="3"/>
            <w:vAlign w:val="center"/>
          </w:tcPr>
          <w:p w14:paraId="4573F94E">
            <w:pPr>
              <w:pStyle w:val="12"/>
              <w:overflowPunct w:val="0"/>
              <w:spacing w:line="360" w:lineRule="auto"/>
              <w:ind w:firstLine="0"/>
              <w:jc w:val="left"/>
              <w:rPr>
                <w:rFonts w:ascii="宋体" w:hAnsi="宋体" w:cs="宋体"/>
                <w:color w:val="auto"/>
                <w:szCs w:val="21"/>
                <w:highlight w:val="none"/>
              </w:rPr>
            </w:pPr>
          </w:p>
        </w:tc>
        <w:tc>
          <w:tcPr>
            <w:tcW w:w="1254" w:type="dxa"/>
            <w:vAlign w:val="center"/>
          </w:tcPr>
          <w:p w14:paraId="70BF7BBA">
            <w:pPr>
              <w:pStyle w:val="12"/>
              <w:overflowPunct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出生年月</w:t>
            </w:r>
          </w:p>
        </w:tc>
        <w:tc>
          <w:tcPr>
            <w:tcW w:w="1818" w:type="dxa"/>
            <w:vAlign w:val="center"/>
          </w:tcPr>
          <w:p w14:paraId="75AF3160">
            <w:pPr>
              <w:pStyle w:val="12"/>
              <w:overflowPunct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年   月</w:t>
            </w:r>
          </w:p>
        </w:tc>
      </w:tr>
      <w:tr w14:paraId="42E2A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628" w:type="dxa"/>
            <w:vAlign w:val="center"/>
          </w:tcPr>
          <w:p w14:paraId="562D41B9">
            <w:pPr>
              <w:spacing w:line="360" w:lineRule="auto"/>
              <w:ind w:left="-2"/>
              <w:jc w:val="center"/>
              <w:rPr>
                <w:rFonts w:ascii="宋体" w:hAnsi="宋体" w:cs="宋体"/>
                <w:color w:val="auto"/>
                <w:szCs w:val="21"/>
                <w:highlight w:val="none"/>
              </w:rPr>
            </w:pPr>
            <w:r>
              <w:rPr>
                <w:rFonts w:hint="eastAsia" w:ascii="宋体" w:hAnsi="宋体" w:cs="宋体"/>
                <w:color w:val="auto"/>
                <w:szCs w:val="21"/>
                <w:highlight w:val="none"/>
              </w:rPr>
              <w:t>3</w:t>
            </w:r>
          </w:p>
        </w:tc>
        <w:tc>
          <w:tcPr>
            <w:tcW w:w="3180" w:type="dxa"/>
            <w:gridSpan w:val="2"/>
            <w:vAlign w:val="center"/>
          </w:tcPr>
          <w:p w14:paraId="6D55E1D7">
            <w:pPr>
              <w:pStyle w:val="12"/>
              <w:overflowPunct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联系电话：</w:t>
            </w:r>
          </w:p>
        </w:tc>
        <w:tc>
          <w:tcPr>
            <w:tcW w:w="2148" w:type="dxa"/>
            <w:gridSpan w:val="2"/>
            <w:vAlign w:val="center"/>
          </w:tcPr>
          <w:p w14:paraId="2FD4D9AC">
            <w:pPr>
              <w:pStyle w:val="12"/>
              <w:overflowPunct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传真：</w:t>
            </w:r>
          </w:p>
        </w:tc>
        <w:tc>
          <w:tcPr>
            <w:tcW w:w="3072" w:type="dxa"/>
            <w:gridSpan w:val="2"/>
            <w:vAlign w:val="center"/>
          </w:tcPr>
          <w:p w14:paraId="09FB2792">
            <w:pPr>
              <w:pStyle w:val="12"/>
              <w:overflowPunct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电子邮箱：</w:t>
            </w:r>
          </w:p>
        </w:tc>
      </w:tr>
      <w:tr w14:paraId="50422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atLeast"/>
        </w:trPr>
        <w:tc>
          <w:tcPr>
            <w:tcW w:w="628" w:type="dxa"/>
            <w:vAlign w:val="center"/>
          </w:tcPr>
          <w:p w14:paraId="788383E5">
            <w:pPr>
              <w:spacing w:line="360" w:lineRule="auto"/>
              <w:ind w:left="-2"/>
              <w:jc w:val="center"/>
              <w:rPr>
                <w:rFonts w:ascii="宋体" w:hAnsi="宋体" w:cs="宋体"/>
                <w:color w:val="auto"/>
                <w:szCs w:val="21"/>
                <w:highlight w:val="none"/>
              </w:rPr>
            </w:pPr>
            <w:r>
              <w:rPr>
                <w:rFonts w:hint="eastAsia" w:ascii="宋体" w:hAnsi="宋体" w:cs="宋体"/>
                <w:color w:val="auto"/>
                <w:szCs w:val="21"/>
                <w:highlight w:val="none"/>
              </w:rPr>
              <w:t>4</w:t>
            </w:r>
          </w:p>
        </w:tc>
        <w:tc>
          <w:tcPr>
            <w:tcW w:w="8400" w:type="dxa"/>
            <w:gridSpan w:val="6"/>
            <w:vAlign w:val="center"/>
          </w:tcPr>
          <w:p w14:paraId="722DAF03">
            <w:pPr>
              <w:pStyle w:val="12"/>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从事本项目工作时间：</w:t>
            </w:r>
          </w:p>
        </w:tc>
      </w:tr>
      <w:tr w14:paraId="72782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5" w:hRule="atLeast"/>
        </w:trPr>
        <w:tc>
          <w:tcPr>
            <w:tcW w:w="628" w:type="dxa"/>
            <w:vAlign w:val="center"/>
          </w:tcPr>
          <w:p w14:paraId="284809C7">
            <w:pPr>
              <w:spacing w:line="360" w:lineRule="auto"/>
              <w:ind w:left="-2"/>
              <w:jc w:val="center"/>
              <w:rPr>
                <w:rFonts w:ascii="宋体" w:hAnsi="宋体" w:cs="宋体"/>
                <w:color w:val="auto"/>
                <w:szCs w:val="21"/>
                <w:highlight w:val="none"/>
              </w:rPr>
            </w:pPr>
            <w:r>
              <w:rPr>
                <w:rFonts w:hint="eastAsia" w:ascii="宋体" w:hAnsi="宋体" w:cs="宋体"/>
                <w:color w:val="auto"/>
                <w:szCs w:val="21"/>
                <w:highlight w:val="none"/>
              </w:rPr>
              <w:t>5</w:t>
            </w:r>
          </w:p>
        </w:tc>
        <w:tc>
          <w:tcPr>
            <w:tcW w:w="8400" w:type="dxa"/>
            <w:gridSpan w:val="6"/>
            <w:vAlign w:val="center"/>
          </w:tcPr>
          <w:p w14:paraId="6C953D46">
            <w:pPr>
              <w:pStyle w:val="12"/>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拥有的职称等：</w:t>
            </w:r>
          </w:p>
        </w:tc>
      </w:tr>
      <w:tr w14:paraId="25A29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54" w:hRule="atLeast"/>
        </w:trPr>
        <w:tc>
          <w:tcPr>
            <w:tcW w:w="628" w:type="dxa"/>
            <w:vAlign w:val="center"/>
          </w:tcPr>
          <w:p w14:paraId="0D81C7BE">
            <w:pPr>
              <w:spacing w:line="360" w:lineRule="auto"/>
              <w:ind w:left="-2"/>
              <w:jc w:val="center"/>
              <w:rPr>
                <w:rFonts w:ascii="宋体" w:hAnsi="宋体" w:cs="宋体"/>
                <w:color w:val="auto"/>
                <w:szCs w:val="21"/>
                <w:highlight w:val="none"/>
              </w:rPr>
            </w:pPr>
            <w:r>
              <w:rPr>
                <w:rFonts w:hint="eastAsia" w:ascii="宋体" w:hAnsi="宋体" w:cs="宋体"/>
                <w:color w:val="auto"/>
                <w:szCs w:val="21"/>
                <w:highlight w:val="none"/>
              </w:rPr>
              <w:t>6</w:t>
            </w:r>
          </w:p>
        </w:tc>
        <w:tc>
          <w:tcPr>
            <w:tcW w:w="8400" w:type="dxa"/>
            <w:gridSpan w:val="6"/>
          </w:tcPr>
          <w:p w14:paraId="1E9C17ED">
            <w:pPr>
              <w:pStyle w:val="12"/>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曾获得的奖励情况：</w:t>
            </w:r>
          </w:p>
        </w:tc>
      </w:tr>
      <w:tr w14:paraId="6F12A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35" w:hRule="atLeast"/>
        </w:trPr>
        <w:tc>
          <w:tcPr>
            <w:tcW w:w="628" w:type="dxa"/>
            <w:tcBorders>
              <w:bottom w:val="single" w:color="auto" w:sz="6" w:space="0"/>
            </w:tcBorders>
            <w:vAlign w:val="center"/>
          </w:tcPr>
          <w:p w14:paraId="34C487E5">
            <w:pPr>
              <w:spacing w:line="360" w:lineRule="auto"/>
              <w:ind w:left="-2"/>
              <w:jc w:val="center"/>
              <w:rPr>
                <w:rFonts w:ascii="宋体" w:hAnsi="宋体" w:cs="宋体"/>
                <w:color w:val="auto"/>
                <w:szCs w:val="21"/>
                <w:highlight w:val="none"/>
              </w:rPr>
            </w:pPr>
            <w:r>
              <w:rPr>
                <w:rFonts w:hint="eastAsia" w:ascii="宋体" w:hAnsi="宋体" w:cs="宋体"/>
                <w:color w:val="auto"/>
                <w:szCs w:val="21"/>
                <w:highlight w:val="none"/>
              </w:rPr>
              <w:t>7</w:t>
            </w:r>
          </w:p>
        </w:tc>
        <w:tc>
          <w:tcPr>
            <w:tcW w:w="8400" w:type="dxa"/>
            <w:gridSpan w:val="6"/>
            <w:tcBorders>
              <w:bottom w:val="single" w:color="auto" w:sz="6" w:space="0"/>
            </w:tcBorders>
          </w:tcPr>
          <w:p w14:paraId="4376FF65">
            <w:pPr>
              <w:pStyle w:val="12"/>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 xml:space="preserve">关于类似项目相关方面的经验： </w:t>
            </w:r>
          </w:p>
          <w:p w14:paraId="59AC58E2">
            <w:pPr>
              <w:pStyle w:val="12"/>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1、____________________________________</w:t>
            </w:r>
          </w:p>
          <w:p w14:paraId="192EE0D8">
            <w:pPr>
              <w:pStyle w:val="12"/>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2、 ___________________________________</w:t>
            </w:r>
          </w:p>
          <w:p w14:paraId="5974947A">
            <w:pPr>
              <w:pStyle w:val="12"/>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3、____________________________________</w:t>
            </w:r>
          </w:p>
          <w:p w14:paraId="0B43D24B">
            <w:pPr>
              <w:pStyle w:val="12"/>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(本页不够填写，可另附纸说明)</w:t>
            </w:r>
          </w:p>
        </w:tc>
      </w:tr>
      <w:tr w14:paraId="28171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44" w:hRule="atLeast"/>
        </w:trPr>
        <w:tc>
          <w:tcPr>
            <w:tcW w:w="628" w:type="dxa"/>
            <w:vAlign w:val="center"/>
          </w:tcPr>
          <w:p w14:paraId="15D553C9">
            <w:pPr>
              <w:spacing w:line="360" w:lineRule="auto"/>
              <w:ind w:left="-2"/>
              <w:jc w:val="center"/>
              <w:rPr>
                <w:rFonts w:ascii="宋体" w:hAnsi="宋体" w:cs="宋体"/>
                <w:color w:val="auto"/>
                <w:szCs w:val="21"/>
                <w:highlight w:val="none"/>
              </w:rPr>
            </w:pPr>
            <w:r>
              <w:rPr>
                <w:rFonts w:hint="eastAsia" w:ascii="宋体" w:hAnsi="宋体" w:cs="宋体"/>
                <w:color w:val="auto"/>
                <w:szCs w:val="21"/>
                <w:highlight w:val="none"/>
              </w:rPr>
              <w:t>8</w:t>
            </w:r>
          </w:p>
        </w:tc>
        <w:tc>
          <w:tcPr>
            <w:tcW w:w="8400" w:type="dxa"/>
            <w:gridSpan w:val="6"/>
          </w:tcPr>
          <w:p w14:paraId="1157EAEB">
            <w:pPr>
              <w:pStyle w:val="12"/>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其他需要说明的情况</w:t>
            </w:r>
          </w:p>
        </w:tc>
      </w:tr>
    </w:tbl>
    <w:p w14:paraId="7D5CF227">
      <w:pPr>
        <w:spacing w:line="360" w:lineRule="auto"/>
        <w:rPr>
          <w:rFonts w:ascii="宋体" w:hAnsi="宋体" w:cs="宋体"/>
          <w:color w:val="auto"/>
          <w:sz w:val="24"/>
          <w:highlight w:val="none"/>
        </w:rPr>
      </w:pPr>
    </w:p>
    <w:p w14:paraId="4EADF43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6F4D9570">
      <w:pPr>
        <w:spacing w:line="360" w:lineRule="auto"/>
        <w:rPr>
          <w:rFonts w:ascii="宋体" w:hAnsi="宋体" w:cs="宋体"/>
          <w:color w:val="auto"/>
          <w:sz w:val="24"/>
          <w:highlight w:val="none"/>
        </w:rPr>
      </w:pPr>
      <w:r>
        <w:rPr>
          <w:rFonts w:hint="eastAsia" w:ascii="宋体" w:hAnsi="宋体" w:cs="宋体"/>
          <w:color w:val="auto"/>
          <w:sz w:val="24"/>
          <w:highlight w:val="none"/>
        </w:rPr>
        <w:t>日期：</w:t>
      </w:r>
    </w:p>
    <w:p w14:paraId="58EF1AB7">
      <w:pPr>
        <w:spacing w:line="360" w:lineRule="auto"/>
        <w:rPr>
          <w:rFonts w:ascii="宋体" w:hAnsi="宋体" w:cs="宋体"/>
          <w:color w:val="auto"/>
          <w:sz w:val="24"/>
          <w:highlight w:val="none"/>
        </w:rPr>
      </w:pPr>
    </w:p>
    <w:p w14:paraId="4F6D70B8">
      <w:pPr>
        <w:spacing w:line="360" w:lineRule="auto"/>
        <w:rPr>
          <w:rFonts w:ascii="宋体" w:hAnsi="宋体" w:cs="宋体"/>
          <w:color w:val="auto"/>
          <w:sz w:val="24"/>
          <w:highlight w:val="none"/>
        </w:rPr>
      </w:pPr>
      <w:r>
        <w:rPr>
          <w:rFonts w:hint="eastAsia" w:ascii="宋体" w:hAnsi="宋体" w:cs="宋体"/>
          <w:color w:val="auto"/>
          <w:sz w:val="24"/>
          <w:highlight w:val="none"/>
        </w:rPr>
        <w:t>注  1.此表在不改变表式的情况下，可自行制作。</w:t>
      </w:r>
    </w:p>
    <w:p w14:paraId="418E4E7A">
      <w:pPr>
        <w:spacing w:line="360" w:lineRule="auto"/>
        <w:rPr>
          <w:rFonts w:ascii="宋体" w:hAnsi="宋体" w:cs="宋体"/>
          <w:color w:val="auto"/>
          <w:sz w:val="24"/>
          <w:highlight w:val="none"/>
        </w:rPr>
        <w:sectPr>
          <w:pgSz w:w="11906" w:h="16838"/>
          <w:pgMar w:top="1246" w:right="1803" w:bottom="1440" w:left="1803" w:header="851" w:footer="992" w:gutter="0"/>
          <w:cols w:space="720" w:num="1"/>
          <w:titlePg/>
          <w:docGrid w:type="lines" w:linePitch="312" w:charSpace="0"/>
        </w:sectPr>
      </w:pPr>
      <w:r>
        <w:rPr>
          <w:rFonts w:hint="eastAsia" w:ascii="宋体" w:hAnsi="宋体" w:cs="宋体"/>
          <w:color w:val="auto"/>
          <w:sz w:val="24"/>
          <w:highlight w:val="none"/>
        </w:rPr>
        <w:t>2.提供相关专业人员的资格执业证书、身份证复印件并加盖公章。</w:t>
      </w:r>
    </w:p>
    <w:p w14:paraId="626225C8">
      <w:pPr>
        <w:spacing w:before="120" w:after="120" w:line="360" w:lineRule="auto"/>
        <w:jc w:val="center"/>
        <w:outlineLvl w:val="2"/>
        <w:rPr>
          <w:rFonts w:ascii="宋体" w:hAnsi="宋体" w:cs="宋体"/>
          <w:b/>
          <w:bCs/>
          <w:color w:val="auto"/>
          <w:sz w:val="32"/>
          <w:szCs w:val="32"/>
          <w:highlight w:val="none"/>
        </w:rPr>
      </w:pPr>
      <w:bookmarkStart w:id="171" w:name="_Toc328557254"/>
      <w:r>
        <w:rPr>
          <w:rFonts w:hint="eastAsia" w:ascii="宋体" w:hAnsi="宋体" w:cs="宋体"/>
          <w:b/>
          <w:bCs/>
          <w:color w:val="auto"/>
          <w:sz w:val="32"/>
          <w:szCs w:val="32"/>
          <w:highlight w:val="none"/>
        </w:rPr>
        <w:t>项目技术负责人及实施人员情况表</w:t>
      </w:r>
      <w:bookmarkEnd w:id="171"/>
    </w:p>
    <w:p w14:paraId="3E0C88C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投标人名称（电子签章）： </w:t>
      </w:r>
    </w:p>
    <w:tbl>
      <w:tblPr>
        <w:tblStyle w:val="3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0"/>
        <w:gridCol w:w="1213"/>
        <w:gridCol w:w="1089"/>
        <w:gridCol w:w="775"/>
        <w:gridCol w:w="823"/>
        <w:gridCol w:w="779"/>
        <w:gridCol w:w="1428"/>
        <w:gridCol w:w="1286"/>
        <w:gridCol w:w="1541"/>
      </w:tblGrid>
      <w:tr w14:paraId="15A1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29" w:type="pct"/>
            <w:tcBorders>
              <w:top w:val="single" w:color="auto" w:sz="4" w:space="0"/>
              <w:left w:val="single" w:color="auto" w:sz="4" w:space="0"/>
              <w:bottom w:val="single" w:color="auto" w:sz="4" w:space="0"/>
              <w:right w:val="single" w:color="auto" w:sz="4" w:space="0"/>
            </w:tcBorders>
            <w:vAlign w:val="center"/>
          </w:tcPr>
          <w:p w14:paraId="3511FCB6">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634" w:type="pct"/>
            <w:tcBorders>
              <w:top w:val="single" w:color="auto" w:sz="4" w:space="0"/>
              <w:left w:val="single" w:color="auto" w:sz="4" w:space="0"/>
              <w:bottom w:val="single" w:color="auto" w:sz="4" w:space="0"/>
              <w:right w:val="single" w:color="auto" w:sz="4" w:space="0"/>
            </w:tcBorders>
            <w:vAlign w:val="center"/>
          </w:tcPr>
          <w:p w14:paraId="4185E252">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项目组所任职务</w:t>
            </w:r>
          </w:p>
        </w:tc>
        <w:tc>
          <w:tcPr>
            <w:tcW w:w="569" w:type="pct"/>
            <w:tcBorders>
              <w:top w:val="single" w:color="auto" w:sz="4" w:space="0"/>
              <w:left w:val="single" w:color="auto" w:sz="4" w:space="0"/>
              <w:bottom w:val="single" w:color="auto" w:sz="4" w:space="0"/>
              <w:right w:val="single" w:color="auto" w:sz="4" w:space="0"/>
            </w:tcBorders>
            <w:vAlign w:val="center"/>
          </w:tcPr>
          <w:p w14:paraId="1F85BBDA">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姓名</w:t>
            </w:r>
          </w:p>
        </w:tc>
        <w:tc>
          <w:tcPr>
            <w:tcW w:w="405" w:type="pct"/>
            <w:tcBorders>
              <w:top w:val="single" w:color="auto" w:sz="4" w:space="0"/>
              <w:left w:val="single" w:color="auto" w:sz="4" w:space="0"/>
              <w:bottom w:val="single" w:color="auto" w:sz="4" w:space="0"/>
              <w:right w:val="single" w:color="auto" w:sz="4" w:space="0"/>
            </w:tcBorders>
            <w:vAlign w:val="center"/>
          </w:tcPr>
          <w:p w14:paraId="26C13C3E">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性别</w:t>
            </w:r>
          </w:p>
        </w:tc>
        <w:tc>
          <w:tcPr>
            <w:tcW w:w="430" w:type="pct"/>
            <w:tcBorders>
              <w:top w:val="single" w:color="auto" w:sz="4" w:space="0"/>
              <w:left w:val="single" w:color="auto" w:sz="4" w:space="0"/>
              <w:bottom w:val="single" w:color="auto" w:sz="4" w:space="0"/>
              <w:right w:val="single" w:color="auto" w:sz="4" w:space="0"/>
            </w:tcBorders>
            <w:vAlign w:val="center"/>
          </w:tcPr>
          <w:p w14:paraId="413F1758">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407" w:type="pct"/>
            <w:tcBorders>
              <w:top w:val="single" w:color="auto" w:sz="4" w:space="0"/>
              <w:left w:val="single" w:color="auto" w:sz="4" w:space="0"/>
              <w:bottom w:val="single" w:color="auto" w:sz="4" w:space="0"/>
              <w:right w:val="single" w:color="auto" w:sz="4" w:space="0"/>
            </w:tcBorders>
            <w:vAlign w:val="center"/>
          </w:tcPr>
          <w:p w14:paraId="3C2D6DD6">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职称</w:t>
            </w:r>
          </w:p>
        </w:tc>
        <w:tc>
          <w:tcPr>
            <w:tcW w:w="746" w:type="pct"/>
            <w:tcBorders>
              <w:top w:val="single" w:color="auto" w:sz="4" w:space="0"/>
              <w:left w:val="single" w:color="auto" w:sz="4" w:space="0"/>
              <w:bottom w:val="single" w:color="auto" w:sz="4" w:space="0"/>
              <w:right w:val="single" w:color="auto" w:sz="4" w:space="0"/>
            </w:tcBorders>
            <w:vAlign w:val="center"/>
          </w:tcPr>
          <w:p w14:paraId="5A3B5C7D">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专业/资格</w:t>
            </w:r>
          </w:p>
        </w:tc>
        <w:tc>
          <w:tcPr>
            <w:tcW w:w="672" w:type="pct"/>
            <w:tcBorders>
              <w:top w:val="single" w:color="auto" w:sz="4" w:space="0"/>
              <w:left w:val="single" w:color="auto" w:sz="4" w:space="0"/>
              <w:bottom w:val="single" w:color="auto" w:sz="4" w:space="0"/>
              <w:right w:val="single" w:color="auto" w:sz="4" w:space="0"/>
            </w:tcBorders>
            <w:vAlign w:val="center"/>
          </w:tcPr>
          <w:p w14:paraId="2234F6CE">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从事本工作时间</w:t>
            </w:r>
          </w:p>
        </w:tc>
        <w:tc>
          <w:tcPr>
            <w:tcW w:w="805" w:type="pct"/>
            <w:tcBorders>
              <w:top w:val="single" w:color="auto" w:sz="4" w:space="0"/>
              <w:left w:val="single" w:color="auto" w:sz="4" w:space="0"/>
              <w:bottom w:val="single" w:color="auto" w:sz="4" w:space="0"/>
              <w:right w:val="single" w:color="auto" w:sz="4" w:space="0"/>
            </w:tcBorders>
            <w:vAlign w:val="center"/>
          </w:tcPr>
          <w:p w14:paraId="4412A8D0">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典型业务</w:t>
            </w:r>
          </w:p>
          <w:p w14:paraId="36DCC142">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与技术专长</w:t>
            </w:r>
          </w:p>
        </w:tc>
      </w:tr>
      <w:tr w14:paraId="27004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bottom w:val="single" w:color="auto" w:sz="4" w:space="0"/>
              <w:right w:val="single" w:color="auto" w:sz="4" w:space="0"/>
            </w:tcBorders>
            <w:vAlign w:val="center"/>
          </w:tcPr>
          <w:p w14:paraId="77DBC343">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634" w:type="pct"/>
            <w:tcBorders>
              <w:top w:val="single" w:color="auto" w:sz="4" w:space="0"/>
              <w:left w:val="single" w:color="auto" w:sz="4" w:space="0"/>
              <w:bottom w:val="single" w:color="auto" w:sz="4" w:space="0"/>
              <w:right w:val="single" w:color="auto" w:sz="4" w:space="0"/>
            </w:tcBorders>
            <w:vAlign w:val="center"/>
          </w:tcPr>
          <w:p w14:paraId="0D0C4385">
            <w:pPr>
              <w:pStyle w:val="21"/>
              <w:spacing w:line="360" w:lineRule="auto"/>
              <w:jc w:val="center"/>
              <w:rPr>
                <w:rFonts w:ascii="宋体" w:hAnsi="宋体" w:cs="宋体"/>
                <w:color w:val="auto"/>
                <w:sz w:val="21"/>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51E58060">
            <w:pPr>
              <w:pStyle w:val="21"/>
              <w:spacing w:line="360" w:lineRule="auto"/>
              <w:jc w:val="center"/>
              <w:rPr>
                <w:rFonts w:ascii="宋体" w:hAnsi="宋体" w:cs="宋体"/>
                <w:color w:val="auto"/>
                <w:sz w:val="21"/>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749D8B22">
            <w:pPr>
              <w:pStyle w:val="21"/>
              <w:spacing w:line="360" w:lineRule="auto"/>
              <w:jc w:val="center"/>
              <w:rPr>
                <w:rFonts w:ascii="宋体" w:hAnsi="宋体" w:cs="宋体"/>
                <w:color w:val="auto"/>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6570D6E5">
            <w:pPr>
              <w:pStyle w:val="21"/>
              <w:spacing w:line="360" w:lineRule="auto"/>
              <w:jc w:val="center"/>
              <w:rPr>
                <w:rFonts w:ascii="宋体" w:hAnsi="宋体" w:cs="宋体"/>
                <w:color w:val="auto"/>
                <w:sz w:val="21"/>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30C56A8D">
            <w:pPr>
              <w:pStyle w:val="21"/>
              <w:spacing w:line="360" w:lineRule="auto"/>
              <w:jc w:val="center"/>
              <w:rPr>
                <w:rFonts w:ascii="宋体" w:hAnsi="宋体" w:cs="宋体"/>
                <w:color w:val="auto"/>
                <w:sz w:val="21"/>
                <w:szCs w:val="21"/>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14:paraId="1C1775A9">
            <w:pPr>
              <w:pStyle w:val="21"/>
              <w:spacing w:line="360" w:lineRule="auto"/>
              <w:jc w:val="center"/>
              <w:rPr>
                <w:rFonts w:ascii="宋体" w:hAnsi="宋体" w:cs="宋体"/>
                <w:color w:val="auto"/>
                <w:sz w:val="21"/>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62D18CCF">
            <w:pPr>
              <w:pStyle w:val="21"/>
              <w:spacing w:line="360" w:lineRule="auto"/>
              <w:jc w:val="center"/>
              <w:rPr>
                <w:rFonts w:ascii="宋体" w:hAnsi="宋体" w:cs="宋体"/>
                <w:color w:val="auto"/>
                <w:sz w:val="21"/>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14:paraId="5996AEE5">
            <w:pPr>
              <w:pStyle w:val="21"/>
              <w:spacing w:line="360" w:lineRule="auto"/>
              <w:jc w:val="center"/>
              <w:rPr>
                <w:rFonts w:ascii="宋体" w:hAnsi="宋体" w:cs="宋体"/>
                <w:color w:val="auto"/>
                <w:sz w:val="21"/>
                <w:szCs w:val="21"/>
                <w:highlight w:val="none"/>
              </w:rPr>
            </w:pPr>
          </w:p>
        </w:tc>
      </w:tr>
      <w:tr w14:paraId="2272E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bottom w:val="single" w:color="auto" w:sz="4" w:space="0"/>
              <w:right w:val="single" w:color="auto" w:sz="4" w:space="0"/>
            </w:tcBorders>
            <w:vAlign w:val="center"/>
          </w:tcPr>
          <w:p w14:paraId="1455CDC7">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634" w:type="pct"/>
            <w:tcBorders>
              <w:top w:val="single" w:color="auto" w:sz="4" w:space="0"/>
              <w:left w:val="single" w:color="auto" w:sz="4" w:space="0"/>
              <w:bottom w:val="single" w:color="auto" w:sz="4" w:space="0"/>
              <w:right w:val="single" w:color="auto" w:sz="4" w:space="0"/>
            </w:tcBorders>
            <w:vAlign w:val="center"/>
          </w:tcPr>
          <w:p w14:paraId="1DA2E4EE">
            <w:pPr>
              <w:pStyle w:val="21"/>
              <w:spacing w:line="360" w:lineRule="auto"/>
              <w:jc w:val="center"/>
              <w:rPr>
                <w:rFonts w:ascii="宋体" w:hAnsi="宋体" w:cs="宋体"/>
                <w:color w:val="auto"/>
                <w:sz w:val="21"/>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2F7DE289">
            <w:pPr>
              <w:pStyle w:val="21"/>
              <w:spacing w:line="360" w:lineRule="auto"/>
              <w:jc w:val="center"/>
              <w:rPr>
                <w:rFonts w:ascii="宋体" w:hAnsi="宋体" w:cs="宋体"/>
                <w:color w:val="auto"/>
                <w:sz w:val="21"/>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1F042250">
            <w:pPr>
              <w:pStyle w:val="21"/>
              <w:spacing w:line="360" w:lineRule="auto"/>
              <w:jc w:val="center"/>
              <w:rPr>
                <w:rFonts w:ascii="宋体" w:hAnsi="宋体" w:cs="宋体"/>
                <w:color w:val="auto"/>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22432B3D">
            <w:pPr>
              <w:pStyle w:val="21"/>
              <w:spacing w:line="360" w:lineRule="auto"/>
              <w:jc w:val="center"/>
              <w:rPr>
                <w:rFonts w:ascii="宋体" w:hAnsi="宋体" w:cs="宋体"/>
                <w:color w:val="auto"/>
                <w:sz w:val="21"/>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4F32B367">
            <w:pPr>
              <w:pStyle w:val="21"/>
              <w:spacing w:line="360" w:lineRule="auto"/>
              <w:jc w:val="center"/>
              <w:rPr>
                <w:rFonts w:ascii="宋体" w:hAnsi="宋体" w:cs="宋体"/>
                <w:color w:val="auto"/>
                <w:sz w:val="21"/>
                <w:szCs w:val="21"/>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14:paraId="65FCE319">
            <w:pPr>
              <w:pStyle w:val="21"/>
              <w:spacing w:line="360" w:lineRule="auto"/>
              <w:jc w:val="center"/>
              <w:rPr>
                <w:rFonts w:ascii="宋体" w:hAnsi="宋体" w:cs="宋体"/>
                <w:color w:val="auto"/>
                <w:sz w:val="21"/>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0579F9E0">
            <w:pPr>
              <w:pStyle w:val="21"/>
              <w:spacing w:line="360" w:lineRule="auto"/>
              <w:jc w:val="center"/>
              <w:rPr>
                <w:rFonts w:ascii="宋体" w:hAnsi="宋体" w:cs="宋体"/>
                <w:color w:val="auto"/>
                <w:sz w:val="21"/>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14:paraId="00AC4FEB">
            <w:pPr>
              <w:pStyle w:val="21"/>
              <w:spacing w:line="360" w:lineRule="auto"/>
              <w:jc w:val="center"/>
              <w:rPr>
                <w:rFonts w:ascii="宋体" w:hAnsi="宋体" w:cs="宋体"/>
                <w:color w:val="auto"/>
                <w:sz w:val="21"/>
                <w:szCs w:val="21"/>
                <w:highlight w:val="none"/>
              </w:rPr>
            </w:pPr>
          </w:p>
        </w:tc>
      </w:tr>
      <w:tr w14:paraId="11266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bottom w:val="single" w:color="auto" w:sz="4" w:space="0"/>
              <w:right w:val="single" w:color="auto" w:sz="4" w:space="0"/>
            </w:tcBorders>
            <w:vAlign w:val="center"/>
          </w:tcPr>
          <w:p w14:paraId="079E2C3B">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634" w:type="pct"/>
            <w:tcBorders>
              <w:top w:val="single" w:color="auto" w:sz="4" w:space="0"/>
              <w:left w:val="single" w:color="auto" w:sz="4" w:space="0"/>
              <w:bottom w:val="single" w:color="auto" w:sz="4" w:space="0"/>
              <w:right w:val="single" w:color="auto" w:sz="4" w:space="0"/>
            </w:tcBorders>
            <w:vAlign w:val="center"/>
          </w:tcPr>
          <w:p w14:paraId="1E5B5993">
            <w:pPr>
              <w:pStyle w:val="21"/>
              <w:spacing w:line="360" w:lineRule="auto"/>
              <w:jc w:val="center"/>
              <w:rPr>
                <w:rFonts w:ascii="宋体" w:hAnsi="宋体" w:cs="宋体"/>
                <w:color w:val="auto"/>
                <w:sz w:val="21"/>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5244763B">
            <w:pPr>
              <w:pStyle w:val="21"/>
              <w:spacing w:line="360" w:lineRule="auto"/>
              <w:jc w:val="center"/>
              <w:rPr>
                <w:rFonts w:ascii="宋体" w:hAnsi="宋体" w:cs="宋体"/>
                <w:color w:val="auto"/>
                <w:sz w:val="21"/>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5BE68A74">
            <w:pPr>
              <w:pStyle w:val="21"/>
              <w:spacing w:line="360" w:lineRule="auto"/>
              <w:jc w:val="center"/>
              <w:rPr>
                <w:rFonts w:ascii="宋体" w:hAnsi="宋体" w:cs="宋体"/>
                <w:color w:val="auto"/>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2EED48F7">
            <w:pPr>
              <w:pStyle w:val="21"/>
              <w:spacing w:line="360" w:lineRule="auto"/>
              <w:jc w:val="center"/>
              <w:rPr>
                <w:rFonts w:ascii="宋体" w:hAnsi="宋体" w:cs="宋体"/>
                <w:color w:val="auto"/>
                <w:sz w:val="21"/>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554E7F73">
            <w:pPr>
              <w:pStyle w:val="21"/>
              <w:spacing w:line="360" w:lineRule="auto"/>
              <w:jc w:val="center"/>
              <w:rPr>
                <w:rFonts w:ascii="宋体" w:hAnsi="宋体" w:cs="宋体"/>
                <w:color w:val="auto"/>
                <w:sz w:val="21"/>
                <w:szCs w:val="21"/>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14:paraId="6479082D">
            <w:pPr>
              <w:pStyle w:val="21"/>
              <w:spacing w:line="360" w:lineRule="auto"/>
              <w:jc w:val="center"/>
              <w:rPr>
                <w:rFonts w:ascii="宋体" w:hAnsi="宋体" w:cs="宋体"/>
                <w:color w:val="auto"/>
                <w:sz w:val="21"/>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313BE66D">
            <w:pPr>
              <w:pStyle w:val="21"/>
              <w:spacing w:line="360" w:lineRule="auto"/>
              <w:jc w:val="center"/>
              <w:rPr>
                <w:rFonts w:ascii="宋体" w:hAnsi="宋体" w:cs="宋体"/>
                <w:color w:val="auto"/>
                <w:sz w:val="21"/>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14:paraId="3D71145B">
            <w:pPr>
              <w:pStyle w:val="21"/>
              <w:spacing w:line="360" w:lineRule="auto"/>
              <w:jc w:val="center"/>
              <w:rPr>
                <w:rFonts w:ascii="宋体" w:hAnsi="宋体" w:cs="宋体"/>
                <w:color w:val="auto"/>
                <w:sz w:val="21"/>
                <w:szCs w:val="21"/>
                <w:highlight w:val="none"/>
              </w:rPr>
            </w:pPr>
          </w:p>
        </w:tc>
      </w:tr>
      <w:tr w14:paraId="1FC87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bottom w:val="single" w:color="auto" w:sz="4" w:space="0"/>
              <w:right w:val="single" w:color="auto" w:sz="4" w:space="0"/>
            </w:tcBorders>
            <w:vAlign w:val="center"/>
          </w:tcPr>
          <w:p w14:paraId="6E915B53">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634" w:type="pct"/>
            <w:tcBorders>
              <w:top w:val="single" w:color="auto" w:sz="4" w:space="0"/>
              <w:left w:val="single" w:color="auto" w:sz="4" w:space="0"/>
              <w:bottom w:val="single" w:color="auto" w:sz="4" w:space="0"/>
              <w:right w:val="single" w:color="auto" w:sz="4" w:space="0"/>
            </w:tcBorders>
            <w:vAlign w:val="center"/>
          </w:tcPr>
          <w:p w14:paraId="107D5988">
            <w:pPr>
              <w:pStyle w:val="21"/>
              <w:spacing w:line="360" w:lineRule="auto"/>
              <w:jc w:val="center"/>
              <w:rPr>
                <w:rFonts w:ascii="宋体" w:hAnsi="宋体" w:cs="宋体"/>
                <w:color w:val="auto"/>
                <w:sz w:val="21"/>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318408A8">
            <w:pPr>
              <w:pStyle w:val="21"/>
              <w:spacing w:line="360" w:lineRule="auto"/>
              <w:jc w:val="center"/>
              <w:rPr>
                <w:rFonts w:ascii="宋体" w:hAnsi="宋体" w:cs="宋体"/>
                <w:color w:val="auto"/>
                <w:sz w:val="21"/>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6FFEC40D">
            <w:pPr>
              <w:pStyle w:val="21"/>
              <w:spacing w:line="360" w:lineRule="auto"/>
              <w:jc w:val="center"/>
              <w:rPr>
                <w:rFonts w:ascii="宋体" w:hAnsi="宋体" w:cs="宋体"/>
                <w:color w:val="auto"/>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61BC22F5">
            <w:pPr>
              <w:pStyle w:val="21"/>
              <w:spacing w:line="360" w:lineRule="auto"/>
              <w:jc w:val="center"/>
              <w:rPr>
                <w:rFonts w:ascii="宋体" w:hAnsi="宋体" w:cs="宋体"/>
                <w:color w:val="auto"/>
                <w:sz w:val="21"/>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60CAA66F">
            <w:pPr>
              <w:pStyle w:val="21"/>
              <w:spacing w:line="360" w:lineRule="auto"/>
              <w:jc w:val="center"/>
              <w:rPr>
                <w:rFonts w:ascii="宋体" w:hAnsi="宋体" w:cs="宋体"/>
                <w:color w:val="auto"/>
                <w:sz w:val="21"/>
                <w:szCs w:val="21"/>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14:paraId="41C6497A">
            <w:pPr>
              <w:pStyle w:val="21"/>
              <w:spacing w:line="360" w:lineRule="auto"/>
              <w:jc w:val="center"/>
              <w:rPr>
                <w:rFonts w:ascii="宋体" w:hAnsi="宋体" w:cs="宋体"/>
                <w:color w:val="auto"/>
                <w:sz w:val="21"/>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5FE686B6">
            <w:pPr>
              <w:pStyle w:val="21"/>
              <w:spacing w:line="360" w:lineRule="auto"/>
              <w:jc w:val="center"/>
              <w:rPr>
                <w:rFonts w:ascii="宋体" w:hAnsi="宋体" w:cs="宋体"/>
                <w:color w:val="auto"/>
                <w:sz w:val="21"/>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14:paraId="1A9ABC25">
            <w:pPr>
              <w:pStyle w:val="21"/>
              <w:spacing w:line="360" w:lineRule="auto"/>
              <w:jc w:val="center"/>
              <w:rPr>
                <w:rFonts w:ascii="宋体" w:hAnsi="宋体" w:cs="宋体"/>
                <w:color w:val="auto"/>
                <w:sz w:val="21"/>
                <w:szCs w:val="21"/>
                <w:highlight w:val="none"/>
              </w:rPr>
            </w:pPr>
          </w:p>
        </w:tc>
      </w:tr>
      <w:tr w14:paraId="4328D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bottom w:val="single" w:color="auto" w:sz="4" w:space="0"/>
              <w:right w:val="single" w:color="auto" w:sz="4" w:space="0"/>
            </w:tcBorders>
            <w:vAlign w:val="center"/>
          </w:tcPr>
          <w:p w14:paraId="5832670C">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634" w:type="pct"/>
            <w:tcBorders>
              <w:top w:val="single" w:color="auto" w:sz="4" w:space="0"/>
              <w:left w:val="single" w:color="auto" w:sz="4" w:space="0"/>
              <w:bottom w:val="single" w:color="auto" w:sz="4" w:space="0"/>
              <w:right w:val="single" w:color="auto" w:sz="4" w:space="0"/>
            </w:tcBorders>
            <w:vAlign w:val="center"/>
          </w:tcPr>
          <w:p w14:paraId="148E5EA7">
            <w:pPr>
              <w:pStyle w:val="21"/>
              <w:spacing w:line="360" w:lineRule="auto"/>
              <w:jc w:val="center"/>
              <w:rPr>
                <w:rFonts w:ascii="宋体" w:hAnsi="宋体" w:cs="宋体"/>
                <w:color w:val="auto"/>
                <w:sz w:val="21"/>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2CAEFF57">
            <w:pPr>
              <w:pStyle w:val="21"/>
              <w:spacing w:line="360" w:lineRule="auto"/>
              <w:jc w:val="center"/>
              <w:rPr>
                <w:rFonts w:ascii="宋体" w:hAnsi="宋体" w:cs="宋体"/>
                <w:color w:val="auto"/>
                <w:sz w:val="21"/>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0F355123">
            <w:pPr>
              <w:pStyle w:val="21"/>
              <w:spacing w:line="360" w:lineRule="auto"/>
              <w:jc w:val="center"/>
              <w:rPr>
                <w:rFonts w:ascii="宋体" w:hAnsi="宋体" w:cs="宋体"/>
                <w:color w:val="auto"/>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120D0085">
            <w:pPr>
              <w:pStyle w:val="21"/>
              <w:spacing w:line="360" w:lineRule="auto"/>
              <w:jc w:val="center"/>
              <w:rPr>
                <w:rFonts w:ascii="宋体" w:hAnsi="宋体" w:cs="宋体"/>
                <w:color w:val="auto"/>
                <w:sz w:val="21"/>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06304213">
            <w:pPr>
              <w:pStyle w:val="21"/>
              <w:spacing w:line="360" w:lineRule="auto"/>
              <w:jc w:val="center"/>
              <w:rPr>
                <w:rFonts w:ascii="宋体" w:hAnsi="宋体" w:cs="宋体"/>
                <w:color w:val="auto"/>
                <w:sz w:val="21"/>
                <w:szCs w:val="21"/>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14:paraId="22C89D7F">
            <w:pPr>
              <w:pStyle w:val="21"/>
              <w:spacing w:line="360" w:lineRule="auto"/>
              <w:jc w:val="center"/>
              <w:rPr>
                <w:rFonts w:ascii="宋体" w:hAnsi="宋体" w:cs="宋体"/>
                <w:color w:val="auto"/>
                <w:sz w:val="21"/>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74633B02">
            <w:pPr>
              <w:pStyle w:val="21"/>
              <w:spacing w:line="360" w:lineRule="auto"/>
              <w:jc w:val="center"/>
              <w:rPr>
                <w:rFonts w:ascii="宋体" w:hAnsi="宋体" w:cs="宋体"/>
                <w:color w:val="auto"/>
                <w:sz w:val="21"/>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14:paraId="509B3B9A">
            <w:pPr>
              <w:pStyle w:val="21"/>
              <w:spacing w:line="360" w:lineRule="auto"/>
              <w:jc w:val="center"/>
              <w:rPr>
                <w:rFonts w:ascii="宋体" w:hAnsi="宋体" w:cs="宋体"/>
                <w:color w:val="auto"/>
                <w:sz w:val="21"/>
                <w:szCs w:val="21"/>
                <w:highlight w:val="none"/>
              </w:rPr>
            </w:pPr>
          </w:p>
        </w:tc>
      </w:tr>
      <w:tr w14:paraId="67AC7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bottom w:val="single" w:color="auto" w:sz="4" w:space="0"/>
              <w:right w:val="single" w:color="auto" w:sz="4" w:space="0"/>
            </w:tcBorders>
            <w:vAlign w:val="center"/>
          </w:tcPr>
          <w:p w14:paraId="2C38CBDB">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634" w:type="pct"/>
            <w:tcBorders>
              <w:top w:val="single" w:color="auto" w:sz="4" w:space="0"/>
              <w:left w:val="single" w:color="auto" w:sz="4" w:space="0"/>
              <w:bottom w:val="single" w:color="auto" w:sz="4" w:space="0"/>
              <w:right w:val="single" w:color="auto" w:sz="4" w:space="0"/>
            </w:tcBorders>
            <w:vAlign w:val="center"/>
          </w:tcPr>
          <w:p w14:paraId="79148C52">
            <w:pPr>
              <w:pStyle w:val="21"/>
              <w:spacing w:line="360" w:lineRule="auto"/>
              <w:jc w:val="center"/>
              <w:rPr>
                <w:rFonts w:ascii="宋体" w:hAnsi="宋体" w:cs="宋体"/>
                <w:color w:val="auto"/>
                <w:sz w:val="21"/>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5E56C2B8">
            <w:pPr>
              <w:pStyle w:val="21"/>
              <w:spacing w:line="360" w:lineRule="auto"/>
              <w:jc w:val="center"/>
              <w:rPr>
                <w:rFonts w:ascii="宋体" w:hAnsi="宋体" w:cs="宋体"/>
                <w:color w:val="auto"/>
                <w:sz w:val="21"/>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7FD7000B">
            <w:pPr>
              <w:pStyle w:val="21"/>
              <w:spacing w:line="360" w:lineRule="auto"/>
              <w:jc w:val="center"/>
              <w:rPr>
                <w:rFonts w:ascii="宋体" w:hAnsi="宋体" w:cs="宋体"/>
                <w:color w:val="auto"/>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29B2C3BB">
            <w:pPr>
              <w:pStyle w:val="21"/>
              <w:spacing w:line="360" w:lineRule="auto"/>
              <w:jc w:val="center"/>
              <w:rPr>
                <w:rFonts w:ascii="宋体" w:hAnsi="宋体" w:cs="宋体"/>
                <w:color w:val="auto"/>
                <w:sz w:val="21"/>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468B1E0C">
            <w:pPr>
              <w:pStyle w:val="21"/>
              <w:spacing w:line="360" w:lineRule="auto"/>
              <w:jc w:val="center"/>
              <w:rPr>
                <w:rFonts w:ascii="宋体" w:hAnsi="宋体" w:cs="宋体"/>
                <w:color w:val="auto"/>
                <w:sz w:val="21"/>
                <w:szCs w:val="21"/>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14:paraId="6C2FDEE8">
            <w:pPr>
              <w:pStyle w:val="21"/>
              <w:spacing w:line="360" w:lineRule="auto"/>
              <w:jc w:val="center"/>
              <w:rPr>
                <w:rFonts w:ascii="宋体" w:hAnsi="宋体" w:cs="宋体"/>
                <w:color w:val="auto"/>
                <w:sz w:val="21"/>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640A5F9A">
            <w:pPr>
              <w:pStyle w:val="21"/>
              <w:spacing w:line="360" w:lineRule="auto"/>
              <w:jc w:val="center"/>
              <w:rPr>
                <w:rFonts w:ascii="宋体" w:hAnsi="宋体" w:cs="宋体"/>
                <w:color w:val="auto"/>
                <w:sz w:val="21"/>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14:paraId="00117FB3">
            <w:pPr>
              <w:pStyle w:val="21"/>
              <w:spacing w:line="360" w:lineRule="auto"/>
              <w:jc w:val="center"/>
              <w:rPr>
                <w:rFonts w:ascii="宋体" w:hAnsi="宋体" w:cs="宋体"/>
                <w:color w:val="auto"/>
                <w:sz w:val="21"/>
                <w:szCs w:val="21"/>
                <w:highlight w:val="none"/>
              </w:rPr>
            </w:pPr>
          </w:p>
        </w:tc>
      </w:tr>
      <w:tr w14:paraId="6D652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bottom w:val="single" w:color="auto" w:sz="4" w:space="0"/>
              <w:right w:val="single" w:color="auto" w:sz="4" w:space="0"/>
            </w:tcBorders>
            <w:vAlign w:val="center"/>
          </w:tcPr>
          <w:p w14:paraId="71C248B9">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634" w:type="pct"/>
            <w:tcBorders>
              <w:top w:val="single" w:color="auto" w:sz="4" w:space="0"/>
              <w:left w:val="single" w:color="auto" w:sz="4" w:space="0"/>
              <w:bottom w:val="single" w:color="auto" w:sz="4" w:space="0"/>
              <w:right w:val="single" w:color="auto" w:sz="4" w:space="0"/>
            </w:tcBorders>
            <w:vAlign w:val="center"/>
          </w:tcPr>
          <w:p w14:paraId="2490C06B">
            <w:pPr>
              <w:pStyle w:val="21"/>
              <w:spacing w:line="360" w:lineRule="auto"/>
              <w:jc w:val="center"/>
              <w:rPr>
                <w:rFonts w:ascii="宋体" w:hAnsi="宋体" w:cs="宋体"/>
                <w:color w:val="auto"/>
                <w:sz w:val="21"/>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0D779D2D">
            <w:pPr>
              <w:pStyle w:val="21"/>
              <w:spacing w:line="360" w:lineRule="auto"/>
              <w:jc w:val="center"/>
              <w:rPr>
                <w:rFonts w:ascii="宋体" w:hAnsi="宋体" w:cs="宋体"/>
                <w:color w:val="auto"/>
                <w:sz w:val="21"/>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3E9AA327">
            <w:pPr>
              <w:pStyle w:val="21"/>
              <w:spacing w:line="360" w:lineRule="auto"/>
              <w:jc w:val="center"/>
              <w:rPr>
                <w:rFonts w:ascii="宋体" w:hAnsi="宋体" w:cs="宋体"/>
                <w:color w:val="auto"/>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0B5904FF">
            <w:pPr>
              <w:pStyle w:val="21"/>
              <w:spacing w:line="360" w:lineRule="auto"/>
              <w:jc w:val="center"/>
              <w:rPr>
                <w:rFonts w:ascii="宋体" w:hAnsi="宋体" w:cs="宋体"/>
                <w:color w:val="auto"/>
                <w:sz w:val="21"/>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573A8532">
            <w:pPr>
              <w:pStyle w:val="21"/>
              <w:spacing w:line="360" w:lineRule="auto"/>
              <w:jc w:val="center"/>
              <w:rPr>
                <w:rFonts w:ascii="宋体" w:hAnsi="宋体" w:cs="宋体"/>
                <w:color w:val="auto"/>
                <w:sz w:val="21"/>
                <w:szCs w:val="21"/>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14:paraId="00623604">
            <w:pPr>
              <w:pStyle w:val="21"/>
              <w:spacing w:line="360" w:lineRule="auto"/>
              <w:jc w:val="center"/>
              <w:rPr>
                <w:rFonts w:ascii="宋体" w:hAnsi="宋体" w:cs="宋体"/>
                <w:color w:val="auto"/>
                <w:sz w:val="21"/>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298D61F6">
            <w:pPr>
              <w:pStyle w:val="21"/>
              <w:spacing w:line="360" w:lineRule="auto"/>
              <w:jc w:val="center"/>
              <w:rPr>
                <w:rFonts w:ascii="宋体" w:hAnsi="宋体" w:cs="宋体"/>
                <w:color w:val="auto"/>
                <w:sz w:val="21"/>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14:paraId="54601389">
            <w:pPr>
              <w:pStyle w:val="21"/>
              <w:spacing w:line="360" w:lineRule="auto"/>
              <w:jc w:val="center"/>
              <w:rPr>
                <w:rFonts w:ascii="宋体" w:hAnsi="宋体" w:cs="宋体"/>
                <w:color w:val="auto"/>
                <w:sz w:val="21"/>
                <w:szCs w:val="21"/>
                <w:highlight w:val="none"/>
              </w:rPr>
            </w:pPr>
          </w:p>
        </w:tc>
      </w:tr>
      <w:tr w14:paraId="53258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bottom w:val="single" w:color="auto" w:sz="4" w:space="0"/>
              <w:right w:val="single" w:color="auto" w:sz="4" w:space="0"/>
            </w:tcBorders>
            <w:vAlign w:val="center"/>
          </w:tcPr>
          <w:p w14:paraId="3AFE0033">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634" w:type="pct"/>
            <w:tcBorders>
              <w:top w:val="single" w:color="auto" w:sz="4" w:space="0"/>
              <w:left w:val="single" w:color="auto" w:sz="4" w:space="0"/>
              <w:bottom w:val="single" w:color="auto" w:sz="4" w:space="0"/>
              <w:right w:val="single" w:color="auto" w:sz="4" w:space="0"/>
            </w:tcBorders>
            <w:vAlign w:val="center"/>
          </w:tcPr>
          <w:p w14:paraId="0522B06A">
            <w:pPr>
              <w:pStyle w:val="21"/>
              <w:spacing w:line="360" w:lineRule="auto"/>
              <w:jc w:val="center"/>
              <w:rPr>
                <w:rFonts w:ascii="宋体" w:hAnsi="宋体" w:cs="宋体"/>
                <w:color w:val="auto"/>
                <w:sz w:val="21"/>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791D6A90">
            <w:pPr>
              <w:pStyle w:val="21"/>
              <w:spacing w:line="360" w:lineRule="auto"/>
              <w:jc w:val="center"/>
              <w:rPr>
                <w:rFonts w:ascii="宋体" w:hAnsi="宋体" w:cs="宋体"/>
                <w:color w:val="auto"/>
                <w:sz w:val="21"/>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6533476E">
            <w:pPr>
              <w:pStyle w:val="21"/>
              <w:spacing w:line="360" w:lineRule="auto"/>
              <w:jc w:val="center"/>
              <w:rPr>
                <w:rFonts w:ascii="宋体" w:hAnsi="宋体" w:cs="宋体"/>
                <w:color w:val="auto"/>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1D26A8C3">
            <w:pPr>
              <w:pStyle w:val="21"/>
              <w:spacing w:line="360" w:lineRule="auto"/>
              <w:jc w:val="center"/>
              <w:rPr>
                <w:rFonts w:ascii="宋体" w:hAnsi="宋体" w:cs="宋体"/>
                <w:color w:val="auto"/>
                <w:sz w:val="21"/>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241A2A82">
            <w:pPr>
              <w:pStyle w:val="21"/>
              <w:spacing w:line="360" w:lineRule="auto"/>
              <w:jc w:val="center"/>
              <w:rPr>
                <w:rFonts w:ascii="宋体" w:hAnsi="宋体" w:cs="宋体"/>
                <w:color w:val="auto"/>
                <w:sz w:val="21"/>
                <w:szCs w:val="21"/>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14:paraId="2FA5A099">
            <w:pPr>
              <w:pStyle w:val="21"/>
              <w:spacing w:line="360" w:lineRule="auto"/>
              <w:jc w:val="center"/>
              <w:rPr>
                <w:rFonts w:ascii="宋体" w:hAnsi="宋体" w:cs="宋体"/>
                <w:color w:val="auto"/>
                <w:sz w:val="21"/>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287C2B59">
            <w:pPr>
              <w:pStyle w:val="21"/>
              <w:spacing w:line="360" w:lineRule="auto"/>
              <w:jc w:val="center"/>
              <w:rPr>
                <w:rFonts w:ascii="宋体" w:hAnsi="宋体" w:cs="宋体"/>
                <w:color w:val="auto"/>
                <w:sz w:val="21"/>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14:paraId="49C29856">
            <w:pPr>
              <w:pStyle w:val="21"/>
              <w:spacing w:line="360" w:lineRule="auto"/>
              <w:jc w:val="center"/>
              <w:rPr>
                <w:rFonts w:ascii="宋体" w:hAnsi="宋体" w:cs="宋体"/>
                <w:color w:val="auto"/>
                <w:sz w:val="21"/>
                <w:szCs w:val="21"/>
                <w:highlight w:val="none"/>
              </w:rPr>
            </w:pPr>
          </w:p>
        </w:tc>
      </w:tr>
      <w:tr w14:paraId="24469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left w:val="single" w:color="auto" w:sz="4" w:space="0"/>
              <w:bottom w:val="single" w:color="auto" w:sz="4" w:space="0"/>
              <w:right w:val="single" w:color="auto" w:sz="4" w:space="0"/>
            </w:tcBorders>
            <w:vAlign w:val="center"/>
          </w:tcPr>
          <w:p w14:paraId="245EDC55">
            <w:pPr>
              <w:pStyle w:val="2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634" w:type="pct"/>
            <w:tcBorders>
              <w:top w:val="single" w:color="auto" w:sz="4" w:space="0"/>
              <w:left w:val="single" w:color="auto" w:sz="4" w:space="0"/>
              <w:bottom w:val="single" w:color="auto" w:sz="4" w:space="0"/>
              <w:right w:val="single" w:color="auto" w:sz="4" w:space="0"/>
            </w:tcBorders>
            <w:vAlign w:val="center"/>
          </w:tcPr>
          <w:p w14:paraId="5B70D353">
            <w:pPr>
              <w:pStyle w:val="21"/>
              <w:spacing w:line="360" w:lineRule="auto"/>
              <w:jc w:val="center"/>
              <w:rPr>
                <w:rFonts w:ascii="宋体" w:hAnsi="宋体" w:cs="宋体"/>
                <w:color w:val="auto"/>
                <w:sz w:val="21"/>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38F800F5">
            <w:pPr>
              <w:pStyle w:val="21"/>
              <w:spacing w:line="360" w:lineRule="auto"/>
              <w:jc w:val="center"/>
              <w:rPr>
                <w:rFonts w:ascii="宋体" w:hAnsi="宋体" w:cs="宋体"/>
                <w:color w:val="auto"/>
                <w:sz w:val="21"/>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49624633">
            <w:pPr>
              <w:pStyle w:val="21"/>
              <w:spacing w:line="360" w:lineRule="auto"/>
              <w:jc w:val="center"/>
              <w:rPr>
                <w:rFonts w:ascii="宋体" w:hAnsi="宋体" w:cs="宋体"/>
                <w:color w:val="auto"/>
                <w:sz w:val="21"/>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14:paraId="418C611A">
            <w:pPr>
              <w:pStyle w:val="21"/>
              <w:spacing w:line="360" w:lineRule="auto"/>
              <w:jc w:val="center"/>
              <w:rPr>
                <w:rFonts w:ascii="宋体" w:hAnsi="宋体" w:cs="宋体"/>
                <w:color w:val="auto"/>
                <w:sz w:val="21"/>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06B178C7">
            <w:pPr>
              <w:pStyle w:val="21"/>
              <w:spacing w:line="360" w:lineRule="auto"/>
              <w:jc w:val="center"/>
              <w:rPr>
                <w:rFonts w:ascii="宋体" w:hAnsi="宋体" w:cs="宋体"/>
                <w:color w:val="auto"/>
                <w:sz w:val="21"/>
                <w:szCs w:val="21"/>
                <w:highlight w:val="none"/>
              </w:rPr>
            </w:pPr>
          </w:p>
        </w:tc>
        <w:tc>
          <w:tcPr>
            <w:tcW w:w="746" w:type="pct"/>
            <w:tcBorders>
              <w:top w:val="single" w:color="auto" w:sz="4" w:space="0"/>
              <w:left w:val="single" w:color="auto" w:sz="4" w:space="0"/>
              <w:bottom w:val="single" w:color="auto" w:sz="4" w:space="0"/>
              <w:right w:val="single" w:color="auto" w:sz="4" w:space="0"/>
            </w:tcBorders>
            <w:vAlign w:val="center"/>
          </w:tcPr>
          <w:p w14:paraId="0040327B">
            <w:pPr>
              <w:pStyle w:val="21"/>
              <w:spacing w:line="360" w:lineRule="auto"/>
              <w:jc w:val="center"/>
              <w:rPr>
                <w:rFonts w:ascii="宋体" w:hAnsi="宋体" w:cs="宋体"/>
                <w:color w:val="auto"/>
                <w:sz w:val="21"/>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3EA698CE">
            <w:pPr>
              <w:pStyle w:val="21"/>
              <w:spacing w:line="360" w:lineRule="auto"/>
              <w:jc w:val="center"/>
              <w:rPr>
                <w:rFonts w:ascii="宋体" w:hAnsi="宋体" w:cs="宋体"/>
                <w:color w:val="auto"/>
                <w:sz w:val="21"/>
                <w:szCs w:val="21"/>
                <w:highlight w:val="none"/>
              </w:rPr>
            </w:pPr>
          </w:p>
        </w:tc>
        <w:tc>
          <w:tcPr>
            <w:tcW w:w="805" w:type="pct"/>
            <w:tcBorders>
              <w:top w:val="single" w:color="auto" w:sz="4" w:space="0"/>
              <w:left w:val="single" w:color="auto" w:sz="4" w:space="0"/>
              <w:bottom w:val="single" w:color="auto" w:sz="4" w:space="0"/>
              <w:right w:val="single" w:color="auto" w:sz="4" w:space="0"/>
            </w:tcBorders>
            <w:vAlign w:val="center"/>
          </w:tcPr>
          <w:p w14:paraId="7FD2D150">
            <w:pPr>
              <w:pStyle w:val="21"/>
              <w:spacing w:line="360" w:lineRule="auto"/>
              <w:jc w:val="center"/>
              <w:rPr>
                <w:rFonts w:ascii="宋体" w:hAnsi="宋体" w:cs="宋体"/>
                <w:color w:val="auto"/>
                <w:sz w:val="21"/>
                <w:szCs w:val="21"/>
                <w:highlight w:val="none"/>
              </w:rPr>
            </w:pPr>
          </w:p>
        </w:tc>
      </w:tr>
      <w:tr w14:paraId="7566E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bottom w:val="single" w:color="auto" w:sz="4" w:space="0"/>
              <w:right w:val="single" w:color="auto" w:sz="4" w:space="0"/>
            </w:tcBorders>
          </w:tcPr>
          <w:p w14:paraId="14FC41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634" w:type="pct"/>
            <w:tcBorders>
              <w:top w:val="single" w:color="auto" w:sz="4" w:space="0"/>
              <w:left w:val="single" w:color="auto" w:sz="4" w:space="0"/>
              <w:bottom w:val="single" w:color="auto" w:sz="4" w:space="0"/>
              <w:right w:val="single" w:color="auto" w:sz="4" w:space="0"/>
            </w:tcBorders>
          </w:tcPr>
          <w:p w14:paraId="4E3134A1">
            <w:pPr>
              <w:spacing w:line="360" w:lineRule="auto"/>
              <w:jc w:val="center"/>
              <w:rPr>
                <w:rFonts w:ascii="宋体" w:hAnsi="宋体" w:cs="宋体"/>
                <w:color w:val="auto"/>
                <w:szCs w:val="21"/>
                <w:highlight w:val="none"/>
              </w:rPr>
            </w:pPr>
          </w:p>
        </w:tc>
        <w:tc>
          <w:tcPr>
            <w:tcW w:w="569" w:type="pct"/>
            <w:tcBorders>
              <w:top w:val="single" w:color="auto" w:sz="4" w:space="0"/>
              <w:left w:val="single" w:color="auto" w:sz="4" w:space="0"/>
              <w:bottom w:val="single" w:color="auto" w:sz="4" w:space="0"/>
              <w:right w:val="single" w:color="auto" w:sz="4" w:space="0"/>
            </w:tcBorders>
          </w:tcPr>
          <w:p w14:paraId="64780074">
            <w:pPr>
              <w:spacing w:line="360" w:lineRule="auto"/>
              <w:jc w:val="center"/>
              <w:rPr>
                <w:rFonts w:ascii="宋体" w:hAnsi="宋体" w:cs="宋体"/>
                <w:color w:val="auto"/>
                <w:szCs w:val="21"/>
                <w:highlight w:val="none"/>
              </w:rPr>
            </w:pPr>
          </w:p>
        </w:tc>
        <w:tc>
          <w:tcPr>
            <w:tcW w:w="405" w:type="pct"/>
            <w:tcBorders>
              <w:top w:val="single" w:color="auto" w:sz="4" w:space="0"/>
              <w:left w:val="single" w:color="auto" w:sz="4" w:space="0"/>
              <w:bottom w:val="single" w:color="auto" w:sz="4" w:space="0"/>
              <w:right w:val="single" w:color="auto" w:sz="4" w:space="0"/>
            </w:tcBorders>
          </w:tcPr>
          <w:p w14:paraId="2EF90DA9">
            <w:pPr>
              <w:spacing w:line="360" w:lineRule="auto"/>
              <w:jc w:val="center"/>
              <w:rPr>
                <w:rFonts w:ascii="宋体" w:hAnsi="宋体" w:cs="宋体"/>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tcPr>
          <w:p w14:paraId="0C79FEC4">
            <w:pPr>
              <w:spacing w:line="360" w:lineRule="auto"/>
              <w:jc w:val="center"/>
              <w:rPr>
                <w:rFonts w:ascii="宋体" w:hAnsi="宋体" w:cs="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tcPr>
          <w:p w14:paraId="4B0E5BDA">
            <w:pPr>
              <w:spacing w:line="360" w:lineRule="auto"/>
              <w:jc w:val="center"/>
              <w:rPr>
                <w:rFonts w:ascii="宋体" w:hAnsi="宋体" w:cs="宋体"/>
                <w:color w:val="auto"/>
                <w:szCs w:val="21"/>
                <w:highlight w:val="none"/>
              </w:rPr>
            </w:pPr>
          </w:p>
        </w:tc>
        <w:tc>
          <w:tcPr>
            <w:tcW w:w="746" w:type="pct"/>
            <w:tcBorders>
              <w:top w:val="single" w:color="auto" w:sz="4" w:space="0"/>
              <w:left w:val="single" w:color="auto" w:sz="4" w:space="0"/>
              <w:bottom w:val="single" w:color="auto" w:sz="4" w:space="0"/>
              <w:right w:val="single" w:color="auto" w:sz="4" w:space="0"/>
            </w:tcBorders>
          </w:tcPr>
          <w:p w14:paraId="1B71A576">
            <w:pPr>
              <w:spacing w:line="360" w:lineRule="auto"/>
              <w:jc w:val="center"/>
              <w:rPr>
                <w:rFonts w:ascii="宋体" w:hAnsi="宋体" w:cs="宋体"/>
                <w:color w:val="auto"/>
                <w:szCs w:val="21"/>
                <w:highlight w:val="none"/>
              </w:rPr>
            </w:pPr>
          </w:p>
        </w:tc>
        <w:tc>
          <w:tcPr>
            <w:tcW w:w="672" w:type="pct"/>
            <w:tcBorders>
              <w:top w:val="single" w:color="auto" w:sz="4" w:space="0"/>
              <w:left w:val="single" w:color="auto" w:sz="4" w:space="0"/>
              <w:bottom w:val="single" w:color="auto" w:sz="4" w:space="0"/>
              <w:right w:val="single" w:color="auto" w:sz="4" w:space="0"/>
            </w:tcBorders>
          </w:tcPr>
          <w:p w14:paraId="032B2012">
            <w:pPr>
              <w:spacing w:line="360" w:lineRule="auto"/>
              <w:jc w:val="center"/>
              <w:rPr>
                <w:rFonts w:ascii="宋体" w:hAnsi="宋体" w:cs="宋体"/>
                <w:color w:val="auto"/>
                <w:szCs w:val="21"/>
                <w:highlight w:val="none"/>
              </w:rPr>
            </w:pPr>
          </w:p>
        </w:tc>
        <w:tc>
          <w:tcPr>
            <w:tcW w:w="805" w:type="pct"/>
            <w:tcBorders>
              <w:top w:val="single" w:color="auto" w:sz="4" w:space="0"/>
              <w:left w:val="single" w:color="auto" w:sz="4" w:space="0"/>
              <w:bottom w:val="single" w:color="auto" w:sz="4" w:space="0"/>
            </w:tcBorders>
          </w:tcPr>
          <w:p w14:paraId="1F473F11">
            <w:pPr>
              <w:spacing w:line="360" w:lineRule="auto"/>
              <w:jc w:val="center"/>
              <w:rPr>
                <w:rFonts w:ascii="宋体" w:hAnsi="宋体" w:cs="宋体"/>
                <w:color w:val="auto"/>
                <w:szCs w:val="21"/>
                <w:highlight w:val="none"/>
              </w:rPr>
            </w:pPr>
          </w:p>
        </w:tc>
      </w:tr>
      <w:tr w14:paraId="605B2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9" w:type="pct"/>
            <w:tcBorders>
              <w:top w:val="single" w:color="auto" w:sz="4" w:space="0"/>
              <w:right w:val="single" w:color="auto" w:sz="4" w:space="0"/>
            </w:tcBorders>
          </w:tcPr>
          <w:p w14:paraId="224E25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634" w:type="pct"/>
            <w:tcBorders>
              <w:top w:val="single" w:color="auto" w:sz="4" w:space="0"/>
              <w:left w:val="single" w:color="auto" w:sz="4" w:space="0"/>
              <w:right w:val="single" w:color="auto" w:sz="4" w:space="0"/>
            </w:tcBorders>
          </w:tcPr>
          <w:p w14:paraId="124B9322">
            <w:pPr>
              <w:spacing w:line="360" w:lineRule="auto"/>
              <w:jc w:val="center"/>
              <w:rPr>
                <w:rFonts w:ascii="宋体" w:hAnsi="宋体" w:cs="宋体"/>
                <w:color w:val="auto"/>
                <w:szCs w:val="21"/>
                <w:highlight w:val="none"/>
              </w:rPr>
            </w:pPr>
          </w:p>
        </w:tc>
        <w:tc>
          <w:tcPr>
            <w:tcW w:w="569" w:type="pct"/>
            <w:tcBorders>
              <w:top w:val="single" w:color="auto" w:sz="4" w:space="0"/>
              <w:left w:val="single" w:color="auto" w:sz="4" w:space="0"/>
              <w:right w:val="single" w:color="auto" w:sz="4" w:space="0"/>
            </w:tcBorders>
          </w:tcPr>
          <w:p w14:paraId="44E5BEFE">
            <w:pPr>
              <w:spacing w:line="360" w:lineRule="auto"/>
              <w:jc w:val="center"/>
              <w:rPr>
                <w:rFonts w:ascii="宋体" w:hAnsi="宋体" w:cs="宋体"/>
                <w:color w:val="auto"/>
                <w:szCs w:val="21"/>
                <w:highlight w:val="none"/>
              </w:rPr>
            </w:pPr>
          </w:p>
        </w:tc>
        <w:tc>
          <w:tcPr>
            <w:tcW w:w="405" w:type="pct"/>
            <w:tcBorders>
              <w:top w:val="single" w:color="auto" w:sz="4" w:space="0"/>
              <w:left w:val="single" w:color="auto" w:sz="4" w:space="0"/>
              <w:right w:val="single" w:color="auto" w:sz="4" w:space="0"/>
            </w:tcBorders>
          </w:tcPr>
          <w:p w14:paraId="517EAC3A">
            <w:pPr>
              <w:spacing w:line="360" w:lineRule="auto"/>
              <w:jc w:val="center"/>
              <w:rPr>
                <w:rFonts w:ascii="宋体" w:hAnsi="宋体" w:cs="宋体"/>
                <w:color w:val="auto"/>
                <w:szCs w:val="21"/>
                <w:highlight w:val="none"/>
              </w:rPr>
            </w:pPr>
          </w:p>
        </w:tc>
        <w:tc>
          <w:tcPr>
            <w:tcW w:w="430" w:type="pct"/>
            <w:tcBorders>
              <w:top w:val="single" w:color="auto" w:sz="4" w:space="0"/>
              <w:left w:val="single" w:color="auto" w:sz="4" w:space="0"/>
              <w:right w:val="single" w:color="auto" w:sz="4" w:space="0"/>
            </w:tcBorders>
          </w:tcPr>
          <w:p w14:paraId="61E767B5">
            <w:pPr>
              <w:spacing w:line="360" w:lineRule="auto"/>
              <w:jc w:val="center"/>
              <w:rPr>
                <w:rFonts w:ascii="宋体" w:hAnsi="宋体" w:cs="宋体"/>
                <w:color w:val="auto"/>
                <w:szCs w:val="21"/>
                <w:highlight w:val="none"/>
              </w:rPr>
            </w:pPr>
          </w:p>
        </w:tc>
        <w:tc>
          <w:tcPr>
            <w:tcW w:w="407" w:type="pct"/>
            <w:tcBorders>
              <w:top w:val="single" w:color="auto" w:sz="4" w:space="0"/>
              <w:left w:val="single" w:color="auto" w:sz="4" w:space="0"/>
              <w:right w:val="single" w:color="auto" w:sz="4" w:space="0"/>
            </w:tcBorders>
          </w:tcPr>
          <w:p w14:paraId="07E82E31">
            <w:pPr>
              <w:spacing w:line="360" w:lineRule="auto"/>
              <w:jc w:val="center"/>
              <w:rPr>
                <w:rFonts w:ascii="宋体" w:hAnsi="宋体" w:cs="宋体"/>
                <w:color w:val="auto"/>
                <w:szCs w:val="21"/>
                <w:highlight w:val="none"/>
              </w:rPr>
            </w:pPr>
          </w:p>
        </w:tc>
        <w:tc>
          <w:tcPr>
            <w:tcW w:w="746" w:type="pct"/>
            <w:tcBorders>
              <w:top w:val="single" w:color="auto" w:sz="4" w:space="0"/>
              <w:left w:val="single" w:color="auto" w:sz="4" w:space="0"/>
              <w:right w:val="single" w:color="auto" w:sz="4" w:space="0"/>
            </w:tcBorders>
          </w:tcPr>
          <w:p w14:paraId="466B352C">
            <w:pPr>
              <w:spacing w:line="360" w:lineRule="auto"/>
              <w:jc w:val="center"/>
              <w:rPr>
                <w:rFonts w:ascii="宋体" w:hAnsi="宋体" w:cs="宋体"/>
                <w:color w:val="auto"/>
                <w:szCs w:val="21"/>
                <w:highlight w:val="none"/>
              </w:rPr>
            </w:pPr>
          </w:p>
        </w:tc>
        <w:tc>
          <w:tcPr>
            <w:tcW w:w="672" w:type="pct"/>
            <w:tcBorders>
              <w:top w:val="single" w:color="auto" w:sz="4" w:space="0"/>
              <w:left w:val="single" w:color="auto" w:sz="4" w:space="0"/>
              <w:right w:val="single" w:color="auto" w:sz="4" w:space="0"/>
            </w:tcBorders>
          </w:tcPr>
          <w:p w14:paraId="3326CEA0">
            <w:pPr>
              <w:spacing w:line="360" w:lineRule="auto"/>
              <w:jc w:val="center"/>
              <w:rPr>
                <w:rFonts w:ascii="宋体" w:hAnsi="宋体" w:cs="宋体"/>
                <w:color w:val="auto"/>
                <w:szCs w:val="21"/>
                <w:highlight w:val="none"/>
              </w:rPr>
            </w:pPr>
          </w:p>
        </w:tc>
        <w:tc>
          <w:tcPr>
            <w:tcW w:w="805" w:type="pct"/>
            <w:tcBorders>
              <w:top w:val="single" w:color="auto" w:sz="4" w:space="0"/>
              <w:left w:val="single" w:color="auto" w:sz="4" w:space="0"/>
            </w:tcBorders>
          </w:tcPr>
          <w:p w14:paraId="381468A2">
            <w:pPr>
              <w:spacing w:line="360" w:lineRule="auto"/>
              <w:jc w:val="center"/>
              <w:rPr>
                <w:rFonts w:ascii="宋体" w:hAnsi="宋体" w:cs="宋体"/>
                <w:color w:val="auto"/>
                <w:szCs w:val="21"/>
                <w:highlight w:val="none"/>
              </w:rPr>
            </w:pPr>
          </w:p>
        </w:tc>
      </w:tr>
    </w:tbl>
    <w:p w14:paraId="12AEACAB">
      <w:pPr>
        <w:spacing w:line="360" w:lineRule="auto"/>
        <w:rPr>
          <w:rFonts w:ascii="宋体" w:hAnsi="宋体" w:cs="宋体"/>
          <w:color w:val="auto"/>
          <w:szCs w:val="21"/>
          <w:highlight w:val="none"/>
        </w:rPr>
      </w:pPr>
    </w:p>
    <w:p w14:paraId="01DCA6CC">
      <w:pPr>
        <w:spacing w:line="360" w:lineRule="auto"/>
        <w:ind w:firstLine="420" w:firstLineChars="200"/>
        <w:rPr>
          <w:rFonts w:ascii="宋体" w:hAnsi="宋体" w:cs="宋体"/>
          <w:color w:val="auto"/>
          <w:szCs w:val="21"/>
          <w:highlight w:val="none"/>
        </w:rPr>
      </w:pPr>
    </w:p>
    <w:p w14:paraId="2B6E7556">
      <w:pPr>
        <w:spacing w:line="360" w:lineRule="auto"/>
        <w:rPr>
          <w:rFonts w:ascii="宋体" w:hAnsi="宋体" w:cs="宋体"/>
          <w:color w:val="auto"/>
          <w:szCs w:val="21"/>
          <w:highlight w:val="none"/>
        </w:rPr>
      </w:pPr>
      <w:r>
        <w:rPr>
          <w:rFonts w:hint="eastAsia" w:ascii="宋体" w:hAnsi="宋体" w:cs="宋体"/>
          <w:color w:val="auto"/>
          <w:szCs w:val="21"/>
          <w:highlight w:val="none"/>
        </w:rPr>
        <w:t>注：1.“项目组人员”指投标单位针对该项目的销售、培训、售后服务等完成本项目所配备的人员。</w:t>
      </w:r>
    </w:p>
    <w:p w14:paraId="46181E57">
      <w:pPr>
        <w:spacing w:line="360" w:lineRule="auto"/>
        <w:rPr>
          <w:rFonts w:ascii="宋体" w:hAnsi="宋体" w:cs="宋体"/>
          <w:color w:val="auto"/>
          <w:szCs w:val="21"/>
          <w:highlight w:val="none"/>
        </w:rPr>
      </w:pPr>
      <w:r>
        <w:rPr>
          <w:rFonts w:hint="eastAsia" w:ascii="宋体" w:hAnsi="宋体" w:cs="宋体"/>
          <w:color w:val="auto"/>
          <w:szCs w:val="21"/>
          <w:highlight w:val="none"/>
        </w:rPr>
        <w:t>2.提供相关专业人员的资格执业证书复印件并加盖电子签章；</w:t>
      </w:r>
    </w:p>
    <w:p w14:paraId="1774AD29">
      <w:pPr>
        <w:spacing w:line="360" w:lineRule="auto"/>
        <w:rPr>
          <w:rFonts w:ascii="宋体" w:hAnsi="宋体" w:cs="宋体"/>
          <w:color w:val="auto"/>
          <w:szCs w:val="21"/>
          <w:highlight w:val="none"/>
        </w:rPr>
      </w:pPr>
      <w:r>
        <w:rPr>
          <w:rFonts w:hint="eastAsia" w:ascii="宋体" w:hAnsi="宋体" w:cs="宋体"/>
          <w:color w:val="auto"/>
          <w:szCs w:val="21"/>
          <w:highlight w:val="none"/>
        </w:rPr>
        <w:t>3.表格不够填写可添加。</w:t>
      </w:r>
    </w:p>
    <w:p w14:paraId="51CC2AF4">
      <w:pPr>
        <w:spacing w:line="360" w:lineRule="auto"/>
        <w:rPr>
          <w:rFonts w:ascii="宋体" w:hAnsi="宋体" w:cs="宋体"/>
          <w:color w:val="auto"/>
          <w:szCs w:val="21"/>
          <w:highlight w:val="none"/>
        </w:rPr>
      </w:pPr>
    </w:p>
    <w:p w14:paraId="04172316">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法定代表人（或负责人）或其授权的委托代理人签字：</w:t>
      </w:r>
    </w:p>
    <w:p w14:paraId="6CC2F63F">
      <w:pPr>
        <w:spacing w:line="360" w:lineRule="auto"/>
        <w:rPr>
          <w:rFonts w:ascii="宋体" w:hAnsi="宋体" w:cs="宋体"/>
          <w:b/>
          <w:bCs/>
          <w:color w:val="auto"/>
          <w:sz w:val="32"/>
          <w:szCs w:val="32"/>
          <w:highlight w:val="none"/>
        </w:rPr>
      </w:pPr>
      <w:r>
        <w:rPr>
          <w:rFonts w:hint="eastAsia" w:ascii="宋体" w:hAnsi="宋体" w:cs="宋体"/>
          <w:color w:val="auto"/>
          <w:sz w:val="24"/>
          <w:highlight w:val="none"/>
        </w:rPr>
        <w:t>日期：</w:t>
      </w:r>
      <w:bookmarkStart w:id="172" w:name="_Toc296074354"/>
      <w:bookmarkStart w:id="173" w:name="_Toc295737643"/>
      <w:bookmarkStart w:id="174" w:name="_Toc328557255"/>
      <w:bookmarkStart w:id="175" w:name="_Toc295910891"/>
      <w:r>
        <w:rPr>
          <w:rFonts w:hint="eastAsia" w:ascii="宋体" w:hAnsi="宋体" w:cs="宋体"/>
          <w:b/>
          <w:bCs/>
          <w:color w:val="auto"/>
          <w:sz w:val="28"/>
          <w:szCs w:val="28"/>
          <w:highlight w:val="none"/>
        </w:rPr>
        <w:t xml:space="preserve">  </w:t>
      </w:r>
      <w:bookmarkEnd w:id="172"/>
      <w:bookmarkEnd w:id="173"/>
      <w:bookmarkEnd w:id="174"/>
      <w:bookmarkEnd w:id="175"/>
    </w:p>
    <w:p w14:paraId="48E51C50">
      <w:pPr>
        <w:spacing w:before="120" w:after="120" w:line="360" w:lineRule="auto"/>
        <w:jc w:val="center"/>
        <w:outlineLvl w:val="2"/>
        <w:rPr>
          <w:rFonts w:ascii="宋体" w:hAnsi="宋体" w:cs="宋体"/>
          <w:b/>
          <w:bCs/>
          <w:color w:val="auto"/>
          <w:sz w:val="32"/>
          <w:szCs w:val="32"/>
          <w:highlight w:val="none"/>
        </w:rPr>
      </w:pPr>
      <w:r>
        <w:rPr>
          <w:rFonts w:hint="eastAsia" w:ascii="宋体" w:hAnsi="宋体" w:cs="宋体"/>
          <w:color w:val="auto"/>
          <w:sz w:val="24"/>
          <w:szCs w:val="21"/>
          <w:highlight w:val="none"/>
        </w:rPr>
        <w:br w:type="page"/>
      </w:r>
      <w:bookmarkStart w:id="176" w:name="_Toc328557257"/>
      <w:r>
        <w:rPr>
          <w:rFonts w:hint="eastAsia" w:ascii="宋体" w:hAnsi="宋体" w:cs="宋体"/>
          <w:b/>
          <w:bCs/>
          <w:color w:val="auto"/>
          <w:sz w:val="32"/>
          <w:szCs w:val="32"/>
          <w:highlight w:val="none"/>
        </w:rPr>
        <w:t>公司业绩一览表</w:t>
      </w:r>
      <w:bookmarkEnd w:id="176"/>
    </w:p>
    <w:p w14:paraId="6D0C26F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投标人名称（电子签章）： </w:t>
      </w:r>
    </w:p>
    <w:tbl>
      <w:tblPr>
        <w:tblStyle w:val="38"/>
        <w:tblpPr w:leftFromText="180" w:rightFromText="180" w:vertAnchor="text" w:horzAnchor="page" w:tblpX="1959" w:tblpY="5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371"/>
        <w:gridCol w:w="1895"/>
        <w:gridCol w:w="1348"/>
        <w:gridCol w:w="1489"/>
        <w:gridCol w:w="1752"/>
        <w:gridCol w:w="1051"/>
      </w:tblGrid>
      <w:tr w14:paraId="4AA6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 w:type="pct"/>
            <w:vAlign w:val="center"/>
          </w:tcPr>
          <w:p w14:paraId="21ABC89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16" w:type="pct"/>
            <w:vAlign w:val="center"/>
          </w:tcPr>
          <w:p w14:paraId="5B7D60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990" w:type="pct"/>
            <w:vAlign w:val="center"/>
          </w:tcPr>
          <w:p w14:paraId="2B00BFA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项目起止时间</w:t>
            </w:r>
          </w:p>
        </w:tc>
        <w:tc>
          <w:tcPr>
            <w:tcW w:w="704" w:type="pct"/>
            <w:vAlign w:val="center"/>
          </w:tcPr>
          <w:p w14:paraId="484728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项目规模</w:t>
            </w:r>
          </w:p>
        </w:tc>
        <w:tc>
          <w:tcPr>
            <w:tcW w:w="778" w:type="pct"/>
            <w:vAlign w:val="center"/>
          </w:tcPr>
          <w:p w14:paraId="544DA4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合同金额</w:t>
            </w:r>
          </w:p>
          <w:p w14:paraId="567545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915" w:type="pct"/>
            <w:vAlign w:val="center"/>
          </w:tcPr>
          <w:p w14:paraId="0DFAFE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业主单位</w:t>
            </w:r>
          </w:p>
        </w:tc>
        <w:tc>
          <w:tcPr>
            <w:tcW w:w="549" w:type="pct"/>
            <w:vAlign w:val="center"/>
          </w:tcPr>
          <w:p w14:paraId="67CC44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3B47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44" w:type="pct"/>
            <w:vAlign w:val="center"/>
          </w:tcPr>
          <w:p w14:paraId="00470B4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716" w:type="pct"/>
            <w:vAlign w:val="center"/>
          </w:tcPr>
          <w:p w14:paraId="71198565">
            <w:pPr>
              <w:spacing w:line="360" w:lineRule="auto"/>
              <w:rPr>
                <w:rFonts w:ascii="宋体" w:hAnsi="宋体" w:cs="宋体"/>
                <w:color w:val="auto"/>
                <w:sz w:val="24"/>
                <w:highlight w:val="none"/>
              </w:rPr>
            </w:pPr>
          </w:p>
        </w:tc>
        <w:tc>
          <w:tcPr>
            <w:tcW w:w="990" w:type="pct"/>
          </w:tcPr>
          <w:p w14:paraId="403A307A">
            <w:pPr>
              <w:spacing w:line="360" w:lineRule="auto"/>
              <w:rPr>
                <w:rFonts w:ascii="宋体" w:hAnsi="宋体" w:cs="宋体"/>
                <w:color w:val="auto"/>
                <w:sz w:val="24"/>
                <w:highlight w:val="none"/>
              </w:rPr>
            </w:pPr>
          </w:p>
        </w:tc>
        <w:tc>
          <w:tcPr>
            <w:tcW w:w="704" w:type="pct"/>
          </w:tcPr>
          <w:p w14:paraId="53543B7E">
            <w:pPr>
              <w:spacing w:line="360" w:lineRule="auto"/>
              <w:rPr>
                <w:rFonts w:ascii="宋体" w:hAnsi="宋体" w:cs="宋体"/>
                <w:color w:val="auto"/>
                <w:sz w:val="24"/>
                <w:highlight w:val="none"/>
              </w:rPr>
            </w:pPr>
          </w:p>
        </w:tc>
        <w:tc>
          <w:tcPr>
            <w:tcW w:w="778" w:type="pct"/>
            <w:vAlign w:val="center"/>
          </w:tcPr>
          <w:p w14:paraId="2473C421">
            <w:pPr>
              <w:spacing w:line="360" w:lineRule="auto"/>
              <w:rPr>
                <w:rFonts w:ascii="宋体" w:hAnsi="宋体" w:cs="宋体"/>
                <w:color w:val="auto"/>
                <w:sz w:val="24"/>
                <w:highlight w:val="none"/>
              </w:rPr>
            </w:pPr>
          </w:p>
        </w:tc>
        <w:tc>
          <w:tcPr>
            <w:tcW w:w="915" w:type="pct"/>
            <w:vAlign w:val="center"/>
          </w:tcPr>
          <w:p w14:paraId="5261B2D0">
            <w:pPr>
              <w:spacing w:line="360" w:lineRule="auto"/>
              <w:rPr>
                <w:rFonts w:ascii="宋体" w:hAnsi="宋体" w:cs="宋体"/>
                <w:color w:val="auto"/>
                <w:sz w:val="24"/>
                <w:highlight w:val="none"/>
              </w:rPr>
            </w:pPr>
          </w:p>
        </w:tc>
        <w:tc>
          <w:tcPr>
            <w:tcW w:w="549" w:type="pct"/>
            <w:vAlign w:val="center"/>
          </w:tcPr>
          <w:p w14:paraId="71C17EDA">
            <w:pPr>
              <w:spacing w:line="360" w:lineRule="auto"/>
              <w:rPr>
                <w:rFonts w:ascii="宋体" w:hAnsi="宋体" w:cs="宋体"/>
                <w:color w:val="auto"/>
                <w:sz w:val="24"/>
                <w:highlight w:val="none"/>
              </w:rPr>
            </w:pPr>
          </w:p>
        </w:tc>
      </w:tr>
      <w:tr w14:paraId="3C1D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44" w:type="pct"/>
            <w:vAlign w:val="center"/>
          </w:tcPr>
          <w:p w14:paraId="2F5E9B9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716" w:type="pct"/>
            <w:vAlign w:val="center"/>
          </w:tcPr>
          <w:p w14:paraId="2FEBD429">
            <w:pPr>
              <w:spacing w:line="360" w:lineRule="auto"/>
              <w:rPr>
                <w:rFonts w:ascii="宋体" w:hAnsi="宋体" w:cs="宋体"/>
                <w:color w:val="auto"/>
                <w:sz w:val="24"/>
                <w:highlight w:val="none"/>
              </w:rPr>
            </w:pPr>
          </w:p>
        </w:tc>
        <w:tc>
          <w:tcPr>
            <w:tcW w:w="990" w:type="pct"/>
          </w:tcPr>
          <w:p w14:paraId="61170CE9">
            <w:pPr>
              <w:spacing w:line="360" w:lineRule="auto"/>
              <w:rPr>
                <w:rFonts w:ascii="宋体" w:hAnsi="宋体" w:cs="宋体"/>
                <w:color w:val="auto"/>
                <w:sz w:val="24"/>
                <w:highlight w:val="none"/>
              </w:rPr>
            </w:pPr>
          </w:p>
        </w:tc>
        <w:tc>
          <w:tcPr>
            <w:tcW w:w="704" w:type="pct"/>
          </w:tcPr>
          <w:p w14:paraId="3EB0C295">
            <w:pPr>
              <w:spacing w:line="360" w:lineRule="auto"/>
              <w:rPr>
                <w:rFonts w:ascii="宋体" w:hAnsi="宋体" w:cs="宋体"/>
                <w:color w:val="auto"/>
                <w:sz w:val="24"/>
                <w:highlight w:val="none"/>
              </w:rPr>
            </w:pPr>
          </w:p>
        </w:tc>
        <w:tc>
          <w:tcPr>
            <w:tcW w:w="778" w:type="pct"/>
            <w:vAlign w:val="center"/>
          </w:tcPr>
          <w:p w14:paraId="14C88C59">
            <w:pPr>
              <w:spacing w:line="360" w:lineRule="auto"/>
              <w:rPr>
                <w:rFonts w:ascii="宋体" w:hAnsi="宋体" w:cs="宋体"/>
                <w:color w:val="auto"/>
                <w:sz w:val="24"/>
                <w:highlight w:val="none"/>
              </w:rPr>
            </w:pPr>
          </w:p>
        </w:tc>
        <w:tc>
          <w:tcPr>
            <w:tcW w:w="915" w:type="pct"/>
            <w:vAlign w:val="center"/>
          </w:tcPr>
          <w:p w14:paraId="03015EFC">
            <w:pPr>
              <w:spacing w:line="360" w:lineRule="auto"/>
              <w:rPr>
                <w:rFonts w:ascii="宋体" w:hAnsi="宋体" w:cs="宋体"/>
                <w:color w:val="auto"/>
                <w:sz w:val="24"/>
                <w:highlight w:val="none"/>
              </w:rPr>
            </w:pPr>
          </w:p>
        </w:tc>
        <w:tc>
          <w:tcPr>
            <w:tcW w:w="549" w:type="pct"/>
            <w:vAlign w:val="center"/>
          </w:tcPr>
          <w:p w14:paraId="406BA089">
            <w:pPr>
              <w:spacing w:line="360" w:lineRule="auto"/>
              <w:rPr>
                <w:rFonts w:ascii="宋体" w:hAnsi="宋体" w:cs="宋体"/>
                <w:color w:val="auto"/>
                <w:sz w:val="24"/>
                <w:highlight w:val="none"/>
              </w:rPr>
            </w:pPr>
          </w:p>
        </w:tc>
      </w:tr>
      <w:tr w14:paraId="0879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4" w:type="pct"/>
            <w:vAlign w:val="center"/>
          </w:tcPr>
          <w:p w14:paraId="702B9EA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716" w:type="pct"/>
            <w:vAlign w:val="center"/>
          </w:tcPr>
          <w:p w14:paraId="5AB051D6">
            <w:pPr>
              <w:spacing w:line="360" w:lineRule="auto"/>
              <w:rPr>
                <w:rFonts w:ascii="宋体" w:hAnsi="宋体" w:cs="宋体"/>
                <w:color w:val="auto"/>
                <w:sz w:val="24"/>
                <w:highlight w:val="none"/>
              </w:rPr>
            </w:pPr>
          </w:p>
        </w:tc>
        <w:tc>
          <w:tcPr>
            <w:tcW w:w="990" w:type="pct"/>
          </w:tcPr>
          <w:p w14:paraId="6A999F8A">
            <w:pPr>
              <w:spacing w:line="360" w:lineRule="auto"/>
              <w:rPr>
                <w:rFonts w:ascii="宋体" w:hAnsi="宋体" w:cs="宋体"/>
                <w:color w:val="auto"/>
                <w:sz w:val="24"/>
                <w:highlight w:val="none"/>
              </w:rPr>
            </w:pPr>
          </w:p>
        </w:tc>
        <w:tc>
          <w:tcPr>
            <w:tcW w:w="704" w:type="pct"/>
          </w:tcPr>
          <w:p w14:paraId="4C99E088">
            <w:pPr>
              <w:spacing w:line="360" w:lineRule="auto"/>
              <w:rPr>
                <w:rFonts w:ascii="宋体" w:hAnsi="宋体" w:cs="宋体"/>
                <w:color w:val="auto"/>
                <w:sz w:val="24"/>
                <w:highlight w:val="none"/>
              </w:rPr>
            </w:pPr>
          </w:p>
        </w:tc>
        <w:tc>
          <w:tcPr>
            <w:tcW w:w="778" w:type="pct"/>
            <w:vAlign w:val="center"/>
          </w:tcPr>
          <w:p w14:paraId="54A01AB4">
            <w:pPr>
              <w:spacing w:line="360" w:lineRule="auto"/>
              <w:rPr>
                <w:rFonts w:ascii="宋体" w:hAnsi="宋体" w:cs="宋体"/>
                <w:color w:val="auto"/>
                <w:sz w:val="24"/>
                <w:highlight w:val="none"/>
              </w:rPr>
            </w:pPr>
          </w:p>
        </w:tc>
        <w:tc>
          <w:tcPr>
            <w:tcW w:w="915" w:type="pct"/>
            <w:vAlign w:val="center"/>
          </w:tcPr>
          <w:p w14:paraId="79932E68">
            <w:pPr>
              <w:spacing w:line="360" w:lineRule="auto"/>
              <w:rPr>
                <w:rFonts w:ascii="宋体" w:hAnsi="宋体" w:cs="宋体"/>
                <w:color w:val="auto"/>
                <w:sz w:val="24"/>
                <w:highlight w:val="none"/>
              </w:rPr>
            </w:pPr>
          </w:p>
        </w:tc>
        <w:tc>
          <w:tcPr>
            <w:tcW w:w="549" w:type="pct"/>
            <w:vAlign w:val="center"/>
          </w:tcPr>
          <w:p w14:paraId="567EF383">
            <w:pPr>
              <w:spacing w:line="360" w:lineRule="auto"/>
              <w:rPr>
                <w:rFonts w:ascii="宋体" w:hAnsi="宋体" w:cs="宋体"/>
                <w:color w:val="auto"/>
                <w:sz w:val="24"/>
                <w:highlight w:val="none"/>
              </w:rPr>
            </w:pPr>
          </w:p>
        </w:tc>
      </w:tr>
      <w:tr w14:paraId="38AC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4" w:type="pct"/>
            <w:vAlign w:val="center"/>
          </w:tcPr>
          <w:p w14:paraId="57B2B02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716" w:type="pct"/>
            <w:vAlign w:val="center"/>
          </w:tcPr>
          <w:p w14:paraId="58BD43A8">
            <w:pPr>
              <w:spacing w:line="360" w:lineRule="auto"/>
              <w:rPr>
                <w:rFonts w:ascii="宋体" w:hAnsi="宋体" w:cs="宋体"/>
                <w:color w:val="auto"/>
                <w:sz w:val="24"/>
                <w:highlight w:val="none"/>
              </w:rPr>
            </w:pPr>
          </w:p>
        </w:tc>
        <w:tc>
          <w:tcPr>
            <w:tcW w:w="990" w:type="pct"/>
          </w:tcPr>
          <w:p w14:paraId="30979B57">
            <w:pPr>
              <w:spacing w:line="360" w:lineRule="auto"/>
              <w:rPr>
                <w:rFonts w:ascii="宋体" w:hAnsi="宋体" w:cs="宋体"/>
                <w:color w:val="auto"/>
                <w:sz w:val="24"/>
                <w:highlight w:val="none"/>
              </w:rPr>
            </w:pPr>
          </w:p>
        </w:tc>
        <w:tc>
          <w:tcPr>
            <w:tcW w:w="704" w:type="pct"/>
          </w:tcPr>
          <w:p w14:paraId="61A2B245">
            <w:pPr>
              <w:spacing w:line="360" w:lineRule="auto"/>
              <w:rPr>
                <w:rFonts w:ascii="宋体" w:hAnsi="宋体" w:cs="宋体"/>
                <w:color w:val="auto"/>
                <w:sz w:val="24"/>
                <w:highlight w:val="none"/>
              </w:rPr>
            </w:pPr>
          </w:p>
        </w:tc>
        <w:tc>
          <w:tcPr>
            <w:tcW w:w="778" w:type="pct"/>
            <w:vAlign w:val="center"/>
          </w:tcPr>
          <w:p w14:paraId="0A3E77D0">
            <w:pPr>
              <w:spacing w:line="360" w:lineRule="auto"/>
              <w:rPr>
                <w:rFonts w:ascii="宋体" w:hAnsi="宋体" w:cs="宋体"/>
                <w:color w:val="auto"/>
                <w:sz w:val="24"/>
                <w:highlight w:val="none"/>
              </w:rPr>
            </w:pPr>
          </w:p>
        </w:tc>
        <w:tc>
          <w:tcPr>
            <w:tcW w:w="915" w:type="pct"/>
            <w:vAlign w:val="center"/>
          </w:tcPr>
          <w:p w14:paraId="384CD073">
            <w:pPr>
              <w:spacing w:line="360" w:lineRule="auto"/>
              <w:rPr>
                <w:rFonts w:ascii="宋体" w:hAnsi="宋体" w:cs="宋体"/>
                <w:color w:val="auto"/>
                <w:sz w:val="24"/>
                <w:highlight w:val="none"/>
              </w:rPr>
            </w:pPr>
          </w:p>
        </w:tc>
        <w:tc>
          <w:tcPr>
            <w:tcW w:w="549" w:type="pct"/>
            <w:vAlign w:val="center"/>
          </w:tcPr>
          <w:p w14:paraId="776CB7E8">
            <w:pPr>
              <w:spacing w:line="360" w:lineRule="auto"/>
              <w:rPr>
                <w:rFonts w:ascii="宋体" w:hAnsi="宋体" w:cs="宋体"/>
                <w:color w:val="auto"/>
                <w:sz w:val="24"/>
                <w:highlight w:val="none"/>
              </w:rPr>
            </w:pPr>
          </w:p>
        </w:tc>
      </w:tr>
      <w:tr w14:paraId="168B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44" w:type="pct"/>
            <w:vAlign w:val="center"/>
          </w:tcPr>
          <w:p w14:paraId="63C429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716" w:type="pct"/>
            <w:vAlign w:val="center"/>
          </w:tcPr>
          <w:p w14:paraId="0FC6A620">
            <w:pPr>
              <w:spacing w:line="360" w:lineRule="auto"/>
              <w:rPr>
                <w:rFonts w:ascii="宋体" w:hAnsi="宋体" w:cs="宋体"/>
                <w:color w:val="auto"/>
                <w:sz w:val="24"/>
                <w:highlight w:val="none"/>
              </w:rPr>
            </w:pPr>
          </w:p>
        </w:tc>
        <w:tc>
          <w:tcPr>
            <w:tcW w:w="990" w:type="pct"/>
          </w:tcPr>
          <w:p w14:paraId="1202E44A">
            <w:pPr>
              <w:spacing w:line="360" w:lineRule="auto"/>
              <w:rPr>
                <w:rFonts w:ascii="宋体" w:hAnsi="宋体" w:cs="宋体"/>
                <w:color w:val="auto"/>
                <w:sz w:val="24"/>
                <w:highlight w:val="none"/>
              </w:rPr>
            </w:pPr>
          </w:p>
        </w:tc>
        <w:tc>
          <w:tcPr>
            <w:tcW w:w="704" w:type="pct"/>
          </w:tcPr>
          <w:p w14:paraId="09C7C488">
            <w:pPr>
              <w:spacing w:line="360" w:lineRule="auto"/>
              <w:rPr>
                <w:rFonts w:ascii="宋体" w:hAnsi="宋体" w:cs="宋体"/>
                <w:color w:val="auto"/>
                <w:sz w:val="24"/>
                <w:highlight w:val="none"/>
              </w:rPr>
            </w:pPr>
          </w:p>
        </w:tc>
        <w:tc>
          <w:tcPr>
            <w:tcW w:w="778" w:type="pct"/>
            <w:vAlign w:val="center"/>
          </w:tcPr>
          <w:p w14:paraId="5CC595DF">
            <w:pPr>
              <w:spacing w:line="360" w:lineRule="auto"/>
              <w:rPr>
                <w:rFonts w:ascii="宋体" w:hAnsi="宋体" w:cs="宋体"/>
                <w:color w:val="auto"/>
                <w:sz w:val="24"/>
                <w:highlight w:val="none"/>
              </w:rPr>
            </w:pPr>
          </w:p>
        </w:tc>
        <w:tc>
          <w:tcPr>
            <w:tcW w:w="915" w:type="pct"/>
            <w:vAlign w:val="center"/>
          </w:tcPr>
          <w:p w14:paraId="58ED172E">
            <w:pPr>
              <w:spacing w:line="360" w:lineRule="auto"/>
              <w:rPr>
                <w:rFonts w:ascii="宋体" w:hAnsi="宋体" w:cs="宋体"/>
                <w:color w:val="auto"/>
                <w:sz w:val="24"/>
                <w:highlight w:val="none"/>
              </w:rPr>
            </w:pPr>
          </w:p>
        </w:tc>
        <w:tc>
          <w:tcPr>
            <w:tcW w:w="549" w:type="pct"/>
            <w:vAlign w:val="center"/>
          </w:tcPr>
          <w:p w14:paraId="556FF8E7">
            <w:pPr>
              <w:spacing w:line="360" w:lineRule="auto"/>
              <w:rPr>
                <w:rFonts w:ascii="宋体" w:hAnsi="宋体" w:cs="宋体"/>
                <w:color w:val="auto"/>
                <w:sz w:val="24"/>
                <w:highlight w:val="none"/>
              </w:rPr>
            </w:pPr>
          </w:p>
        </w:tc>
      </w:tr>
      <w:tr w14:paraId="338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4" w:type="pct"/>
            <w:vAlign w:val="center"/>
          </w:tcPr>
          <w:p w14:paraId="5F1D84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716" w:type="pct"/>
            <w:vAlign w:val="center"/>
          </w:tcPr>
          <w:p w14:paraId="10D6D4DD">
            <w:pPr>
              <w:spacing w:line="360" w:lineRule="auto"/>
              <w:rPr>
                <w:rFonts w:ascii="宋体" w:hAnsi="宋体" w:cs="宋体"/>
                <w:color w:val="auto"/>
                <w:sz w:val="24"/>
                <w:highlight w:val="none"/>
              </w:rPr>
            </w:pPr>
          </w:p>
        </w:tc>
        <w:tc>
          <w:tcPr>
            <w:tcW w:w="990" w:type="pct"/>
          </w:tcPr>
          <w:p w14:paraId="640DFFBE">
            <w:pPr>
              <w:spacing w:line="360" w:lineRule="auto"/>
              <w:rPr>
                <w:rFonts w:ascii="宋体" w:hAnsi="宋体" w:cs="宋体"/>
                <w:color w:val="auto"/>
                <w:sz w:val="24"/>
                <w:highlight w:val="none"/>
              </w:rPr>
            </w:pPr>
          </w:p>
        </w:tc>
        <w:tc>
          <w:tcPr>
            <w:tcW w:w="704" w:type="pct"/>
          </w:tcPr>
          <w:p w14:paraId="29244DFF">
            <w:pPr>
              <w:spacing w:line="360" w:lineRule="auto"/>
              <w:rPr>
                <w:rFonts w:ascii="宋体" w:hAnsi="宋体" w:cs="宋体"/>
                <w:color w:val="auto"/>
                <w:sz w:val="24"/>
                <w:highlight w:val="none"/>
              </w:rPr>
            </w:pPr>
          </w:p>
        </w:tc>
        <w:tc>
          <w:tcPr>
            <w:tcW w:w="778" w:type="pct"/>
            <w:vAlign w:val="center"/>
          </w:tcPr>
          <w:p w14:paraId="18DA9A7B">
            <w:pPr>
              <w:spacing w:line="360" w:lineRule="auto"/>
              <w:rPr>
                <w:rFonts w:ascii="宋体" w:hAnsi="宋体" w:cs="宋体"/>
                <w:color w:val="auto"/>
                <w:sz w:val="24"/>
                <w:highlight w:val="none"/>
              </w:rPr>
            </w:pPr>
          </w:p>
        </w:tc>
        <w:tc>
          <w:tcPr>
            <w:tcW w:w="915" w:type="pct"/>
            <w:vAlign w:val="center"/>
          </w:tcPr>
          <w:p w14:paraId="6DA2D52D">
            <w:pPr>
              <w:spacing w:line="360" w:lineRule="auto"/>
              <w:rPr>
                <w:rFonts w:ascii="宋体" w:hAnsi="宋体" w:cs="宋体"/>
                <w:color w:val="auto"/>
                <w:sz w:val="24"/>
                <w:highlight w:val="none"/>
              </w:rPr>
            </w:pPr>
          </w:p>
        </w:tc>
        <w:tc>
          <w:tcPr>
            <w:tcW w:w="549" w:type="pct"/>
            <w:vAlign w:val="center"/>
          </w:tcPr>
          <w:p w14:paraId="6645DF98">
            <w:pPr>
              <w:spacing w:line="360" w:lineRule="auto"/>
              <w:rPr>
                <w:rFonts w:ascii="宋体" w:hAnsi="宋体" w:cs="宋体"/>
                <w:color w:val="auto"/>
                <w:sz w:val="24"/>
                <w:highlight w:val="none"/>
              </w:rPr>
            </w:pPr>
          </w:p>
        </w:tc>
      </w:tr>
      <w:tr w14:paraId="6B33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44" w:type="pct"/>
            <w:vAlign w:val="center"/>
          </w:tcPr>
          <w:p w14:paraId="5050F76C">
            <w:pPr>
              <w:spacing w:line="360" w:lineRule="auto"/>
              <w:rPr>
                <w:rFonts w:ascii="宋体" w:hAnsi="宋体" w:cs="宋体"/>
                <w:color w:val="auto"/>
                <w:sz w:val="24"/>
                <w:highlight w:val="none"/>
              </w:rPr>
            </w:pPr>
          </w:p>
        </w:tc>
        <w:tc>
          <w:tcPr>
            <w:tcW w:w="716" w:type="pct"/>
            <w:vAlign w:val="center"/>
          </w:tcPr>
          <w:p w14:paraId="37BDE53C">
            <w:pPr>
              <w:spacing w:line="360" w:lineRule="auto"/>
              <w:rPr>
                <w:rFonts w:ascii="宋体" w:hAnsi="宋体" w:cs="宋体"/>
                <w:color w:val="auto"/>
                <w:sz w:val="24"/>
                <w:highlight w:val="none"/>
              </w:rPr>
            </w:pPr>
          </w:p>
        </w:tc>
        <w:tc>
          <w:tcPr>
            <w:tcW w:w="990" w:type="pct"/>
          </w:tcPr>
          <w:p w14:paraId="278A923C">
            <w:pPr>
              <w:spacing w:line="360" w:lineRule="auto"/>
              <w:rPr>
                <w:rFonts w:ascii="宋体" w:hAnsi="宋体" w:cs="宋体"/>
                <w:color w:val="auto"/>
                <w:sz w:val="24"/>
                <w:highlight w:val="none"/>
              </w:rPr>
            </w:pPr>
          </w:p>
        </w:tc>
        <w:tc>
          <w:tcPr>
            <w:tcW w:w="704" w:type="pct"/>
          </w:tcPr>
          <w:p w14:paraId="5A7DF523">
            <w:pPr>
              <w:spacing w:line="360" w:lineRule="auto"/>
              <w:rPr>
                <w:rFonts w:ascii="宋体" w:hAnsi="宋体" w:cs="宋体"/>
                <w:color w:val="auto"/>
                <w:sz w:val="24"/>
                <w:highlight w:val="none"/>
              </w:rPr>
            </w:pPr>
          </w:p>
        </w:tc>
        <w:tc>
          <w:tcPr>
            <w:tcW w:w="778" w:type="pct"/>
            <w:vAlign w:val="center"/>
          </w:tcPr>
          <w:p w14:paraId="26ADCF12">
            <w:pPr>
              <w:spacing w:line="360" w:lineRule="auto"/>
              <w:rPr>
                <w:rFonts w:ascii="宋体" w:hAnsi="宋体" w:cs="宋体"/>
                <w:color w:val="auto"/>
                <w:sz w:val="24"/>
                <w:highlight w:val="none"/>
              </w:rPr>
            </w:pPr>
          </w:p>
        </w:tc>
        <w:tc>
          <w:tcPr>
            <w:tcW w:w="915" w:type="pct"/>
            <w:vAlign w:val="center"/>
          </w:tcPr>
          <w:p w14:paraId="6FE60F94">
            <w:pPr>
              <w:spacing w:line="360" w:lineRule="auto"/>
              <w:rPr>
                <w:rFonts w:ascii="宋体" w:hAnsi="宋体" w:cs="宋体"/>
                <w:color w:val="auto"/>
                <w:sz w:val="24"/>
                <w:highlight w:val="none"/>
              </w:rPr>
            </w:pPr>
          </w:p>
        </w:tc>
        <w:tc>
          <w:tcPr>
            <w:tcW w:w="549" w:type="pct"/>
            <w:vAlign w:val="center"/>
          </w:tcPr>
          <w:p w14:paraId="1344DA74">
            <w:pPr>
              <w:spacing w:line="360" w:lineRule="auto"/>
              <w:rPr>
                <w:rFonts w:ascii="宋体" w:hAnsi="宋体" w:cs="宋体"/>
                <w:color w:val="auto"/>
                <w:sz w:val="24"/>
                <w:highlight w:val="none"/>
              </w:rPr>
            </w:pPr>
          </w:p>
        </w:tc>
      </w:tr>
      <w:tr w14:paraId="74C7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44" w:type="pct"/>
            <w:vAlign w:val="center"/>
          </w:tcPr>
          <w:p w14:paraId="0262A161">
            <w:pPr>
              <w:spacing w:line="360" w:lineRule="auto"/>
              <w:rPr>
                <w:rFonts w:ascii="宋体" w:hAnsi="宋体" w:cs="宋体"/>
                <w:color w:val="auto"/>
                <w:sz w:val="24"/>
                <w:highlight w:val="none"/>
              </w:rPr>
            </w:pPr>
          </w:p>
        </w:tc>
        <w:tc>
          <w:tcPr>
            <w:tcW w:w="716" w:type="pct"/>
            <w:vAlign w:val="center"/>
          </w:tcPr>
          <w:p w14:paraId="6AD913F2">
            <w:pPr>
              <w:spacing w:line="360" w:lineRule="auto"/>
              <w:rPr>
                <w:rFonts w:ascii="宋体" w:hAnsi="宋体" w:cs="宋体"/>
                <w:color w:val="auto"/>
                <w:sz w:val="24"/>
                <w:highlight w:val="none"/>
              </w:rPr>
            </w:pPr>
          </w:p>
        </w:tc>
        <w:tc>
          <w:tcPr>
            <w:tcW w:w="990" w:type="pct"/>
          </w:tcPr>
          <w:p w14:paraId="6BAE23C1">
            <w:pPr>
              <w:spacing w:line="360" w:lineRule="auto"/>
              <w:rPr>
                <w:rFonts w:ascii="宋体" w:hAnsi="宋体" w:cs="宋体"/>
                <w:color w:val="auto"/>
                <w:sz w:val="24"/>
                <w:highlight w:val="none"/>
              </w:rPr>
            </w:pPr>
          </w:p>
        </w:tc>
        <w:tc>
          <w:tcPr>
            <w:tcW w:w="704" w:type="pct"/>
          </w:tcPr>
          <w:p w14:paraId="6A31039C">
            <w:pPr>
              <w:spacing w:line="360" w:lineRule="auto"/>
              <w:rPr>
                <w:rFonts w:ascii="宋体" w:hAnsi="宋体" w:cs="宋体"/>
                <w:color w:val="auto"/>
                <w:sz w:val="24"/>
                <w:highlight w:val="none"/>
              </w:rPr>
            </w:pPr>
          </w:p>
        </w:tc>
        <w:tc>
          <w:tcPr>
            <w:tcW w:w="778" w:type="pct"/>
            <w:vAlign w:val="center"/>
          </w:tcPr>
          <w:p w14:paraId="7B111C02">
            <w:pPr>
              <w:spacing w:line="360" w:lineRule="auto"/>
              <w:rPr>
                <w:rFonts w:ascii="宋体" w:hAnsi="宋体" w:cs="宋体"/>
                <w:color w:val="auto"/>
                <w:sz w:val="24"/>
                <w:highlight w:val="none"/>
              </w:rPr>
            </w:pPr>
          </w:p>
        </w:tc>
        <w:tc>
          <w:tcPr>
            <w:tcW w:w="915" w:type="pct"/>
            <w:vAlign w:val="center"/>
          </w:tcPr>
          <w:p w14:paraId="7CF97E0D">
            <w:pPr>
              <w:spacing w:line="360" w:lineRule="auto"/>
              <w:rPr>
                <w:rFonts w:ascii="宋体" w:hAnsi="宋体" w:cs="宋体"/>
                <w:color w:val="auto"/>
                <w:sz w:val="24"/>
                <w:highlight w:val="none"/>
              </w:rPr>
            </w:pPr>
          </w:p>
        </w:tc>
        <w:tc>
          <w:tcPr>
            <w:tcW w:w="549" w:type="pct"/>
            <w:vAlign w:val="center"/>
          </w:tcPr>
          <w:p w14:paraId="3278C7A7">
            <w:pPr>
              <w:spacing w:line="360" w:lineRule="auto"/>
              <w:rPr>
                <w:rFonts w:ascii="宋体" w:hAnsi="宋体" w:cs="宋体"/>
                <w:color w:val="auto"/>
                <w:sz w:val="24"/>
                <w:highlight w:val="none"/>
              </w:rPr>
            </w:pPr>
          </w:p>
        </w:tc>
      </w:tr>
      <w:tr w14:paraId="1F5F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44" w:type="pct"/>
            <w:vAlign w:val="center"/>
          </w:tcPr>
          <w:p w14:paraId="53A443A3">
            <w:pPr>
              <w:spacing w:line="360" w:lineRule="auto"/>
              <w:rPr>
                <w:rFonts w:ascii="宋体" w:hAnsi="宋体" w:cs="宋体"/>
                <w:color w:val="auto"/>
                <w:sz w:val="24"/>
                <w:highlight w:val="none"/>
              </w:rPr>
            </w:pPr>
          </w:p>
        </w:tc>
        <w:tc>
          <w:tcPr>
            <w:tcW w:w="716" w:type="pct"/>
            <w:vAlign w:val="center"/>
          </w:tcPr>
          <w:p w14:paraId="7A5E89E9">
            <w:pPr>
              <w:spacing w:line="360" w:lineRule="auto"/>
              <w:rPr>
                <w:rFonts w:ascii="宋体" w:hAnsi="宋体" w:cs="宋体"/>
                <w:color w:val="auto"/>
                <w:sz w:val="24"/>
                <w:highlight w:val="none"/>
              </w:rPr>
            </w:pPr>
          </w:p>
        </w:tc>
        <w:tc>
          <w:tcPr>
            <w:tcW w:w="990" w:type="pct"/>
          </w:tcPr>
          <w:p w14:paraId="55A04A95">
            <w:pPr>
              <w:spacing w:line="360" w:lineRule="auto"/>
              <w:rPr>
                <w:rFonts w:ascii="宋体" w:hAnsi="宋体" w:cs="宋体"/>
                <w:color w:val="auto"/>
                <w:sz w:val="24"/>
                <w:highlight w:val="none"/>
              </w:rPr>
            </w:pPr>
          </w:p>
        </w:tc>
        <w:tc>
          <w:tcPr>
            <w:tcW w:w="704" w:type="pct"/>
          </w:tcPr>
          <w:p w14:paraId="075E70C5">
            <w:pPr>
              <w:spacing w:line="360" w:lineRule="auto"/>
              <w:rPr>
                <w:rFonts w:ascii="宋体" w:hAnsi="宋体" w:cs="宋体"/>
                <w:color w:val="auto"/>
                <w:sz w:val="24"/>
                <w:highlight w:val="none"/>
              </w:rPr>
            </w:pPr>
          </w:p>
        </w:tc>
        <w:tc>
          <w:tcPr>
            <w:tcW w:w="778" w:type="pct"/>
            <w:vAlign w:val="center"/>
          </w:tcPr>
          <w:p w14:paraId="79D06303">
            <w:pPr>
              <w:spacing w:line="360" w:lineRule="auto"/>
              <w:rPr>
                <w:rFonts w:ascii="宋体" w:hAnsi="宋体" w:cs="宋体"/>
                <w:color w:val="auto"/>
                <w:sz w:val="24"/>
                <w:highlight w:val="none"/>
              </w:rPr>
            </w:pPr>
          </w:p>
        </w:tc>
        <w:tc>
          <w:tcPr>
            <w:tcW w:w="915" w:type="pct"/>
            <w:vAlign w:val="center"/>
          </w:tcPr>
          <w:p w14:paraId="72A786AA">
            <w:pPr>
              <w:spacing w:line="360" w:lineRule="auto"/>
              <w:rPr>
                <w:rFonts w:ascii="宋体" w:hAnsi="宋体" w:cs="宋体"/>
                <w:color w:val="auto"/>
                <w:sz w:val="24"/>
                <w:highlight w:val="none"/>
              </w:rPr>
            </w:pPr>
          </w:p>
        </w:tc>
        <w:tc>
          <w:tcPr>
            <w:tcW w:w="549" w:type="pct"/>
            <w:vAlign w:val="center"/>
          </w:tcPr>
          <w:p w14:paraId="4F8BF8D3">
            <w:pPr>
              <w:spacing w:line="360" w:lineRule="auto"/>
              <w:rPr>
                <w:rFonts w:ascii="宋体" w:hAnsi="宋体" w:cs="宋体"/>
                <w:color w:val="auto"/>
                <w:sz w:val="24"/>
                <w:highlight w:val="none"/>
              </w:rPr>
            </w:pPr>
          </w:p>
        </w:tc>
      </w:tr>
    </w:tbl>
    <w:p w14:paraId="2BD39482">
      <w:pPr>
        <w:spacing w:line="360" w:lineRule="auto"/>
        <w:jc w:val="center"/>
        <w:rPr>
          <w:rFonts w:ascii="宋体" w:hAnsi="宋体" w:cs="宋体"/>
          <w:b/>
          <w:bCs/>
          <w:color w:val="auto"/>
          <w:szCs w:val="21"/>
          <w:highlight w:val="none"/>
        </w:rPr>
      </w:pPr>
    </w:p>
    <w:p w14:paraId="69E06641">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注：须附合同、中标通知书（如有）的扫描件。</w:t>
      </w:r>
    </w:p>
    <w:p w14:paraId="5BB7645E">
      <w:pPr>
        <w:spacing w:line="360" w:lineRule="auto"/>
        <w:jc w:val="center"/>
        <w:rPr>
          <w:rFonts w:ascii="宋体" w:hAnsi="宋体" w:cs="宋体"/>
          <w:b/>
          <w:bCs/>
          <w:color w:val="auto"/>
          <w:szCs w:val="21"/>
          <w:highlight w:val="none"/>
        </w:rPr>
      </w:pPr>
    </w:p>
    <w:p w14:paraId="5DA3C34B">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法定代表人（或负责人）或其授权的委托代理人签字：</w:t>
      </w:r>
    </w:p>
    <w:p w14:paraId="2D7A4301">
      <w:pPr>
        <w:spacing w:line="360" w:lineRule="auto"/>
        <w:rPr>
          <w:rFonts w:ascii="宋体" w:hAnsi="宋体" w:cs="宋体"/>
          <w:color w:val="auto"/>
          <w:sz w:val="24"/>
          <w:highlight w:val="none"/>
        </w:rPr>
      </w:pPr>
      <w:r>
        <w:rPr>
          <w:rFonts w:hint="eastAsia" w:ascii="宋体" w:hAnsi="宋体" w:cs="宋体"/>
          <w:color w:val="auto"/>
          <w:sz w:val="24"/>
          <w:highlight w:val="none"/>
        </w:rPr>
        <w:t>日期：</w:t>
      </w:r>
    </w:p>
    <w:p w14:paraId="4DC8AEBC">
      <w:pPr>
        <w:spacing w:line="360" w:lineRule="auto"/>
        <w:jc w:val="right"/>
        <w:rPr>
          <w:rFonts w:ascii="宋体" w:hAnsi="宋体" w:cs="宋体"/>
          <w:color w:val="auto"/>
          <w:sz w:val="24"/>
          <w:highlight w:val="none"/>
        </w:rPr>
      </w:pPr>
    </w:p>
    <w:p w14:paraId="6EA53971">
      <w:pPr>
        <w:pStyle w:val="18"/>
        <w:spacing w:line="360" w:lineRule="auto"/>
        <w:ind w:firstLine="241"/>
        <w:jc w:val="right"/>
        <w:rPr>
          <w:rFonts w:hAnsi="宋体" w:cs="宋体"/>
          <w:b/>
          <w:color w:val="auto"/>
          <w:sz w:val="24"/>
          <w:highlight w:val="none"/>
        </w:rPr>
      </w:pPr>
    </w:p>
    <w:p w14:paraId="207294FC">
      <w:pPr>
        <w:spacing w:line="360" w:lineRule="auto"/>
        <w:jc w:val="center"/>
        <w:outlineLvl w:val="2"/>
        <w:rPr>
          <w:rFonts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开标一览表</w:t>
      </w:r>
    </w:p>
    <w:p w14:paraId="71C045C4">
      <w:pPr>
        <w:spacing w:line="360" w:lineRule="auto"/>
        <w:rPr>
          <w:rFonts w:ascii="宋体" w:hAnsi="宋体" w:cs="宋体"/>
          <w:color w:val="auto"/>
          <w:szCs w:val="21"/>
          <w:highlight w:val="none"/>
          <w:u w:val="single"/>
        </w:rPr>
      </w:pPr>
      <w:r>
        <w:rPr>
          <w:rFonts w:hint="eastAsia" w:ascii="宋体" w:hAnsi="宋体" w:cs="宋体"/>
          <w:color w:val="auto"/>
          <w:sz w:val="24"/>
          <w:highlight w:val="none"/>
        </w:rPr>
        <w:t xml:space="preserve">                                          </w:t>
      </w:r>
    </w:p>
    <w:p w14:paraId="134D5A5C">
      <w:pPr>
        <w:rPr>
          <w:rFonts w:ascii="宋体" w:hAnsi="宋体" w:cs="宋体"/>
          <w:color w:val="auto"/>
          <w:szCs w:val="21"/>
          <w:highlight w:val="none"/>
          <w:u w:val="single"/>
        </w:rPr>
      </w:pPr>
      <w:r>
        <w:rPr>
          <w:rFonts w:hint="eastAsia" w:ascii="仿宋_GB2312" w:eastAsia="仿宋_GB2312"/>
          <w:color w:val="auto"/>
          <w:sz w:val="24"/>
          <w:highlight w:val="none"/>
        </w:rPr>
        <w:t xml:space="preserve">                                          </w:t>
      </w:r>
    </w:p>
    <w:p w14:paraId="7656335E">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投标人名称（电子签章）：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76DEC7B">
      <w:pP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p>
    <w:tbl>
      <w:tblPr>
        <w:tblStyle w:val="38"/>
        <w:tblW w:w="9296" w:type="dxa"/>
        <w:tblInd w:w="-6" w:type="dxa"/>
        <w:tblLayout w:type="fixed"/>
        <w:tblCellMar>
          <w:top w:w="17" w:type="dxa"/>
          <w:left w:w="17" w:type="dxa"/>
          <w:bottom w:w="17" w:type="dxa"/>
          <w:right w:w="17" w:type="dxa"/>
        </w:tblCellMar>
      </w:tblPr>
      <w:tblGrid>
        <w:gridCol w:w="640"/>
        <w:gridCol w:w="1490"/>
        <w:gridCol w:w="2309"/>
        <w:gridCol w:w="1483"/>
        <w:gridCol w:w="1667"/>
        <w:gridCol w:w="1707"/>
      </w:tblGrid>
      <w:tr w14:paraId="27729590">
        <w:tblPrEx>
          <w:tblCellMar>
            <w:top w:w="17" w:type="dxa"/>
            <w:left w:w="17" w:type="dxa"/>
            <w:bottom w:w="17" w:type="dxa"/>
            <w:right w:w="17" w:type="dxa"/>
          </w:tblCellMar>
        </w:tblPrEx>
        <w:trPr>
          <w:trHeight w:val="358" w:hRule="atLeast"/>
        </w:trPr>
        <w:tc>
          <w:tcPr>
            <w:tcW w:w="640"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D970D59">
            <w:pPr>
              <w:spacing w:line="240" w:lineRule="atLeas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90"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47D2076">
            <w:pPr>
              <w:jc w:val="center"/>
              <w:rPr>
                <w:rFonts w:ascii="宋体" w:hAnsi="宋体" w:cs="宋体"/>
                <w:color w:val="auto"/>
                <w:sz w:val="24"/>
                <w:highlight w:val="none"/>
              </w:rPr>
            </w:pPr>
            <w:r>
              <w:rPr>
                <w:rFonts w:hint="eastAsia" w:ascii="宋体" w:hAnsi="宋体" w:cs="宋体"/>
                <w:color w:val="auto"/>
                <w:sz w:val="24"/>
                <w:highlight w:val="none"/>
              </w:rPr>
              <w:t>名称</w:t>
            </w:r>
          </w:p>
        </w:tc>
        <w:tc>
          <w:tcPr>
            <w:tcW w:w="230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76E0CC9">
            <w:pPr>
              <w:jc w:val="center"/>
              <w:rPr>
                <w:rFonts w:ascii="宋体" w:hAnsi="宋体" w:cs="宋体"/>
                <w:color w:val="auto"/>
                <w:sz w:val="24"/>
                <w:highlight w:val="none"/>
              </w:rPr>
            </w:pPr>
            <w:r>
              <w:rPr>
                <w:rFonts w:hint="eastAsia" w:ascii="宋体" w:hAnsi="宋体" w:cs="宋体"/>
                <w:color w:val="auto"/>
                <w:sz w:val="24"/>
                <w:highlight w:val="none"/>
              </w:rPr>
              <w:t>技术参数</w:t>
            </w:r>
          </w:p>
        </w:tc>
        <w:tc>
          <w:tcPr>
            <w:tcW w:w="1483"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5F95B3D0">
            <w:pPr>
              <w:jc w:val="center"/>
              <w:rPr>
                <w:rFonts w:ascii="宋体" w:hAnsi="宋体" w:cs="宋体"/>
                <w:color w:val="auto"/>
                <w:sz w:val="24"/>
                <w:highlight w:val="none"/>
              </w:rPr>
            </w:pPr>
            <w:r>
              <w:rPr>
                <w:rFonts w:hint="eastAsia" w:ascii="宋体" w:hAnsi="宋体" w:cs="宋体"/>
                <w:color w:val="auto"/>
                <w:sz w:val="24"/>
                <w:highlight w:val="none"/>
              </w:rPr>
              <w:t>单价</w:t>
            </w:r>
          </w:p>
        </w:tc>
        <w:tc>
          <w:tcPr>
            <w:tcW w:w="1667"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E0698C1">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1707"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983569E">
            <w:pPr>
              <w:jc w:val="center"/>
              <w:rPr>
                <w:rFonts w:ascii="宋体" w:hAnsi="宋体" w:cs="宋体"/>
                <w:color w:val="auto"/>
                <w:sz w:val="24"/>
                <w:highlight w:val="none"/>
              </w:rPr>
            </w:pPr>
            <w:r>
              <w:rPr>
                <w:rFonts w:hint="eastAsia" w:ascii="宋体" w:hAnsi="宋体" w:cs="宋体"/>
                <w:color w:val="auto"/>
                <w:sz w:val="24"/>
                <w:highlight w:val="none"/>
              </w:rPr>
              <w:t>小计</w:t>
            </w:r>
          </w:p>
        </w:tc>
      </w:tr>
      <w:tr w14:paraId="3E363542">
        <w:tblPrEx>
          <w:tblCellMar>
            <w:top w:w="17" w:type="dxa"/>
            <w:left w:w="17" w:type="dxa"/>
            <w:bottom w:w="17" w:type="dxa"/>
            <w:right w:w="17" w:type="dxa"/>
          </w:tblCellMar>
        </w:tblPrEx>
        <w:trPr>
          <w:trHeight w:val="491" w:hRule="atLeast"/>
        </w:trPr>
        <w:tc>
          <w:tcPr>
            <w:tcW w:w="640" w:type="dxa"/>
            <w:vMerge w:val="continue"/>
            <w:tcBorders>
              <w:top w:val="single" w:color="auto" w:sz="4" w:space="0"/>
              <w:left w:val="single" w:color="auto" w:sz="4" w:space="0"/>
              <w:bottom w:val="single" w:color="auto" w:sz="4" w:space="0"/>
              <w:right w:val="single" w:color="000000" w:sz="4" w:space="0"/>
            </w:tcBorders>
            <w:shd w:val="clear" w:color="auto" w:fill="FFFFFF"/>
            <w:noWrap/>
            <w:vAlign w:val="center"/>
          </w:tcPr>
          <w:p w14:paraId="704A3EC2">
            <w:pPr>
              <w:spacing w:line="240" w:lineRule="atLeast"/>
              <w:jc w:val="center"/>
              <w:rPr>
                <w:rFonts w:ascii="宋体" w:hAnsi="宋体" w:cs="宋体"/>
                <w:color w:val="auto"/>
                <w:szCs w:val="21"/>
                <w:highlight w:val="none"/>
              </w:rPr>
            </w:pPr>
          </w:p>
        </w:tc>
        <w:tc>
          <w:tcPr>
            <w:tcW w:w="1490"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14:paraId="2F5E56F5">
            <w:pPr>
              <w:jc w:val="center"/>
              <w:rPr>
                <w:rFonts w:ascii="宋体" w:hAnsi="宋体" w:cs="宋体"/>
                <w:color w:val="auto"/>
                <w:szCs w:val="21"/>
                <w:highlight w:val="none"/>
              </w:rPr>
            </w:pPr>
          </w:p>
        </w:tc>
        <w:tc>
          <w:tcPr>
            <w:tcW w:w="2309"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14:paraId="2B4FA453">
            <w:pPr>
              <w:jc w:val="center"/>
              <w:rPr>
                <w:rFonts w:ascii="宋体" w:hAnsi="宋体" w:cs="宋体"/>
                <w:b/>
                <w:bCs/>
                <w:color w:val="auto"/>
                <w:sz w:val="24"/>
                <w:highlight w:val="none"/>
              </w:rPr>
            </w:pPr>
          </w:p>
        </w:tc>
        <w:tc>
          <w:tcPr>
            <w:tcW w:w="1483"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14:paraId="721DEA52">
            <w:pPr>
              <w:jc w:val="center"/>
              <w:rPr>
                <w:rFonts w:ascii="宋体" w:hAnsi="宋体" w:cs="宋体"/>
                <w:b/>
                <w:bCs/>
                <w:color w:val="auto"/>
                <w:sz w:val="24"/>
                <w:highlight w:val="none"/>
              </w:rPr>
            </w:pPr>
          </w:p>
        </w:tc>
        <w:tc>
          <w:tcPr>
            <w:tcW w:w="1667"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14:paraId="2737C079">
            <w:pPr>
              <w:jc w:val="center"/>
              <w:rPr>
                <w:rFonts w:ascii="宋体" w:hAnsi="宋体" w:cs="宋体"/>
                <w:b/>
                <w:bCs/>
                <w:color w:val="auto"/>
                <w:sz w:val="24"/>
                <w:highlight w:val="none"/>
              </w:rPr>
            </w:pPr>
          </w:p>
        </w:tc>
        <w:tc>
          <w:tcPr>
            <w:tcW w:w="1707" w:type="dxa"/>
            <w:vMerge w:val="continue"/>
            <w:tcBorders>
              <w:top w:val="single" w:color="auto" w:sz="4" w:space="0"/>
              <w:left w:val="single" w:color="000000" w:sz="4" w:space="0"/>
              <w:bottom w:val="single" w:color="auto" w:sz="4" w:space="0"/>
              <w:right w:val="single" w:color="auto" w:sz="4" w:space="0"/>
            </w:tcBorders>
            <w:shd w:val="clear" w:color="auto" w:fill="FFFFFF"/>
            <w:noWrap/>
            <w:vAlign w:val="center"/>
          </w:tcPr>
          <w:p w14:paraId="3603DEA6">
            <w:pPr>
              <w:jc w:val="center"/>
              <w:rPr>
                <w:rFonts w:ascii="宋体" w:hAnsi="宋体" w:cs="宋体"/>
                <w:b/>
                <w:bCs/>
                <w:color w:val="auto"/>
                <w:sz w:val="24"/>
                <w:highlight w:val="none"/>
              </w:rPr>
            </w:pPr>
          </w:p>
        </w:tc>
      </w:tr>
      <w:tr w14:paraId="4E730ACC">
        <w:tblPrEx>
          <w:tblCellMar>
            <w:top w:w="17" w:type="dxa"/>
            <w:left w:w="17" w:type="dxa"/>
            <w:bottom w:w="17" w:type="dxa"/>
            <w:right w:w="17" w:type="dxa"/>
          </w:tblCellMar>
        </w:tblPrEx>
        <w:trPr>
          <w:trHeight w:val="998" w:hRule="atLeast"/>
        </w:trPr>
        <w:tc>
          <w:tcPr>
            <w:tcW w:w="640"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BF5FCE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490"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3D32EB1">
            <w:pPr>
              <w:spacing w:line="360" w:lineRule="auto"/>
              <w:jc w:val="center"/>
              <w:rPr>
                <w:rFonts w:ascii="宋体" w:hAnsi="宋体" w:cs="宋体"/>
                <w:color w:val="auto"/>
                <w:szCs w:val="21"/>
                <w:highlight w:val="none"/>
              </w:rPr>
            </w:pPr>
          </w:p>
        </w:tc>
        <w:tc>
          <w:tcPr>
            <w:tcW w:w="2309"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BD84E33">
            <w:pPr>
              <w:spacing w:line="360" w:lineRule="auto"/>
              <w:jc w:val="center"/>
              <w:rPr>
                <w:rFonts w:ascii="宋体" w:hAnsi="宋体" w:cs="宋体"/>
                <w:color w:val="auto"/>
                <w:szCs w:val="21"/>
                <w:highlight w:val="none"/>
              </w:rPr>
            </w:pPr>
          </w:p>
        </w:tc>
        <w:tc>
          <w:tcPr>
            <w:tcW w:w="148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40DA527C">
            <w:pPr>
              <w:spacing w:line="360" w:lineRule="auto"/>
              <w:jc w:val="center"/>
              <w:rPr>
                <w:rFonts w:ascii="宋体" w:hAnsi="宋体" w:cs="宋体"/>
                <w:color w:val="auto"/>
                <w:szCs w:val="21"/>
                <w:highlight w:val="none"/>
              </w:rPr>
            </w:pPr>
          </w:p>
        </w:tc>
        <w:tc>
          <w:tcPr>
            <w:tcW w:w="166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6B2F1A3F">
            <w:pPr>
              <w:spacing w:line="360" w:lineRule="auto"/>
              <w:jc w:val="center"/>
              <w:rPr>
                <w:rFonts w:ascii="宋体" w:hAnsi="宋体" w:cs="宋体"/>
                <w:color w:val="auto"/>
                <w:szCs w:val="21"/>
                <w:highlight w:val="none"/>
              </w:rPr>
            </w:pPr>
          </w:p>
        </w:tc>
        <w:tc>
          <w:tcPr>
            <w:tcW w:w="1707"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67D9715A">
            <w:pPr>
              <w:spacing w:line="360" w:lineRule="auto"/>
              <w:jc w:val="center"/>
              <w:rPr>
                <w:rFonts w:ascii="宋体" w:hAnsi="宋体" w:cs="宋体"/>
                <w:color w:val="auto"/>
                <w:szCs w:val="21"/>
                <w:highlight w:val="none"/>
              </w:rPr>
            </w:pPr>
          </w:p>
        </w:tc>
      </w:tr>
      <w:tr w14:paraId="268C4CB2">
        <w:tblPrEx>
          <w:tblCellMar>
            <w:top w:w="17" w:type="dxa"/>
            <w:left w:w="17" w:type="dxa"/>
            <w:bottom w:w="17" w:type="dxa"/>
            <w:right w:w="17" w:type="dxa"/>
          </w:tblCellMar>
        </w:tblPrEx>
        <w:trPr>
          <w:trHeight w:val="998" w:hRule="atLeast"/>
        </w:trPr>
        <w:tc>
          <w:tcPr>
            <w:tcW w:w="640"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26F1A62">
            <w:pPr>
              <w:spacing w:line="360" w:lineRule="auto"/>
              <w:jc w:val="center"/>
              <w:rPr>
                <w:rFonts w:ascii="宋体" w:hAnsi="宋体" w:cs="宋体"/>
                <w:color w:val="auto"/>
                <w:szCs w:val="21"/>
                <w:highlight w:val="none"/>
              </w:rPr>
            </w:pPr>
          </w:p>
        </w:tc>
        <w:tc>
          <w:tcPr>
            <w:tcW w:w="1490"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9528839">
            <w:pPr>
              <w:spacing w:line="360" w:lineRule="auto"/>
              <w:jc w:val="center"/>
              <w:rPr>
                <w:rFonts w:ascii="宋体" w:hAnsi="宋体" w:cs="宋体"/>
                <w:color w:val="auto"/>
                <w:szCs w:val="21"/>
                <w:highlight w:val="none"/>
              </w:rPr>
            </w:pPr>
          </w:p>
        </w:tc>
        <w:tc>
          <w:tcPr>
            <w:tcW w:w="2309"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D29129C">
            <w:pPr>
              <w:spacing w:line="360" w:lineRule="auto"/>
              <w:jc w:val="center"/>
              <w:rPr>
                <w:rFonts w:ascii="宋体" w:hAnsi="宋体" w:cs="宋体"/>
                <w:color w:val="auto"/>
                <w:szCs w:val="21"/>
                <w:highlight w:val="none"/>
              </w:rPr>
            </w:pPr>
          </w:p>
        </w:tc>
        <w:tc>
          <w:tcPr>
            <w:tcW w:w="148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D30E198">
            <w:pPr>
              <w:spacing w:line="360" w:lineRule="auto"/>
              <w:jc w:val="center"/>
              <w:rPr>
                <w:rFonts w:ascii="宋体" w:hAnsi="宋体" w:cs="宋体"/>
                <w:color w:val="auto"/>
                <w:szCs w:val="21"/>
                <w:highlight w:val="none"/>
              </w:rPr>
            </w:pPr>
          </w:p>
        </w:tc>
        <w:tc>
          <w:tcPr>
            <w:tcW w:w="166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169DFA3">
            <w:pPr>
              <w:spacing w:line="360" w:lineRule="auto"/>
              <w:jc w:val="center"/>
              <w:rPr>
                <w:rFonts w:ascii="宋体" w:hAnsi="宋体" w:cs="宋体"/>
                <w:color w:val="auto"/>
                <w:szCs w:val="21"/>
                <w:highlight w:val="none"/>
              </w:rPr>
            </w:pPr>
          </w:p>
        </w:tc>
        <w:tc>
          <w:tcPr>
            <w:tcW w:w="1707"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42DD953E">
            <w:pPr>
              <w:spacing w:line="360" w:lineRule="auto"/>
              <w:jc w:val="center"/>
              <w:rPr>
                <w:rFonts w:ascii="宋体" w:hAnsi="宋体" w:cs="宋体"/>
                <w:color w:val="auto"/>
                <w:szCs w:val="21"/>
                <w:highlight w:val="none"/>
              </w:rPr>
            </w:pPr>
          </w:p>
        </w:tc>
      </w:tr>
      <w:tr w14:paraId="57D6031A">
        <w:tblPrEx>
          <w:tblCellMar>
            <w:top w:w="17" w:type="dxa"/>
            <w:left w:w="17" w:type="dxa"/>
            <w:bottom w:w="17" w:type="dxa"/>
            <w:right w:w="17" w:type="dxa"/>
          </w:tblCellMar>
        </w:tblPrEx>
        <w:trPr>
          <w:trHeight w:val="998" w:hRule="atLeast"/>
        </w:trPr>
        <w:tc>
          <w:tcPr>
            <w:tcW w:w="640"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35A7A37">
            <w:pPr>
              <w:spacing w:line="360" w:lineRule="auto"/>
              <w:jc w:val="center"/>
              <w:rPr>
                <w:rFonts w:ascii="宋体" w:hAnsi="宋体" w:cs="宋体"/>
                <w:color w:val="auto"/>
                <w:szCs w:val="21"/>
                <w:highlight w:val="none"/>
              </w:rPr>
            </w:pPr>
          </w:p>
        </w:tc>
        <w:tc>
          <w:tcPr>
            <w:tcW w:w="1490"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96604AF">
            <w:pPr>
              <w:spacing w:line="360" w:lineRule="auto"/>
              <w:jc w:val="center"/>
              <w:rPr>
                <w:rFonts w:ascii="宋体" w:hAnsi="宋体" w:cs="宋体"/>
                <w:color w:val="auto"/>
                <w:szCs w:val="21"/>
                <w:highlight w:val="none"/>
              </w:rPr>
            </w:pPr>
          </w:p>
        </w:tc>
        <w:tc>
          <w:tcPr>
            <w:tcW w:w="2309"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D738DD2">
            <w:pPr>
              <w:spacing w:line="360" w:lineRule="auto"/>
              <w:jc w:val="center"/>
              <w:rPr>
                <w:rFonts w:ascii="宋体" w:hAnsi="宋体" w:cs="宋体"/>
                <w:color w:val="auto"/>
                <w:szCs w:val="21"/>
                <w:highlight w:val="none"/>
              </w:rPr>
            </w:pPr>
          </w:p>
        </w:tc>
        <w:tc>
          <w:tcPr>
            <w:tcW w:w="148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59DD320">
            <w:pPr>
              <w:spacing w:line="360" w:lineRule="auto"/>
              <w:jc w:val="center"/>
              <w:rPr>
                <w:rFonts w:ascii="宋体" w:hAnsi="宋体" w:cs="宋体"/>
                <w:color w:val="auto"/>
                <w:szCs w:val="21"/>
                <w:highlight w:val="none"/>
              </w:rPr>
            </w:pPr>
          </w:p>
        </w:tc>
        <w:tc>
          <w:tcPr>
            <w:tcW w:w="166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44DBAE8">
            <w:pPr>
              <w:spacing w:line="360" w:lineRule="auto"/>
              <w:jc w:val="center"/>
              <w:rPr>
                <w:rFonts w:ascii="宋体" w:hAnsi="宋体" w:cs="宋体"/>
                <w:color w:val="auto"/>
                <w:szCs w:val="21"/>
                <w:highlight w:val="none"/>
              </w:rPr>
            </w:pPr>
          </w:p>
        </w:tc>
        <w:tc>
          <w:tcPr>
            <w:tcW w:w="1707"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34CE6897">
            <w:pPr>
              <w:spacing w:line="360" w:lineRule="auto"/>
              <w:jc w:val="center"/>
              <w:rPr>
                <w:rFonts w:ascii="宋体" w:hAnsi="宋体" w:cs="宋体"/>
                <w:color w:val="auto"/>
                <w:szCs w:val="21"/>
                <w:highlight w:val="none"/>
              </w:rPr>
            </w:pPr>
          </w:p>
        </w:tc>
      </w:tr>
      <w:tr w14:paraId="25F51A66">
        <w:tblPrEx>
          <w:tblCellMar>
            <w:top w:w="17" w:type="dxa"/>
            <w:left w:w="17" w:type="dxa"/>
            <w:bottom w:w="17" w:type="dxa"/>
            <w:right w:w="17" w:type="dxa"/>
          </w:tblCellMar>
        </w:tblPrEx>
        <w:trPr>
          <w:trHeight w:val="998" w:hRule="atLeast"/>
        </w:trPr>
        <w:tc>
          <w:tcPr>
            <w:tcW w:w="640"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50242BD">
            <w:pPr>
              <w:spacing w:line="360" w:lineRule="auto"/>
              <w:jc w:val="center"/>
              <w:rPr>
                <w:rFonts w:ascii="宋体" w:hAnsi="宋体" w:cs="宋体"/>
                <w:color w:val="auto"/>
                <w:szCs w:val="21"/>
                <w:highlight w:val="none"/>
              </w:rPr>
            </w:pPr>
          </w:p>
        </w:tc>
        <w:tc>
          <w:tcPr>
            <w:tcW w:w="1490"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A8AC51D">
            <w:pPr>
              <w:spacing w:line="360" w:lineRule="auto"/>
              <w:jc w:val="center"/>
              <w:rPr>
                <w:rFonts w:ascii="宋体" w:hAnsi="宋体" w:cs="宋体"/>
                <w:color w:val="auto"/>
                <w:szCs w:val="21"/>
                <w:highlight w:val="none"/>
              </w:rPr>
            </w:pPr>
          </w:p>
        </w:tc>
        <w:tc>
          <w:tcPr>
            <w:tcW w:w="2309"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6332FD7">
            <w:pPr>
              <w:spacing w:line="360" w:lineRule="auto"/>
              <w:jc w:val="center"/>
              <w:rPr>
                <w:rFonts w:ascii="宋体" w:hAnsi="宋体" w:cs="宋体"/>
                <w:color w:val="auto"/>
                <w:szCs w:val="21"/>
                <w:highlight w:val="none"/>
              </w:rPr>
            </w:pPr>
          </w:p>
        </w:tc>
        <w:tc>
          <w:tcPr>
            <w:tcW w:w="148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6E83E873">
            <w:pPr>
              <w:spacing w:line="360" w:lineRule="auto"/>
              <w:jc w:val="center"/>
              <w:rPr>
                <w:rFonts w:ascii="宋体" w:hAnsi="宋体" w:cs="宋体"/>
                <w:color w:val="auto"/>
                <w:szCs w:val="21"/>
                <w:highlight w:val="none"/>
              </w:rPr>
            </w:pPr>
          </w:p>
        </w:tc>
        <w:tc>
          <w:tcPr>
            <w:tcW w:w="166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28E127B">
            <w:pPr>
              <w:spacing w:line="360" w:lineRule="auto"/>
              <w:jc w:val="center"/>
              <w:rPr>
                <w:rFonts w:ascii="宋体" w:hAnsi="宋体" w:cs="宋体"/>
                <w:color w:val="auto"/>
                <w:szCs w:val="21"/>
                <w:highlight w:val="none"/>
              </w:rPr>
            </w:pPr>
          </w:p>
        </w:tc>
        <w:tc>
          <w:tcPr>
            <w:tcW w:w="1707"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0B9CE80D">
            <w:pPr>
              <w:spacing w:line="360" w:lineRule="auto"/>
              <w:jc w:val="center"/>
              <w:rPr>
                <w:rFonts w:ascii="宋体" w:hAnsi="宋体" w:cs="宋体"/>
                <w:color w:val="auto"/>
                <w:szCs w:val="21"/>
                <w:highlight w:val="none"/>
              </w:rPr>
            </w:pPr>
          </w:p>
        </w:tc>
      </w:tr>
      <w:tr w14:paraId="0FA21044">
        <w:tblPrEx>
          <w:tblCellMar>
            <w:top w:w="17" w:type="dxa"/>
            <w:left w:w="17" w:type="dxa"/>
            <w:bottom w:w="17" w:type="dxa"/>
            <w:right w:w="17" w:type="dxa"/>
          </w:tblCellMar>
        </w:tblPrEx>
        <w:trPr>
          <w:trHeight w:val="998" w:hRule="atLeast"/>
        </w:trPr>
        <w:tc>
          <w:tcPr>
            <w:tcW w:w="640"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61752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490" w:type="dxa"/>
            <w:tcBorders>
              <w:top w:val="single" w:color="auto" w:sz="4" w:space="0"/>
              <w:left w:val="single" w:color="000000" w:sz="4" w:space="0"/>
              <w:bottom w:val="single" w:color="auto" w:sz="4" w:space="0"/>
              <w:right w:val="single" w:color="000000" w:sz="4" w:space="0"/>
            </w:tcBorders>
            <w:shd w:val="clear" w:color="auto" w:fill="FFFFFF"/>
            <w:noWrap/>
          </w:tcPr>
          <w:p w14:paraId="7A44648C">
            <w:pPr>
              <w:spacing w:line="400" w:lineRule="exact"/>
              <w:jc w:val="center"/>
              <w:rPr>
                <w:rFonts w:ascii="宋体" w:hAnsi="宋体" w:cs="宋体"/>
                <w:color w:val="auto"/>
                <w:sz w:val="24"/>
                <w:highlight w:val="none"/>
              </w:rPr>
            </w:pPr>
          </w:p>
          <w:p w14:paraId="1508C7D9">
            <w:pPr>
              <w:spacing w:line="400" w:lineRule="exact"/>
              <w:jc w:val="center"/>
              <w:rPr>
                <w:rFonts w:ascii="宋体" w:hAnsi="宋体" w:cs="宋体"/>
                <w:color w:val="auto"/>
                <w:szCs w:val="21"/>
                <w:highlight w:val="none"/>
              </w:rPr>
            </w:pPr>
            <w:r>
              <w:rPr>
                <w:rFonts w:hint="eastAsia" w:ascii="宋体" w:hAnsi="宋体" w:cs="宋体"/>
                <w:color w:val="auto"/>
                <w:sz w:val="24"/>
                <w:highlight w:val="none"/>
              </w:rPr>
              <w:t>合计</w:t>
            </w:r>
          </w:p>
        </w:tc>
        <w:tc>
          <w:tcPr>
            <w:tcW w:w="7166" w:type="dxa"/>
            <w:gridSpan w:val="4"/>
            <w:tcBorders>
              <w:top w:val="single" w:color="auto" w:sz="4" w:space="0"/>
              <w:left w:val="single" w:color="000000" w:sz="4" w:space="0"/>
              <w:bottom w:val="single" w:color="auto" w:sz="4" w:space="0"/>
              <w:right w:val="single" w:color="auto" w:sz="4" w:space="0"/>
            </w:tcBorders>
            <w:shd w:val="clear" w:color="auto" w:fill="FFFFFF"/>
            <w:noWrap/>
          </w:tcPr>
          <w:p w14:paraId="59111A8A">
            <w:pPr>
              <w:spacing w:line="400" w:lineRule="exact"/>
              <w:rPr>
                <w:rFonts w:ascii="宋体" w:hAnsi="宋体" w:cs="宋体"/>
                <w:color w:val="auto"/>
                <w:sz w:val="24"/>
                <w:highlight w:val="none"/>
              </w:rPr>
            </w:pPr>
          </w:p>
          <w:p w14:paraId="0B182C05">
            <w:pPr>
              <w:spacing w:line="400" w:lineRule="exact"/>
              <w:rPr>
                <w:rFonts w:ascii="宋体" w:hAnsi="宋体" w:cs="宋体"/>
                <w:color w:val="auto"/>
                <w:sz w:val="24"/>
                <w:highlight w:val="none"/>
                <w:u w:val="singl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p>
          <w:p w14:paraId="37B50894">
            <w:pPr>
              <w:spacing w:line="400" w:lineRule="exact"/>
              <w:rPr>
                <w:rFonts w:ascii="宋体" w:hAnsi="宋体" w:cs="宋体"/>
                <w:color w:val="auto"/>
                <w:szCs w:val="21"/>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bl>
    <w:p w14:paraId="5EF6E2B2">
      <w:pPr>
        <w:spacing w:line="480" w:lineRule="exact"/>
        <w:ind w:firstLine="210" w:firstLineChars="100"/>
        <w:rPr>
          <w:rFonts w:ascii="宋体" w:hAnsi="宋体"/>
          <w:color w:val="auto"/>
          <w:szCs w:val="21"/>
          <w:highlight w:val="none"/>
          <w:u w:val="single"/>
        </w:rPr>
      </w:pPr>
    </w:p>
    <w:p w14:paraId="2B691BC1">
      <w:pP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030FD80">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全权代表签字：                   </w:t>
      </w:r>
    </w:p>
    <w:p w14:paraId="46DED03D">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日 期：           </w:t>
      </w:r>
    </w:p>
    <w:p w14:paraId="09E6AA9F">
      <w:pPr>
        <w:rPr>
          <w:rFonts w:ascii="宋体" w:hAnsi="宋体"/>
          <w:color w:val="auto"/>
          <w:szCs w:val="21"/>
          <w:highlight w:val="none"/>
        </w:rPr>
      </w:pPr>
      <w:r>
        <w:rPr>
          <w:rFonts w:hint="eastAsia" w:ascii="宋体" w:hAnsi="宋体"/>
          <w:color w:val="auto"/>
          <w:szCs w:val="21"/>
          <w:highlight w:val="none"/>
        </w:rPr>
        <w:t>备注：</w:t>
      </w:r>
    </w:p>
    <w:p w14:paraId="5861877E">
      <w:pPr>
        <w:rPr>
          <w:rFonts w:ascii="宋体" w:hAnsi="宋体"/>
          <w:color w:val="auto"/>
          <w:szCs w:val="21"/>
          <w:highlight w:val="none"/>
        </w:rPr>
      </w:pPr>
      <w:r>
        <w:rPr>
          <w:rFonts w:hint="eastAsia" w:ascii="宋体" w:hAnsi="宋体"/>
          <w:color w:val="auto"/>
          <w:szCs w:val="21"/>
          <w:highlight w:val="none"/>
        </w:rPr>
        <w:t>1.投标人应根据国家的有关规定和实际情况并结合企业的实际情况进行投标报价。投标报价为投标人所能承受的最低、最终一次性报价。</w:t>
      </w:r>
    </w:p>
    <w:p w14:paraId="351CED23">
      <w:pPr>
        <w:widowControl/>
        <w:snapToGrid w:val="0"/>
        <w:spacing w:before="120" w:after="120" w:line="340" w:lineRule="exact"/>
        <w:jc w:val="left"/>
        <w:rPr>
          <w:rFonts w:ascii="宋体" w:hAnsi="宋体" w:cs="宋体"/>
          <w:color w:val="auto"/>
          <w:kern w:val="0"/>
          <w:szCs w:val="21"/>
          <w:highlight w:val="none"/>
        </w:rPr>
      </w:pPr>
      <w:r>
        <w:rPr>
          <w:rFonts w:hint="eastAsia" w:ascii="宋体" w:hAnsi="宋体"/>
          <w:color w:val="auto"/>
          <w:szCs w:val="21"/>
          <w:highlight w:val="none"/>
        </w:rPr>
        <w:t>2.此表在不改变表式内容的情况下，可自行制作。</w:t>
      </w:r>
    </w:p>
    <w:p w14:paraId="12CA8CB1">
      <w:pPr>
        <w:spacing w:line="360" w:lineRule="auto"/>
        <w:jc w:val="center"/>
        <w:outlineLvl w:val="2"/>
        <w:rPr>
          <w:rFonts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 疑 函 范 本（供参考）</w:t>
      </w:r>
    </w:p>
    <w:p w14:paraId="647CF495">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0A958EC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3C77F3C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410388DB">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324F4AF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5F8FDFD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145A11E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78E1AEB5">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5056288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1CEAFC6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4B2219C2">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40C6B8BC">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409FA0C9">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2170988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27620F5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45CCE2CC">
      <w:pPr>
        <w:adjustRightInd w:val="0"/>
        <w:snapToGrid w:val="0"/>
        <w:spacing w:line="360" w:lineRule="auto"/>
        <w:rPr>
          <w:rFonts w:ascii="宋体" w:hAnsi="宋体" w:cs="宋体"/>
          <w:color w:val="auto"/>
          <w:highlight w:val="none"/>
        </w:rPr>
      </w:pPr>
    </w:p>
    <w:p w14:paraId="39C755C2">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284D0E18">
      <w:pPr>
        <w:adjustRightInd w:val="0"/>
        <w:snapToGrid w:val="0"/>
        <w:spacing w:line="360" w:lineRule="auto"/>
        <w:rPr>
          <w:rFonts w:ascii="宋体" w:hAnsi="宋体" w:cs="宋体"/>
          <w:color w:val="auto"/>
          <w:highlight w:val="none"/>
          <w:u w:val="dotted"/>
        </w:rPr>
      </w:pPr>
    </w:p>
    <w:p w14:paraId="322E4E5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6EFBB6A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5C06EF6B">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4D81030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40AAE253">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4FCD303E">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27A80A8D">
      <w:pPr>
        <w:spacing w:line="360" w:lineRule="auto"/>
        <w:rPr>
          <w:rFonts w:ascii="宋体" w:hAnsi="宋体" w:cs="宋体"/>
          <w:color w:val="auto"/>
          <w:highlight w:val="none"/>
        </w:rPr>
      </w:pPr>
    </w:p>
    <w:p w14:paraId="477EDA71">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31CF23E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31FAD3E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2256868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7AA52236">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62AA75B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12CDB7F2">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6953C946">
      <w:pPr>
        <w:pStyle w:val="86"/>
        <w:rPr>
          <w:color w:val="auto"/>
          <w:highlight w:val="none"/>
        </w:rPr>
      </w:pPr>
    </w:p>
    <w:p w14:paraId="7B732B24">
      <w:pPr>
        <w:pStyle w:val="18"/>
        <w:spacing w:line="460" w:lineRule="exact"/>
        <w:ind w:firstLine="210"/>
        <w:rPr>
          <w:rFonts w:cs="Times New Roman"/>
          <w:color w:val="auto"/>
          <w:highlight w:val="none"/>
        </w:rPr>
      </w:pPr>
    </w:p>
    <w:p w14:paraId="2E4E4F61">
      <w:pPr>
        <w:rPr>
          <w:color w:val="auto"/>
          <w:highlight w:val="none"/>
        </w:rPr>
      </w:pPr>
    </w:p>
    <w:p w14:paraId="6202085A">
      <w:pPr>
        <w:rPr>
          <w:color w:val="auto"/>
          <w:highlight w:val="none"/>
        </w:rPr>
      </w:pPr>
    </w:p>
    <w:p w14:paraId="167962EA">
      <w:pPr>
        <w:pStyle w:val="2"/>
        <w:rPr>
          <w:color w:val="auto"/>
          <w:highlight w:val="none"/>
        </w:rPr>
      </w:pPr>
    </w:p>
    <w:p w14:paraId="4E05427B">
      <w:pPr>
        <w:rPr>
          <w:color w:val="auto"/>
          <w:highlight w:val="none"/>
        </w:rPr>
      </w:pPr>
    </w:p>
    <w:p w14:paraId="46B30E63">
      <w:pPr>
        <w:jc w:val="center"/>
        <w:rPr>
          <w:rFonts w:ascii="宋体" w:hAnsi="宋体"/>
          <w:b/>
          <w:color w:val="auto"/>
          <w:sz w:val="36"/>
          <w:szCs w:val="36"/>
          <w:highlight w:val="none"/>
        </w:rPr>
      </w:pPr>
    </w:p>
    <w:p w14:paraId="16C62D87">
      <w:pPr>
        <w:jc w:val="center"/>
        <w:rPr>
          <w:rFonts w:ascii="宋体" w:hAnsi="宋体"/>
          <w:b/>
          <w:color w:val="auto"/>
          <w:sz w:val="36"/>
          <w:szCs w:val="36"/>
          <w:highlight w:val="none"/>
        </w:rPr>
      </w:pPr>
    </w:p>
    <w:p w14:paraId="268BFF5C">
      <w:pPr>
        <w:jc w:val="center"/>
        <w:rPr>
          <w:rFonts w:ascii="宋体" w:hAnsi="宋体"/>
          <w:b/>
          <w:color w:val="auto"/>
          <w:sz w:val="36"/>
          <w:szCs w:val="36"/>
          <w:highlight w:val="none"/>
        </w:rPr>
      </w:pPr>
    </w:p>
    <w:p w14:paraId="32346024">
      <w:pPr>
        <w:jc w:val="center"/>
        <w:rPr>
          <w:rFonts w:ascii="宋体" w:hAnsi="宋体"/>
          <w:b/>
          <w:color w:val="auto"/>
          <w:sz w:val="36"/>
          <w:szCs w:val="36"/>
          <w:highlight w:val="none"/>
        </w:rPr>
      </w:pPr>
    </w:p>
    <w:p w14:paraId="1BE9EAAA">
      <w:pPr>
        <w:jc w:val="center"/>
        <w:rPr>
          <w:rFonts w:ascii="宋体" w:hAnsi="宋体"/>
          <w:b/>
          <w:color w:val="auto"/>
          <w:sz w:val="36"/>
          <w:szCs w:val="36"/>
          <w:highlight w:val="none"/>
        </w:rPr>
      </w:pPr>
    </w:p>
    <w:p w14:paraId="4146BD38">
      <w:pPr>
        <w:jc w:val="center"/>
        <w:rPr>
          <w:rFonts w:ascii="宋体" w:hAnsi="宋体"/>
          <w:b/>
          <w:color w:val="auto"/>
          <w:sz w:val="36"/>
          <w:szCs w:val="36"/>
          <w:highlight w:val="none"/>
        </w:rPr>
      </w:pPr>
    </w:p>
    <w:p w14:paraId="38CA17AA">
      <w:pPr>
        <w:jc w:val="center"/>
        <w:rPr>
          <w:rFonts w:ascii="宋体" w:hAnsi="宋体"/>
          <w:b/>
          <w:color w:val="auto"/>
          <w:sz w:val="36"/>
          <w:szCs w:val="36"/>
          <w:highlight w:val="none"/>
        </w:rPr>
      </w:pPr>
    </w:p>
    <w:p w14:paraId="2A642078">
      <w:pPr>
        <w:jc w:val="center"/>
        <w:rPr>
          <w:rFonts w:ascii="宋体" w:hAnsi="宋体"/>
          <w:b/>
          <w:color w:val="auto"/>
          <w:sz w:val="36"/>
          <w:szCs w:val="36"/>
          <w:highlight w:val="none"/>
        </w:rPr>
      </w:pPr>
    </w:p>
    <w:p w14:paraId="62DF50E3">
      <w:pPr>
        <w:jc w:val="center"/>
        <w:rPr>
          <w:rFonts w:ascii="宋体" w:hAnsi="宋体"/>
          <w:b/>
          <w:color w:val="auto"/>
          <w:sz w:val="36"/>
          <w:szCs w:val="36"/>
          <w:highlight w:val="none"/>
        </w:rPr>
      </w:pPr>
    </w:p>
    <w:p w14:paraId="450C1475">
      <w:pPr>
        <w:jc w:val="center"/>
        <w:rPr>
          <w:rFonts w:ascii="宋体" w:hAnsi="宋体"/>
          <w:b/>
          <w:color w:val="auto"/>
          <w:sz w:val="36"/>
          <w:szCs w:val="36"/>
          <w:highlight w:val="none"/>
        </w:rPr>
      </w:pPr>
    </w:p>
    <w:p w14:paraId="24EF4F3E">
      <w:pPr>
        <w:rPr>
          <w:color w:val="auto"/>
          <w:highlight w:val="none"/>
        </w:rPr>
      </w:pPr>
    </w:p>
    <w:p w14:paraId="04E79736">
      <w:pPr>
        <w:rPr>
          <w:color w:val="auto"/>
          <w:highlight w:val="none"/>
        </w:rPr>
      </w:pPr>
    </w:p>
    <w:p w14:paraId="328F0503">
      <w:pPr>
        <w:rPr>
          <w:color w:val="auto"/>
          <w:highlight w:val="none"/>
        </w:rPr>
      </w:pPr>
    </w:p>
    <w:p w14:paraId="6E116D3B">
      <w:pPr>
        <w:spacing w:line="460" w:lineRule="exact"/>
        <w:ind w:firstLine="420" w:firstLineChars="200"/>
        <w:rPr>
          <w:rFonts w:ascii="宋体" w:cs="宋体"/>
          <w:color w:val="auto"/>
          <w:szCs w:val="21"/>
          <w:highlight w:val="none"/>
        </w:rPr>
      </w:pPr>
    </w:p>
    <w:bookmarkEnd w:id="144"/>
    <w:bookmarkEnd w:id="145"/>
    <w:bookmarkEnd w:id="146"/>
    <w:bookmarkEnd w:id="147"/>
    <w:bookmarkEnd w:id="148"/>
    <w:bookmarkEnd w:id="149"/>
    <w:p w14:paraId="2787C20E">
      <w:pPr>
        <w:spacing w:line="460" w:lineRule="exact"/>
        <w:ind w:firstLine="480" w:firstLineChars="200"/>
        <w:rPr>
          <w:rFonts w:ascii="宋体" w:hAnsi="Courier New"/>
          <w:color w:val="auto"/>
          <w:kern w:val="0"/>
          <w:sz w:val="24"/>
          <w:highlight w:val="none"/>
        </w:rPr>
      </w:pPr>
    </w:p>
    <w:p w14:paraId="56766947">
      <w:pPr>
        <w:spacing w:line="460" w:lineRule="exact"/>
        <w:ind w:firstLine="480" w:firstLineChars="200"/>
        <w:rPr>
          <w:rFonts w:ascii="宋体" w:hAnsi="Courier New"/>
          <w:color w:val="auto"/>
          <w:kern w:val="0"/>
          <w:sz w:val="24"/>
          <w:highlight w:val="none"/>
        </w:rPr>
      </w:pPr>
    </w:p>
    <w:p w14:paraId="3682B705">
      <w:pPr>
        <w:rPr>
          <w:rFonts w:hint="eastAsia"/>
          <w:color w:val="auto"/>
          <w:highlight w:val="none"/>
        </w:rPr>
      </w:pPr>
    </w:p>
    <w:bookmarkEnd w:id="177"/>
    <w:sectPr>
      <w:footerReference r:id="rId6" w:type="first"/>
      <w:headerReference r:id="rId4" w:type="default"/>
      <w:footerReference r:id="rId5" w:type="default"/>
      <w:pgSz w:w="11906" w:h="16838"/>
      <w:pgMar w:top="1246" w:right="1134"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CC30">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F68988">
                          <w:pPr>
                            <w:pStyle w:val="22"/>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DF68988">
                    <w:pPr>
                      <w:pStyle w:val="2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3CCC">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28C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8328C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8F84">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63350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563350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8401">
    <w:pPr>
      <w:pStyle w:val="23"/>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D8"/>
    <w:rsid w:val="000656D8"/>
    <w:rsid w:val="00170A6F"/>
    <w:rsid w:val="00424DF1"/>
    <w:rsid w:val="0091515A"/>
    <w:rsid w:val="00953845"/>
    <w:rsid w:val="00A91E3B"/>
    <w:rsid w:val="00DA6AB6"/>
    <w:rsid w:val="4B6109B9"/>
    <w:rsid w:val="6B5B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link w:val="61"/>
    <w:qFormat/>
    <w:uiPriority w:val="0"/>
    <w:pPr>
      <w:keepNext/>
      <w:keepLines/>
      <w:spacing w:line="540" w:lineRule="atLeast"/>
      <w:outlineLvl w:val="3"/>
    </w:pPr>
    <w:rPr>
      <w:sz w:val="28"/>
      <w:szCs w:val="28"/>
    </w:rPr>
  </w:style>
  <w:style w:type="paragraph" w:styleId="6">
    <w:name w:val="heading 5"/>
    <w:basedOn w:val="1"/>
    <w:next w:val="1"/>
    <w:link w:val="6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64"/>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65"/>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66"/>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360"/>
        <w:tab w:val="clear" w:pos="1455"/>
      </w:tabs>
    </w:pPr>
  </w:style>
  <w:style w:type="paragraph" w:styleId="12">
    <w:name w:val="Normal Indent"/>
    <w:basedOn w:val="1"/>
    <w:qFormat/>
    <w:uiPriority w:val="0"/>
    <w:pPr>
      <w:ind w:firstLine="420"/>
    </w:pPr>
    <w:rPr>
      <w:szCs w:val="20"/>
    </w:rPr>
  </w:style>
  <w:style w:type="paragraph" w:styleId="13">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4">
    <w:name w:val="annotation text"/>
    <w:basedOn w:val="1"/>
    <w:link w:val="67"/>
    <w:qFormat/>
    <w:uiPriority w:val="0"/>
    <w:pPr>
      <w:jc w:val="left"/>
    </w:pPr>
  </w:style>
  <w:style w:type="paragraph" w:styleId="15">
    <w:name w:val="Body Text"/>
    <w:basedOn w:val="1"/>
    <w:next w:val="16"/>
    <w:link w:val="68"/>
    <w:qFormat/>
    <w:uiPriority w:val="0"/>
    <w:rPr>
      <w:sz w:val="24"/>
    </w:rPr>
  </w:style>
  <w:style w:type="paragraph" w:styleId="16">
    <w:name w:val="Body Text First Indent"/>
    <w:basedOn w:val="15"/>
    <w:next w:val="15"/>
    <w:link w:val="69"/>
    <w:qFormat/>
    <w:uiPriority w:val="0"/>
    <w:pPr>
      <w:spacing w:after="120"/>
      <w:ind w:firstLine="420" w:firstLineChars="100"/>
    </w:pPr>
    <w:rPr>
      <w:sz w:val="21"/>
    </w:rPr>
  </w:style>
  <w:style w:type="paragraph" w:styleId="17">
    <w:name w:val="Body Text Indent"/>
    <w:basedOn w:val="1"/>
    <w:next w:val="1"/>
    <w:link w:val="70"/>
    <w:qFormat/>
    <w:uiPriority w:val="0"/>
    <w:pPr>
      <w:spacing w:line="460" w:lineRule="exact"/>
      <w:ind w:firstLine="482" w:firstLineChars="200"/>
    </w:pPr>
    <w:rPr>
      <w:b/>
      <w:bCs/>
      <w:sz w:val="24"/>
      <w:shd w:val="clear" w:color="auto" w:fill="CCCCCC"/>
    </w:rPr>
  </w:style>
  <w:style w:type="paragraph" w:styleId="18">
    <w:name w:val="Plain Text"/>
    <w:basedOn w:val="1"/>
    <w:next w:val="1"/>
    <w:link w:val="71"/>
    <w:qFormat/>
    <w:uiPriority w:val="0"/>
    <w:rPr>
      <w:rFonts w:ascii="宋体" w:hAnsi="Courier New" w:cs="Courier New"/>
      <w:szCs w:val="21"/>
    </w:rPr>
  </w:style>
  <w:style w:type="paragraph" w:styleId="19">
    <w:name w:val="Date"/>
    <w:basedOn w:val="1"/>
    <w:next w:val="1"/>
    <w:link w:val="72"/>
    <w:qFormat/>
    <w:uiPriority w:val="0"/>
    <w:rPr>
      <w:sz w:val="28"/>
      <w:szCs w:val="20"/>
    </w:rPr>
  </w:style>
  <w:style w:type="paragraph" w:styleId="20">
    <w:name w:val="Body Text Indent 2"/>
    <w:basedOn w:val="1"/>
    <w:link w:val="73"/>
    <w:qFormat/>
    <w:uiPriority w:val="0"/>
    <w:pPr>
      <w:spacing w:line="360" w:lineRule="auto"/>
      <w:ind w:firstLine="480"/>
    </w:pPr>
    <w:rPr>
      <w:rFonts w:ascii="宋体" w:eastAsia="新宋体" w:cs="宋体"/>
      <w:sz w:val="24"/>
      <w:szCs w:val="20"/>
    </w:rPr>
  </w:style>
  <w:style w:type="paragraph" w:styleId="21">
    <w:name w:val="Balloon Text"/>
    <w:basedOn w:val="1"/>
    <w:link w:val="74"/>
    <w:qFormat/>
    <w:uiPriority w:val="0"/>
    <w:rPr>
      <w:sz w:val="18"/>
      <w:szCs w:val="18"/>
    </w:rPr>
  </w:style>
  <w:style w:type="paragraph" w:styleId="22">
    <w:name w:val="footer"/>
    <w:basedOn w:val="1"/>
    <w:link w:val="57"/>
    <w:unhideWhenUsed/>
    <w:qFormat/>
    <w:uiPriority w:val="0"/>
    <w:pPr>
      <w:tabs>
        <w:tab w:val="center" w:pos="4153"/>
        <w:tab w:val="right" w:pos="8306"/>
      </w:tabs>
      <w:snapToGrid w:val="0"/>
      <w:jc w:val="left"/>
    </w:pPr>
    <w:rPr>
      <w:sz w:val="18"/>
      <w:szCs w:val="18"/>
    </w:rPr>
  </w:style>
  <w:style w:type="paragraph" w:styleId="23">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qFormat/>
    <w:uiPriority w:val="0"/>
    <w:pPr>
      <w:spacing w:line="460" w:lineRule="exact"/>
    </w:pPr>
    <w:rPr>
      <w:b/>
      <w:bCs/>
      <w:sz w:val="28"/>
      <w:szCs w:val="30"/>
    </w:rPr>
  </w:style>
  <w:style w:type="paragraph" w:styleId="25">
    <w:name w:val="toc 4"/>
    <w:basedOn w:val="1"/>
    <w:next w:val="1"/>
    <w:qFormat/>
    <w:uiPriority w:val="0"/>
    <w:pPr>
      <w:ind w:left="1260"/>
    </w:pPr>
    <w:rPr>
      <w:kern w:val="1"/>
    </w:rPr>
  </w:style>
  <w:style w:type="paragraph" w:styleId="26">
    <w:name w:val="footnote text"/>
    <w:basedOn w:val="1"/>
    <w:link w:val="75"/>
    <w:qFormat/>
    <w:uiPriority w:val="0"/>
    <w:pPr>
      <w:snapToGrid w:val="0"/>
      <w:jc w:val="left"/>
    </w:pPr>
    <w:rPr>
      <w:sz w:val="18"/>
      <w:szCs w:val="18"/>
    </w:rPr>
  </w:style>
  <w:style w:type="paragraph" w:styleId="27">
    <w:name w:val="toc 6"/>
    <w:basedOn w:val="1"/>
    <w:next w:val="1"/>
    <w:qFormat/>
    <w:uiPriority w:val="0"/>
    <w:pPr>
      <w:ind w:left="1000" w:leftChars="1000"/>
    </w:pPr>
  </w:style>
  <w:style w:type="paragraph" w:styleId="28">
    <w:name w:val="Body Text Indent 3"/>
    <w:basedOn w:val="1"/>
    <w:link w:val="76"/>
    <w:qFormat/>
    <w:uiPriority w:val="0"/>
    <w:pPr>
      <w:spacing w:after="120"/>
      <w:ind w:left="420" w:leftChars="200"/>
    </w:pPr>
    <w:rPr>
      <w:sz w:val="16"/>
      <w:szCs w:val="16"/>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rPr>
      <w:rFonts w:ascii="Calibri" w:hAnsi="Calibri"/>
    </w:rPr>
  </w:style>
  <w:style w:type="paragraph" w:styleId="31">
    <w:name w:val="Body Text 2"/>
    <w:basedOn w:val="1"/>
    <w:link w:val="77"/>
    <w:qFormat/>
    <w:uiPriority w:val="0"/>
    <w:pPr>
      <w:spacing w:after="120" w:line="480" w:lineRule="auto"/>
    </w:pPr>
  </w:style>
  <w:style w:type="paragraph" w:styleId="32">
    <w:name w:val="Normal (Web)"/>
    <w:basedOn w:val="1"/>
    <w:qFormat/>
    <w:uiPriority w:val="99"/>
    <w:rPr>
      <w:sz w:val="24"/>
    </w:rPr>
  </w:style>
  <w:style w:type="paragraph" w:styleId="33">
    <w:name w:val="index 1"/>
    <w:basedOn w:val="1"/>
    <w:next w:val="1"/>
    <w:qFormat/>
    <w:uiPriority w:val="0"/>
  </w:style>
  <w:style w:type="paragraph" w:styleId="34">
    <w:name w:val="Title"/>
    <w:basedOn w:val="1"/>
    <w:next w:val="1"/>
    <w:link w:val="78"/>
    <w:qFormat/>
    <w:uiPriority w:val="0"/>
    <w:pPr>
      <w:spacing w:before="240" w:after="60"/>
      <w:jc w:val="center"/>
      <w:outlineLvl w:val="0"/>
    </w:pPr>
    <w:rPr>
      <w:rFonts w:ascii="等线 Light" w:hAnsi="等线 Light"/>
      <w:b/>
      <w:bCs/>
      <w:sz w:val="32"/>
      <w:szCs w:val="32"/>
    </w:rPr>
  </w:style>
  <w:style w:type="paragraph" w:styleId="35">
    <w:name w:val="annotation subject"/>
    <w:basedOn w:val="14"/>
    <w:next w:val="14"/>
    <w:link w:val="79"/>
    <w:qFormat/>
    <w:uiPriority w:val="0"/>
    <w:rPr>
      <w:b/>
      <w:bCs/>
    </w:rPr>
  </w:style>
  <w:style w:type="paragraph" w:styleId="36">
    <w:name w:val="Body Text First Indent 2"/>
    <w:basedOn w:val="17"/>
    <w:next w:val="37"/>
    <w:link w:val="80"/>
    <w:qFormat/>
    <w:uiPriority w:val="0"/>
    <w:pPr>
      <w:spacing w:after="120" w:line="240" w:lineRule="auto"/>
      <w:ind w:left="420" w:leftChars="200" w:firstLine="420"/>
    </w:pPr>
    <w:rPr>
      <w:rFonts w:cs="宋体"/>
      <w:sz w:val="21"/>
      <w:szCs w:val="21"/>
    </w:r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39">
    <w:name w:val="Table Grid"/>
    <w:basedOn w:val="3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szCs w:val="20"/>
      <w:u w:val="single"/>
    </w:rPr>
  </w:style>
  <w:style w:type="character" w:styleId="44">
    <w:name w:val="Emphasis"/>
    <w:basedOn w:val="40"/>
    <w:qFormat/>
    <w:uiPriority w:val="20"/>
    <w:rPr>
      <w:b/>
      <w:bCs/>
    </w:rPr>
  </w:style>
  <w:style w:type="character" w:styleId="45">
    <w:name w:val="HTML Definition"/>
    <w:basedOn w:val="40"/>
    <w:semiHidden/>
    <w:unhideWhenUsed/>
    <w:qFormat/>
    <w:uiPriority w:val="99"/>
  </w:style>
  <w:style w:type="character" w:styleId="46">
    <w:name w:val="HTML Typewriter"/>
    <w:basedOn w:val="40"/>
    <w:semiHidden/>
    <w:unhideWhenUsed/>
    <w:uiPriority w:val="99"/>
    <w:rPr>
      <w:rFonts w:hint="default" w:ascii="monospace" w:hAnsi="monospace" w:eastAsia="monospace" w:cs="monospace"/>
      <w:sz w:val="20"/>
    </w:rPr>
  </w:style>
  <w:style w:type="character" w:styleId="47">
    <w:name w:val="HTML Acronym"/>
    <w:basedOn w:val="40"/>
    <w:semiHidden/>
    <w:unhideWhenUsed/>
    <w:qFormat/>
    <w:uiPriority w:val="99"/>
  </w:style>
  <w:style w:type="character" w:styleId="48">
    <w:name w:val="HTML Variable"/>
    <w:basedOn w:val="40"/>
    <w:semiHidden/>
    <w:unhideWhenUsed/>
    <w:qFormat/>
    <w:uiPriority w:val="99"/>
  </w:style>
  <w:style w:type="character" w:styleId="49">
    <w:name w:val="Hyperlink"/>
    <w:qFormat/>
    <w:uiPriority w:val="0"/>
    <w:rPr>
      <w:rFonts w:ascii="Times New Roman" w:hAnsi="Times New Roman" w:eastAsia="宋体" w:cs="Times New Roman"/>
      <w:color w:val="0000FF"/>
      <w:sz w:val="21"/>
      <w:szCs w:val="20"/>
      <w:u w:val="single"/>
    </w:rPr>
  </w:style>
  <w:style w:type="character" w:styleId="50">
    <w:name w:val="HTML Code"/>
    <w:basedOn w:val="40"/>
    <w:semiHidden/>
    <w:unhideWhenUsed/>
    <w:qFormat/>
    <w:uiPriority w:val="99"/>
    <w:rPr>
      <w:rFonts w:hint="default" w:ascii="monospace" w:hAnsi="monospace" w:eastAsia="monospace" w:cs="monospace"/>
      <w:sz w:val="20"/>
    </w:rPr>
  </w:style>
  <w:style w:type="character" w:styleId="51">
    <w:name w:val="annotation reference"/>
    <w:qFormat/>
    <w:uiPriority w:val="0"/>
    <w:rPr>
      <w:rFonts w:ascii="Times New Roman" w:hAnsi="Times New Roman" w:eastAsia="宋体" w:cs="Times New Roman"/>
      <w:sz w:val="21"/>
      <w:szCs w:val="21"/>
    </w:rPr>
  </w:style>
  <w:style w:type="character" w:styleId="52">
    <w:name w:val="HTML Cite"/>
    <w:basedOn w:val="40"/>
    <w:semiHidden/>
    <w:unhideWhenUsed/>
    <w:qFormat/>
    <w:uiPriority w:val="99"/>
  </w:style>
  <w:style w:type="character" w:styleId="53">
    <w:name w:val="footnote reference"/>
    <w:qFormat/>
    <w:uiPriority w:val="0"/>
    <w:rPr>
      <w:rFonts w:ascii="Times New Roman" w:hAnsi="Times New Roman" w:eastAsia="宋体" w:cs="Times New Roman"/>
      <w:vertAlign w:val="superscript"/>
    </w:rPr>
  </w:style>
  <w:style w:type="character" w:styleId="54">
    <w:name w:val="HTML Keyboard"/>
    <w:basedOn w:val="40"/>
    <w:semiHidden/>
    <w:unhideWhenUsed/>
    <w:qFormat/>
    <w:uiPriority w:val="99"/>
    <w:rPr>
      <w:rFonts w:hint="default" w:ascii="monospace" w:hAnsi="monospace" w:eastAsia="monospace" w:cs="monospace"/>
      <w:sz w:val="20"/>
    </w:rPr>
  </w:style>
  <w:style w:type="character" w:styleId="55">
    <w:name w:val="HTML Sample"/>
    <w:basedOn w:val="40"/>
    <w:semiHidden/>
    <w:unhideWhenUsed/>
    <w:qFormat/>
    <w:uiPriority w:val="99"/>
    <w:rPr>
      <w:rFonts w:ascii="monospace" w:hAnsi="monospace" w:eastAsia="monospace" w:cs="monospace"/>
    </w:rPr>
  </w:style>
  <w:style w:type="character" w:customStyle="1" w:styleId="56">
    <w:name w:val="页眉 字符"/>
    <w:basedOn w:val="40"/>
    <w:link w:val="23"/>
    <w:qFormat/>
    <w:uiPriority w:val="0"/>
    <w:rPr>
      <w:sz w:val="18"/>
      <w:szCs w:val="18"/>
    </w:rPr>
  </w:style>
  <w:style w:type="character" w:customStyle="1" w:styleId="57">
    <w:name w:val="页脚 字符"/>
    <w:basedOn w:val="40"/>
    <w:link w:val="22"/>
    <w:qFormat/>
    <w:uiPriority w:val="0"/>
    <w:rPr>
      <w:sz w:val="18"/>
      <w:szCs w:val="18"/>
    </w:rPr>
  </w:style>
  <w:style w:type="character" w:customStyle="1" w:styleId="58">
    <w:name w:val="标题 1 字符"/>
    <w:basedOn w:val="40"/>
    <w:link w:val="2"/>
    <w:qFormat/>
    <w:uiPriority w:val="0"/>
    <w:rPr>
      <w:rFonts w:ascii="Times New Roman" w:hAnsi="Times New Roman" w:eastAsia="宋体" w:cs="Times New Roman"/>
      <w:b/>
      <w:bCs/>
      <w:kern w:val="44"/>
      <w:sz w:val="44"/>
      <w:szCs w:val="44"/>
    </w:rPr>
  </w:style>
  <w:style w:type="character" w:customStyle="1" w:styleId="59">
    <w:name w:val="标题 2 字符"/>
    <w:basedOn w:val="40"/>
    <w:link w:val="3"/>
    <w:qFormat/>
    <w:uiPriority w:val="0"/>
    <w:rPr>
      <w:rFonts w:ascii="Arial" w:hAnsi="Arial" w:eastAsia="黑体" w:cs="Arial"/>
      <w:b/>
      <w:bCs/>
      <w:sz w:val="32"/>
      <w:szCs w:val="32"/>
    </w:rPr>
  </w:style>
  <w:style w:type="character" w:customStyle="1" w:styleId="60">
    <w:name w:val="标题 3 字符"/>
    <w:basedOn w:val="40"/>
    <w:link w:val="4"/>
    <w:qFormat/>
    <w:uiPriority w:val="0"/>
    <w:rPr>
      <w:rFonts w:ascii="Times New Roman" w:hAnsi="Times New Roman" w:eastAsia="宋体" w:cs="Times New Roman"/>
      <w:b/>
      <w:bCs/>
      <w:sz w:val="32"/>
      <w:szCs w:val="32"/>
    </w:rPr>
  </w:style>
  <w:style w:type="character" w:customStyle="1" w:styleId="61">
    <w:name w:val="标题 4 字符"/>
    <w:basedOn w:val="40"/>
    <w:link w:val="5"/>
    <w:qFormat/>
    <w:uiPriority w:val="0"/>
    <w:rPr>
      <w:rFonts w:ascii="Times New Roman" w:hAnsi="Times New Roman" w:eastAsia="宋体" w:cs="Times New Roman"/>
      <w:sz w:val="28"/>
      <w:szCs w:val="28"/>
    </w:rPr>
  </w:style>
  <w:style w:type="character" w:customStyle="1" w:styleId="62">
    <w:name w:val="标题 5 字符"/>
    <w:basedOn w:val="40"/>
    <w:link w:val="6"/>
    <w:qFormat/>
    <w:uiPriority w:val="0"/>
    <w:rPr>
      <w:rFonts w:ascii="Times New Roman" w:hAnsi="Times New Roman" w:eastAsia="宋体" w:cs="Times New Roman"/>
      <w:b/>
      <w:bCs/>
      <w:sz w:val="28"/>
      <w:szCs w:val="28"/>
    </w:rPr>
  </w:style>
  <w:style w:type="character" w:customStyle="1" w:styleId="63">
    <w:name w:val="标题 6 字符"/>
    <w:basedOn w:val="40"/>
    <w:link w:val="7"/>
    <w:qFormat/>
    <w:uiPriority w:val="0"/>
    <w:rPr>
      <w:rFonts w:ascii="Arial" w:hAnsi="Arial" w:eastAsia="黑体" w:cs="Times New Roman"/>
      <w:b/>
      <w:bCs/>
      <w:sz w:val="24"/>
      <w:szCs w:val="24"/>
    </w:rPr>
  </w:style>
  <w:style w:type="character" w:customStyle="1" w:styleId="64">
    <w:name w:val="标题 7 字符"/>
    <w:basedOn w:val="40"/>
    <w:link w:val="8"/>
    <w:qFormat/>
    <w:uiPriority w:val="0"/>
    <w:rPr>
      <w:rFonts w:ascii="Times New Roman" w:hAnsi="Times New Roman" w:eastAsia="宋体" w:cs="Times New Roman"/>
      <w:b/>
      <w:bCs/>
      <w:sz w:val="24"/>
      <w:szCs w:val="24"/>
    </w:rPr>
  </w:style>
  <w:style w:type="character" w:customStyle="1" w:styleId="65">
    <w:name w:val="标题 8 字符"/>
    <w:basedOn w:val="40"/>
    <w:link w:val="9"/>
    <w:qFormat/>
    <w:uiPriority w:val="0"/>
    <w:rPr>
      <w:rFonts w:ascii="Arial" w:hAnsi="Arial" w:eastAsia="黑体" w:cs="Times New Roman"/>
      <w:sz w:val="24"/>
      <w:szCs w:val="24"/>
    </w:rPr>
  </w:style>
  <w:style w:type="character" w:customStyle="1" w:styleId="66">
    <w:name w:val="标题 9 字符"/>
    <w:basedOn w:val="40"/>
    <w:link w:val="10"/>
    <w:qFormat/>
    <w:uiPriority w:val="0"/>
    <w:rPr>
      <w:rFonts w:ascii="Arial" w:hAnsi="Arial" w:eastAsia="黑体" w:cs="Times New Roman"/>
      <w:szCs w:val="21"/>
    </w:rPr>
  </w:style>
  <w:style w:type="character" w:customStyle="1" w:styleId="67">
    <w:name w:val="批注文字 字符"/>
    <w:basedOn w:val="40"/>
    <w:link w:val="14"/>
    <w:qFormat/>
    <w:uiPriority w:val="0"/>
    <w:rPr>
      <w:rFonts w:ascii="Times New Roman" w:hAnsi="Times New Roman" w:eastAsia="宋体" w:cs="Times New Roman"/>
      <w:szCs w:val="24"/>
    </w:rPr>
  </w:style>
  <w:style w:type="character" w:customStyle="1" w:styleId="68">
    <w:name w:val="正文文本 字符"/>
    <w:basedOn w:val="40"/>
    <w:link w:val="15"/>
    <w:qFormat/>
    <w:uiPriority w:val="0"/>
    <w:rPr>
      <w:rFonts w:ascii="Times New Roman" w:hAnsi="Times New Roman" w:eastAsia="宋体" w:cs="Times New Roman"/>
      <w:sz w:val="24"/>
      <w:szCs w:val="24"/>
    </w:rPr>
  </w:style>
  <w:style w:type="character" w:customStyle="1" w:styleId="69">
    <w:name w:val="正文首行缩进 字符"/>
    <w:basedOn w:val="68"/>
    <w:link w:val="16"/>
    <w:qFormat/>
    <w:uiPriority w:val="0"/>
    <w:rPr>
      <w:rFonts w:ascii="Times New Roman" w:hAnsi="Times New Roman" w:eastAsia="宋体" w:cs="Times New Roman"/>
      <w:sz w:val="24"/>
      <w:szCs w:val="24"/>
    </w:rPr>
  </w:style>
  <w:style w:type="character" w:customStyle="1" w:styleId="70">
    <w:name w:val="正文文本缩进 字符"/>
    <w:basedOn w:val="40"/>
    <w:link w:val="17"/>
    <w:qFormat/>
    <w:uiPriority w:val="0"/>
    <w:rPr>
      <w:rFonts w:ascii="Times New Roman" w:hAnsi="Times New Roman" w:eastAsia="宋体" w:cs="Times New Roman"/>
      <w:b/>
      <w:bCs/>
      <w:sz w:val="24"/>
      <w:szCs w:val="24"/>
    </w:rPr>
  </w:style>
  <w:style w:type="character" w:customStyle="1" w:styleId="71">
    <w:name w:val="纯文本 字符"/>
    <w:basedOn w:val="40"/>
    <w:link w:val="18"/>
    <w:qFormat/>
    <w:uiPriority w:val="0"/>
    <w:rPr>
      <w:rFonts w:ascii="宋体" w:hAnsi="Courier New" w:eastAsia="宋体" w:cs="Courier New"/>
      <w:szCs w:val="21"/>
    </w:rPr>
  </w:style>
  <w:style w:type="character" w:customStyle="1" w:styleId="72">
    <w:name w:val="日期 字符"/>
    <w:basedOn w:val="40"/>
    <w:link w:val="19"/>
    <w:qFormat/>
    <w:uiPriority w:val="0"/>
    <w:rPr>
      <w:rFonts w:ascii="Times New Roman" w:hAnsi="Times New Roman" w:eastAsia="宋体" w:cs="Times New Roman"/>
      <w:sz w:val="28"/>
      <w:szCs w:val="20"/>
    </w:rPr>
  </w:style>
  <w:style w:type="character" w:customStyle="1" w:styleId="73">
    <w:name w:val="正文文本缩进 2 字符"/>
    <w:basedOn w:val="40"/>
    <w:link w:val="20"/>
    <w:qFormat/>
    <w:uiPriority w:val="0"/>
    <w:rPr>
      <w:rFonts w:ascii="宋体" w:hAnsi="Times New Roman" w:eastAsia="新宋体" w:cs="宋体"/>
      <w:sz w:val="24"/>
      <w:szCs w:val="20"/>
    </w:rPr>
  </w:style>
  <w:style w:type="character" w:customStyle="1" w:styleId="74">
    <w:name w:val="批注框文本 字符"/>
    <w:basedOn w:val="40"/>
    <w:link w:val="21"/>
    <w:qFormat/>
    <w:uiPriority w:val="0"/>
    <w:rPr>
      <w:rFonts w:ascii="Times New Roman" w:hAnsi="Times New Roman" w:eastAsia="宋体" w:cs="Times New Roman"/>
      <w:sz w:val="18"/>
      <w:szCs w:val="18"/>
    </w:rPr>
  </w:style>
  <w:style w:type="character" w:customStyle="1" w:styleId="75">
    <w:name w:val="脚注文本 字符"/>
    <w:basedOn w:val="40"/>
    <w:link w:val="26"/>
    <w:qFormat/>
    <w:uiPriority w:val="0"/>
    <w:rPr>
      <w:rFonts w:ascii="Times New Roman" w:hAnsi="Times New Roman" w:eastAsia="宋体" w:cs="Times New Roman"/>
      <w:sz w:val="18"/>
      <w:szCs w:val="18"/>
    </w:rPr>
  </w:style>
  <w:style w:type="character" w:customStyle="1" w:styleId="76">
    <w:name w:val="正文文本缩进 3 字符"/>
    <w:basedOn w:val="40"/>
    <w:link w:val="28"/>
    <w:qFormat/>
    <w:uiPriority w:val="0"/>
    <w:rPr>
      <w:rFonts w:ascii="Times New Roman" w:hAnsi="Times New Roman" w:eastAsia="宋体" w:cs="Times New Roman"/>
      <w:sz w:val="16"/>
      <w:szCs w:val="16"/>
    </w:rPr>
  </w:style>
  <w:style w:type="character" w:customStyle="1" w:styleId="77">
    <w:name w:val="正文文本 2 字符"/>
    <w:basedOn w:val="40"/>
    <w:link w:val="31"/>
    <w:qFormat/>
    <w:uiPriority w:val="0"/>
    <w:rPr>
      <w:rFonts w:ascii="Times New Roman" w:hAnsi="Times New Roman" w:eastAsia="宋体" w:cs="Times New Roman"/>
      <w:szCs w:val="24"/>
    </w:rPr>
  </w:style>
  <w:style w:type="character" w:customStyle="1" w:styleId="78">
    <w:name w:val="标题 字符"/>
    <w:basedOn w:val="40"/>
    <w:link w:val="34"/>
    <w:qFormat/>
    <w:uiPriority w:val="0"/>
    <w:rPr>
      <w:rFonts w:ascii="等线 Light" w:hAnsi="等线 Light" w:eastAsia="宋体" w:cs="Times New Roman"/>
      <w:b/>
      <w:bCs/>
      <w:sz w:val="32"/>
      <w:szCs w:val="32"/>
    </w:rPr>
  </w:style>
  <w:style w:type="character" w:customStyle="1" w:styleId="79">
    <w:name w:val="批注主题 字符"/>
    <w:basedOn w:val="67"/>
    <w:link w:val="35"/>
    <w:qFormat/>
    <w:uiPriority w:val="0"/>
    <w:rPr>
      <w:rFonts w:ascii="Times New Roman" w:hAnsi="Times New Roman" w:eastAsia="宋体" w:cs="Times New Roman"/>
      <w:b/>
      <w:bCs/>
      <w:szCs w:val="24"/>
    </w:rPr>
  </w:style>
  <w:style w:type="character" w:customStyle="1" w:styleId="80">
    <w:name w:val="正文首行缩进 2 字符"/>
    <w:basedOn w:val="70"/>
    <w:link w:val="36"/>
    <w:qFormat/>
    <w:uiPriority w:val="0"/>
    <w:rPr>
      <w:rFonts w:ascii="Times New Roman" w:hAnsi="Times New Roman" w:eastAsia="宋体" w:cs="宋体"/>
      <w:sz w:val="24"/>
      <w:szCs w:val="21"/>
    </w:rPr>
  </w:style>
  <w:style w:type="paragraph" w:customStyle="1" w:styleId="81">
    <w:name w:val="首行缩进"/>
    <w:basedOn w:val="1"/>
    <w:qFormat/>
    <w:uiPriority w:val="0"/>
    <w:pPr>
      <w:spacing w:line="360" w:lineRule="auto"/>
      <w:ind w:firstLine="480" w:firstLineChars="200"/>
    </w:pPr>
    <w:rPr>
      <w:lang w:val="zh-CN"/>
    </w:rPr>
  </w:style>
  <w:style w:type="character" w:customStyle="1" w:styleId="82">
    <w:name w:val="font11"/>
    <w:basedOn w:val="40"/>
    <w:qFormat/>
    <w:uiPriority w:val="0"/>
    <w:rPr>
      <w:rFonts w:hint="eastAsia" w:ascii="宋体" w:hAnsi="宋体" w:eastAsia="宋体" w:cs="Times New Roman"/>
      <w:color w:val="FF0000"/>
      <w:sz w:val="28"/>
      <w:szCs w:val="28"/>
      <w:u w:val="none"/>
    </w:rPr>
  </w:style>
  <w:style w:type="character" w:customStyle="1" w:styleId="83">
    <w:name w:val="font31"/>
    <w:basedOn w:val="40"/>
    <w:qFormat/>
    <w:uiPriority w:val="0"/>
    <w:rPr>
      <w:rFonts w:hint="eastAsia" w:ascii="宋体" w:hAnsi="宋体" w:eastAsia="宋体" w:cs="宋体"/>
      <w:color w:val="000000"/>
      <w:sz w:val="22"/>
      <w:szCs w:val="22"/>
      <w:u w:val="none"/>
    </w:rPr>
  </w:style>
  <w:style w:type="character" w:customStyle="1" w:styleId="84">
    <w:name w:val="font21"/>
    <w:basedOn w:val="40"/>
    <w:qFormat/>
    <w:uiPriority w:val="0"/>
    <w:rPr>
      <w:rFonts w:hint="eastAsia" w:ascii="宋体" w:hAnsi="宋体" w:eastAsia="宋体" w:cs="宋体"/>
      <w:color w:val="000000"/>
      <w:sz w:val="21"/>
      <w:szCs w:val="21"/>
      <w:u w:val="none"/>
    </w:rPr>
  </w:style>
  <w:style w:type="character" w:customStyle="1" w:styleId="85">
    <w:name w:val="font01"/>
    <w:qFormat/>
    <w:uiPriority w:val="0"/>
    <w:rPr>
      <w:rFonts w:ascii="Verdana" w:hAnsi="Verdana" w:eastAsia="宋体" w:cs="Verdana"/>
      <w:color w:val="000000"/>
      <w:sz w:val="20"/>
      <w:szCs w:val="20"/>
      <w:u w:val="none"/>
    </w:rPr>
  </w:style>
  <w:style w:type="paragraph" w:customStyle="1" w:styleId="86">
    <w:name w:val="**正文"/>
    <w:basedOn w:val="1"/>
    <w:qFormat/>
    <w:uiPriority w:val="0"/>
    <w:pPr>
      <w:spacing w:line="360" w:lineRule="auto"/>
      <w:jc w:val="left"/>
    </w:pPr>
    <w:rPr>
      <w:sz w:val="24"/>
      <w:szCs w:val="20"/>
    </w:rPr>
  </w:style>
  <w:style w:type="paragraph" w:customStyle="1" w:styleId="87">
    <w:name w:val="表"/>
    <w:basedOn w:val="1"/>
    <w:qFormat/>
    <w:uiPriority w:val="0"/>
    <w:pPr>
      <w:adjustRightInd w:val="0"/>
      <w:snapToGrid w:val="0"/>
      <w:spacing w:line="312" w:lineRule="auto"/>
    </w:pPr>
  </w:style>
  <w:style w:type="character" w:customStyle="1" w:styleId="88">
    <w:name w:val="纯文本 Char1"/>
    <w:qFormat/>
    <w:uiPriority w:val="0"/>
    <w:rPr>
      <w:rFonts w:ascii="宋体" w:hAnsi="Courier New" w:eastAsia="宋体" w:cs="Courier New"/>
      <w:kern w:val="2"/>
      <w:sz w:val="21"/>
      <w:szCs w:val="21"/>
    </w:rPr>
  </w:style>
  <w:style w:type="character" w:customStyle="1" w:styleId="89">
    <w:name w:val="普通文字 Char Char2"/>
    <w:qFormat/>
    <w:uiPriority w:val="0"/>
    <w:rPr>
      <w:rFonts w:ascii="宋体" w:hAnsi="Courier New" w:eastAsia="宋体" w:cs="Courier New"/>
      <w:kern w:val="2"/>
      <w:sz w:val="21"/>
      <w:szCs w:val="21"/>
      <w:lang w:val="en-US" w:eastAsia="zh-CN" w:bidi="ar-SA"/>
    </w:rPr>
  </w:style>
  <w:style w:type="character" w:customStyle="1" w:styleId="90">
    <w:name w:val="Char Char1"/>
    <w:qFormat/>
    <w:uiPriority w:val="0"/>
    <w:rPr>
      <w:rFonts w:ascii="宋体" w:hAnsi="Courier New" w:eastAsia="宋体" w:cs="Courier New"/>
      <w:kern w:val="2"/>
      <w:sz w:val="21"/>
      <w:szCs w:val="21"/>
      <w:lang w:val="en-US" w:eastAsia="zh-CN" w:bidi="ar-SA"/>
    </w:rPr>
  </w:style>
  <w:style w:type="paragraph" w:customStyle="1" w:styleId="91">
    <w:name w:val="Char"/>
    <w:basedOn w:val="1"/>
    <w:qFormat/>
    <w:uiPriority w:val="0"/>
    <w:rPr>
      <w:rFonts w:ascii="仿宋_GB2312" w:eastAsia="仿宋_GB2312" w:cs="仿宋_GB2312"/>
      <w:b/>
      <w:bCs/>
      <w:sz w:val="32"/>
      <w:szCs w:val="32"/>
    </w:rPr>
  </w:style>
  <w:style w:type="paragraph" w:customStyle="1" w:styleId="92">
    <w:name w:val="标题1"/>
    <w:basedOn w:val="24"/>
    <w:qFormat/>
    <w:uiPriority w:val="0"/>
    <w:pPr>
      <w:widowControl/>
      <w:overflowPunct w:val="0"/>
      <w:autoSpaceDE w:val="0"/>
      <w:autoSpaceDN w:val="0"/>
      <w:adjustRightInd w:val="0"/>
      <w:spacing w:before="120" w:after="120" w:line="420" w:lineRule="exact"/>
      <w:jc w:val="center"/>
      <w:textAlignment w:val="baseline"/>
    </w:pPr>
    <w:rPr>
      <w:rFonts w:ascii="宋体" w:hAnsi="宋体"/>
      <w:b w:val="0"/>
      <w:bCs w:val="0"/>
      <w:kern w:val="0"/>
      <w:sz w:val="44"/>
      <w:szCs w:val="20"/>
    </w:rPr>
  </w:style>
  <w:style w:type="paragraph" w:customStyle="1" w:styleId="93">
    <w:name w:val="Default"/>
    <w:qFormat/>
    <w:uiPriority w:val="0"/>
    <w:pPr>
      <w:widowControl w:val="0"/>
      <w:autoSpaceDE w:val="0"/>
      <w:autoSpaceDN w:val="0"/>
      <w:adjustRightInd w:val="0"/>
    </w:pPr>
    <w:rPr>
      <w:rFonts w:ascii="仿宋_GB2312" w:hAnsi="Times New Roman" w:eastAsia="仿宋_GB2312" w:cs="Times New Roman"/>
      <w:color w:val="000000"/>
      <w:kern w:val="0"/>
      <w:sz w:val="24"/>
      <w:szCs w:val="22"/>
      <w:lang w:val="en-US" w:eastAsia="zh-CN" w:bidi="ar-SA"/>
    </w:rPr>
  </w:style>
  <w:style w:type="paragraph" w:customStyle="1" w:styleId="94">
    <w:name w:val="Char Char Char2 Char Char Char"/>
    <w:basedOn w:val="1"/>
    <w:qFormat/>
    <w:uiPriority w:val="0"/>
  </w:style>
  <w:style w:type="paragraph" w:customStyle="1" w:styleId="95">
    <w:name w:val="xl24"/>
    <w:basedOn w:val="1"/>
    <w:qFormat/>
    <w:uiPriority w:val="0"/>
    <w:pPr>
      <w:widowControl/>
      <w:spacing w:before="100" w:beforeAutospacing="1" w:after="100" w:afterAutospacing="1"/>
      <w:jc w:val="right"/>
    </w:pPr>
    <w:rPr>
      <w:rFonts w:ascii="宋体" w:hAnsi="宋体"/>
      <w:kern w:val="0"/>
      <w:sz w:val="24"/>
    </w:rPr>
  </w:style>
  <w:style w:type="paragraph" w:customStyle="1" w:styleId="96">
    <w:name w:val="正"/>
    <w:basedOn w:val="1"/>
    <w:qFormat/>
    <w:uiPriority w:val="0"/>
    <w:pPr>
      <w:ind w:firstLine="525"/>
    </w:pPr>
    <w:rPr>
      <w:spacing w:val="20"/>
    </w:rPr>
  </w:style>
  <w:style w:type="paragraph" w:customStyle="1" w:styleId="9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kern w:val="0"/>
      <w:sz w:val="21"/>
      <w:szCs w:val="20"/>
      <w:lang w:val="en-US" w:eastAsia="zh-CN" w:bidi="ar-SA"/>
    </w:rPr>
  </w:style>
  <w:style w:type="paragraph" w:customStyle="1" w:styleId="98">
    <w:name w:val="ÕÂ¡À¨ºÌâ"/>
    <w:basedOn w:val="97"/>
    <w:next w:val="1"/>
    <w:qFormat/>
    <w:uiPriority w:val="0"/>
    <w:pPr>
      <w:spacing w:before="158" w:after="153" w:line="323" w:lineRule="atLeast"/>
      <w:ind w:firstLine="0"/>
      <w:jc w:val="center"/>
    </w:pPr>
    <w:rPr>
      <w:rFonts w:ascii="Arial" w:hAnsi="Arial"/>
      <w:sz w:val="31"/>
      <w:szCs w:val="22"/>
    </w:rPr>
  </w:style>
  <w:style w:type="paragraph" w:customStyle="1" w:styleId="99">
    <w:name w:val="+正文"/>
    <w:basedOn w:val="1"/>
    <w:qFormat/>
    <w:uiPriority w:val="0"/>
    <w:pPr>
      <w:spacing w:line="360" w:lineRule="auto"/>
      <w:ind w:firstLine="200" w:firstLineChars="200"/>
    </w:pPr>
    <w:rPr>
      <w:sz w:val="24"/>
      <w:szCs w:val="28"/>
    </w:rPr>
  </w:style>
  <w:style w:type="paragraph" w:customStyle="1" w:styleId="100">
    <w:name w:val="表格"/>
    <w:basedOn w:val="1"/>
    <w:next w:val="12"/>
    <w:qFormat/>
    <w:uiPriority w:val="0"/>
    <w:pPr>
      <w:widowControl/>
      <w:spacing w:before="100" w:beforeAutospacing="1" w:after="100" w:afterAutospacing="1"/>
      <w:jc w:val="left"/>
    </w:pPr>
    <w:rPr>
      <w:rFonts w:ascii="Arial" w:hAnsi="Arial"/>
      <w:bCs/>
      <w:szCs w:val="20"/>
    </w:rPr>
  </w:style>
  <w:style w:type="paragraph" w:customStyle="1" w:styleId="101">
    <w:name w:val="纯文本1"/>
    <w:basedOn w:val="1"/>
    <w:qFormat/>
    <w:uiPriority w:val="0"/>
    <w:pPr>
      <w:widowControl/>
      <w:overflowPunct w:val="0"/>
      <w:autoSpaceDE w:val="0"/>
      <w:autoSpaceDN w:val="0"/>
      <w:jc w:val="left"/>
    </w:pPr>
    <w:rPr>
      <w:rFonts w:ascii="宋体" w:hAnsi="Courier New"/>
      <w:kern w:val="0"/>
    </w:rPr>
  </w:style>
  <w:style w:type="paragraph" w:customStyle="1" w:styleId="1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03">
    <w:name w:val="Char3"/>
    <w:basedOn w:val="1"/>
    <w:qFormat/>
    <w:uiPriority w:val="0"/>
    <w:pPr>
      <w:tabs>
        <w:tab w:val="left" w:pos="360"/>
      </w:tabs>
    </w:pPr>
    <w:rPr>
      <w:sz w:val="24"/>
    </w:rPr>
  </w:style>
  <w:style w:type="paragraph" w:styleId="104">
    <w:name w:val="List Paragraph"/>
    <w:basedOn w:val="1"/>
    <w:qFormat/>
    <w:uiPriority w:val="0"/>
    <w:pPr>
      <w:ind w:firstLine="420" w:firstLineChars="200"/>
    </w:pPr>
  </w:style>
  <w:style w:type="paragraph" w:customStyle="1" w:styleId="105">
    <w:name w:val="标题 7 New"/>
    <w:basedOn w:val="1"/>
    <w:next w:val="1"/>
    <w:qFormat/>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customStyle="1" w:styleId="106">
    <w:name w:val="Char Char Char"/>
    <w:basedOn w:val="1"/>
    <w:qFormat/>
    <w:uiPriority w:val="0"/>
    <w:rPr>
      <w:rFonts w:ascii="Tahoma" w:hAnsi="Tahoma"/>
      <w:sz w:val="24"/>
      <w:szCs w:val="20"/>
    </w:rPr>
  </w:style>
  <w:style w:type="paragraph" w:customStyle="1" w:styleId="107">
    <w:name w:val="Char Char Char1 Char Char Char Char Char Char Char Char Char Char Char Char Char"/>
    <w:basedOn w:val="1"/>
    <w:qFormat/>
    <w:uiPriority w:val="0"/>
  </w:style>
  <w:style w:type="character" w:customStyle="1" w:styleId="108">
    <w:name w:val="time"/>
    <w:basedOn w:val="40"/>
    <w:qFormat/>
    <w:uiPriority w:val="0"/>
  </w:style>
  <w:style w:type="character" w:customStyle="1" w:styleId="109">
    <w:name w:val="status"/>
    <w:basedOn w:val="40"/>
    <w:qFormat/>
    <w:uiPriority w:val="0"/>
    <w:rPr>
      <w:color w:val="0776DD"/>
    </w:rPr>
  </w:style>
  <w:style w:type="character" w:customStyle="1" w:styleId="110">
    <w:name w:val="mini-outputtext1"/>
    <w:basedOn w:val="4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8143</Words>
  <Characters>9202</Characters>
  <Lines>207</Lines>
  <Paragraphs>58</Paragraphs>
  <TotalTime>6</TotalTime>
  <ScaleCrop>false</ScaleCrop>
  <LinksUpToDate>false</LinksUpToDate>
  <CharactersWithSpaces>9361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2025-10-15T02:19:00Z</dcterms:created>
  <dc:creator>Administrator</dc:creator>
  <cp:lastModifiedBy>欢欢</cp:lastModifiedBy>
  <dcterms:modified xsi:type="dcterms:W3CDTF">2025-10-16T06:00:44Z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eyJoZGlkIjoiMzdlYTIwYjlkMGM3MzMzZDBlZGNiYmFkOGNiOTMwZTciLCJ1c2VySWQiOiI0OTc5NjQ1NjQifQ==</vt:lpwstr>
  </property>
  <property fmtid="{D5CDD505-2E9C-101B-9397-08002B2CF9AE}" pid="3" name="KSOProductBuildVer">
    <vt:lpwstr>2052-12.1.0.21541</vt:lpwstr>
  </property>
  <property fmtid="{D5CDD505-2E9C-101B-9397-08002B2CF9AE}" pid="4" name="ICV">
    <vt:lpwstr>0329AB2D2FB7455D85FA5CBCDBCECCA4_12</vt:lpwstr>
  </property>
</Properties>
</file>