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4A704">
      <w:pPr>
        <w:pStyle w:val="18"/>
        <w:snapToGrid w:val="0"/>
        <w:spacing w:before="120" w:after="120" w:line="360" w:lineRule="auto"/>
        <w:jc w:val="center"/>
        <w:rPr>
          <w:rFonts w:hint="eastAsia" w:hAnsi="宋体" w:eastAsia="宋体" w:cs="宋体"/>
          <w:b/>
          <w:bCs/>
          <w:color w:val="auto"/>
          <w:sz w:val="52"/>
          <w:szCs w:val="52"/>
          <w:highlight w:val="none"/>
          <w:lang w:eastAsia="zh-CN"/>
        </w:rPr>
      </w:pPr>
      <w:r>
        <w:rPr>
          <w:rFonts w:hint="eastAsia" w:hAnsi="宋体" w:cs="宋体"/>
          <w:b/>
          <w:bCs/>
          <w:color w:val="auto"/>
          <w:sz w:val="52"/>
          <w:szCs w:val="52"/>
          <w:highlight w:val="none"/>
          <w:lang w:eastAsia="zh-CN"/>
        </w:rPr>
        <w:t>义乌市恒风新能源服务有限公司</w:t>
      </w:r>
    </w:p>
    <w:p w14:paraId="486CD42B">
      <w:pPr>
        <w:pStyle w:val="18"/>
        <w:snapToGrid w:val="0"/>
        <w:spacing w:before="120" w:after="120" w:line="360" w:lineRule="auto"/>
        <w:jc w:val="center"/>
        <w:rPr>
          <w:rFonts w:hint="eastAsia" w:hAnsi="宋体" w:cs="宋体"/>
          <w:b/>
          <w:bCs/>
          <w:color w:val="auto"/>
          <w:sz w:val="52"/>
          <w:szCs w:val="52"/>
          <w:highlight w:val="none"/>
        </w:rPr>
      </w:pPr>
      <w:r>
        <w:rPr>
          <w:rFonts w:hint="eastAsia" w:hAnsi="宋体" w:cs="宋体"/>
          <w:b/>
          <w:bCs/>
          <w:color w:val="auto"/>
          <w:sz w:val="52"/>
          <w:szCs w:val="52"/>
          <w:highlight w:val="none"/>
          <w:lang w:eastAsia="zh-CN"/>
        </w:rPr>
        <w:t>江东公交出行中心直流充电桩</w:t>
      </w:r>
      <w:r>
        <w:rPr>
          <w:rFonts w:hint="eastAsia" w:hAnsi="宋体" w:cs="宋体"/>
          <w:b/>
          <w:bCs/>
          <w:color w:val="auto"/>
          <w:sz w:val="52"/>
          <w:szCs w:val="52"/>
          <w:highlight w:val="none"/>
        </w:rPr>
        <w:t>采购项目</w:t>
      </w:r>
    </w:p>
    <w:p w14:paraId="145B8DBE">
      <w:pPr>
        <w:rPr>
          <w:rFonts w:hint="eastAsia"/>
          <w:color w:val="auto"/>
          <w:highlight w:val="none"/>
        </w:rPr>
      </w:pPr>
    </w:p>
    <w:p w14:paraId="08451484">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招</w:t>
      </w:r>
    </w:p>
    <w:p w14:paraId="7ECE7F7F">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标</w:t>
      </w:r>
    </w:p>
    <w:p w14:paraId="770B352C">
      <w:pPr>
        <w:pStyle w:val="18"/>
        <w:snapToGrid w:val="0"/>
        <w:spacing w:before="120" w:after="120" w:line="360" w:lineRule="auto"/>
        <w:jc w:val="center"/>
        <w:rPr>
          <w:rFonts w:hint="eastAsia" w:hAnsi="宋体"/>
          <w:color w:val="auto"/>
          <w:sz w:val="84"/>
          <w:szCs w:val="84"/>
          <w:highlight w:val="none"/>
        </w:rPr>
      </w:pPr>
      <w:r>
        <w:rPr>
          <w:rFonts w:hint="eastAsia" w:hAnsi="宋体"/>
          <w:color w:val="auto"/>
          <w:sz w:val="84"/>
          <w:szCs w:val="84"/>
          <w:highlight w:val="none"/>
        </w:rPr>
        <w:t>文</w:t>
      </w:r>
    </w:p>
    <w:p w14:paraId="7C7F555E">
      <w:pPr>
        <w:pStyle w:val="18"/>
        <w:snapToGrid w:val="0"/>
        <w:spacing w:before="120" w:after="120" w:line="360" w:lineRule="auto"/>
        <w:jc w:val="center"/>
        <w:rPr>
          <w:rFonts w:hint="eastAsia"/>
          <w:b/>
          <w:color w:val="auto"/>
          <w:sz w:val="32"/>
          <w:szCs w:val="32"/>
          <w:highlight w:val="none"/>
        </w:rPr>
      </w:pPr>
      <w:r>
        <w:rPr>
          <w:rFonts w:hint="eastAsia" w:hAnsi="宋体"/>
          <w:color w:val="auto"/>
          <w:sz w:val="84"/>
          <w:szCs w:val="84"/>
          <w:highlight w:val="none"/>
        </w:rPr>
        <w:t>件</w:t>
      </w:r>
    </w:p>
    <w:p w14:paraId="10377AFF">
      <w:pPr>
        <w:pStyle w:val="18"/>
        <w:snapToGrid w:val="0"/>
        <w:spacing w:before="120" w:after="120" w:line="360" w:lineRule="auto"/>
        <w:jc w:val="center"/>
        <w:rPr>
          <w:rFonts w:hint="eastAsia" w:hAnsi="宋体"/>
          <w:b/>
          <w:bCs/>
          <w:color w:val="auto"/>
          <w:w w:val="95"/>
          <w:sz w:val="32"/>
          <w:szCs w:val="32"/>
          <w:highlight w:val="none"/>
        </w:rPr>
      </w:pPr>
      <w:r>
        <w:rPr>
          <w:rStyle w:val="59"/>
          <w:rFonts w:hint="eastAsia"/>
          <w:color w:val="auto"/>
          <w:highlight w:val="none"/>
        </w:rPr>
        <w:t>采购编号：YCQ-202</w:t>
      </w:r>
      <w:r>
        <w:rPr>
          <w:rStyle w:val="59"/>
          <w:rFonts w:hint="eastAsia"/>
          <w:color w:val="auto"/>
          <w:highlight w:val="none"/>
          <w:lang w:val="en-US" w:eastAsia="zh-CN"/>
        </w:rPr>
        <w:t>5</w:t>
      </w:r>
      <w:r>
        <w:rPr>
          <w:rStyle w:val="59"/>
          <w:rFonts w:hint="eastAsia"/>
          <w:color w:val="auto"/>
          <w:highlight w:val="none"/>
        </w:rPr>
        <w:t>-CG</w:t>
      </w:r>
      <w:r>
        <w:rPr>
          <w:rStyle w:val="59"/>
          <w:rFonts w:hint="eastAsia"/>
          <w:color w:val="auto"/>
          <w:highlight w:val="none"/>
          <w:lang w:val="en-US" w:eastAsia="zh-CN"/>
        </w:rPr>
        <w:t xml:space="preserve">172 </w:t>
      </w:r>
      <w:r>
        <w:rPr>
          <w:rStyle w:val="59"/>
          <w:rFonts w:hint="eastAsia"/>
          <w:color w:val="auto"/>
          <w:highlight w:val="none"/>
        </w:rPr>
        <w:t xml:space="preserve">   </w:t>
      </w:r>
      <w:r>
        <w:rPr>
          <w:rFonts w:hint="eastAsia"/>
          <w:b/>
          <w:color w:val="auto"/>
          <w:sz w:val="32"/>
          <w:szCs w:val="32"/>
          <w:highlight w:val="none"/>
        </w:rPr>
        <w:t xml:space="preserve"> </w:t>
      </w:r>
    </w:p>
    <w:p w14:paraId="62494C1A">
      <w:pPr>
        <w:pStyle w:val="18"/>
        <w:snapToGrid w:val="0"/>
        <w:spacing w:before="120" w:after="120" w:line="360" w:lineRule="auto"/>
        <w:rPr>
          <w:rFonts w:hint="eastAsia" w:hAnsi="宋体"/>
          <w:b/>
          <w:color w:val="auto"/>
          <w:sz w:val="32"/>
          <w:szCs w:val="32"/>
          <w:highlight w:val="none"/>
        </w:rPr>
      </w:pPr>
      <w:r>
        <w:rPr>
          <w:rFonts w:hint="eastAsia" w:hAnsi="宋体"/>
          <w:b/>
          <w:bCs/>
          <w:color w:val="auto"/>
          <w:w w:val="95"/>
          <w:sz w:val="32"/>
          <w:szCs w:val="32"/>
          <w:highlight w:val="none"/>
        </w:rPr>
        <w:t>采</w:t>
      </w:r>
      <w:r>
        <w:rPr>
          <w:rFonts w:hAnsi="宋体"/>
          <w:b/>
          <w:bCs/>
          <w:color w:val="auto"/>
          <w:w w:val="95"/>
          <w:sz w:val="32"/>
          <w:szCs w:val="32"/>
          <w:highlight w:val="none"/>
        </w:rPr>
        <w:t xml:space="preserve">   购　 </w:t>
      </w:r>
      <w:r>
        <w:rPr>
          <w:rFonts w:hint="eastAsia" w:hAnsi="宋体"/>
          <w:b/>
          <w:bCs/>
          <w:color w:val="auto"/>
          <w:w w:val="95"/>
          <w:sz w:val="32"/>
          <w:szCs w:val="32"/>
          <w:highlight w:val="none"/>
        </w:rPr>
        <w:t>人：</w:t>
      </w:r>
      <w:r>
        <w:rPr>
          <w:rFonts w:hint="eastAsia" w:hAnsi="宋体"/>
          <w:b/>
          <w:color w:val="auto"/>
          <w:sz w:val="32"/>
          <w:szCs w:val="32"/>
          <w:highlight w:val="none"/>
          <w:u w:val="single"/>
          <w:lang w:eastAsia="zh-CN"/>
        </w:rPr>
        <w:t>义乌市恒风新能源服务有限公司</w:t>
      </w:r>
      <w:r>
        <w:rPr>
          <w:rFonts w:hint="eastAsia" w:hAnsi="宋体"/>
          <w:b/>
          <w:color w:val="auto"/>
          <w:sz w:val="32"/>
          <w:szCs w:val="32"/>
          <w:highlight w:val="none"/>
          <w:u w:val="single"/>
        </w:rPr>
        <w:t>（</w:t>
      </w:r>
      <w:r>
        <w:rPr>
          <w:rFonts w:hAnsi="宋体"/>
          <w:b/>
          <w:color w:val="auto"/>
          <w:sz w:val="32"/>
          <w:szCs w:val="32"/>
          <w:highlight w:val="none"/>
          <w:u w:val="single"/>
        </w:rPr>
        <w:t>盖章）</w:t>
      </w:r>
    </w:p>
    <w:p w14:paraId="25FCF2C7">
      <w:pPr>
        <w:pStyle w:val="18"/>
        <w:snapToGrid w:val="0"/>
        <w:spacing w:before="120" w:after="120" w:line="360" w:lineRule="auto"/>
        <w:jc w:val="left"/>
        <w:rPr>
          <w:rFonts w:hint="eastAsia" w:hAnsi="宋体"/>
          <w:b/>
          <w:color w:val="auto"/>
          <w:sz w:val="32"/>
          <w:szCs w:val="32"/>
          <w:highlight w:val="none"/>
          <w:u w:val="single"/>
        </w:rPr>
      </w:pPr>
      <w:r>
        <w:rPr>
          <w:rFonts w:hint="eastAsia" w:hAnsi="宋体"/>
          <w:b/>
          <w:bCs/>
          <w:color w:val="auto"/>
          <w:w w:val="95"/>
          <w:sz w:val="32"/>
          <w:szCs w:val="32"/>
          <w:highlight w:val="none"/>
        </w:rPr>
        <w:t>采购代理机构：</w:t>
      </w:r>
      <w:r>
        <w:rPr>
          <w:rFonts w:hint="eastAsia" w:hAnsi="宋体"/>
          <w:b/>
          <w:color w:val="auto"/>
          <w:sz w:val="32"/>
          <w:szCs w:val="32"/>
          <w:highlight w:val="none"/>
          <w:u w:val="single"/>
        </w:rPr>
        <w:t>义乌产权交易所有限公司（盖章）</w:t>
      </w:r>
    </w:p>
    <w:p w14:paraId="4FF8C9A6">
      <w:pPr>
        <w:pStyle w:val="18"/>
        <w:snapToGrid w:val="0"/>
        <w:spacing w:before="120" w:after="120" w:line="360" w:lineRule="auto"/>
        <w:rPr>
          <w:rFonts w:hint="eastAsia" w:hAnsi="宋体"/>
          <w:b/>
          <w:color w:val="auto"/>
          <w:sz w:val="32"/>
          <w:szCs w:val="32"/>
          <w:highlight w:val="none"/>
        </w:rPr>
      </w:pPr>
      <w:r>
        <w:rPr>
          <w:rFonts w:hint="eastAsia" w:hAnsi="宋体"/>
          <w:b/>
          <w:color w:val="auto"/>
          <w:sz w:val="32"/>
          <w:szCs w:val="32"/>
          <w:highlight w:val="none"/>
        </w:rPr>
        <w:t>日　　　</w:t>
      </w:r>
      <w:r>
        <w:rPr>
          <w:rFonts w:hAnsi="宋体"/>
          <w:b/>
          <w:color w:val="auto"/>
          <w:sz w:val="32"/>
          <w:szCs w:val="32"/>
          <w:highlight w:val="none"/>
        </w:rPr>
        <w:t xml:space="preserve"> </w:t>
      </w:r>
      <w:r>
        <w:rPr>
          <w:rFonts w:hint="eastAsia" w:hAnsi="宋体"/>
          <w:b/>
          <w:color w:val="auto"/>
          <w:sz w:val="32"/>
          <w:szCs w:val="32"/>
          <w:highlight w:val="none"/>
        </w:rPr>
        <w:t>期：</w:t>
      </w:r>
      <w:r>
        <w:rPr>
          <w:rFonts w:hint="eastAsia" w:hAnsi="宋体"/>
          <w:b/>
          <w:color w:val="auto"/>
          <w:sz w:val="32"/>
          <w:szCs w:val="32"/>
          <w:highlight w:val="none"/>
          <w:u w:val="single"/>
        </w:rPr>
        <w:t>二〇二五年</w:t>
      </w:r>
      <w:r>
        <w:rPr>
          <w:rFonts w:hint="eastAsia" w:hAnsi="宋体"/>
          <w:b/>
          <w:color w:val="auto"/>
          <w:sz w:val="32"/>
          <w:szCs w:val="32"/>
          <w:highlight w:val="none"/>
          <w:u w:val="single"/>
          <w:lang w:eastAsia="zh-CN"/>
        </w:rPr>
        <w:t>十</w:t>
      </w:r>
      <w:r>
        <w:rPr>
          <w:rFonts w:hint="eastAsia" w:hAnsi="宋体"/>
          <w:b/>
          <w:color w:val="auto"/>
          <w:sz w:val="32"/>
          <w:szCs w:val="32"/>
          <w:highlight w:val="none"/>
          <w:u w:val="single"/>
        </w:rPr>
        <w:t>月</w:t>
      </w:r>
    </w:p>
    <w:p w14:paraId="1A709620">
      <w:pPr>
        <w:rPr>
          <w:rFonts w:hint="eastAsia"/>
          <w:b/>
          <w:color w:val="auto"/>
          <w:sz w:val="44"/>
          <w:szCs w:val="44"/>
          <w:highlight w:val="none"/>
        </w:rPr>
      </w:pPr>
      <w:r>
        <w:rPr>
          <w:rFonts w:hint="eastAsia"/>
          <w:b/>
          <w:color w:val="auto"/>
          <w:sz w:val="44"/>
          <w:szCs w:val="44"/>
          <w:highlight w:val="none"/>
        </w:rPr>
        <w:br w:type="page"/>
      </w:r>
    </w:p>
    <w:p w14:paraId="3F826935">
      <w:pPr>
        <w:pStyle w:val="18"/>
        <w:spacing w:before="120" w:after="120" w:line="360" w:lineRule="auto"/>
        <w:ind w:firstLine="883" w:firstLineChars="200"/>
        <w:jc w:val="center"/>
        <w:rPr>
          <w:b/>
          <w:color w:val="auto"/>
          <w:sz w:val="44"/>
          <w:szCs w:val="44"/>
          <w:highlight w:val="none"/>
        </w:rPr>
      </w:pPr>
      <w:r>
        <w:rPr>
          <w:rFonts w:hint="eastAsia"/>
          <w:b/>
          <w:color w:val="auto"/>
          <w:sz w:val="44"/>
          <w:szCs w:val="44"/>
          <w:highlight w:val="none"/>
        </w:rPr>
        <w:t>招标文件目录</w:t>
      </w:r>
    </w:p>
    <w:p w14:paraId="62324EF8">
      <w:pPr>
        <w:pStyle w:val="18"/>
        <w:snapToGrid w:val="0"/>
        <w:spacing w:before="120" w:after="120" w:line="360" w:lineRule="auto"/>
        <w:rPr>
          <w:rFonts w:hAnsi="宋体"/>
          <w:b/>
          <w:color w:val="auto"/>
          <w:sz w:val="32"/>
          <w:szCs w:val="32"/>
          <w:highlight w:val="none"/>
          <w:u w:val="single"/>
        </w:rPr>
      </w:pPr>
    </w:p>
    <w:p w14:paraId="5FA9845A">
      <w:pPr>
        <w:pStyle w:val="24"/>
        <w:tabs>
          <w:tab w:val="right" w:leader="dot" w:pos="8306"/>
        </w:tabs>
        <w:rPr>
          <w:color w:val="auto"/>
          <w:highlight w:val="none"/>
        </w:rPr>
      </w:pPr>
      <w:r>
        <w:rPr>
          <w:color w:val="auto"/>
          <w:sz w:val="30"/>
          <w:highlight w:val="none"/>
        </w:rPr>
        <w:fldChar w:fldCharType="begin"/>
      </w:r>
      <w:r>
        <w:rPr>
          <w:color w:val="auto"/>
          <w:sz w:val="30"/>
          <w:highlight w:val="none"/>
        </w:rPr>
        <w:instrText xml:space="preserve">TOC \o "1-2" \h \u </w:instrText>
      </w:r>
      <w:r>
        <w:rPr>
          <w:color w:val="auto"/>
          <w:sz w:val="30"/>
          <w:highlight w:val="none"/>
        </w:rPr>
        <w:fldChar w:fldCharType="separate"/>
      </w:r>
      <w:r>
        <w:rPr>
          <w:color w:val="auto"/>
          <w:highlight w:val="none"/>
        </w:rPr>
        <w:fldChar w:fldCharType="begin"/>
      </w:r>
      <w:r>
        <w:rPr>
          <w:color w:val="auto"/>
          <w:highlight w:val="none"/>
        </w:rPr>
        <w:instrText xml:space="preserve"> HYPERLINK \l _Toc14953 </w:instrText>
      </w:r>
      <w:r>
        <w:rPr>
          <w:color w:val="auto"/>
          <w:highlight w:val="none"/>
        </w:rPr>
        <w:fldChar w:fldCharType="separate"/>
      </w:r>
      <w:r>
        <w:rPr>
          <w:color w:val="auto"/>
          <w:highlight w:val="none"/>
        </w:rPr>
        <w:t>第一章</w:t>
      </w:r>
      <w:r>
        <w:rPr>
          <w:rFonts w:hint="eastAsia"/>
          <w:color w:val="auto"/>
          <w:highlight w:val="none"/>
        </w:rPr>
        <w:t>　招标公告</w:t>
      </w:r>
      <w:r>
        <w:rPr>
          <w:color w:val="auto"/>
          <w:highlight w:val="none"/>
        </w:rPr>
        <w:tab/>
      </w:r>
      <w:r>
        <w:rPr>
          <w:color w:val="auto"/>
          <w:highlight w:val="none"/>
        </w:rPr>
        <w:fldChar w:fldCharType="begin"/>
      </w:r>
      <w:r>
        <w:rPr>
          <w:color w:val="auto"/>
          <w:highlight w:val="none"/>
        </w:rPr>
        <w:instrText xml:space="preserve"> PAGEREF _Toc14953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75F55CB1">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_Toc20373 </w:instrText>
      </w:r>
      <w:r>
        <w:rPr>
          <w:color w:val="auto"/>
          <w:szCs w:val="30"/>
          <w:highlight w:val="none"/>
        </w:rPr>
        <w:fldChar w:fldCharType="separate"/>
      </w:r>
      <w:r>
        <w:rPr>
          <w:rFonts w:hint="eastAsia"/>
          <w:color w:val="auto"/>
          <w:highlight w:val="none"/>
        </w:rPr>
        <w:t>第二章　投标须知和投标须知前附表</w:t>
      </w:r>
      <w:r>
        <w:rPr>
          <w:color w:val="auto"/>
          <w:highlight w:val="none"/>
        </w:rPr>
        <w:tab/>
      </w:r>
      <w:r>
        <w:rPr>
          <w:color w:val="auto"/>
          <w:highlight w:val="none"/>
        </w:rPr>
        <w:fldChar w:fldCharType="begin"/>
      </w:r>
      <w:r>
        <w:rPr>
          <w:color w:val="auto"/>
          <w:highlight w:val="none"/>
        </w:rPr>
        <w:instrText xml:space="preserve"> PAGEREF _Toc20373 \h </w:instrText>
      </w:r>
      <w:r>
        <w:rPr>
          <w:color w:val="auto"/>
          <w:highlight w:val="none"/>
        </w:rPr>
        <w:fldChar w:fldCharType="separate"/>
      </w:r>
      <w:r>
        <w:rPr>
          <w:color w:val="auto"/>
          <w:highlight w:val="none"/>
        </w:rPr>
        <w:t>6</w:t>
      </w:r>
      <w:r>
        <w:rPr>
          <w:color w:val="auto"/>
          <w:highlight w:val="none"/>
        </w:rPr>
        <w:fldChar w:fldCharType="end"/>
      </w:r>
      <w:r>
        <w:rPr>
          <w:color w:val="auto"/>
          <w:szCs w:val="30"/>
          <w:highlight w:val="none"/>
        </w:rPr>
        <w:fldChar w:fldCharType="end"/>
      </w:r>
    </w:p>
    <w:p w14:paraId="6757739D">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_Toc4809 </w:instrText>
      </w:r>
      <w:r>
        <w:rPr>
          <w:color w:val="auto"/>
          <w:szCs w:val="30"/>
          <w:highlight w:val="none"/>
        </w:rPr>
        <w:fldChar w:fldCharType="separate"/>
      </w:r>
      <w:r>
        <w:rPr>
          <w:rFonts w:hint="eastAsia"/>
          <w:color w:val="auto"/>
          <w:szCs w:val="32"/>
          <w:highlight w:val="none"/>
        </w:rPr>
        <w:t>投标须知</w:t>
      </w:r>
      <w:r>
        <w:rPr>
          <w:color w:val="auto"/>
          <w:highlight w:val="none"/>
        </w:rPr>
        <w:tab/>
      </w:r>
      <w:r>
        <w:rPr>
          <w:color w:val="auto"/>
          <w:highlight w:val="none"/>
        </w:rPr>
        <w:fldChar w:fldCharType="begin"/>
      </w:r>
      <w:r>
        <w:rPr>
          <w:color w:val="auto"/>
          <w:highlight w:val="none"/>
        </w:rPr>
        <w:instrText xml:space="preserve"> PAGEREF _Toc4809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5E8E7A2C">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_Toc28530 </w:instrText>
      </w:r>
      <w:r>
        <w:rPr>
          <w:color w:val="auto"/>
          <w:szCs w:val="30"/>
          <w:highlight w:val="none"/>
        </w:rPr>
        <w:fldChar w:fldCharType="separate"/>
      </w:r>
      <w:r>
        <w:rPr>
          <w:rFonts w:hint="eastAsia" w:ascii="宋体" w:hAnsi="宋体" w:eastAsia="宋体" w:cs="宋体"/>
          <w:color w:val="auto"/>
          <w:szCs w:val="21"/>
          <w:highlight w:val="none"/>
        </w:rPr>
        <w:t>一、说明</w:t>
      </w:r>
      <w:r>
        <w:rPr>
          <w:color w:val="auto"/>
          <w:highlight w:val="none"/>
        </w:rPr>
        <w:tab/>
      </w:r>
      <w:r>
        <w:rPr>
          <w:color w:val="auto"/>
          <w:highlight w:val="none"/>
        </w:rPr>
        <w:fldChar w:fldCharType="begin"/>
      </w:r>
      <w:r>
        <w:rPr>
          <w:color w:val="auto"/>
          <w:highlight w:val="none"/>
        </w:rPr>
        <w:instrText xml:space="preserve"> PAGEREF _Toc28530 \h </w:instrText>
      </w:r>
      <w:r>
        <w:rPr>
          <w:color w:val="auto"/>
          <w:highlight w:val="none"/>
        </w:rPr>
        <w:fldChar w:fldCharType="separate"/>
      </w:r>
      <w:r>
        <w:rPr>
          <w:color w:val="auto"/>
          <w:highlight w:val="none"/>
        </w:rPr>
        <w:t>8</w:t>
      </w:r>
      <w:r>
        <w:rPr>
          <w:color w:val="auto"/>
          <w:highlight w:val="none"/>
        </w:rPr>
        <w:fldChar w:fldCharType="end"/>
      </w:r>
      <w:r>
        <w:rPr>
          <w:color w:val="auto"/>
          <w:szCs w:val="30"/>
          <w:highlight w:val="none"/>
        </w:rPr>
        <w:fldChar w:fldCharType="end"/>
      </w:r>
    </w:p>
    <w:p w14:paraId="46D7DDE1">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_Toc6999 </w:instrText>
      </w:r>
      <w:r>
        <w:rPr>
          <w:color w:val="auto"/>
          <w:szCs w:val="30"/>
          <w:highlight w:val="none"/>
        </w:rPr>
        <w:fldChar w:fldCharType="separate"/>
      </w:r>
      <w:r>
        <w:rPr>
          <w:rFonts w:hint="eastAsia" w:ascii="宋体" w:hAnsi="宋体" w:eastAsia="宋体" w:cs="宋体"/>
          <w:color w:val="auto"/>
          <w:szCs w:val="21"/>
          <w:highlight w:val="none"/>
        </w:rPr>
        <w:t>二、招标文件</w:t>
      </w:r>
      <w:r>
        <w:rPr>
          <w:color w:val="auto"/>
          <w:highlight w:val="none"/>
        </w:rPr>
        <w:tab/>
      </w:r>
      <w:r>
        <w:rPr>
          <w:color w:val="auto"/>
          <w:highlight w:val="none"/>
        </w:rPr>
        <w:fldChar w:fldCharType="begin"/>
      </w:r>
      <w:r>
        <w:rPr>
          <w:color w:val="auto"/>
          <w:highlight w:val="none"/>
        </w:rPr>
        <w:instrText xml:space="preserve"> PAGEREF _Toc6999 \h </w:instrText>
      </w:r>
      <w:r>
        <w:rPr>
          <w:color w:val="auto"/>
          <w:highlight w:val="none"/>
        </w:rPr>
        <w:fldChar w:fldCharType="separate"/>
      </w:r>
      <w:r>
        <w:rPr>
          <w:color w:val="auto"/>
          <w:highlight w:val="none"/>
        </w:rPr>
        <w:t>9</w:t>
      </w:r>
      <w:r>
        <w:rPr>
          <w:color w:val="auto"/>
          <w:highlight w:val="none"/>
        </w:rPr>
        <w:fldChar w:fldCharType="end"/>
      </w:r>
      <w:r>
        <w:rPr>
          <w:color w:val="auto"/>
          <w:szCs w:val="30"/>
          <w:highlight w:val="none"/>
        </w:rPr>
        <w:fldChar w:fldCharType="end"/>
      </w:r>
    </w:p>
    <w:p w14:paraId="66B5324F">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_Toc29690 </w:instrText>
      </w:r>
      <w:r>
        <w:rPr>
          <w:color w:val="auto"/>
          <w:szCs w:val="30"/>
          <w:highlight w:val="none"/>
        </w:rPr>
        <w:fldChar w:fldCharType="separate"/>
      </w:r>
      <w:r>
        <w:rPr>
          <w:rFonts w:hint="eastAsia" w:ascii="宋体" w:hAnsi="宋体" w:eastAsia="宋体" w:cs="宋体"/>
          <w:color w:val="auto"/>
          <w:szCs w:val="21"/>
          <w:highlight w:val="none"/>
        </w:rPr>
        <w:t>三、投标文件</w:t>
      </w:r>
      <w:r>
        <w:rPr>
          <w:color w:val="auto"/>
          <w:highlight w:val="none"/>
        </w:rPr>
        <w:tab/>
      </w:r>
      <w:r>
        <w:rPr>
          <w:color w:val="auto"/>
          <w:highlight w:val="none"/>
        </w:rPr>
        <w:fldChar w:fldCharType="begin"/>
      </w:r>
      <w:r>
        <w:rPr>
          <w:color w:val="auto"/>
          <w:highlight w:val="none"/>
        </w:rPr>
        <w:instrText xml:space="preserve"> PAGEREF _Toc29690 \h </w:instrText>
      </w:r>
      <w:r>
        <w:rPr>
          <w:color w:val="auto"/>
          <w:highlight w:val="none"/>
        </w:rPr>
        <w:fldChar w:fldCharType="separate"/>
      </w:r>
      <w:r>
        <w:rPr>
          <w:color w:val="auto"/>
          <w:highlight w:val="none"/>
        </w:rPr>
        <w:t>10</w:t>
      </w:r>
      <w:r>
        <w:rPr>
          <w:color w:val="auto"/>
          <w:highlight w:val="none"/>
        </w:rPr>
        <w:fldChar w:fldCharType="end"/>
      </w:r>
      <w:r>
        <w:rPr>
          <w:color w:val="auto"/>
          <w:szCs w:val="30"/>
          <w:highlight w:val="none"/>
        </w:rPr>
        <w:fldChar w:fldCharType="end"/>
      </w:r>
    </w:p>
    <w:p w14:paraId="3835854B">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_Toc12109 </w:instrText>
      </w:r>
      <w:r>
        <w:rPr>
          <w:color w:val="auto"/>
          <w:szCs w:val="30"/>
          <w:highlight w:val="none"/>
        </w:rPr>
        <w:fldChar w:fldCharType="separate"/>
      </w:r>
      <w:r>
        <w:rPr>
          <w:rFonts w:hint="eastAsia" w:ascii="宋体" w:hAnsi="宋体" w:eastAsia="宋体" w:cs="宋体"/>
          <w:color w:val="auto"/>
          <w:szCs w:val="21"/>
          <w:highlight w:val="none"/>
        </w:rPr>
        <w:t>四、投标文件的递交</w:t>
      </w:r>
      <w:r>
        <w:rPr>
          <w:color w:val="auto"/>
          <w:highlight w:val="none"/>
        </w:rPr>
        <w:tab/>
      </w:r>
      <w:r>
        <w:rPr>
          <w:color w:val="auto"/>
          <w:highlight w:val="none"/>
        </w:rPr>
        <w:fldChar w:fldCharType="begin"/>
      </w:r>
      <w:r>
        <w:rPr>
          <w:color w:val="auto"/>
          <w:highlight w:val="none"/>
        </w:rPr>
        <w:instrText xml:space="preserve"> PAGEREF _Toc12109 \h </w:instrText>
      </w:r>
      <w:r>
        <w:rPr>
          <w:color w:val="auto"/>
          <w:highlight w:val="none"/>
        </w:rPr>
        <w:fldChar w:fldCharType="separate"/>
      </w:r>
      <w:r>
        <w:rPr>
          <w:color w:val="auto"/>
          <w:highlight w:val="none"/>
        </w:rPr>
        <w:t>12</w:t>
      </w:r>
      <w:r>
        <w:rPr>
          <w:color w:val="auto"/>
          <w:highlight w:val="none"/>
        </w:rPr>
        <w:fldChar w:fldCharType="end"/>
      </w:r>
      <w:r>
        <w:rPr>
          <w:color w:val="auto"/>
          <w:szCs w:val="30"/>
          <w:highlight w:val="none"/>
        </w:rPr>
        <w:fldChar w:fldCharType="end"/>
      </w:r>
    </w:p>
    <w:p w14:paraId="188D953A">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_Toc24332 </w:instrText>
      </w:r>
      <w:r>
        <w:rPr>
          <w:color w:val="auto"/>
          <w:szCs w:val="30"/>
          <w:highlight w:val="none"/>
        </w:rPr>
        <w:fldChar w:fldCharType="separate"/>
      </w:r>
      <w:r>
        <w:rPr>
          <w:rFonts w:hint="eastAsia" w:ascii="宋体" w:hAnsi="宋体" w:cs="宋体"/>
          <w:bCs/>
          <w:color w:val="auto"/>
          <w:szCs w:val="21"/>
          <w:highlight w:val="none"/>
        </w:rPr>
        <w:t>五、费用缴纳</w:t>
      </w:r>
      <w:r>
        <w:rPr>
          <w:color w:val="auto"/>
          <w:highlight w:val="none"/>
        </w:rPr>
        <w:tab/>
      </w:r>
      <w:r>
        <w:rPr>
          <w:color w:val="auto"/>
          <w:highlight w:val="none"/>
        </w:rPr>
        <w:fldChar w:fldCharType="begin"/>
      </w:r>
      <w:r>
        <w:rPr>
          <w:color w:val="auto"/>
          <w:highlight w:val="none"/>
        </w:rPr>
        <w:instrText xml:space="preserve"> PAGEREF _Toc24332 \h </w:instrText>
      </w:r>
      <w:r>
        <w:rPr>
          <w:color w:val="auto"/>
          <w:highlight w:val="none"/>
        </w:rPr>
        <w:fldChar w:fldCharType="separate"/>
      </w:r>
      <w:r>
        <w:rPr>
          <w:color w:val="auto"/>
          <w:highlight w:val="none"/>
        </w:rPr>
        <w:t>13</w:t>
      </w:r>
      <w:r>
        <w:rPr>
          <w:color w:val="auto"/>
          <w:highlight w:val="none"/>
        </w:rPr>
        <w:fldChar w:fldCharType="end"/>
      </w:r>
      <w:r>
        <w:rPr>
          <w:color w:val="auto"/>
          <w:szCs w:val="30"/>
          <w:highlight w:val="none"/>
        </w:rPr>
        <w:fldChar w:fldCharType="end"/>
      </w:r>
    </w:p>
    <w:p w14:paraId="7C99DD1B">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_Toc22106 </w:instrText>
      </w:r>
      <w:r>
        <w:rPr>
          <w:color w:val="auto"/>
          <w:szCs w:val="30"/>
          <w:highlight w:val="none"/>
        </w:rPr>
        <w:fldChar w:fldCharType="separate"/>
      </w:r>
      <w:r>
        <w:rPr>
          <w:rFonts w:hint="eastAsia" w:ascii="宋体" w:hAnsi="宋体" w:eastAsia="宋体" w:cs="宋体"/>
          <w:color w:val="auto"/>
          <w:szCs w:val="21"/>
          <w:highlight w:val="none"/>
        </w:rPr>
        <w:t>六、其它</w:t>
      </w:r>
      <w:r>
        <w:rPr>
          <w:color w:val="auto"/>
          <w:highlight w:val="none"/>
        </w:rPr>
        <w:tab/>
      </w:r>
      <w:r>
        <w:rPr>
          <w:color w:val="auto"/>
          <w:highlight w:val="none"/>
        </w:rPr>
        <w:fldChar w:fldCharType="begin"/>
      </w:r>
      <w:r>
        <w:rPr>
          <w:color w:val="auto"/>
          <w:highlight w:val="none"/>
        </w:rPr>
        <w:instrText xml:space="preserve"> PAGEREF _Toc22106 \h </w:instrText>
      </w:r>
      <w:r>
        <w:rPr>
          <w:color w:val="auto"/>
          <w:highlight w:val="none"/>
        </w:rPr>
        <w:fldChar w:fldCharType="separate"/>
      </w:r>
      <w:r>
        <w:rPr>
          <w:color w:val="auto"/>
          <w:highlight w:val="none"/>
        </w:rPr>
        <w:t>14</w:t>
      </w:r>
      <w:r>
        <w:rPr>
          <w:color w:val="auto"/>
          <w:highlight w:val="none"/>
        </w:rPr>
        <w:fldChar w:fldCharType="end"/>
      </w:r>
      <w:r>
        <w:rPr>
          <w:color w:val="auto"/>
          <w:szCs w:val="30"/>
          <w:highlight w:val="none"/>
        </w:rPr>
        <w:fldChar w:fldCharType="end"/>
      </w:r>
    </w:p>
    <w:p w14:paraId="657ED727">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_Toc6592 </w:instrText>
      </w:r>
      <w:r>
        <w:rPr>
          <w:color w:val="auto"/>
          <w:szCs w:val="30"/>
          <w:highlight w:val="none"/>
        </w:rPr>
        <w:fldChar w:fldCharType="separate"/>
      </w:r>
      <w:r>
        <w:rPr>
          <w:rFonts w:hint="eastAsia"/>
          <w:color w:val="auto"/>
          <w:highlight w:val="none"/>
        </w:rPr>
        <w:t>第三章  招标项目要求</w:t>
      </w:r>
      <w:r>
        <w:rPr>
          <w:color w:val="auto"/>
          <w:highlight w:val="none"/>
        </w:rPr>
        <w:tab/>
      </w:r>
      <w:r>
        <w:rPr>
          <w:color w:val="auto"/>
          <w:highlight w:val="none"/>
        </w:rPr>
        <w:fldChar w:fldCharType="begin"/>
      </w:r>
      <w:r>
        <w:rPr>
          <w:color w:val="auto"/>
          <w:highlight w:val="none"/>
        </w:rPr>
        <w:instrText xml:space="preserve"> PAGEREF _Toc6592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2EB667EF">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_Toc4189 </w:instrText>
      </w:r>
      <w:r>
        <w:rPr>
          <w:color w:val="auto"/>
          <w:szCs w:val="30"/>
          <w:highlight w:val="none"/>
        </w:rPr>
        <w:fldChar w:fldCharType="separate"/>
      </w:r>
      <w:r>
        <w:rPr>
          <w:rFonts w:hint="eastAsia" w:ascii="宋体" w:hAnsi="宋体" w:eastAsia="宋体" w:cs="宋体"/>
          <w:bCs/>
          <w:color w:val="auto"/>
          <w:szCs w:val="21"/>
          <w:highlight w:val="none"/>
        </w:rPr>
        <w:t>一、项目简介</w:t>
      </w:r>
      <w:r>
        <w:rPr>
          <w:color w:val="auto"/>
          <w:highlight w:val="none"/>
        </w:rPr>
        <w:tab/>
      </w:r>
      <w:r>
        <w:rPr>
          <w:color w:val="auto"/>
          <w:highlight w:val="none"/>
        </w:rPr>
        <w:fldChar w:fldCharType="begin"/>
      </w:r>
      <w:r>
        <w:rPr>
          <w:color w:val="auto"/>
          <w:highlight w:val="none"/>
        </w:rPr>
        <w:instrText xml:space="preserve"> PAGEREF _Toc4189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04049450">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_Toc21051 </w:instrText>
      </w:r>
      <w:r>
        <w:rPr>
          <w:color w:val="auto"/>
          <w:szCs w:val="30"/>
          <w:highlight w:val="none"/>
        </w:rPr>
        <w:fldChar w:fldCharType="separate"/>
      </w:r>
      <w:r>
        <w:rPr>
          <w:rFonts w:hint="eastAsia" w:ascii="宋体" w:hAnsi="宋体" w:eastAsia="宋体" w:cs="宋体"/>
          <w:bCs/>
          <w:color w:val="auto"/>
          <w:szCs w:val="21"/>
          <w:highlight w:val="none"/>
        </w:rPr>
        <w:t>二、技术标准</w:t>
      </w:r>
      <w:r>
        <w:rPr>
          <w:color w:val="auto"/>
          <w:highlight w:val="none"/>
        </w:rPr>
        <w:tab/>
      </w:r>
      <w:r>
        <w:rPr>
          <w:color w:val="auto"/>
          <w:highlight w:val="none"/>
        </w:rPr>
        <w:fldChar w:fldCharType="begin"/>
      </w:r>
      <w:r>
        <w:rPr>
          <w:color w:val="auto"/>
          <w:highlight w:val="none"/>
        </w:rPr>
        <w:instrText xml:space="preserve"> PAGEREF _Toc21051 \h </w:instrText>
      </w:r>
      <w:r>
        <w:rPr>
          <w:color w:val="auto"/>
          <w:highlight w:val="none"/>
        </w:rPr>
        <w:fldChar w:fldCharType="separate"/>
      </w:r>
      <w:r>
        <w:rPr>
          <w:color w:val="auto"/>
          <w:highlight w:val="none"/>
        </w:rPr>
        <w:t>15</w:t>
      </w:r>
      <w:r>
        <w:rPr>
          <w:color w:val="auto"/>
          <w:highlight w:val="none"/>
        </w:rPr>
        <w:fldChar w:fldCharType="end"/>
      </w:r>
      <w:r>
        <w:rPr>
          <w:color w:val="auto"/>
          <w:szCs w:val="30"/>
          <w:highlight w:val="none"/>
        </w:rPr>
        <w:fldChar w:fldCharType="end"/>
      </w:r>
    </w:p>
    <w:p w14:paraId="2969950F">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_Toc16094 </w:instrText>
      </w:r>
      <w:r>
        <w:rPr>
          <w:color w:val="auto"/>
          <w:szCs w:val="30"/>
          <w:highlight w:val="none"/>
        </w:rPr>
        <w:fldChar w:fldCharType="separate"/>
      </w:r>
      <w:r>
        <w:rPr>
          <w:rFonts w:hint="eastAsia" w:ascii="宋体" w:hAnsi="宋体" w:eastAsia="宋体" w:cs="宋体"/>
          <w:bCs/>
          <w:color w:val="auto"/>
          <w:szCs w:val="21"/>
          <w:highlight w:val="none"/>
        </w:rPr>
        <w:t>三、 技术要求</w:t>
      </w:r>
      <w:r>
        <w:rPr>
          <w:color w:val="auto"/>
          <w:highlight w:val="none"/>
        </w:rPr>
        <w:tab/>
      </w:r>
      <w:r>
        <w:rPr>
          <w:color w:val="auto"/>
          <w:highlight w:val="none"/>
        </w:rPr>
        <w:fldChar w:fldCharType="begin"/>
      </w:r>
      <w:r>
        <w:rPr>
          <w:color w:val="auto"/>
          <w:highlight w:val="none"/>
        </w:rPr>
        <w:instrText xml:space="preserve"> PAGEREF _Toc16094 \h </w:instrText>
      </w:r>
      <w:r>
        <w:rPr>
          <w:color w:val="auto"/>
          <w:highlight w:val="none"/>
        </w:rPr>
        <w:fldChar w:fldCharType="separate"/>
      </w:r>
      <w:r>
        <w:rPr>
          <w:color w:val="auto"/>
          <w:highlight w:val="none"/>
        </w:rPr>
        <w:t>16</w:t>
      </w:r>
      <w:r>
        <w:rPr>
          <w:color w:val="auto"/>
          <w:highlight w:val="none"/>
        </w:rPr>
        <w:fldChar w:fldCharType="end"/>
      </w:r>
      <w:r>
        <w:rPr>
          <w:color w:val="auto"/>
          <w:szCs w:val="30"/>
          <w:highlight w:val="none"/>
        </w:rPr>
        <w:fldChar w:fldCharType="end"/>
      </w:r>
    </w:p>
    <w:p w14:paraId="16BED2DC">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_Toc19057 </w:instrText>
      </w:r>
      <w:r>
        <w:rPr>
          <w:color w:val="auto"/>
          <w:szCs w:val="30"/>
          <w:highlight w:val="none"/>
        </w:rPr>
        <w:fldChar w:fldCharType="separate"/>
      </w:r>
      <w:r>
        <w:rPr>
          <w:rFonts w:hint="eastAsia" w:ascii="宋体" w:hAnsi="宋体" w:cs="宋体"/>
          <w:bCs/>
          <w:color w:val="auto"/>
          <w:kern w:val="1"/>
          <w:highlight w:val="none"/>
          <w:shd w:val="clear" w:color="auto" w:fill="auto"/>
        </w:rPr>
        <w:t>四、设备安装清单</w:t>
      </w:r>
      <w:r>
        <w:rPr>
          <w:rFonts w:hint="eastAsia" w:ascii="宋体" w:hAnsi="宋体" w:cs="宋体"/>
          <w:bCs/>
          <w:color w:val="auto"/>
          <w:kern w:val="1"/>
          <w:highlight w:val="none"/>
          <w:shd w:val="clear" w:color="auto" w:fill="auto"/>
          <w:lang w:eastAsia="zh-CN"/>
        </w:rPr>
        <w:t>（</w:t>
      </w:r>
      <w:r>
        <w:rPr>
          <w:rFonts w:hint="eastAsia" w:ascii="宋体" w:hAnsi="宋体" w:cs="宋体"/>
          <w:bCs/>
          <w:color w:val="auto"/>
          <w:kern w:val="1"/>
          <w:highlight w:val="none"/>
          <w:shd w:val="clear" w:color="auto" w:fill="auto"/>
          <w:lang w:val="en-US" w:eastAsia="zh-CN"/>
        </w:rPr>
        <w:t>税率13%）</w:t>
      </w:r>
      <w:r>
        <w:rPr>
          <w:color w:val="auto"/>
          <w:highlight w:val="none"/>
        </w:rPr>
        <w:tab/>
      </w:r>
      <w:r>
        <w:rPr>
          <w:color w:val="auto"/>
          <w:highlight w:val="none"/>
        </w:rPr>
        <w:fldChar w:fldCharType="begin"/>
      </w:r>
      <w:r>
        <w:rPr>
          <w:color w:val="auto"/>
          <w:highlight w:val="none"/>
        </w:rPr>
        <w:instrText xml:space="preserve"> PAGEREF _Toc19057 \h </w:instrText>
      </w:r>
      <w:r>
        <w:rPr>
          <w:color w:val="auto"/>
          <w:highlight w:val="none"/>
        </w:rPr>
        <w:fldChar w:fldCharType="separate"/>
      </w:r>
      <w:r>
        <w:rPr>
          <w:color w:val="auto"/>
          <w:highlight w:val="none"/>
        </w:rPr>
        <w:t>25</w:t>
      </w:r>
      <w:r>
        <w:rPr>
          <w:color w:val="auto"/>
          <w:highlight w:val="none"/>
        </w:rPr>
        <w:fldChar w:fldCharType="end"/>
      </w:r>
      <w:r>
        <w:rPr>
          <w:color w:val="auto"/>
          <w:szCs w:val="30"/>
          <w:highlight w:val="none"/>
        </w:rPr>
        <w:fldChar w:fldCharType="end"/>
      </w:r>
    </w:p>
    <w:p w14:paraId="32D3E46B">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_Toc15029 </w:instrText>
      </w:r>
      <w:r>
        <w:rPr>
          <w:color w:val="auto"/>
          <w:szCs w:val="30"/>
          <w:highlight w:val="none"/>
        </w:rPr>
        <w:fldChar w:fldCharType="separate"/>
      </w:r>
      <w:r>
        <w:rPr>
          <w:rFonts w:hint="eastAsia" w:ascii="宋体" w:hAnsi="宋体" w:eastAsia="宋体" w:cs="宋体"/>
          <w:bCs/>
          <w:color w:val="auto"/>
          <w:highlight w:val="none"/>
          <w:lang w:val="en-US" w:eastAsia="zh-CN"/>
        </w:rPr>
        <w:t>五、</w:t>
      </w:r>
      <w:r>
        <w:rPr>
          <w:rFonts w:hint="eastAsia" w:ascii="宋体" w:hAnsi="宋体" w:eastAsia="宋体" w:cs="宋体"/>
          <w:bCs/>
          <w:color w:val="auto"/>
          <w:highlight w:val="none"/>
        </w:rPr>
        <w:t>项目实施进度要求</w:t>
      </w:r>
      <w:r>
        <w:rPr>
          <w:color w:val="auto"/>
          <w:highlight w:val="none"/>
        </w:rPr>
        <w:tab/>
      </w:r>
      <w:r>
        <w:rPr>
          <w:color w:val="auto"/>
          <w:highlight w:val="none"/>
        </w:rPr>
        <w:fldChar w:fldCharType="begin"/>
      </w:r>
      <w:r>
        <w:rPr>
          <w:color w:val="auto"/>
          <w:highlight w:val="none"/>
        </w:rPr>
        <w:instrText xml:space="preserve"> PAGEREF _Toc15029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3A787253">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_Toc23197 </w:instrText>
      </w:r>
      <w:r>
        <w:rPr>
          <w:color w:val="auto"/>
          <w:szCs w:val="30"/>
          <w:highlight w:val="none"/>
        </w:rPr>
        <w:fldChar w:fldCharType="separate"/>
      </w:r>
      <w:r>
        <w:rPr>
          <w:rFonts w:hint="eastAsia" w:ascii="宋体" w:hAnsi="宋体" w:eastAsia="宋体" w:cs="宋体"/>
          <w:bCs/>
          <w:color w:val="auto"/>
          <w:highlight w:val="none"/>
          <w:lang w:val="en-US" w:eastAsia="zh-CN"/>
        </w:rPr>
        <w:t>六、</w:t>
      </w:r>
      <w:r>
        <w:rPr>
          <w:rFonts w:hint="eastAsia" w:ascii="宋体" w:hAnsi="宋体" w:eastAsia="宋体" w:cs="宋体"/>
          <w:bCs/>
          <w:color w:val="auto"/>
          <w:highlight w:val="none"/>
        </w:rPr>
        <w:t>履约验收</w:t>
      </w:r>
      <w:r>
        <w:rPr>
          <w:color w:val="auto"/>
          <w:highlight w:val="none"/>
        </w:rPr>
        <w:tab/>
      </w:r>
      <w:r>
        <w:rPr>
          <w:color w:val="auto"/>
          <w:highlight w:val="none"/>
        </w:rPr>
        <w:fldChar w:fldCharType="begin"/>
      </w:r>
      <w:r>
        <w:rPr>
          <w:color w:val="auto"/>
          <w:highlight w:val="none"/>
        </w:rPr>
        <w:instrText xml:space="preserve"> PAGEREF _Toc23197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3D6DF004">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_Toc27579 </w:instrText>
      </w:r>
      <w:r>
        <w:rPr>
          <w:color w:val="auto"/>
          <w:szCs w:val="30"/>
          <w:highlight w:val="none"/>
        </w:rPr>
        <w:fldChar w:fldCharType="separate"/>
      </w:r>
      <w:r>
        <w:rPr>
          <w:rFonts w:hint="eastAsia" w:ascii="宋体" w:hAnsi="宋体" w:eastAsia="宋体" w:cs="宋体"/>
          <w:bCs/>
          <w:color w:val="auto"/>
          <w:highlight w:val="none"/>
          <w:lang w:val="en-US" w:eastAsia="zh-CN"/>
        </w:rPr>
        <w:t>七、</w:t>
      </w:r>
      <w:r>
        <w:rPr>
          <w:rFonts w:hint="eastAsia" w:ascii="宋体" w:hAnsi="宋体" w:eastAsia="宋体" w:cs="宋体"/>
          <w:bCs/>
          <w:color w:val="auto"/>
          <w:highlight w:val="none"/>
        </w:rPr>
        <w:t>商务要求</w:t>
      </w:r>
      <w:r>
        <w:rPr>
          <w:color w:val="auto"/>
          <w:highlight w:val="none"/>
        </w:rPr>
        <w:tab/>
      </w:r>
      <w:r>
        <w:rPr>
          <w:color w:val="auto"/>
          <w:highlight w:val="none"/>
        </w:rPr>
        <w:fldChar w:fldCharType="begin"/>
      </w:r>
      <w:r>
        <w:rPr>
          <w:color w:val="auto"/>
          <w:highlight w:val="none"/>
        </w:rPr>
        <w:instrText xml:space="preserve"> PAGEREF _Toc27579 \h </w:instrText>
      </w:r>
      <w:r>
        <w:rPr>
          <w:color w:val="auto"/>
          <w:highlight w:val="none"/>
        </w:rPr>
        <w:fldChar w:fldCharType="separate"/>
      </w:r>
      <w:r>
        <w:rPr>
          <w:color w:val="auto"/>
          <w:highlight w:val="none"/>
        </w:rPr>
        <w:t>26</w:t>
      </w:r>
      <w:r>
        <w:rPr>
          <w:color w:val="auto"/>
          <w:highlight w:val="none"/>
        </w:rPr>
        <w:fldChar w:fldCharType="end"/>
      </w:r>
      <w:r>
        <w:rPr>
          <w:color w:val="auto"/>
          <w:szCs w:val="30"/>
          <w:highlight w:val="none"/>
        </w:rPr>
        <w:fldChar w:fldCharType="end"/>
      </w:r>
    </w:p>
    <w:p w14:paraId="1D7E1EB0">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_Toc23827 </w:instrText>
      </w:r>
      <w:r>
        <w:rPr>
          <w:color w:val="auto"/>
          <w:szCs w:val="30"/>
          <w:highlight w:val="none"/>
        </w:rPr>
        <w:fldChar w:fldCharType="separate"/>
      </w:r>
      <w:r>
        <w:rPr>
          <w:rFonts w:hint="eastAsia" w:ascii="宋体" w:hAnsi="宋体" w:eastAsia="宋体" w:cs="宋体"/>
          <w:bCs/>
          <w:color w:val="auto"/>
          <w:highlight w:val="none"/>
          <w:lang w:val="en-US" w:eastAsia="zh-CN"/>
        </w:rPr>
        <w:t>八</w:t>
      </w:r>
      <w:r>
        <w:rPr>
          <w:rFonts w:hint="eastAsia" w:ascii="宋体" w:hAnsi="宋体" w:eastAsia="宋体" w:cs="宋体"/>
          <w:bCs/>
          <w:color w:val="auto"/>
          <w:highlight w:val="none"/>
        </w:rPr>
        <w:t>、其他</w:t>
      </w:r>
      <w:r>
        <w:rPr>
          <w:color w:val="auto"/>
          <w:highlight w:val="none"/>
        </w:rPr>
        <w:tab/>
      </w:r>
      <w:r>
        <w:rPr>
          <w:color w:val="auto"/>
          <w:highlight w:val="none"/>
        </w:rPr>
        <w:fldChar w:fldCharType="begin"/>
      </w:r>
      <w:r>
        <w:rPr>
          <w:color w:val="auto"/>
          <w:highlight w:val="none"/>
        </w:rPr>
        <w:instrText xml:space="preserve"> PAGEREF _Toc23827 \h </w:instrText>
      </w:r>
      <w:r>
        <w:rPr>
          <w:color w:val="auto"/>
          <w:highlight w:val="none"/>
        </w:rPr>
        <w:fldChar w:fldCharType="separate"/>
      </w:r>
      <w:r>
        <w:rPr>
          <w:color w:val="auto"/>
          <w:highlight w:val="none"/>
        </w:rPr>
        <w:t>28</w:t>
      </w:r>
      <w:r>
        <w:rPr>
          <w:color w:val="auto"/>
          <w:highlight w:val="none"/>
        </w:rPr>
        <w:fldChar w:fldCharType="end"/>
      </w:r>
      <w:r>
        <w:rPr>
          <w:color w:val="auto"/>
          <w:szCs w:val="30"/>
          <w:highlight w:val="none"/>
        </w:rPr>
        <w:fldChar w:fldCharType="end"/>
      </w:r>
    </w:p>
    <w:p w14:paraId="3426DD9F">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_Toc30047 </w:instrText>
      </w:r>
      <w:r>
        <w:rPr>
          <w:color w:val="auto"/>
          <w:szCs w:val="30"/>
          <w:highlight w:val="none"/>
        </w:rPr>
        <w:fldChar w:fldCharType="separate"/>
      </w:r>
      <w:r>
        <w:rPr>
          <w:rFonts w:hint="eastAsia"/>
          <w:color w:val="auto"/>
          <w:highlight w:val="none"/>
        </w:rPr>
        <w:t>第四章  开标、评标和定标须知</w:t>
      </w:r>
      <w:r>
        <w:rPr>
          <w:color w:val="auto"/>
          <w:highlight w:val="none"/>
        </w:rPr>
        <w:tab/>
      </w:r>
      <w:r>
        <w:rPr>
          <w:color w:val="auto"/>
          <w:highlight w:val="none"/>
        </w:rPr>
        <w:fldChar w:fldCharType="begin"/>
      </w:r>
      <w:r>
        <w:rPr>
          <w:color w:val="auto"/>
          <w:highlight w:val="none"/>
        </w:rPr>
        <w:instrText xml:space="preserve"> PAGEREF _Toc30047 \h </w:instrText>
      </w:r>
      <w:r>
        <w:rPr>
          <w:color w:val="auto"/>
          <w:highlight w:val="none"/>
        </w:rPr>
        <w:fldChar w:fldCharType="separate"/>
      </w:r>
      <w:r>
        <w:rPr>
          <w:color w:val="auto"/>
          <w:highlight w:val="none"/>
        </w:rPr>
        <w:t>29</w:t>
      </w:r>
      <w:r>
        <w:rPr>
          <w:color w:val="auto"/>
          <w:highlight w:val="none"/>
        </w:rPr>
        <w:fldChar w:fldCharType="end"/>
      </w:r>
      <w:r>
        <w:rPr>
          <w:color w:val="auto"/>
          <w:szCs w:val="30"/>
          <w:highlight w:val="none"/>
        </w:rPr>
        <w:fldChar w:fldCharType="end"/>
      </w:r>
    </w:p>
    <w:p w14:paraId="158B993A">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_Toc6191 </w:instrText>
      </w:r>
      <w:r>
        <w:rPr>
          <w:color w:val="auto"/>
          <w:szCs w:val="30"/>
          <w:highlight w:val="none"/>
        </w:rPr>
        <w:fldChar w:fldCharType="separate"/>
      </w:r>
      <w:r>
        <w:rPr>
          <w:rFonts w:hint="eastAsia" w:ascii="宋体" w:hAnsi="宋体" w:eastAsia="宋体" w:cs="宋体"/>
          <w:color w:val="auto"/>
          <w:szCs w:val="21"/>
          <w:highlight w:val="none"/>
        </w:rPr>
        <w:t>一、开标</w:t>
      </w:r>
      <w:r>
        <w:rPr>
          <w:color w:val="auto"/>
          <w:highlight w:val="none"/>
        </w:rPr>
        <w:tab/>
      </w:r>
      <w:r>
        <w:rPr>
          <w:color w:val="auto"/>
          <w:highlight w:val="none"/>
        </w:rPr>
        <w:fldChar w:fldCharType="begin"/>
      </w:r>
      <w:r>
        <w:rPr>
          <w:color w:val="auto"/>
          <w:highlight w:val="none"/>
        </w:rPr>
        <w:instrText xml:space="preserve"> PAGEREF _Toc6191 \h </w:instrText>
      </w:r>
      <w:r>
        <w:rPr>
          <w:color w:val="auto"/>
          <w:highlight w:val="none"/>
        </w:rPr>
        <w:fldChar w:fldCharType="separate"/>
      </w:r>
      <w:r>
        <w:rPr>
          <w:color w:val="auto"/>
          <w:highlight w:val="none"/>
        </w:rPr>
        <w:t>29</w:t>
      </w:r>
      <w:r>
        <w:rPr>
          <w:color w:val="auto"/>
          <w:highlight w:val="none"/>
        </w:rPr>
        <w:fldChar w:fldCharType="end"/>
      </w:r>
      <w:r>
        <w:rPr>
          <w:color w:val="auto"/>
          <w:szCs w:val="30"/>
          <w:highlight w:val="none"/>
        </w:rPr>
        <w:fldChar w:fldCharType="end"/>
      </w:r>
    </w:p>
    <w:p w14:paraId="0158FC73">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_Toc6806 </w:instrText>
      </w:r>
      <w:r>
        <w:rPr>
          <w:color w:val="auto"/>
          <w:szCs w:val="30"/>
          <w:highlight w:val="none"/>
        </w:rPr>
        <w:fldChar w:fldCharType="separate"/>
      </w:r>
      <w:r>
        <w:rPr>
          <w:rFonts w:hint="eastAsia" w:ascii="宋体" w:hAnsi="宋体" w:eastAsia="宋体" w:cs="宋体"/>
          <w:color w:val="auto"/>
          <w:szCs w:val="21"/>
          <w:highlight w:val="none"/>
        </w:rPr>
        <w:t>二、评标</w:t>
      </w:r>
      <w:r>
        <w:rPr>
          <w:color w:val="auto"/>
          <w:highlight w:val="none"/>
        </w:rPr>
        <w:tab/>
      </w:r>
      <w:r>
        <w:rPr>
          <w:color w:val="auto"/>
          <w:highlight w:val="none"/>
        </w:rPr>
        <w:fldChar w:fldCharType="begin"/>
      </w:r>
      <w:r>
        <w:rPr>
          <w:color w:val="auto"/>
          <w:highlight w:val="none"/>
        </w:rPr>
        <w:instrText xml:space="preserve"> PAGEREF _Toc6806 \h </w:instrText>
      </w:r>
      <w:r>
        <w:rPr>
          <w:color w:val="auto"/>
          <w:highlight w:val="none"/>
        </w:rPr>
        <w:fldChar w:fldCharType="separate"/>
      </w:r>
      <w:r>
        <w:rPr>
          <w:color w:val="auto"/>
          <w:highlight w:val="none"/>
        </w:rPr>
        <w:t>29</w:t>
      </w:r>
      <w:r>
        <w:rPr>
          <w:color w:val="auto"/>
          <w:highlight w:val="none"/>
        </w:rPr>
        <w:fldChar w:fldCharType="end"/>
      </w:r>
      <w:r>
        <w:rPr>
          <w:color w:val="auto"/>
          <w:szCs w:val="30"/>
          <w:highlight w:val="none"/>
        </w:rPr>
        <w:fldChar w:fldCharType="end"/>
      </w:r>
    </w:p>
    <w:p w14:paraId="7F1AF067">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_Toc2314 </w:instrText>
      </w:r>
      <w:r>
        <w:rPr>
          <w:color w:val="auto"/>
          <w:szCs w:val="30"/>
          <w:highlight w:val="none"/>
        </w:rPr>
        <w:fldChar w:fldCharType="separate"/>
      </w:r>
      <w:r>
        <w:rPr>
          <w:rFonts w:hint="eastAsia" w:ascii="宋体" w:hAnsi="宋体" w:eastAsia="宋体" w:cs="宋体"/>
          <w:color w:val="auto"/>
          <w:szCs w:val="21"/>
          <w:highlight w:val="none"/>
        </w:rPr>
        <w:t>三、定标</w:t>
      </w:r>
      <w:r>
        <w:rPr>
          <w:color w:val="auto"/>
          <w:highlight w:val="none"/>
        </w:rPr>
        <w:tab/>
      </w:r>
      <w:r>
        <w:rPr>
          <w:color w:val="auto"/>
          <w:highlight w:val="none"/>
        </w:rPr>
        <w:fldChar w:fldCharType="begin"/>
      </w:r>
      <w:r>
        <w:rPr>
          <w:color w:val="auto"/>
          <w:highlight w:val="none"/>
        </w:rPr>
        <w:instrText xml:space="preserve"> PAGEREF _Toc2314 \h </w:instrText>
      </w:r>
      <w:r>
        <w:rPr>
          <w:color w:val="auto"/>
          <w:highlight w:val="none"/>
        </w:rPr>
        <w:fldChar w:fldCharType="separate"/>
      </w:r>
      <w:r>
        <w:rPr>
          <w:color w:val="auto"/>
          <w:highlight w:val="none"/>
        </w:rPr>
        <w:t>32</w:t>
      </w:r>
      <w:r>
        <w:rPr>
          <w:color w:val="auto"/>
          <w:highlight w:val="none"/>
        </w:rPr>
        <w:fldChar w:fldCharType="end"/>
      </w:r>
      <w:r>
        <w:rPr>
          <w:color w:val="auto"/>
          <w:szCs w:val="30"/>
          <w:highlight w:val="none"/>
        </w:rPr>
        <w:fldChar w:fldCharType="end"/>
      </w:r>
    </w:p>
    <w:p w14:paraId="23C6ED9B">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_Toc31267 </w:instrText>
      </w:r>
      <w:r>
        <w:rPr>
          <w:color w:val="auto"/>
          <w:szCs w:val="30"/>
          <w:highlight w:val="none"/>
        </w:rPr>
        <w:fldChar w:fldCharType="separate"/>
      </w:r>
      <w:r>
        <w:rPr>
          <w:rFonts w:hint="eastAsia"/>
          <w:color w:val="auto"/>
          <w:highlight w:val="none"/>
        </w:rPr>
        <w:t>第五章  投标文件的有效性</w:t>
      </w:r>
      <w:r>
        <w:rPr>
          <w:color w:val="auto"/>
          <w:highlight w:val="none"/>
        </w:rPr>
        <w:tab/>
      </w:r>
      <w:r>
        <w:rPr>
          <w:color w:val="auto"/>
          <w:highlight w:val="none"/>
        </w:rPr>
        <w:fldChar w:fldCharType="begin"/>
      </w:r>
      <w:r>
        <w:rPr>
          <w:color w:val="auto"/>
          <w:highlight w:val="none"/>
        </w:rPr>
        <w:instrText xml:space="preserve"> PAGEREF _Toc31267 \h </w:instrText>
      </w:r>
      <w:r>
        <w:rPr>
          <w:color w:val="auto"/>
          <w:highlight w:val="none"/>
        </w:rPr>
        <w:fldChar w:fldCharType="separate"/>
      </w:r>
      <w:r>
        <w:rPr>
          <w:color w:val="auto"/>
          <w:highlight w:val="none"/>
        </w:rPr>
        <w:t>34</w:t>
      </w:r>
      <w:r>
        <w:rPr>
          <w:color w:val="auto"/>
          <w:highlight w:val="none"/>
        </w:rPr>
        <w:fldChar w:fldCharType="end"/>
      </w:r>
      <w:r>
        <w:rPr>
          <w:color w:val="auto"/>
          <w:szCs w:val="30"/>
          <w:highlight w:val="none"/>
        </w:rPr>
        <w:fldChar w:fldCharType="end"/>
      </w:r>
    </w:p>
    <w:p w14:paraId="4FD64DC6">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_Toc22822 </w:instrText>
      </w:r>
      <w:r>
        <w:rPr>
          <w:color w:val="auto"/>
          <w:szCs w:val="30"/>
          <w:highlight w:val="none"/>
        </w:rPr>
        <w:fldChar w:fldCharType="separate"/>
      </w:r>
      <w:r>
        <w:rPr>
          <w:rFonts w:hint="eastAsia"/>
          <w:color w:val="auto"/>
          <w:highlight w:val="none"/>
        </w:rPr>
        <w:t>第六章</w:t>
      </w:r>
      <w:r>
        <w:rPr>
          <w:color w:val="auto"/>
          <w:highlight w:val="none"/>
        </w:rPr>
        <w:t xml:space="preserve">  </w:t>
      </w:r>
      <w:r>
        <w:rPr>
          <w:rFonts w:hint="eastAsia"/>
          <w:color w:val="auto"/>
          <w:highlight w:val="none"/>
        </w:rPr>
        <w:t>评标办法</w:t>
      </w:r>
      <w:r>
        <w:rPr>
          <w:color w:val="auto"/>
          <w:highlight w:val="none"/>
        </w:rPr>
        <w:tab/>
      </w:r>
      <w:r>
        <w:rPr>
          <w:color w:val="auto"/>
          <w:highlight w:val="none"/>
        </w:rPr>
        <w:fldChar w:fldCharType="begin"/>
      </w:r>
      <w:r>
        <w:rPr>
          <w:color w:val="auto"/>
          <w:highlight w:val="none"/>
        </w:rPr>
        <w:instrText xml:space="preserve"> PAGEREF _Toc22822 \h </w:instrText>
      </w:r>
      <w:r>
        <w:rPr>
          <w:color w:val="auto"/>
          <w:highlight w:val="none"/>
        </w:rPr>
        <w:fldChar w:fldCharType="separate"/>
      </w:r>
      <w:r>
        <w:rPr>
          <w:color w:val="auto"/>
          <w:highlight w:val="none"/>
        </w:rPr>
        <w:t>36</w:t>
      </w:r>
      <w:r>
        <w:rPr>
          <w:color w:val="auto"/>
          <w:highlight w:val="none"/>
        </w:rPr>
        <w:fldChar w:fldCharType="end"/>
      </w:r>
      <w:r>
        <w:rPr>
          <w:color w:val="auto"/>
          <w:szCs w:val="30"/>
          <w:highlight w:val="none"/>
        </w:rPr>
        <w:fldChar w:fldCharType="end"/>
      </w:r>
    </w:p>
    <w:p w14:paraId="75C3B220">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_Toc11813 </w:instrText>
      </w:r>
      <w:r>
        <w:rPr>
          <w:color w:val="auto"/>
          <w:szCs w:val="30"/>
          <w:highlight w:val="none"/>
        </w:rPr>
        <w:fldChar w:fldCharType="separate"/>
      </w:r>
      <w:r>
        <w:rPr>
          <w:rFonts w:hint="eastAsia" w:ascii="宋体" w:hAnsi="宋体" w:eastAsia="宋体" w:cs="宋体"/>
          <w:color w:val="auto"/>
          <w:szCs w:val="21"/>
          <w:highlight w:val="none"/>
        </w:rPr>
        <w:t>一、评审程序</w:t>
      </w:r>
      <w:r>
        <w:rPr>
          <w:color w:val="auto"/>
          <w:highlight w:val="none"/>
        </w:rPr>
        <w:tab/>
      </w:r>
      <w:r>
        <w:rPr>
          <w:color w:val="auto"/>
          <w:highlight w:val="none"/>
        </w:rPr>
        <w:fldChar w:fldCharType="begin"/>
      </w:r>
      <w:r>
        <w:rPr>
          <w:color w:val="auto"/>
          <w:highlight w:val="none"/>
        </w:rPr>
        <w:instrText xml:space="preserve"> PAGEREF _Toc11813 \h </w:instrText>
      </w:r>
      <w:r>
        <w:rPr>
          <w:color w:val="auto"/>
          <w:highlight w:val="none"/>
        </w:rPr>
        <w:fldChar w:fldCharType="separate"/>
      </w:r>
      <w:r>
        <w:rPr>
          <w:color w:val="auto"/>
          <w:highlight w:val="none"/>
        </w:rPr>
        <w:t>36</w:t>
      </w:r>
      <w:r>
        <w:rPr>
          <w:color w:val="auto"/>
          <w:highlight w:val="none"/>
        </w:rPr>
        <w:fldChar w:fldCharType="end"/>
      </w:r>
      <w:r>
        <w:rPr>
          <w:color w:val="auto"/>
          <w:szCs w:val="30"/>
          <w:highlight w:val="none"/>
        </w:rPr>
        <w:fldChar w:fldCharType="end"/>
      </w:r>
    </w:p>
    <w:p w14:paraId="1C7455F9">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_Toc32322 </w:instrText>
      </w:r>
      <w:r>
        <w:rPr>
          <w:color w:val="auto"/>
          <w:szCs w:val="30"/>
          <w:highlight w:val="none"/>
        </w:rPr>
        <w:fldChar w:fldCharType="separate"/>
      </w:r>
      <w:r>
        <w:rPr>
          <w:rFonts w:hint="eastAsia" w:ascii="宋体" w:hAnsi="宋体" w:eastAsia="宋体" w:cs="宋体"/>
          <w:color w:val="auto"/>
          <w:szCs w:val="21"/>
          <w:highlight w:val="none"/>
        </w:rPr>
        <w:t>二、确定的中标人放弃中标等情况的处理</w:t>
      </w:r>
      <w:r>
        <w:rPr>
          <w:color w:val="auto"/>
          <w:highlight w:val="none"/>
        </w:rPr>
        <w:tab/>
      </w:r>
      <w:r>
        <w:rPr>
          <w:color w:val="auto"/>
          <w:highlight w:val="none"/>
        </w:rPr>
        <w:fldChar w:fldCharType="begin"/>
      </w:r>
      <w:r>
        <w:rPr>
          <w:color w:val="auto"/>
          <w:highlight w:val="none"/>
        </w:rPr>
        <w:instrText xml:space="preserve"> PAGEREF _Toc32322 \h </w:instrText>
      </w:r>
      <w:r>
        <w:rPr>
          <w:color w:val="auto"/>
          <w:highlight w:val="none"/>
        </w:rPr>
        <w:fldChar w:fldCharType="separate"/>
      </w:r>
      <w:r>
        <w:rPr>
          <w:color w:val="auto"/>
          <w:highlight w:val="none"/>
        </w:rPr>
        <w:t>36</w:t>
      </w:r>
      <w:r>
        <w:rPr>
          <w:color w:val="auto"/>
          <w:highlight w:val="none"/>
        </w:rPr>
        <w:fldChar w:fldCharType="end"/>
      </w:r>
      <w:r>
        <w:rPr>
          <w:color w:val="auto"/>
          <w:szCs w:val="30"/>
          <w:highlight w:val="none"/>
        </w:rPr>
        <w:fldChar w:fldCharType="end"/>
      </w:r>
    </w:p>
    <w:p w14:paraId="6D8CFE1F">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_Toc28943 </w:instrText>
      </w:r>
      <w:r>
        <w:rPr>
          <w:color w:val="auto"/>
          <w:szCs w:val="30"/>
          <w:highlight w:val="none"/>
        </w:rPr>
        <w:fldChar w:fldCharType="separate"/>
      </w:r>
      <w:r>
        <w:rPr>
          <w:rFonts w:hint="eastAsia" w:ascii="宋体" w:hAnsi="宋体" w:eastAsia="宋体" w:cs="宋体"/>
          <w:color w:val="auto"/>
          <w:szCs w:val="21"/>
          <w:highlight w:val="none"/>
        </w:rPr>
        <w:t>三、评分细则</w:t>
      </w:r>
      <w:r>
        <w:rPr>
          <w:color w:val="auto"/>
          <w:highlight w:val="none"/>
        </w:rPr>
        <w:tab/>
      </w:r>
      <w:r>
        <w:rPr>
          <w:color w:val="auto"/>
          <w:highlight w:val="none"/>
        </w:rPr>
        <w:fldChar w:fldCharType="begin"/>
      </w:r>
      <w:r>
        <w:rPr>
          <w:color w:val="auto"/>
          <w:highlight w:val="none"/>
        </w:rPr>
        <w:instrText xml:space="preserve"> PAGEREF _Toc28943 \h </w:instrText>
      </w:r>
      <w:r>
        <w:rPr>
          <w:color w:val="auto"/>
          <w:highlight w:val="none"/>
        </w:rPr>
        <w:fldChar w:fldCharType="separate"/>
      </w:r>
      <w:r>
        <w:rPr>
          <w:color w:val="auto"/>
          <w:highlight w:val="none"/>
        </w:rPr>
        <w:t>37</w:t>
      </w:r>
      <w:r>
        <w:rPr>
          <w:color w:val="auto"/>
          <w:highlight w:val="none"/>
        </w:rPr>
        <w:fldChar w:fldCharType="end"/>
      </w:r>
      <w:r>
        <w:rPr>
          <w:color w:val="auto"/>
          <w:szCs w:val="30"/>
          <w:highlight w:val="none"/>
        </w:rPr>
        <w:fldChar w:fldCharType="end"/>
      </w:r>
    </w:p>
    <w:p w14:paraId="35E57C7D">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_Toc15851 </w:instrText>
      </w:r>
      <w:r>
        <w:rPr>
          <w:color w:val="auto"/>
          <w:szCs w:val="30"/>
          <w:highlight w:val="none"/>
        </w:rPr>
        <w:fldChar w:fldCharType="separate"/>
      </w:r>
      <w:r>
        <w:rPr>
          <w:rFonts w:hint="eastAsia"/>
          <w:color w:val="auto"/>
          <w:highlight w:val="none"/>
        </w:rPr>
        <w:t>第七章  合同主要条款</w:t>
      </w:r>
      <w:r>
        <w:rPr>
          <w:color w:val="auto"/>
          <w:highlight w:val="none"/>
        </w:rPr>
        <w:tab/>
      </w:r>
      <w:r>
        <w:rPr>
          <w:color w:val="auto"/>
          <w:highlight w:val="none"/>
        </w:rPr>
        <w:fldChar w:fldCharType="begin"/>
      </w:r>
      <w:r>
        <w:rPr>
          <w:color w:val="auto"/>
          <w:highlight w:val="none"/>
        </w:rPr>
        <w:instrText xml:space="preserve"> PAGEREF _Toc15851 \h </w:instrText>
      </w:r>
      <w:r>
        <w:rPr>
          <w:color w:val="auto"/>
          <w:highlight w:val="none"/>
        </w:rPr>
        <w:fldChar w:fldCharType="separate"/>
      </w:r>
      <w:r>
        <w:rPr>
          <w:color w:val="auto"/>
          <w:highlight w:val="none"/>
        </w:rPr>
        <w:t>40</w:t>
      </w:r>
      <w:r>
        <w:rPr>
          <w:color w:val="auto"/>
          <w:highlight w:val="none"/>
        </w:rPr>
        <w:fldChar w:fldCharType="end"/>
      </w:r>
      <w:r>
        <w:rPr>
          <w:color w:val="auto"/>
          <w:szCs w:val="30"/>
          <w:highlight w:val="none"/>
        </w:rPr>
        <w:fldChar w:fldCharType="end"/>
      </w:r>
    </w:p>
    <w:p w14:paraId="6C9FA4B1">
      <w:pPr>
        <w:pStyle w:val="24"/>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_Toc15228 </w:instrText>
      </w:r>
      <w:r>
        <w:rPr>
          <w:color w:val="auto"/>
          <w:szCs w:val="30"/>
          <w:highlight w:val="none"/>
        </w:rPr>
        <w:fldChar w:fldCharType="separate"/>
      </w:r>
      <w:r>
        <w:rPr>
          <w:rFonts w:hint="eastAsia"/>
          <w:color w:val="auto"/>
          <w:highlight w:val="none"/>
        </w:rPr>
        <w:t>第八章  投标文件部分格式</w:t>
      </w:r>
      <w:r>
        <w:rPr>
          <w:color w:val="auto"/>
          <w:highlight w:val="none"/>
        </w:rPr>
        <w:tab/>
      </w:r>
      <w:r>
        <w:rPr>
          <w:color w:val="auto"/>
          <w:highlight w:val="none"/>
        </w:rPr>
        <w:fldChar w:fldCharType="begin"/>
      </w:r>
      <w:r>
        <w:rPr>
          <w:color w:val="auto"/>
          <w:highlight w:val="none"/>
        </w:rPr>
        <w:instrText xml:space="preserve"> PAGEREF _Toc15228 \h </w:instrText>
      </w:r>
      <w:r>
        <w:rPr>
          <w:color w:val="auto"/>
          <w:highlight w:val="none"/>
        </w:rPr>
        <w:fldChar w:fldCharType="separate"/>
      </w:r>
      <w:r>
        <w:rPr>
          <w:color w:val="auto"/>
          <w:highlight w:val="none"/>
        </w:rPr>
        <w:t>45</w:t>
      </w:r>
      <w:r>
        <w:rPr>
          <w:color w:val="auto"/>
          <w:highlight w:val="none"/>
        </w:rPr>
        <w:fldChar w:fldCharType="end"/>
      </w:r>
      <w:r>
        <w:rPr>
          <w:color w:val="auto"/>
          <w:szCs w:val="30"/>
          <w:highlight w:val="none"/>
        </w:rPr>
        <w:fldChar w:fldCharType="end"/>
      </w:r>
    </w:p>
    <w:p w14:paraId="529DFB5F">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_Toc23182 </w:instrText>
      </w:r>
      <w:r>
        <w:rPr>
          <w:color w:val="auto"/>
          <w:szCs w:val="30"/>
          <w:highlight w:val="none"/>
        </w:rPr>
        <w:fldChar w:fldCharType="separate"/>
      </w:r>
      <w:r>
        <w:rPr>
          <w:rFonts w:hint="eastAsia" w:ascii="宋体" w:hAnsi="宋体" w:eastAsia="宋体" w:cs="宋体"/>
          <w:color w:val="auto"/>
          <w:szCs w:val="21"/>
          <w:highlight w:val="none"/>
        </w:rPr>
        <w:t>一、资格响应文件、商务技术响应文件部分格式</w:t>
      </w:r>
      <w:r>
        <w:rPr>
          <w:color w:val="auto"/>
          <w:highlight w:val="none"/>
        </w:rPr>
        <w:tab/>
      </w:r>
      <w:r>
        <w:rPr>
          <w:color w:val="auto"/>
          <w:highlight w:val="none"/>
        </w:rPr>
        <w:fldChar w:fldCharType="begin"/>
      </w:r>
      <w:r>
        <w:rPr>
          <w:color w:val="auto"/>
          <w:highlight w:val="none"/>
        </w:rPr>
        <w:instrText xml:space="preserve"> PAGEREF _Toc23182 \h </w:instrText>
      </w:r>
      <w:r>
        <w:rPr>
          <w:color w:val="auto"/>
          <w:highlight w:val="none"/>
        </w:rPr>
        <w:fldChar w:fldCharType="separate"/>
      </w:r>
      <w:r>
        <w:rPr>
          <w:color w:val="auto"/>
          <w:highlight w:val="none"/>
        </w:rPr>
        <w:t>45</w:t>
      </w:r>
      <w:r>
        <w:rPr>
          <w:color w:val="auto"/>
          <w:highlight w:val="none"/>
        </w:rPr>
        <w:fldChar w:fldCharType="end"/>
      </w:r>
      <w:r>
        <w:rPr>
          <w:color w:val="auto"/>
          <w:szCs w:val="30"/>
          <w:highlight w:val="none"/>
        </w:rPr>
        <w:fldChar w:fldCharType="end"/>
      </w:r>
    </w:p>
    <w:p w14:paraId="2A4326D4">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_Toc10616 </w:instrText>
      </w:r>
      <w:r>
        <w:rPr>
          <w:color w:val="auto"/>
          <w:szCs w:val="30"/>
          <w:highlight w:val="none"/>
        </w:rPr>
        <w:fldChar w:fldCharType="separate"/>
      </w:r>
      <w:r>
        <w:rPr>
          <w:rFonts w:hint="eastAsia" w:ascii="宋体" w:hAnsi="宋体" w:eastAsia="宋体" w:cs="宋体"/>
          <w:color w:val="auto"/>
          <w:szCs w:val="21"/>
          <w:highlight w:val="none"/>
        </w:rPr>
        <w:t>二、报价响应文件部分格式</w:t>
      </w:r>
      <w:r>
        <w:rPr>
          <w:color w:val="auto"/>
          <w:highlight w:val="none"/>
        </w:rPr>
        <w:tab/>
      </w:r>
      <w:r>
        <w:rPr>
          <w:color w:val="auto"/>
          <w:highlight w:val="none"/>
        </w:rPr>
        <w:fldChar w:fldCharType="begin"/>
      </w:r>
      <w:r>
        <w:rPr>
          <w:color w:val="auto"/>
          <w:highlight w:val="none"/>
        </w:rPr>
        <w:instrText xml:space="preserve"> PAGEREF _Toc10616 \h </w:instrText>
      </w:r>
      <w:r>
        <w:rPr>
          <w:color w:val="auto"/>
          <w:highlight w:val="none"/>
        </w:rPr>
        <w:fldChar w:fldCharType="separate"/>
      </w:r>
      <w:r>
        <w:rPr>
          <w:color w:val="auto"/>
          <w:highlight w:val="none"/>
        </w:rPr>
        <w:t>45</w:t>
      </w:r>
      <w:r>
        <w:rPr>
          <w:color w:val="auto"/>
          <w:highlight w:val="none"/>
        </w:rPr>
        <w:fldChar w:fldCharType="end"/>
      </w:r>
      <w:r>
        <w:rPr>
          <w:color w:val="auto"/>
          <w:szCs w:val="30"/>
          <w:highlight w:val="none"/>
        </w:rPr>
        <w:fldChar w:fldCharType="end"/>
      </w:r>
    </w:p>
    <w:p w14:paraId="30B54AB5">
      <w:pPr>
        <w:pStyle w:val="29"/>
        <w:tabs>
          <w:tab w:val="right" w:leader="dot" w:pos="8306"/>
        </w:tabs>
        <w:rPr>
          <w:color w:val="auto"/>
          <w:highlight w:val="none"/>
        </w:rPr>
      </w:pPr>
      <w:r>
        <w:rPr>
          <w:color w:val="auto"/>
          <w:szCs w:val="30"/>
          <w:highlight w:val="none"/>
        </w:rPr>
        <w:fldChar w:fldCharType="begin"/>
      </w:r>
      <w:r>
        <w:rPr>
          <w:color w:val="auto"/>
          <w:szCs w:val="30"/>
          <w:highlight w:val="none"/>
        </w:rPr>
        <w:instrText xml:space="preserve"> HYPERLINK \l _Toc7696 </w:instrText>
      </w:r>
      <w:r>
        <w:rPr>
          <w:color w:val="auto"/>
          <w:szCs w:val="30"/>
          <w:highlight w:val="none"/>
        </w:rPr>
        <w:fldChar w:fldCharType="separate"/>
      </w:r>
      <w:r>
        <w:rPr>
          <w:rFonts w:hint="eastAsia" w:ascii="宋体" w:hAnsi="宋体" w:eastAsia="宋体" w:cs="宋体"/>
          <w:color w:val="auto"/>
          <w:szCs w:val="21"/>
          <w:highlight w:val="none"/>
        </w:rPr>
        <w:t>三、质疑函范本</w:t>
      </w:r>
      <w:r>
        <w:rPr>
          <w:color w:val="auto"/>
          <w:highlight w:val="none"/>
        </w:rPr>
        <w:tab/>
      </w:r>
      <w:r>
        <w:rPr>
          <w:color w:val="auto"/>
          <w:highlight w:val="none"/>
        </w:rPr>
        <w:fldChar w:fldCharType="begin"/>
      </w:r>
      <w:r>
        <w:rPr>
          <w:color w:val="auto"/>
          <w:highlight w:val="none"/>
        </w:rPr>
        <w:instrText xml:space="preserve"> PAGEREF _Toc7696 \h </w:instrText>
      </w:r>
      <w:r>
        <w:rPr>
          <w:color w:val="auto"/>
          <w:highlight w:val="none"/>
        </w:rPr>
        <w:fldChar w:fldCharType="separate"/>
      </w:r>
      <w:r>
        <w:rPr>
          <w:color w:val="auto"/>
          <w:highlight w:val="none"/>
        </w:rPr>
        <w:t>45</w:t>
      </w:r>
      <w:r>
        <w:rPr>
          <w:color w:val="auto"/>
          <w:highlight w:val="none"/>
        </w:rPr>
        <w:fldChar w:fldCharType="end"/>
      </w:r>
      <w:r>
        <w:rPr>
          <w:color w:val="auto"/>
          <w:szCs w:val="30"/>
          <w:highlight w:val="none"/>
        </w:rPr>
        <w:fldChar w:fldCharType="end"/>
      </w:r>
    </w:p>
    <w:p w14:paraId="4D44D42E">
      <w:pPr>
        <w:rPr>
          <w:color w:val="auto"/>
          <w:sz w:val="28"/>
          <w:szCs w:val="28"/>
          <w:highlight w:val="none"/>
        </w:rPr>
        <w:sectPr>
          <w:footerReference r:id="rId3" w:type="default"/>
          <w:pgSz w:w="11906" w:h="16838"/>
          <w:pgMar w:top="1440" w:right="1800" w:bottom="1440" w:left="1800" w:header="851" w:footer="992" w:gutter="0"/>
          <w:pgNumType w:start="1"/>
          <w:cols w:space="720" w:num="1"/>
          <w:docGrid w:type="lines" w:linePitch="312" w:charSpace="0"/>
        </w:sectPr>
      </w:pPr>
      <w:r>
        <w:rPr>
          <w:color w:val="auto"/>
          <w:szCs w:val="30"/>
          <w:highlight w:val="none"/>
        </w:rPr>
        <w:fldChar w:fldCharType="end"/>
      </w:r>
    </w:p>
    <w:p w14:paraId="5A34EE92">
      <w:pPr>
        <w:pStyle w:val="2"/>
        <w:spacing w:line="240" w:lineRule="exact"/>
        <w:jc w:val="center"/>
        <w:rPr>
          <w:color w:val="auto"/>
          <w:sz w:val="36"/>
          <w:highlight w:val="none"/>
        </w:rPr>
      </w:pPr>
      <w:bookmarkStart w:id="0" w:name="_Toc14953"/>
      <w:bookmarkStart w:id="1" w:name="_Toc13402"/>
      <w:r>
        <w:rPr>
          <w:color w:val="auto"/>
          <w:sz w:val="36"/>
          <w:highlight w:val="none"/>
        </w:rPr>
        <w:t>第一章</w:t>
      </w:r>
      <w:r>
        <w:rPr>
          <w:rFonts w:hint="eastAsia"/>
          <w:color w:val="auto"/>
          <w:sz w:val="36"/>
          <w:highlight w:val="none"/>
        </w:rPr>
        <w:t>　招标公告</w:t>
      </w:r>
      <w:bookmarkEnd w:id="0"/>
      <w:bookmarkEnd w:id="1"/>
    </w:p>
    <w:p w14:paraId="3F0CFB14">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根据法律法规等相关规定，本项目进行公开招标，欢迎国内合格的供应商参加投标。</w:t>
      </w:r>
    </w:p>
    <w:p w14:paraId="7DF8F074">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1.采购编号</w:t>
      </w:r>
      <w:r>
        <w:rPr>
          <w:rFonts w:hint="eastAsia" w:ascii="宋体" w:hAnsi="宋体" w:cs="宋体"/>
          <w:color w:val="auto"/>
          <w:highlight w:val="none"/>
        </w:rPr>
        <w:t>：</w:t>
      </w:r>
      <w:r>
        <w:rPr>
          <w:rFonts w:hint="eastAsia" w:ascii="宋体" w:hAnsi="宋体" w:cs="宋体"/>
          <w:b w:val="0"/>
          <w:bCs w:val="0"/>
          <w:color w:val="auto"/>
          <w:highlight w:val="none"/>
          <w:lang w:val="en-US" w:eastAsia="zh-CN"/>
        </w:rPr>
        <w:t>YWYGZC202510CG0002(YCQ-2025-CG172)</w:t>
      </w:r>
      <w:r>
        <w:rPr>
          <w:rFonts w:hint="eastAsia" w:ascii="宋体" w:hAnsi="宋体" w:cs="宋体"/>
          <w:b w:val="0"/>
          <w:bCs w:val="0"/>
          <w:color w:val="auto"/>
          <w:highlight w:val="none"/>
        </w:rPr>
        <w:t xml:space="preserve"> </w:t>
      </w:r>
      <w:r>
        <w:rPr>
          <w:rFonts w:hint="eastAsia" w:ascii="宋体" w:hAnsi="宋体" w:cs="宋体"/>
          <w:b/>
          <w:bCs/>
          <w:color w:val="auto"/>
          <w:highlight w:val="none"/>
        </w:rPr>
        <w:t xml:space="preserve">    </w:t>
      </w:r>
    </w:p>
    <w:p w14:paraId="0AD6B954">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2.采购内容及数量：</w:t>
      </w:r>
      <w:r>
        <w:rPr>
          <w:rFonts w:hint="eastAsia" w:ascii="宋体" w:hAnsi="宋体" w:cs="宋体"/>
          <w:color w:val="auto"/>
          <w:highlight w:val="none"/>
          <w:lang w:eastAsia="zh-CN"/>
        </w:rPr>
        <w:t>江东公交出行中心直流充电桩</w:t>
      </w:r>
      <w:r>
        <w:rPr>
          <w:rFonts w:hint="eastAsia" w:ascii="宋体" w:hAnsi="宋体" w:cs="宋体"/>
          <w:b/>
          <w:color w:val="auto"/>
          <w:highlight w:val="none"/>
        </w:rPr>
        <w:t>采购项目</w:t>
      </w:r>
      <w:r>
        <w:rPr>
          <w:rFonts w:hint="eastAsia" w:ascii="宋体" w:hAnsi="宋体" w:cs="宋体"/>
          <w:color w:val="auto"/>
          <w:highlight w:val="none"/>
        </w:rPr>
        <w:t>，具体详见第三章招标项目要求。</w:t>
      </w:r>
    </w:p>
    <w:p w14:paraId="30F49602">
      <w:pPr>
        <w:spacing w:line="360" w:lineRule="auto"/>
        <w:ind w:firstLine="422" w:firstLineChars="200"/>
        <w:rPr>
          <w:rFonts w:hint="eastAsia" w:ascii="宋体" w:hAnsi="宋体" w:cs="宋体"/>
          <w:bCs/>
          <w:color w:val="auto"/>
          <w:highlight w:val="none"/>
        </w:rPr>
      </w:pPr>
      <w:r>
        <w:rPr>
          <w:rFonts w:hint="eastAsia" w:ascii="宋体" w:hAnsi="宋体" w:cs="宋体"/>
          <w:b/>
          <w:color w:val="auto"/>
          <w:highlight w:val="none"/>
        </w:rPr>
        <w:t>3.</w:t>
      </w:r>
      <w:r>
        <w:rPr>
          <w:rFonts w:hint="eastAsia" w:ascii="宋体" w:hAnsi="宋体" w:cs="宋体"/>
          <w:b/>
          <w:bCs/>
          <w:color w:val="auto"/>
          <w:highlight w:val="none"/>
        </w:rPr>
        <w:t>采购预算及最高限价</w:t>
      </w:r>
      <w:r>
        <w:rPr>
          <w:rFonts w:hint="eastAsia" w:ascii="宋体" w:hAnsi="宋体" w:cs="宋体"/>
          <w:color w:val="auto"/>
          <w:highlight w:val="none"/>
        </w:rPr>
        <w:t>：</w:t>
      </w:r>
      <w:r>
        <w:rPr>
          <w:rFonts w:hint="eastAsia" w:ascii="宋体" w:hAnsi="宋体" w:cs="宋体"/>
          <w:color w:val="auto"/>
          <w:highlight w:val="none"/>
          <w:lang w:val="en-US" w:eastAsia="zh-CN"/>
        </w:rPr>
        <w:t>1270400</w:t>
      </w:r>
      <w:r>
        <w:rPr>
          <w:rFonts w:hint="eastAsia" w:ascii="宋体" w:hAnsi="宋体" w:eastAsia="宋体" w:cs="宋体"/>
          <w:b w:val="0"/>
          <w:bCs/>
          <w:color w:val="auto"/>
          <w:highlight w:val="none"/>
        </w:rPr>
        <w:t>元</w:t>
      </w:r>
      <w:r>
        <w:rPr>
          <w:rFonts w:hint="eastAsia" w:ascii="宋体" w:hAnsi="宋体" w:cs="宋体"/>
          <w:color w:val="auto"/>
          <w:highlight w:val="none"/>
        </w:rPr>
        <w:t>。</w:t>
      </w:r>
    </w:p>
    <w:p w14:paraId="466AF86B">
      <w:pPr>
        <w:spacing w:line="360" w:lineRule="auto"/>
        <w:ind w:firstLine="422" w:firstLineChars="200"/>
        <w:rPr>
          <w:rFonts w:hint="eastAsia" w:ascii="宋体" w:hAnsi="宋体" w:cs="宋体"/>
          <w:b/>
          <w:color w:val="auto"/>
          <w:highlight w:val="none"/>
        </w:rPr>
      </w:pPr>
      <w:r>
        <w:rPr>
          <w:rFonts w:hint="eastAsia" w:ascii="宋体" w:hAnsi="宋体" w:cs="宋体"/>
          <w:b/>
          <w:color w:val="auto"/>
          <w:highlight w:val="none"/>
        </w:rPr>
        <w:t>4</w:t>
      </w:r>
      <w:r>
        <w:rPr>
          <w:rFonts w:hint="eastAsia" w:ascii="宋体" w:hAnsi="宋体" w:cs="宋体"/>
          <w:b/>
          <w:color w:val="auto"/>
          <w:highlight w:val="none"/>
          <w:lang w:val="zh-CN"/>
        </w:rPr>
        <w:t>.投标人的资格要求</w:t>
      </w:r>
      <w:r>
        <w:rPr>
          <w:rFonts w:hint="eastAsia" w:ascii="宋体" w:hAnsi="宋体" w:cs="宋体"/>
          <w:b/>
          <w:color w:val="auto"/>
          <w:highlight w:val="none"/>
        </w:rPr>
        <w:t>：</w:t>
      </w:r>
    </w:p>
    <w:p w14:paraId="73EE0B52">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符合《义乌市国有企业采购管理办法（试行）》第十条供应商应当具备的条件，同时投标人无以下不良行为：在公开网站上能查到的被财政部或浙江省财政厅处理（或处罚）而处于暂停政府采购资格期的或处于暂停承接业务资格期的；或被国家级、浙江省级、义乌市级行业主管部门处罚处于暂停承接业务资格期的；或被义乌市政府采购监管部门列入不良行为还在公示期内的或者处于暂停政府采购资格期的；</w:t>
      </w:r>
    </w:p>
    <w:p w14:paraId="3F680586">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②根据《浙江省公共信用信息管理条例》第二十六条的规定，未列入严重失信名单的（查询结果以开标当日网站页面显示为准）；</w:t>
      </w:r>
    </w:p>
    <w:p w14:paraId="48BA06A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信誉要求：投标人自2022年1月1日起到中标候选人公告期结束前无行贿犯罪记录（评标结束后，由采购人通过中国裁判文书网（http://wenshu.court.gov.cn/）按照招标文件约定对中标候选人的行贿犯罪记录进行查询，查询结果以网站页面显示内容为准）；</w:t>
      </w:r>
    </w:p>
    <w:p w14:paraId="068AF9A5">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④本项目不得转包（如有转包，终止合同），不接受联合体投标。</w:t>
      </w:r>
    </w:p>
    <w:p w14:paraId="3DD4799B">
      <w:pPr>
        <w:spacing w:line="360" w:lineRule="auto"/>
        <w:ind w:firstLine="422" w:firstLineChars="200"/>
        <w:rPr>
          <w:rFonts w:hint="eastAsia" w:ascii="宋体" w:hAnsi="宋体" w:cs="宋体"/>
          <w:b/>
          <w:bCs/>
          <w:color w:val="auto"/>
          <w:highlight w:val="none"/>
        </w:rPr>
      </w:pPr>
      <w:r>
        <w:rPr>
          <w:rFonts w:hint="eastAsia" w:ascii="宋体" w:hAnsi="宋体" w:cs="宋体"/>
          <w:b/>
          <w:bCs/>
          <w:color w:val="auto"/>
          <w:highlight w:val="none"/>
        </w:rPr>
        <w:t>5.采购文件（即招标文件，下同）获取时间、地点及方式：</w:t>
      </w:r>
    </w:p>
    <w:p w14:paraId="4754E62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①时间：公告发布时间起至投标截止时间止。</w:t>
      </w:r>
    </w:p>
    <w:p w14:paraId="589BA6C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②地点：义乌市阳光招标采购平台(www.ywygzc.com)、义乌产权交易网（www.ywcq.com）。</w:t>
      </w:r>
    </w:p>
    <w:p w14:paraId="60369930">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③方式：登录义乌市阳光招标采购平台账号获取或直接在招标公告下方获取。</w:t>
      </w:r>
    </w:p>
    <w:p w14:paraId="23D9BF0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潜在供应商未在规定的期限内按照上述方式获取招标文件的，采购人、采购代理机构可以不予受理其所提出的对招标文件的质疑。</w:t>
      </w:r>
    </w:p>
    <w:p w14:paraId="52024472">
      <w:pPr>
        <w:spacing w:line="360" w:lineRule="auto"/>
        <w:ind w:firstLine="422" w:firstLineChars="200"/>
        <w:rPr>
          <w:rFonts w:hint="eastAsia" w:ascii="宋体" w:hAnsi="宋体" w:cs="宋体"/>
          <w:color w:val="auto"/>
          <w:highlight w:val="none"/>
        </w:rPr>
      </w:pPr>
      <w:r>
        <w:rPr>
          <w:rFonts w:hint="eastAsia" w:ascii="宋体" w:hAnsi="宋体" w:cs="宋体"/>
          <w:b/>
          <w:color w:val="auto"/>
          <w:highlight w:val="none"/>
        </w:rPr>
        <w:t>6.技术答疑：</w:t>
      </w:r>
      <w:r>
        <w:rPr>
          <w:rFonts w:hint="eastAsia" w:ascii="宋体" w:hAnsi="宋体" w:cs="宋体"/>
          <w:color w:val="auto"/>
          <w:highlight w:val="none"/>
        </w:rPr>
        <w:t>供应商认为采购文件使自己的权益受到损害的，请于2025年</w:t>
      </w:r>
      <w:r>
        <w:rPr>
          <w:rFonts w:hint="eastAsia" w:ascii="宋体" w:hAnsi="宋体" w:cs="宋体"/>
          <w:color w:val="auto"/>
          <w:highlight w:val="none"/>
          <w:lang w:val="en-US" w:eastAsia="zh-CN"/>
        </w:rPr>
        <w:t>10</w:t>
      </w:r>
      <w:r>
        <w:rPr>
          <w:rFonts w:hint="eastAsia" w:ascii="宋体" w:hAnsi="宋体" w:cs="宋体"/>
          <w:color w:val="auto"/>
          <w:highlight w:val="none"/>
        </w:rPr>
        <w:t>月</w:t>
      </w:r>
      <w:r>
        <w:rPr>
          <w:rFonts w:hint="eastAsia" w:ascii="宋体" w:hAnsi="宋体" w:cs="宋体"/>
          <w:color w:val="auto"/>
          <w:highlight w:val="none"/>
          <w:lang w:val="en-US" w:eastAsia="zh-CN"/>
        </w:rPr>
        <w:t>22</w:t>
      </w:r>
      <w:r>
        <w:rPr>
          <w:rFonts w:hint="eastAsia" w:ascii="宋体" w:hAnsi="宋体" w:cs="宋体"/>
          <w:color w:val="auto"/>
          <w:highlight w:val="none"/>
        </w:rPr>
        <w:t>日17:00前以书面形式向采购人和采购代理机构提出质疑。质疑以书面方式分别提交至</w:t>
      </w:r>
      <w:r>
        <w:rPr>
          <w:rFonts w:hint="eastAsia" w:ascii="宋体" w:hAnsi="宋体" w:cs="宋体"/>
          <w:color w:val="auto"/>
          <w:highlight w:val="none"/>
          <w:lang w:eastAsia="zh-CN"/>
        </w:rPr>
        <w:t>义乌市恒风新能源服务有限公司</w:t>
      </w:r>
      <w:r>
        <w:rPr>
          <w:rFonts w:hint="eastAsia" w:ascii="宋体" w:hAnsi="宋体" w:cs="宋体"/>
          <w:color w:val="auto"/>
          <w:highlight w:val="none"/>
        </w:rPr>
        <w:t>：</w:t>
      </w:r>
      <w:r>
        <w:rPr>
          <w:rFonts w:hint="eastAsia" w:ascii="宋体" w:hAnsi="宋体" w:cs="宋体"/>
          <w:color w:val="auto"/>
          <w:highlight w:val="none"/>
          <w:lang w:eastAsia="zh-CN"/>
        </w:rPr>
        <w:t>孙女士</w:t>
      </w:r>
      <w:r>
        <w:rPr>
          <w:rFonts w:hint="eastAsia" w:ascii="宋体" w:hAnsi="宋体" w:cs="宋体"/>
          <w:color w:val="auto"/>
          <w:highlight w:val="none"/>
        </w:rPr>
        <w:t>（</w:t>
      </w:r>
      <w:r>
        <w:rPr>
          <w:rFonts w:hint="eastAsia" w:ascii="宋体" w:hAnsi="宋体" w:cs="宋体"/>
          <w:color w:val="auto"/>
          <w:highlight w:val="none"/>
          <w:lang w:eastAsia="zh-CN"/>
        </w:rPr>
        <w:t>0579-85561622</w:t>
      </w:r>
      <w:r>
        <w:rPr>
          <w:rFonts w:hint="eastAsia" w:ascii="宋体" w:hAnsi="宋体" w:cs="宋体"/>
          <w:color w:val="auto"/>
          <w:highlight w:val="none"/>
        </w:rPr>
        <w:t>）和义乌产权交易所有限公司：王女士（0579-89903039，ywcqztb001@ywcq.com），</w:t>
      </w:r>
      <w:r>
        <w:rPr>
          <w:rFonts w:hint="eastAsia" w:ascii="宋体" w:hAnsi="宋体" w:cs="宋体"/>
          <w:color w:val="auto"/>
          <w:highlight w:val="none"/>
        </w:rPr>
        <w:fldChar w:fldCharType="begin"/>
      </w:r>
      <w:r>
        <w:rPr>
          <w:rFonts w:hint="eastAsia" w:ascii="宋体" w:hAnsi="宋体" w:cs="宋体"/>
          <w:color w:val="auto"/>
          <w:highlight w:val="none"/>
        </w:rPr>
        <w:instrText xml:space="preserve"> HYPERLINK "mailto:请于2020年3月13日17时前将质疑文件以扫描件形式发送至43367901@qq.com，并致电项目负责人0579-89919879" </w:instrText>
      </w:r>
      <w:r>
        <w:rPr>
          <w:rFonts w:hint="eastAsia" w:ascii="宋体" w:hAnsi="宋体" w:cs="宋体"/>
          <w:color w:val="auto"/>
          <w:highlight w:val="none"/>
        </w:rPr>
        <w:fldChar w:fldCharType="separate"/>
      </w:r>
      <w:r>
        <w:rPr>
          <w:rFonts w:hint="eastAsia" w:ascii="宋体" w:hAnsi="宋体" w:cs="宋体"/>
          <w:color w:val="auto"/>
          <w:highlight w:val="none"/>
        </w:rPr>
        <w:t>并致电</w:t>
      </w:r>
      <w:r>
        <w:rPr>
          <w:rFonts w:hint="eastAsia" w:ascii="宋体" w:hAnsi="宋体" w:cs="宋体"/>
          <w:color w:val="auto"/>
          <w:highlight w:val="none"/>
        </w:rPr>
        <w:fldChar w:fldCharType="end"/>
      </w:r>
      <w:r>
        <w:rPr>
          <w:rFonts w:hint="eastAsia" w:ascii="宋体" w:hAnsi="宋体" w:cs="宋体"/>
          <w:color w:val="auto"/>
          <w:highlight w:val="none"/>
        </w:rPr>
        <w:t>采购代理机构确认。书面文件邮寄地址：义乌市北苑街道望道路300号4051。</w:t>
      </w:r>
    </w:p>
    <w:p w14:paraId="6201EEDE">
      <w:pPr>
        <w:spacing w:line="360" w:lineRule="auto"/>
        <w:ind w:firstLine="422" w:firstLineChars="200"/>
        <w:rPr>
          <w:rFonts w:hint="eastAsia" w:ascii="宋体" w:hAnsi="宋体" w:cs="宋体"/>
          <w:b/>
          <w:color w:val="auto"/>
          <w:highlight w:val="none"/>
        </w:rPr>
      </w:pPr>
      <w:bookmarkStart w:id="2" w:name="_Toc4701"/>
      <w:r>
        <w:rPr>
          <w:rFonts w:hint="eastAsia" w:ascii="宋体" w:hAnsi="宋体" w:cs="宋体"/>
          <w:b/>
          <w:color w:val="auto"/>
          <w:highlight w:val="none"/>
        </w:rPr>
        <w:t>7.投标截止时间及地点：</w:t>
      </w:r>
      <w:bookmarkEnd w:id="2"/>
    </w:p>
    <w:p w14:paraId="72D6FB0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①提交投标文件截止时间</w:t>
      </w:r>
      <w:bookmarkStart w:id="118" w:name="_GoBack"/>
      <w:bookmarkEnd w:id="118"/>
      <w:r>
        <w:rPr>
          <w:rFonts w:hint="eastAsia" w:ascii="宋体" w:hAnsi="宋体" w:cs="宋体"/>
          <w:color w:val="auto"/>
          <w:highlight w:val="none"/>
        </w:rPr>
        <w:t>：</w:t>
      </w:r>
      <w:r>
        <w:rPr>
          <w:rFonts w:hint="eastAsia" w:ascii="宋体" w:hAnsi="宋体" w:cs="宋体"/>
          <w:color w:val="auto"/>
          <w:highlight w:val="none"/>
          <w:lang w:eastAsia="zh-CN"/>
        </w:rPr>
        <w:t>2025年11月4日09</w:t>
      </w:r>
      <w:r>
        <w:rPr>
          <w:rFonts w:hint="eastAsia" w:ascii="宋体" w:hAnsi="宋体" w:cs="宋体"/>
          <w:color w:val="auto"/>
          <w:highlight w:val="none"/>
        </w:rPr>
        <w:t>:30（北京时间）</w:t>
      </w:r>
    </w:p>
    <w:p w14:paraId="44BCA5CD">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②投标地点：在谷歌或IE浏览器上，用账号登录义乌市阳光招标采购平台（www.ywygzc.com），上传电子加密标书至“义乌市阳光招标采购平台”，逾期或未上传成功的将导致无法投标或投标无效。</w:t>
      </w:r>
    </w:p>
    <w:p w14:paraId="0A2D7807">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③开标时间：</w:t>
      </w:r>
      <w:r>
        <w:rPr>
          <w:rFonts w:hint="eastAsia" w:ascii="宋体" w:hAnsi="宋体" w:cs="宋体"/>
          <w:color w:val="auto"/>
          <w:highlight w:val="none"/>
          <w:lang w:eastAsia="zh-CN"/>
        </w:rPr>
        <w:t>2025年11月4日09</w:t>
      </w:r>
      <w:r>
        <w:rPr>
          <w:rFonts w:hint="eastAsia" w:ascii="宋体" w:hAnsi="宋体" w:cs="宋体"/>
          <w:color w:val="auto"/>
          <w:highlight w:val="none"/>
        </w:rPr>
        <w:t>:30 </w:t>
      </w:r>
    </w:p>
    <w:p w14:paraId="4320E32A">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④开标地点：“义乌市阳光招标采购平台”（www.ywygzc.com）</w:t>
      </w:r>
    </w:p>
    <w:p w14:paraId="69FFA44D">
      <w:pPr>
        <w:snapToGrid w:val="0"/>
        <w:spacing w:line="360" w:lineRule="auto"/>
        <w:ind w:firstLine="413" w:firstLineChars="196"/>
        <w:rPr>
          <w:rFonts w:hint="eastAsia" w:ascii="宋体" w:hAnsi="宋体" w:cs="宋体"/>
          <w:color w:val="auto"/>
          <w:szCs w:val="21"/>
          <w:highlight w:val="none"/>
        </w:rPr>
      </w:pPr>
      <w:r>
        <w:rPr>
          <w:rFonts w:hint="eastAsia" w:ascii="宋体" w:hAnsi="宋体" w:cs="宋体"/>
          <w:b/>
          <w:bCs/>
          <w:color w:val="auto"/>
          <w:szCs w:val="21"/>
          <w:highlight w:val="none"/>
          <w:shd w:val="clear" w:color="auto" w:fill="FFFFFF"/>
        </w:rPr>
        <w:t>8.投标与开标注意事项：</w:t>
      </w:r>
    </w:p>
    <w:p w14:paraId="0AF1B228">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①标前准备：本项目通过“义乌市阳光招标采购平台”实行在线投标（电子投标），各供应商在投标前应确保成为义乌市阳光招标采购平台正式注册入库供应商，并完成CA数字证书办理。【供应商入库办理流程：义乌市阳光招标采购平台-下载中心-义乌市阳光招标采购平台供应商入库申报操作手册；CA办理操作流程：义乌市阳光招标采购平台-办事指南-CA在线办理”（</w:t>
      </w:r>
      <w:r>
        <w:rPr>
          <w:rFonts w:hint="eastAsia" w:ascii="宋体" w:hAnsi="宋体" w:cs="宋体"/>
          <w:color w:val="auto"/>
          <w:highlight w:val="none"/>
        </w:rPr>
        <w:fldChar w:fldCharType="begin"/>
      </w:r>
      <w:r>
        <w:rPr>
          <w:rFonts w:ascii="宋体" w:hAnsi="宋体" w:cs="宋体"/>
          <w:color w:val="auto"/>
          <w:highlight w:val="none"/>
        </w:rPr>
        <w:instrText xml:space="preserve">HYPERLINK "../../../Wechat Files/WeChat Files/zxb_weixin/FileStorage/File/Documents/WeChat Files/hyysxhz/FileStorage/Administrator/AppData/Roaming/Microsoft/Word/CA申领操作指南.pdf"</w:instrText>
      </w:r>
      <w:r>
        <w:rPr>
          <w:rFonts w:hint="eastAsia" w:ascii="宋体" w:hAnsi="宋体" w:cs="宋体"/>
          <w:color w:val="auto"/>
          <w:highlight w:val="none"/>
        </w:rPr>
        <w:fldChar w:fldCharType="separate"/>
      </w:r>
      <w:r>
        <w:rPr>
          <w:rFonts w:hint="eastAsia" w:ascii="宋体" w:hAnsi="宋体" w:cs="宋体"/>
          <w:color w:val="auto"/>
          <w:highlight w:val="none"/>
        </w:rPr>
        <w:t>目前“义乌市阳光招标采购平台”仅支持天谷CA锁）</w:t>
      </w:r>
      <w:r>
        <w:rPr>
          <w:rFonts w:hint="eastAsia" w:ascii="宋体" w:hAnsi="宋体" w:cs="宋体"/>
          <w:color w:val="auto"/>
          <w:highlight w:val="none"/>
        </w:rPr>
        <w:fldChar w:fldCharType="end"/>
      </w:r>
      <w:r>
        <w:rPr>
          <w:rFonts w:hint="eastAsia" w:ascii="宋体" w:hAnsi="宋体" w:cs="宋体"/>
          <w:color w:val="auto"/>
          <w:highlight w:val="none"/>
        </w:rPr>
        <w:t>】。因未注册入库、未办理CA数字证书等原因造成无法投标或投标失败等后果由供应商自行承担。</w:t>
      </w:r>
    </w:p>
    <w:p w14:paraId="581D3CE9">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②投标文件制作：投标人通过“义乌市阳光招标采购平台”电子投标工具制作投标文件，电子投标工具请供应商自行前往https://download.bqpoint.com/?SourceFrom=Ztb&amp;ZtbSoftXiaQuCode=112203&amp;ZtbSoftType=tballinclusive&amp;SoftGuid=4995a22f-7707-4e9a-bdcd-b81f2f25e809&amp;RootGuid=e9eef476-f8a3-4999-ac46-4f8b3d7857da&amp;softtypecode=03获取。投标文件制作具体流程详见“义乌市阳光招标采购平台-下载中心-义乌市阳光招标采购平台投标人操作手册”以获取最新操作指南。</w:t>
      </w:r>
    </w:p>
    <w:p w14:paraId="6469E871">
      <w:pPr>
        <w:spacing w:line="360" w:lineRule="auto"/>
        <w:ind w:firstLine="420" w:firstLineChars="200"/>
        <w:rPr>
          <w:rFonts w:hint="eastAsia" w:ascii="宋体" w:hAnsi="宋体" w:cs="宋体"/>
          <w:b/>
          <w:bCs/>
          <w:color w:val="auto"/>
          <w:highlight w:val="none"/>
        </w:rPr>
      </w:pPr>
      <w:r>
        <w:rPr>
          <w:rFonts w:hint="eastAsia" w:ascii="宋体" w:hAnsi="宋体" w:cs="宋体"/>
          <w:color w:val="auto"/>
          <w:highlight w:val="none"/>
        </w:rPr>
        <w:t>③投标文件上传：投标人应在投标截止时间（</w:t>
      </w:r>
      <w:r>
        <w:rPr>
          <w:rFonts w:hint="eastAsia" w:ascii="宋体" w:hAnsi="宋体" w:cs="宋体"/>
          <w:color w:val="auto"/>
          <w:highlight w:val="none"/>
          <w:lang w:eastAsia="zh-CN"/>
        </w:rPr>
        <w:t>2025年11月4日09</w:t>
      </w:r>
      <w:r>
        <w:rPr>
          <w:rFonts w:hint="eastAsia" w:ascii="宋体" w:hAnsi="宋体" w:cs="宋体"/>
          <w:color w:val="auto"/>
          <w:highlight w:val="none"/>
        </w:rPr>
        <w:t>:30）之前上传投标文件</w:t>
      </w:r>
      <w:r>
        <w:rPr>
          <w:rFonts w:hint="eastAsia" w:ascii="宋体" w:hAnsi="宋体" w:cs="宋体"/>
          <w:b/>
          <w:bCs/>
          <w:color w:val="auto"/>
          <w:highlight w:val="none"/>
        </w:rPr>
        <w:t>。</w:t>
      </w:r>
    </w:p>
    <w:p w14:paraId="72A90183">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④开标与投标文件解密：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64A91C78">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14:paraId="16246C14">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⑤参与在线投标时如遇平台技术问题详询：</w:t>
      </w:r>
      <w:r>
        <w:rPr>
          <w:rFonts w:ascii="宋体" w:hAnsi="宋体" w:cs="宋体"/>
          <w:color w:val="auto"/>
          <w:highlight w:val="none"/>
        </w:rPr>
        <w:t>0579-8992008</w:t>
      </w:r>
      <w:r>
        <w:rPr>
          <w:rFonts w:hint="eastAsia" w:ascii="宋体" w:hAnsi="宋体" w:cs="宋体"/>
          <w:color w:val="auto"/>
          <w:highlight w:val="none"/>
        </w:rPr>
        <w:t>1 ，电子投标制作问题详询：</w:t>
      </w:r>
      <w:r>
        <w:rPr>
          <w:rFonts w:hint="eastAsia" w:ascii="宋体" w:hAnsi="宋体" w:cs="宋体"/>
          <w:color w:val="auto"/>
          <w:szCs w:val="21"/>
          <w:highlight w:val="none"/>
        </w:rPr>
        <w:t>王小姐0579－89903039。</w:t>
      </w:r>
    </w:p>
    <w:p w14:paraId="1FD119B6">
      <w:pPr>
        <w:pStyle w:val="18"/>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9.投标保证金：无</w:t>
      </w:r>
    </w:p>
    <w:p w14:paraId="02AB2BE7">
      <w:pPr>
        <w:pStyle w:val="18"/>
        <w:spacing w:line="360" w:lineRule="auto"/>
        <w:ind w:firstLine="422" w:firstLineChars="200"/>
        <w:jc w:val="left"/>
        <w:rPr>
          <w:rFonts w:hint="eastAsia" w:hAnsi="宋体" w:cs="宋体"/>
          <w:b/>
          <w:color w:val="auto"/>
          <w:highlight w:val="none"/>
        </w:rPr>
      </w:pPr>
      <w:r>
        <w:rPr>
          <w:rFonts w:hint="eastAsia" w:hAnsi="宋体" w:cs="宋体"/>
          <w:b/>
          <w:color w:val="auto"/>
          <w:highlight w:val="none"/>
        </w:rPr>
        <w:t>10.业务咨询：</w:t>
      </w:r>
    </w:p>
    <w:p w14:paraId="7DA9D0DF">
      <w:pPr>
        <w:pStyle w:val="18"/>
        <w:spacing w:line="360" w:lineRule="auto"/>
        <w:ind w:firstLine="440" w:firstLineChars="200"/>
        <w:jc w:val="lef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义乌市恒风新能源服务有限公司</w:t>
      </w:r>
      <w:r>
        <w:rPr>
          <w:rFonts w:hint="eastAsia" w:hAnsi="宋体" w:cs="宋体"/>
          <w:color w:val="auto"/>
          <w:sz w:val="22"/>
          <w:szCs w:val="22"/>
          <w:highlight w:val="none"/>
          <w:shd w:val="clear" w:color="auto" w:fill="FFFFFF"/>
        </w:rPr>
        <w:t>：</w:t>
      </w:r>
      <w:r>
        <w:rPr>
          <w:rFonts w:hint="eastAsia" w:hAnsi="宋体" w:cs="宋体"/>
          <w:color w:val="auto"/>
          <w:sz w:val="22"/>
          <w:szCs w:val="22"/>
          <w:highlight w:val="none"/>
          <w:shd w:val="clear" w:color="auto" w:fill="FFFFFF"/>
          <w:lang w:eastAsia="zh-CN"/>
        </w:rPr>
        <w:t>孙女士</w:t>
      </w:r>
      <w:r>
        <w:rPr>
          <w:rFonts w:hint="eastAsia" w:hAnsi="宋体" w:cs="宋体"/>
          <w:color w:val="auto"/>
          <w:sz w:val="22"/>
          <w:szCs w:val="22"/>
          <w:highlight w:val="none"/>
          <w:shd w:val="clear" w:color="auto" w:fill="FFFFFF"/>
        </w:rPr>
        <w:t xml:space="preserve"> </w:t>
      </w:r>
      <w:r>
        <w:rPr>
          <w:rFonts w:hint="eastAsia" w:hAnsi="宋体" w:cs="宋体"/>
          <w:color w:val="auto"/>
          <w:sz w:val="22"/>
          <w:szCs w:val="22"/>
          <w:highlight w:val="none"/>
          <w:shd w:val="clear" w:color="auto" w:fill="FFFFFF"/>
          <w:lang w:eastAsia="zh-CN"/>
        </w:rPr>
        <w:t>0579-85561622</w:t>
      </w:r>
    </w:p>
    <w:p w14:paraId="3FE48C07">
      <w:pPr>
        <w:snapToGrid w:val="0"/>
        <w:spacing w:line="360" w:lineRule="auto"/>
        <w:ind w:firstLine="411" w:firstLineChars="196"/>
        <w:rPr>
          <w:rFonts w:hint="eastAsia" w:ascii="宋体" w:hAnsi="宋体" w:cs="宋体"/>
          <w:color w:val="auto"/>
          <w:szCs w:val="21"/>
          <w:highlight w:val="none"/>
        </w:rPr>
      </w:pPr>
      <w:r>
        <w:rPr>
          <w:rFonts w:hint="eastAsia" w:ascii="宋体" w:hAnsi="宋体" w:cs="宋体"/>
          <w:color w:val="auto"/>
          <w:highlight w:val="none"/>
        </w:rPr>
        <w:t>义乌产权交易所有限公司：</w:t>
      </w:r>
      <w:r>
        <w:rPr>
          <w:rFonts w:hint="eastAsia" w:ascii="宋体" w:hAnsi="宋体" w:cs="宋体"/>
          <w:color w:val="auto"/>
          <w:szCs w:val="21"/>
          <w:highlight w:val="none"/>
        </w:rPr>
        <w:t>王小姐0579－89903039。</w:t>
      </w:r>
    </w:p>
    <w:p w14:paraId="6C431AD7">
      <w:pPr>
        <w:pStyle w:val="18"/>
        <w:spacing w:line="360" w:lineRule="auto"/>
        <w:ind w:left="420"/>
        <w:jc w:val="left"/>
        <w:rPr>
          <w:rFonts w:hint="eastAsia" w:hAnsi="宋体" w:cs="宋体"/>
          <w:color w:val="auto"/>
          <w:highlight w:val="none"/>
        </w:rPr>
      </w:pPr>
    </w:p>
    <w:p w14:paraId="2082C4B0">
      <w:pPr>
        <w:pStyle w:val="18"/>
        <w:adjustRightInd w:val="0"/>
        <w:snapToGrid w:val="0"/>
        <w:spacing w:line="360" w:lineRule="auto"/>
        <w:rPr>
          <w:rFonts w:hint="eastAsia" w:hAnsi="宋体" w:cs="宋体"/>
          <w:color w:val="auto"/>
          <w:highlight w:val="none"/>
          <w:lang w:val="zh-CN"/>
        </w:rPr>
      </w:pPr>
    </w:p>
    <w:p w14:paraId="6AC8DF55">
      <w:pPr>
        <w:pStyle w:val="18"/>
        <w:adjustRightInd w:val="0"/>
        <w:snapToGrid w:val="0"/>
        <w:spacing w:line="360" w:lineRule="auto"/>
        <w:ind w:firstLine="420" w:firstLineChars="200"/>
        <w:rPr>
          <w:rFonts w:hint="eastAsia" w:hAnsi="宋体" w:cs="宋体"/>
          <w:color w:val="auto"/>
          <w:highlight w:val="none"/>
        </w:rPr>
      </w:pPr>
    </w:p>
    <w:p w14:paraId="7A864379">
      <w:pPr>
        <w:pStyle w:val="18"/>
        <w:adjustRightInd w:val="0"/>
        <w:snapToGrid w:val="0"/>
        <w:spacing w:line="360" w:lineRule="auto"/>
        <w:jc w:val="right"/>
        <w:rPr>
          <w:rFonts w:hint="eastAsia" w:hAnsi="宋体" w:eastAsia="宋体" w:cs="宋体"/>
          <w:color w:val="auto"/>
          <w:highlight w:val="none"/>
          <w:lang w:eastAsia="zh-CN"/>
        </w:rPr>
      </w:pPr>
      <w:r>
        <w:rPr>
          <w:rFonts w:hint="eastAsia" w:hAnsi="宋体" w:cs="宋体"/>
          <w:color w:val="auto"/>
          <w:sz w:val="22"/>
          <w:szCs w:val="22"/>
          <w:highlight w:val="none"/>
          <w:shd w:val="clear" w:color="auto" w:fill="FFFFFF"/>
          <w:lang w:eastAsia="zh-CN"/>
        </w:rPr>
        <w:t>义乌市恒风新能源服务有限公司</w:t>
      </w:r>
    </w:p>
    <w:p w14:paraId="6A43FB1D">
      <w:pPr>
        <w:pStyle w:val="18"/>
        <w:adjustRightInd w:val="0"/>
        <w:snapToGrid w:val="0"/>
        <w:spacing w:line="360" w:lineRule="auto"/>
        <w:jc w:val="right"/>
        <w:rPr>
          <w:rFonts w:hint="eastAsia" w:hAnsi="宋体" w:cs="宋体"/>
          <w:color w:val="auto"/>
          <w:highlight w:val="none"/>
        </w:rPr>
      </w:pPr>
      <w:r>
        <w:rPr>
          <w:rFonts w:hint="eastAsia" w:hAnsi="宋体" w:cs="宋体"/>
          <w:color w:val="auto"/>
          <w:highlight w:val="none"/>
        </w:rPr>
        <w:t>义乌产权交易所有限公司</w:t>
      </w:r>
    </w:p>
    <w:p w14:paraId="7083A88D">
      <w:pPr>
        <w:pStyle w:val="18"/>
        <w:adjustRightInd w:val="0"/>
        <w:snapToGrid w:val="0"/>
        <w:spacing w:line="360" w:lineRule="auto"/>
        <w:jc w:val="right"/>
        <w:rPr>
          <w:rFonts w:hint="eastAsia" w:hAnsi="宋体" w:cs="宋体"/>
          <w:color w:val="auto"/>
          <w:sz w:val="24"/>
          <w:highlight w:val="none"/>
        </w:rPr>
      </w:pPr>
      <w:r>
        <w:rPr>
          <w:rFonts w:hint="eastAsia" w:hAnsi="宋体" w:cs="宋体"/>
          <w:color w:val="auto"/>
          <w:highlight w:val="none"/>
        </w:rPr>
        <w:t>2025年</w:t>
      </w:r>
      <w:r>
        <w:rPr>
          <w:rFonts w:hint="eastAsia" w:hAnsi="宋体" w:cs="宋体"/>
          <w:color w:val="auto"/>
          <w:highlight w:val="none"/>
          <w:lang w:val="en-US" w:eastAsia="zh-CN"/>
        </w:rPr>
        <w:t>10</w:t>
      </w:r>
      <w:r>
        <w:rPr>
          <w:rFonts w:hint="eastAsia" w:hAnsi="宋体" w:cs="宋体"/>
          <w:color w:val="auto"/>
          <w:highlight w:val="none"/>
        </w:rPr>
        <w:t>月</w:t>
      </w:r>
      <w:r>
        <w:rPr>
          <w:rFonts w:hint="eastAsia" w:hAnsi="宋体" w:cs="宋体"/>
          <w:color w:val="auto"/>
          <w:highlight w:val="none"/>
          <w:lang w:val="en-US" w:eastAsia="zh-CN"/>
        </w:rPr>
        <w:t>14</w:t>
      </w:r>
      <w:r>
        <w:rPr>
          <w:rFonts w:hint="eastAsia" w:hAnsi="宋体" w:cs="宋体"/>
          <w:color w:val="auto"/>
          <w:highlight w:val="none"/>
        </w:rPr>
        <w:t>日</w:t>
      </w:r>
    </w:p>
    <w:p w14:paraId="49BEAD8E">
      <w:pPr>
        <w:pStyle w:val="18"/>
        <w:adjustRightInd w:val="0"/>
        <w:snapToGrid w:val="0"/>
        <w:spacing w:line="360" w:lineRule="auto"/>
        <w:jc w:val="right"/>
        <w:rPr>
          <w:rFonts w:hint="eastAsia" w:hAnsi="宋体"/>
          <w:color w:val="auto"/>
          <w:sz w:val="24"/>
          <w:highlight w:val="none"/>
        </w:rPr>
      </w:pPr>
    </w:p>
    <w:p w14:paraId="4A24FF6E">
      <w:pPr>
        <w:pStyle w:val="18"/>
        <w:adjustRightInd w:val="0"/>
        <w:snapToGrid w:val="0"/>
        <w:spacing w:line="360" w:lineRule="auto"/>
        <w:jc w:val="right"/>
        <w:rPr>
          <w:rFonts w:hint="eastAsia" w:hAnsi="宋体"/>
          <w:color w:val="auto"/>
          <w:sz w:val="24"/>
          <w:highlight w:val="none"/>
        </w:rPr>
      </w:pPr>
    </w:p>
    <w:p w14:paraId="41632A69">
      <w:pPr>
        <w:pStyle w:val="18"/>
        <w:adjustRightInd w:val="0"/>
        <w:snapToGrid w:val="0"/>
        <w:spacing w:line="400" w:lineRule="exact"/>
        <w:jc w:val="right"/>
        <w:rPr>
          <w:rFonts w:hint="eastAsia" w:hAnsi="宋体"/>
          <w:color w:val="auto"/>
          <w:sz w:val="24"/>
          <w:highlight w:val="none"/>
        </w:rPr>
      </w:pPr>
    </w:p>
    <w:p w14:paraId="28F6E1BF">
      <w:pPr>
        <w:pStyle w:val="18"/>
        <w:adjustRightInd w:val="0"/>
        <w:snapToGrid w:val="0"/>
        <w:spacing w:line="400" w:lineRule="exact"/>
        <w:jc w:val="right"/>
        <w:rPr>
          <w:rFonts w:hint="eastAsia" w:hAnsi="宋体"/>
          <w:color w:val="auto"/>
          <w:sz w:val="24"/>
          <w:highlight w:val="none"/>
        </w:rPr>
      </w:pPr>
    </w:p>
    <w:p w14:paraId="54946957">
      <w:pPr>
        <w:pStyle w:val="18"/>
        <w:adjustRightInd w:val="0"/>
        <w:snapToGrid w:val="0"/>
        <w:spacing w:line="400" w:lineRule="exact"/>
        <w:jc w:val="right"/>
        <w:rPr>
          <w:rFonts w:hint="eastAsia" w:hAnsi="宋体"/>
          <w:color w:val="auto"/>
          <w:sz w:val="24"/>
          <w:highlight w:val="none"/>
        </w:rPr>
      </w:pPr>
    </w:p>
    <w:p w14:paraId="15AF458F">
      <w:pPr>
        <w:pStyle w:val="18"/>
        <w:adjustRightInd w:val="0"/>
        <w:snapToGrid w:val="0"/>
        <w:spacing w:line="400" w:lineRule="exact"/>
        <w:jc w:val="right"/>
        <w:rPr>
          <w:rFonts w:hint="eastAsia" w:hAnsi="宋体"/>
          <w:color w:val="auto"/>
          <w:sz w:val="24"/>
          <w:highlight w:val="none"/>
        </w:rPr>
      </w:pPr>
    </w:p>
    <w:p w14:paraId="24E5287D">
      <w:pPr>
        <w:pStyle w:val="18"/>
        <w:adjustRightInd w:val="0"/>
        <w:snapToGrid w:val="0"/>
        <w:spacing w:line="400" w:lineRule="exact"/>
        <w:jc w:val="right"/>
        <w:rPr>
          <w:rFonts w:hint="eastAsia" w:hAnsi="宋体"/>
          <w:color w:val="auto"/>
          <w:sz w:val="24"/>
          <w:highlight w:val="none"/>
        </w:rPr>
      </w:pPr>
    </w:p>
    <w:p w14:paraId="2F004FF0">
      <w:pPr>
        <w:pStyle w:val="18"/>
        <w:adjustRightInd w:val="0"/>
        <w:snapToGrid w:val="0"/>
        <w:spacing w:line="400" w:lineRule="exact"/>
        <w:jc w:val="right"/>
        <w:rPr>
          <w:rFonts w:hAnsi="宋体"/>
          <w:color w:val="auto"/>
          <w:highlight w:val="none"/>
        </w:rPr>
      </w:pPr>
    </w:p>
    <w:p w14:paraId="500486C8">
      <w:pPr>
        <w:pStyle w:val="18"/>
        <w:adjustRightInd w:val="0"/>
        <w:snapToGrid w:val="0"/>
        <w:spacing w:line="400" w:lineRule="exact"/>
        <w:jc w:val="right"/>
        <w:rPr>
          <w:rFonts w:hAnsi="宋体"/>
          <w:color w:val="auto"/>
          <w:highlight w:val="none"/>
        </w:rPr>
      </w:pPr>
    </w:p>
    <w:p w14:paraId="5C80E700">
      <w:pPr>
        <w:pStyle w:val="2"/>
        <w:spacing w:line="240" w:lineRule="exact"/>
        <w:jc w:val="center"/>
        <w:rPr>
          <w:color w:val="auto"/>
          <w:sz w:val="36"/>
          <w:highlight w:val="none"/>
        </w:rPr>
      </w:pPr>
      <w:bookmarkStart w:id="3" w:name="_Toc10680"/>
      <w:r>
        <w:rPr>
          <w:rFonts w:hint="eastAsia"/>
          <w:color w:val="auto"/>
          <w:sz w:val="36"/>
          <w:highlight w:val="none"/>
        </w:rPr>
        <w:br w:type="page"/>
      </w:r>
      <w:bookmarkStart w:id="4" w:name="_Toc20373"/>
      <w:r>
        <w:rPr>
          <w:rFonts w:hint="eastAsia"/>
          <w:color w:val="auto"/>
          <w:sz w:val="36"/>
          <w:highlight w:val="none"/>
        </w:rPr>
        <w:t>第二章　投标须知和投标须知前附表</w:t>
      </w:r>
      <w:bookmarkEnd w:id="3"/>
      <w:bookmarkEnd w:id="4"/>
    </w:p>
    <w:p w14:paraId="1F621721">
      <w:pPr>
        <w:spacing w:line="360" w:lineRule="auto"/>
        <w:ind w:firstLine="602" w:firstLineChars="200"/>
        <w:jc w:val="center"/>
        <w:rPr>
          <w:rFonts w:hint="eastAsia" w:ascii="宋体" w:hAnsi="宋体"/>
          <w:b/>
          <w:color w:val="auto"/>
          <w:sz w:val="30"/>
          <w:szCs w:val="30"/>
          <w:highlight w:val="none"/>
        </w:rPr>
      </w:pPr>
      <w:r>
        <w:rPr>
          <w:rFonts w:hint="eastAsia" w:ascii="宋体" w:hAnsi="宋体"/>
          <w:b/>
          <w:color w:val="auto"/>
          <w:sz w:val="30"/>
          <w:szCs w:val="30"/>
          <w:highlight w:val="none"/>
        </w:rPr>
        <w:t>投标须知前附表</w:t>
      </w:r>
    </w:p>
    <w:tbl>
      <w:tblPr>
        <w:tblStyle w:val="37"/>
        <w:tblW w:w="9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670"/>
        <w:gridCol w:w="7560"/>
      </w:tblGrid>
      <w:tr w14:paraId="2000E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C31B3BA">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9230" w:type="dxa"/>
            <w:gridSpan w:val="2"/>
            <w:tcBorders>
              <w:top w:val="single" w:color="auto" w:sz="4" w:space="0"/>
              <w:left w:val="single" w:color="auto" w:sz="4" w:space="0"/>
              <w:bottom w:val="single" w:color="auto" w:sz="4" w:space="0"/>
              <w:right w:val="single" w:color="auto" w:sz="4" w:space="0"/>
            </w:tcBorders>
            <w:noWrap w:val="0"/>
            <w:vAlign w:val="center"/>
          </w:tcPr>
          <w:p w14:paraId="08F22B1B">
            <w:pPr>
              <w:jc w:val="center"/>
              <w:rPr>
                <w:rFonts w:ascii="宋体" w:hAnsi="宋体" w:eastAsia="宋体" w:cs="宋体"/>
                <w:b/>
                <w:color w:val="auto"/>
                <w:sz w:val="24"/>
                <w:highlight w:val="none"/>
              </w:rPr>
            </w:pPr>
            <w:r>
              <w:rPr>
                <w:rFonts w:hint="eastAsia" w:ascii="宋体" w:hAnsi="宋体" w:eastAsia="宋体" w:cs="宋体"/>
                <w:b/>
                <w:color w:val="auto"/>
                <w:sz w:val="24"/>
                <w:highlight w:val="none"/>
              </w:rPr>
              <w:t>内容规定</w:t>
            </w:r>
          </w:p>
        </w:tc>
      </w:tr>
      <w:tr w14:paraId="4C902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6BBD826">
            <w:pPr>
              <w:spacing w:line="400" w:lineRule="exact"/>
              <w:ind w:firstLine="210" w:firstLineChars="1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4241BF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项目综合</w:t>
            </w:r>
          </w:p>
          <w:p w14:paraId="40CF119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说明</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63D624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项目名称： </w:t>
            </w:r>
            <w:r>
              <w:rPr>
                <w:rFonts w:hint="eastAsia" w:ascii="宋体" w:hAnsi="宋体" w:cs="宋体"/>
                <w:color w:val="auto"/>
                <w:szCs w:val="21"/>
                <w:highlight w:val="none"/>
                <w:lang w:eastAsia="zh-CN"/>
              </w:rPr>
              <w:t>义乌市恒风新能源服务有限公司江东公交出行中心直流充电桩</w:t>
            </w:r>
            <w:r>
              <w:rPr>
                <w:rFonts w:hint="eastAsia" w:ascii="宋体" w:hAnsi="宋体" w:eastAsia="宋体" w:cs="宋体"/>
                <w:color w:val="auto"/>
                <w:szCs w:val="21"/>
                <w:highlight w:val="none"/>
              </w:rPr>
              <w:t>采购项目</w:t>
            </w:r>
          </w:p>
          <w:p w14:paraId="654B8B3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采购内容及数量：具体详见第三章招标项目要求。           </w:t>
            </w:r>
          </w:p>
        </w:tc>
      </w:tr>
      <w:tr w14:paraId="70F19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C8EF22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48C49A">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BE935A8">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公开招标                       </w:t>
            </w:r>
          </w:p>
        </w:tc>
      </w:tr>
      <w:tr w14:paraId="529C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D9E001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CDDE53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投标单位</w:t>
            </w:r>
          </w:p>
          <w:p w14:paraId="219404E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资格要求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915F219">
            <w:pPr>
              <w:spacing w:line="400" w:lineRule="exac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详见招标公告</w:t>
            </w:r>
          </w:p>
        </w:tc>
      </w:tr>
      <w:tr w14:paraId="11EA6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496B09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280E7E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评标办法</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5F023E0A">
            <w:pPr>
              <w:spacing w:line="400" w:lineRule="exac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综合评分法</w:t>
            </w:r>
          </w:p>
        </w:tc>
      </w:tr>
      <w:tr w14:paraId="19457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FD8B81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90B0FE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供货要求</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EB7C46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268BE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B0CD56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6864D5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招标文件获取时间和地点</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949DEB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详见招标公告</w:t>
            </w:r>
          </w:p>
        </w:tc>
      </w:tr>
      <w:tr w14:paraId="31CA9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12E389F">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71A5E95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现场踏勘时间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63C665F">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投标前，投标人须自行到项目所在地予以踏勘，对项目实施现场及周边环境等进行勘察，以获取编制投标文件和签署合同所需的所有资料，否则，由此所造成的一切后果由投标人自行承担。</w:t>
            </w:r>
          </w:p>
        </w:tc>
      </w:tr>
      <w:tr w14:paraId="14727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6AAED75">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529E197">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技术答疑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C03AB23">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供应商认为采购文件使自己的权益受到损害的，请于2025年</w:t>
            </w: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月</w:t>
            </w:r>
            <w:r>
              <w:rPr>
                <w:rFonts w:hint="eastAsia" w:ascii="宋体" w:hAnsi="宋体" w:cs="宋体"/>
                <w:color w:val="auto"/>
                <w:szCs w:val="21"/>
                <w:highlight w:val="none"/>
                <w:lang w:val="en-US" w:eastAsia="zh-CN"/>
              </w:rPr>
              <w:t>22</w:t>
            </w:r>
            <w:r>
              <w:rPr>
                <w:rFonts w:hint="eastAsia" w:ascii="宋体" w:hAnsi="宋体" w:eastAsia="宋体" w:cs="宋体"/>
                <w:color w:val="auto"/>
                <w:szCs w:val="21"/>
                <w:highlight w:val="none"/>
              </w:rPr>
              <w:t>日17:00前以书面形式向采购人和采购代理机构提出质疑。质疑以书面方式分别提交至</w:t>
            </w:r>
            <w:r>
              <w:rPr>
                <w:rFonts w:hint="eastAsia" w:ascii="宋体" w:hAnsi="宋体" w:cs="宋体"/>
                <w:color w:val="auto"/>
                <w:szCs w:val="21"/>
                <w:highlight w:val="none"/>
                <w:lang w:eastAsia="zh-CN"/>
              </w:rPr>
              <w:t>义乌市恒风新能源服务有限公司</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孙女士</w:t>
            </w:r>
            <w:r>
              <w:rPr>
                <w:rFonts w:hint="eastAsia" w:ascii="宋体" w:hAnsi="宋体" w:eastAsia="宋体" w:cs="宋体"/>
                <w:color w:val="auto"/>
                <w:szCs w:val="21"/>
                <w:highlight w:val="none"/>
              </w:rPr>
              <w:t>（</w:t>
            </w:r>
            <w:r>
              <w:rPr>
                <w:rFonts w:hint="eastAsia" w:ascii="宋体" w:hAnsi="宋体" w:cs="宋体"/>
                <w:color w:val="auto"/>
                <w:szCs w:val="21"/>
                <w:highlight w:val="none"/>
                <w:lang w:eastAsia="zh-CN"/>
              </w:rPr>
              <w:t>0579-85561622</w:t>
            </w:r>
            <w:r>
              <w:rPr>
                <w:rFonts w:hint="eastAsia" w:ascii="宋体" w:hAnsi="宋体" w:eastAsia="宋体" w:cs="宋体"/>
                <w:color w:val="auto"/>
                <w:szCs w:val="21"/>
                <w:highlight w:val="none"/>
              </w:rPr>
              <w:t>）</w:t>
            </w:r>
            <w:r>
              <w:rPr>
                <w:rFonts w:hint="eastAsia" w:ascii="宋体" w:hAnsi="宋体" w:eastAsia="宋体" w:cs="宋体"/>
                <w:bCs/>
                <w:color w:val="auto"/>
                <w:szCs w:val="21"/>
                <w:highlight w:val="none"/>
              </w:rPr>
              <w:t>和义乌产权交易所有限公司：王女士（0579-89903039</w:t>
            </w:r>
            <w:r>
              <w:rPr>
                <w:rFonts w:hint="eastAsia" w:ascii="宋体" w:hAnsi="宋体" w:eastAsia="宋体" w:cs="宋体"/>
                <w:color w:val="auto"/>
                <w:szCs w:val="21"/>
                <w:highlight w:val="none"/>
              </w:rPr>
              <w:t>，ywcqztb001@ywcq.com），</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"mailto:请于2020年3月13日17时前将质疑文件以扫描件形式发送至43367901@qq.com，并致电项目负责人0579-89919879"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szCs w:val="21"/>
                <w:highlight w:val="none"/>
              </w:rPr>
              <w:t>并致电</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采购代理机构确认。书面文件邮寄地址：义乌市北苑街道望道路300号4051。</w:t>
            </w:r>
          </w:p>
        </w:tc>
      </w:tr>
      <w:tr w14:paraId="4E8F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FFB31F2">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9</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5DF87C31">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投标有效期</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40A1266">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自开标之日起60天（日历天）</w:t>
            </w:r>
          </w:p>
        </w:tc>
      </w:tr>
      <w:tr w14:paraId="63A63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124DAB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6C181FE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上传电子投标文件时间</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03CB6C7A">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投标人应在投标截止时间（</w:t>
            </w:r>
            <w:r>
              <w:rPr>
                <w:rFonts w:hint="eastAsia" w:ascii="宋体" w:hAnsi="宋体" w:cs="宋体"/>
                <w:color w:val="auto"/>
                <w:szCs w:val="21"/>
                <w:highlight w:val="none"/>
                <w:lang w:eastAsia="zh-CN"/>
              </w:rPr>
              <w:t>2025年11月4日09</w:t>
            </w:r>
            <w:r>
              <w:rPr>
                <w:rFonts w:hint="eastAsia" w:ascii="宋体" w:hAnsi="宋体" w:eastAsia="宋体" w:cs="宋体"/>
                <w:color w:val="auto"/>
                <w:szCs w:val="21"/>
                <w:highlight w:val="none"/>
              </w:rPr>
              <w:t>:30）之前上传投标文件。</w:t>
            </w:r>
          </w:p>
        </w:tc>
      </w:tr>
      <w:tr w14:paraId="355F0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7B2741E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71D2C9C">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开标时间、地点及电子投标文件解密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7013E7A5">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开标时间：</w:t>
            </w:r>
            <w:r>
              <w:rPr>
                <w:rFonts w:hint="eastAsia" w:ascii="宋体" w:hAnsi="宋体" w:cs="宋体"/>
                <w:color w:val="auto"/>
                <w:szCs w:val="21"/>
                <w:highlight w:val="none"/>
                <w:lang w:eastAsia="zh-CN"/>
              </w:rPr>
              <w:t>2025年11月4日09</w:t>
            </w:r>
            <w:r>
              <w:rPr>
                <w:rFonts w:hint="eastAsia" w:ascii="宋体" w:hAnsi="宋体" w:eastAsia="宋体" w:cs="宋体"/>
                <w:color w:val="auto"/>
                <w:szCs w:val="21"/>
                <w:highlight w:val="none"/>
              </w:rPr>
              <w:t>:30</w:t>
            </w:r>
          </w:p>
          <w:p w14:paraId="3BF5FE70">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开标地点：“义乌市阳光招标采购平台”（</w:t>
            </w:r>
            <w:r>
              <w:rPr>
                <w:rFonts w:hint="eastAsia" w:ascii="宋体" w:hAnsi="宋体" w:eastAsia="宋体" w:cs="宋体"/>
                <w:color w:val="auto"/>
                <w:highlight w:val="none"/>
              </w:rPr>
              <w:t>www.ywygzc.com</w:t>
            </w:r>
            <w:r>
              <w:rPr>
                <w:rFonts w:hint="eastAsia" w:ascii="宋体" w:hAnsi="宋体" w:eastAsia="宋体" w:cs="宋体"/>
                <w:color w:val="auto"/>
                <w:szCs w:val="21"/>
                <w:highlight w:val="none"/>
              </w:rPr>
              <w:t>）</w:t>
            </w:r>
          </w:p>
          <w:p w14:paraId="4014E6F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05B8CF8B">
            <w:pPr>
              <w:snapToGrid w:val="0"/>
              <w:spacing w:line="360" w:lineRule="auto"/>
              <w:rPr>
                <w:rFonts w:hint="eastAsia" w:ascii="宋体" w:hAnsi="宋体" w:eastAsia="宋体" w:cs="宋体"/>
                <w:color w:val="auto"/>
                <w:szCs w:val="21"/>
                <w:highlight w:val="none"/>
              </w:rPr>
            </w:pPr>
            <w:r>
              <w:rPr>
                <w:rFonts w:hint="eastAsia" w:ascii="宋体" w:hAnsi="宋体" w:eastAsia="宋体" w:cs="宋体"/>
                <w:b/>
                <w:bCs/>
                <w:color w:val="auto"/>
                <w:highlight w:val="none"/>
              </w:rPr>
              <w:t>电子交易平台网络不畅</w:t>
            </w:r>
            <w:r>
              <w:rPr>
                <w:rFonts w:hint="eastAsia" w:ascii="宋体" w:hAnsi="宋体" w:eastAsia="宋体" w:cs="宋体"/>
                <w:color w:val="auto"/>
                <w:highlight w:val="none"/>
              </w:rPr>
              <w:t>导致投标人不能在规定时间内完成解密，可相应延长解密时间，超出相应延长解密时间仍然未解密的，视做撤销投标文件。</w:t>
            </w:r>
          </w:p>
        </w:tc>
      </w:tr>
      <w:tr w14:paraId="68D26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1A6FC283">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584F0A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5705AA6">
            <w:pPr>
              <w:tabs>
                <w:tab w:val="left" w:pos="0"/>
              </w:tabs>
              <w:adjustRightInd w:val="0"/>
              <w:snapToGrid w:val="0"/>
              <w:spacing w:line="400" w:lineRule="exact"/>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无</w:t>
            </w:r>
          </w:p>
        </w:tc>
      </w:tr>
      <w:tr w14:paraId="08572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4D0E585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13</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167BC428">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履约保证金</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895996E">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无</w:t>
            </w:r>
          </w:p>
        </w:tc>
      </w:tr>
      <w:tr w14:paraId="56E84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0EDB254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14</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4ACDD28E">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付款方式</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A833905">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详见招标文件第三章。</w:t>
            </w:r>
          </w:p>
        </w:tc>
      </w:tr>
      <w:tr w14:paraId="70F28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5"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6C374F54">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270D54C1">
            <w:pPr>
              <w:spacing w:line="400" w:lineRule="exact"/>
              <w:ind w:left="-99" w:leftChars="-47"/>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失信行为处理</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18526D52">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投标人发生下列情况之一时，除严格依法依规进行处理外，还将通报市信用管理部门，列入严重失信名单：</w:t>
            </w:r>
          </w:p>
          <w:p w14:paraId="47654204">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（1）投标人在规定的投标有效期内撤回投标或放弃中标的；</w:t>
            </w:r>
          </w:p>
          <w:p w14:paraId="4A202C40">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（2）有意串标或提供虚假材料的；</w:t>
            </w:r>
          </w:p>
          <w:p w14:paraId="4E8FC3D3">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（3）中标人在收到中标通知书后，因自身原因不能在招标文件规定的期限内和采购人签订合同。</w:t>
            </w:r>
          </w:p>
          <w:p w14:paraId="15E31156">
            <w:pPr>
              <w:spacing w:line="400" w:lineRule="exact"/>
              <w:ind w:firstLine="210" w:firstLineChars="1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（4）中标人未在规定时间缴纳招标代理费的；</w:t>
            </w:r>
          </w:p>
          <w:p w14:paraId="615269FC">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（5）中标供应商在中标后履约过程中未按合同约定的期限和要求履约的。</w:t>
            </w:r>
          </w:p>
          <w:p w14:paraId="57AADB67">
            <w:pPr>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（6）因中标供应商原因在中标后履约过程中擅自终止合同的。</w:t>
            </w:r>
          </w:p>
          <w:p w14:paraId="63700880">
            <w:pPr>
              <w:spacing w:line="400" w:lineRule="exact"/>
              <w:jc w:val="left"/>
              <w:rPr>
                <w:rFonts w:hint="eastAsia" w:ascii="宋体" w:hAnsi="宋体" w:eastAsia="宋体" w:cs="宋体"/>
                <w:color w:val="auto"/>
                <w:szCs w:val="21"/>
                <w:highlight w:val="none"/>
                <w:lang w:eastAsia="zh-TW"/>
              </w:rPr>
            </w:pPr>
            <w:r>
              <w:rPr>
                <w:rFonts w:hint="eastAsia" w:ascii="宋体" w:hAnsi="宋体" w:eastAsia="宋体" w:cs="宋体"/>
                <w:color w:val="auto"/>
                <w:szCs w:val="21"/>
                <w:highlight w:val="none"/>
              </w:rPr>
              <w:t xml:space="preserve">  （7）不符合招标文件要求的其他失信行为。</w:t>
            </w:r>
          </w:p>
        </w:tc>
      </w:tr>
      <w:tr w14:paraId="39E5D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jc w:val="center"/>
        </w:trPr>
        <w:tc>
          <w:tcPr>
            <w:tcW w:w="720" w:type="dxa"/>
            <w:tcBorders>
              <w:top w:val="single" w:color="auto" w:sz="4" w:space="0"/>
              <w:left w:val="single" w:color="auto" w:sz="4" w:space="0"/>
              <w:bottom w:val="single" w:color="auto" w:sz="4" w:space="0"/>
              <w:right w:val="single" w:color="auto" w:sz="4" w:space="0"/>
            </w:tcBorders>
            <w:noWrap w:val="0"/>
            <w:vAlign w:val="center"/>
          </w:tcPr>
          <w:p w14:paraId="5BDE84A9">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w:t>
            </w:r>
          </w:p>
        </w:tc>
        <w:tc>
          <w:tcPr>
            <w:tcW w:w="1670" w:type="dxa"/>
            <w:tcBorders>
              <w:top w:val="single" w:color="auto" w:sz="4" w:space="0"/>
              <w:left w:val="single" w:color="auto" w:sz="4" w:space="0"/>
              <w:bottom w:val="single" w:color="auto" w:sz="4" w:space="0"/>
              <w:right w:val="single" w:color="auto" w:sz="4" w:space="0"/>
            </w:tcBorders>
            <w:noWrap w:val="0"/>
            <w:vAlign w:val="center"/>
          </w:tcPr>
          <w:p w14:paraId="38A1EA30">
            <w:pPr>
              <w:spacing w:line="4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其他</w:t>
            </w:r>
          </w:p>
        </w:tc>
        <w:tc>
          <w:tcPr>
            <w:tcW w:w="7560" w:type="dxa"/>
            <w:tcBorders>
              <w:top w:val="single" w:color="auto" w:sz="4" w:space="0"/>
              <w:left w:val="single" w:color="auto" w:sz="4" w:space="0"/>
              <w:bottom w:val="single" w:color="auto" w:sz="4" w:space="0"/>
              <w:right w:val="single" w:color="auto" w:sz="4" w:space="0"/>
            </w:tcBorders>
            <w:noWrap w:val="0"/>
            <w:vAlign w:val="center"/>
          </w:tcPr>
          <w:p w14:paraId="28281716">
            <w:pPr>
              <w:spacing w:line="400" w:lineRule="exact"/>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1）</w:t>
            </w:r>
            <w:r>
              <w:rPr>
                <w:rFonts w:hint="eastAsia" w:ascii="宋体" w:hAnsi="宋体" w:eastAsia="宋体" w:cs="宋体"/>
                <w:b/>
                <w:color w:val="auto"/>
                <w:szCs w:val="21"/>
                <w:highlight w:val="none"/>
              </w:rPr>
              <w:t>本项目设有预算价和最高限价</w:t>
            </w:r>
            <w:r>
              <w:rPr>
                <w:rFonts w:hint="eastAsia" w:ascii="宋体" w:hAnsi="宋体" w:eastAsia="宋体" w:cs="宋体"/>
                <w:color w:val="auto"/>
                <w:szCs w:val="21"/>
                <w:highlight w:val="none"/>
              </w:rPr>
              <w:t>，投标报价超过</w:t>
            </w:r>
            <w:r>
              <w:rPr>
                <w:rFonts w:hint="eastAsia" w:ascii="宋体" w:hAnsi="宋体" w:eastAsia="宋体" w:cs="宋体"/>
                <w:b/>
                <w:bCs/>
                <w:color w:val="auto"/>
                <w:szCs w:val="21"/>
                <w:highlight w:val="none"/>
              </w:rPr>
              <w:t>预算价及最</w:t>
            </w:r>
            <w:r>
              <w:rPr>
                <w:rFonts w:hint="eastAsia" w:ascii="宋体" w:hAnsi="宋体" w:eastAsia="宋体" w:cs="宋体"/>
                <w:b/>
                <w:color w:val="auto"/>
                <w:szCs w:val="21"/>
                <w:highlight w:val="none"/>
              </w:rPr>
              <w:t>高限价的</w:t>
            </w:r>
            <w:r>
              <w:rPr>
                <w:rFonts w:hint="eastAsia" w:ascii="宋体" w:hAnsi="宋体" w:eastAsia="宋体" w:cs="宋体"/>
                <w:color w:val="auto"/>
                <w:szCs w:val="21"/>
                <w:highlight w:val="none"/>
              </w:rPr>
              <w:t>，其投标为无效标。</w:t>
            </w:r>
          </w:p>
          <w:p w14:paraId="5D530407">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2）招标文件中要求投标人在制作投标文件时提供的复印件，必须根据评审细则对评审的内容复印完整、清晰可辨，否则在评审时以最不利于投标人原则评审。</w:t>
            </w:r>
          </w:p>
        </w:tc>
      </w:tr>
    </w:tbl>
    <w:p w14:paraId="7198CB16">
      <w:pPr>
        <w:spacing w:line="400" w:lineRule="exact"/>
        <w:ind w:right="-313" w:rightChars="-149"/>
        <w:rPr>
          <w:rFonts w:ascii="宋体"/>
          <w:b/>
          <w:color w:val="auto"/>
          <w:szCs w:val="21"/>
          <w:highlight w:val="none"/>
        </w:rPr>
      </w:pPr>
      <w:r>
        <w:rPr>
          <w:rFonts w:hint="eastAsia" w:ascii="宋体" w:hAnsi="宋体" w:cs="宋体"/>
          <w:b/>
          <w:color w:val="auto"/>
          <w:szCs w:val="21"/>
          <w:highlight w:val="none"/>
        </w:rPr>
        <w:t>注：投标人须知前附表内容与本招标文件后述内容不一致的，以投标须知前附表为准。</w:t>
      </w:r>
    </w:p>
    <w:p w14:paraId="42789A3F">
      <w:pPr>
        <w:pStyle w:val="2"/>
        <w:spacing w:line="240" w:lineRule="exact"/>
        <w:jc w:val="center"/>
        <w:rPr>
          <w:color w:val="auto"/>
          <w:sz w:val="32"/>
          <w:szCs w:val="32"/>
          <w:highlight w:val="none"/>
        </w:rPr>
      </w:pPr>
      <w:r>
        <w:rPr>
          <w:color w:val="auto"/>
          <w:sz w:val="36"/>
          <w:szCs w:val="36"/>
          <w:highlight w:val="none"/>
        </w:rPr>
        <w:br w:type="page"/>
      </w:r>
      <w:bookmarkStart w:id="5" w:name="_Toc32581"/>
      <w:bookmarkStart w:id="6" w:name="_Toc8496"/>
      <w:bookmarkStart w:id="7" w:name="_Toc4809"/>
      <w:r>
        <w:rPr>
          <w:rFonts w:hint="eastAsia"/>
          <w:color w:val="auto"/>
          <w:sz w:val="32"/>
          <w:szCs w:val="32"/>
          <w:highlight w:val="none"/>
        </w:rPr>
        <w:t>投标须知</w:t>
      </w:r>
      <w:bookmarkEnd w:id="5"/>
      <w:bookmarkEnd w:id="6"/>
      <w:bookmarkEnd w:id="7"/>
    </w:p>
    <w:p w14:paraId="27D8B8AA">
      <w:pPr>
        <w:pStyle w:val="3"/>
        <w:spacing w:before="120" w:after="120" w:line="360" w:lineRule="auto"/>
        <w:rPr>
          <w:rFonts w:hint="eastAsia" w:ascii="宋体" w:hAnsi="宋体" w:eastAsia="宋体" w:cs="宋体"/>
          <w:color w:val="auto"/>
          <w:sz w:val="21"/>
          <w:szCs w:val="21"/>
          <w:highlight w:val="none"/>
        </w:rPr>
      </w:pPr>
      <w:bookmarkStart w:id="8" w:name="_Toc362250687"/>
      <w:bookmarkStart w:id="9" w:name="_Toc20416"/>
      <w:bookmarkStart w:id="10" w:name="_Toc27843"/>
      <w:bookmarkStart w:id="11" w:name="_Toc274303229"/>
      <w:bookmarkStart w:id="12" w:name="_Toc28530"/>
      <w:r>
        <w:rPr>
          <w:rFonts w:hint="eastAsia" w:ascii="宋体" w:hAnsi="宋体" w:eastAsia="宋体" w:cs="宋体"/>
          <w:color w:val="auto"/>
          <w:sz w:val="21"/>
          <w:szCs w:val="21"/>
          <w:highlight w:val="none"/>
        </w:rPr>
        <w:t>一、说明</w:t>
      </w:r>
      <w:bookmarkEnd w:id="8"/>
      <w:bookmarkEnd w:id="9"/>
      <w:bookmarkEnd w:id="10"/>
      <w:bookmarkEnd w:id="11"/>
      <w:bookmarkEnd w:id="12"/>
    </w:p>
    <w:p w14:paraId="635D8C1A">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1.适用范围</w:t>
      </w:r>
    </w:p>
    <w:p w14:paraId="6E551F14">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①本招标文件仅适用于本次招标采购所叙述的货物和服务项目。</w:t>
      </w:r>
    </w:p>
    <w:p w14:paraId="14804021">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2.定义</w:t>
      </w:r>
    </w:p>
    <w:p w14:paraId="75EF147D">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①采购人：系指</w:t>
      </w:r>
      <w:r>
        <w:rPr>
          <w:rFonts w:hint="eastAsia" w:hAnsi="宋体" w:cs="宋体"/>
          <w:color w:val="auto"/>
          <w:highlight w:val="none"/>
          <w:lang w:eastAsia="zh-CN"/>
        </w:rPr>
        <w:t>义乌市恒风新能源服务有限公司</w:t>
      </w:r>
      <w:r>
        <w:rPr>
          <w:rFonts w:hint="eastAsia" w:hAnsi="宋体" w:cs="宋体"/>
          <w:color w:val="auto"/>
          <w:highlight w:val="none"/>
        </w:rPr>
        <w:t>。</w:t>
      </w:r>
    </w:p>
    <w:p w14:paraId="73E9DAA2">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②招标代理机构：系指义乌产权交易所有限公司。</w:t>
      </w:r>
    </w:p>
    <w:p w14:paraId="4BC613D9">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投标人：系指符合招标公告要求的投标供应商。</w:t>
      </w:r>
    </w:p>
    <w:p w14:paraId="217E6B29">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2.4服务：</w:t>
      </w:r>
      <w:r>
        <w:rPr>
          <w:rFonts w:hint="eastAsia" w:ascii="宋体" w:hAnsi="宋体" w:cs="宋体"/>
          <w:color w:val="auto"/>
          <w:kern w:val="0"/>
          <w:sz w:val="21"/>
          <w:szCs w:val="21"/>
          <w:highlight w:val="none"/>
        </w:rPr>
        <w:t>系指</w:t>
      </w:r>
      <w:r>
        <w:rPr>
          <w:rFonts w:hint="eastAsia" w:ascii="宋体" w:hAnsi="宋体" w:cs="宋体"/>
          <w:color w:val="auto"/>
          <w:sz w:val="21"/>
          <w:szCs w:val="21"/>
          <w:highlight w:val="none"/>
        </w:rPr>
        <w:t>招标文件规定投标人须承担的劳务及其他类似的服务。</w:t>
      </w:r>
    </w:p>
    <w:p w14:paraId="2D7F06E6">
      <w:pPr>
        <w:pStyle w:val="20"/>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2.5货物：系指按招标文件规定投标人须向采购人提供的一切材料、设备、机械、仪器仪表、工具及其他有关技术资料和文字材料。</w:t>
      </w:r>
    </w:p>
    <w:p w14:paraId="3150B2E8">
      <w:pPr>
        <w:pStyle w:val="15"/>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2.6需方：即采购人，在招投标阶段称为采购人，在签订和执行合同阶段称为需方。</w:t>
      </w:r>
    </w:p>
    <w:p w14:paraId="5381F034">
      <w:pPr>
        <w:pStyle w:val="15"/>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2.7供方：在招投标阶段称为投标人，中标后在签订和执行合同阶段称为供方。</w:t>
      </w:r>
    </w:p>
    <w:p w14:paraId="58820787">
      <w:pPr>
        <w:pStyle w:val="20"/>
        <w:adjustRightInd w:val="0"/>
        <w:snapToGrid w:val="0"/>
        <w:ind w:firstLine="420" w:firstLineChars="200"/>
        <w:rPr>
          <w:rFonts w:hint="eastAsia" w:hAnsi="宋体" w:eastAsia="宋体"/>
          <w:color w:val="auto"/>
          <w:sz w:val="21"/>
          <w:szCs w:val="21"/>
          <w:highlight w:val="none"/>
        </w:rPr>
      </w:pPr>
      <w:r>
        <w:rPr>
          <w:rFonts w:hint="eastAsia" w:hAnsi="宋体" w:eastAsia="宋体"/>
          <w:color w:val="auto"/>
          <w:sz w:val="21"/>
          <w:szCs w:val="21"/>
          <w:highlight w:val="none"/>
        </w:rPr>
        <w:t>2.8“原产地”是指货物开采、生长或生产或提供有关服务的来源地。</w:t>
      </w:r>
    </w:p>
    <w:p w14:paraId="3E49E0AD">
      <w:pPr>
        <w:pStyle w:val="20"/>
        <w:adjustRightInd w:val="0"/>
        <w:snapToGrid w:val="0"/>
        <w:ind w:firstLine="420" w:firstLineChars="200"/>
        <w:rPr>
          <w:rFonts w:hint="eastAsia" w:hAnsi="宋体" w:eastAsia="宋体"/>
          <w:color w:val="auto"/>
          <w:kern w:val="0"/>
          <w:sz w:val="21"/>
          <w:szCs w:val="21"/>
          <w:highlight w:val="none"/>
        </w:rPr>
      </w:pPr>
      <w:r>
        <w:rPr>
          <w:rFonts w:hint="eastAsia" w:hAnsi="宋体" w:eastAsia="宋体"/>
          <w:color w:val="auto"/>
          <w:sz w:val="21"/>
          <w:szCs w:val="21"/>
          <w:highlight w:val="none"/>
        </w:rPr>
        <w:t>2.9“★”标记系指必须满足不能负偏离或必须应答的条款。</w:t>
      </w:r>
    </w:p>
    <w:p w14:paraId="2F32A635">
      <w:pPr>
        <w:pStyle w:val="15"/>
        <w:adjustRightInd w:val="0"/>
        <w:snapToGrid w:val="0"/>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3.合格的投标人</w:t>
      </w:r>
    </w:p>
    <w:p w14:paraId="1D06F39E">
      <w:pPr>
        <w:pStyle w:val="15"/>
        <w:adjustRightInd w:val="0"/>
        <w:snapToGrid w:val="0"/>
        <w:spacing w:line="360" w:lineRule="auto"/>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3.1符合招标公告中要求的条件；</w:t>
      </w:r>
    </w:p>
    <w:p w14:paraId="5BF0FFF0">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4.保证</w:t>
      </w:r>
    </w:p>
    <w:p w14:paraId="4E9869AE">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4.1投标单位应保证所提交给招标机构和采购人的资料和数据是真实的。</w:t>
      </w:r>
    </w:p>
    <w:p w14:paraId="0889632C">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5.招标投标费用</w:t>
      </w:r>
    </w:p>
    <w:p w14:paraId="08225F2C">
      <w:pPr>
        <w:pStyle w:val="18"/>
        <w:spacing w:line="360" w:lineRule="auto"/>
        <w:ind w:firstLine="420" w:firstLineChars="200"/>
        <w:rPr>
          <w:rFonts w:hint="eastAsia" w:hAnsi="宋体" w:cs="宋体"/>
          <w:b/>
          <w:color w:val="auto"/>
          <w:highlight w:val="none"/>
        </w:rPr>
      </w:pPr>
      <w:r>
        <w:rPr>
          <w:rFonts w:hint="eastAsia" w:hAnsi="宋体" w:cs="宋体"/>
          <w:color w:val="auto"/>
          <w:highlight w:val="none"/>
        </w:rPr>
        <w:t>5.1不论投标过程中的做法和结果如何，投标人应承担所有与投标有关的全部费用。采购人和采购代理机构在任何情况下均无义务和责任承担上述这些费用。</w:t>
      </w:r>
    </w:p>
    <w:p w14:paraId="3A6E73EE">
      <w:pPr>
        <w:pStyle w:val="18"/>
        <w:spacing w:line="360" w:lineRule="auto"/>
        <w:ind w:firstLine="480"/>
        <w:rPr>
          <w:rFonts w:hint="eastAsia" w:hAnsi="宋体" w:cs="宋体"/>
          <w:b/>
          <w:color w:val="auto"/>
          <w:highlight w:val="none"/>
        </w:rPr>
      </w:pPr>
      <w:r>
        <w:rPr>
          <w:rFonts w:hint="eastAsia" w:hAnsi="宋体" w:cs="宋体"/>
          <w:b/>
          <w:color w:val="auto"/>
          <w:highlight w:val="none"/>
        </w:rPr>
        <w:t xml:space="preserve">6.现场勘察 </w:t>
      </w:r>
    </w:p>
    <w:p w14:paraId="6C4FFD93">
      <w:pPr>
        <w:pStyle w:val="18"/>
        <w:spacing w:line="360" w:lineRule="auto"/>
        <w:ind w:firstLine="480"/>
        <w:rPr>
          <w:rFonts w:hint="eastAsia" w:hAnsi="宋体" w:cs="宋体"/>
          <w:color w:val="auto"/>
          <w:highlight w:val="none"/>
        </w:rPr>
      </w:pPr>
      <w:r>
        <w:rPr>
          <w:rFonts w:hint="eastAsia" w:hAnsi="宋体" w:cs="宋体"/>
          <w:color w:val="auto"/>
          <w:highlight w:val="none"/>
        </w:rPr>
        <w:t>6.1投标前，投标人须自行到项目所在地予以踏勘，对项目实施现场及周边环境等进行勘察，以获取编制投标文件和签署合同所需的所有资料，否则，由此所造成的一切后果由投标人自行承担。</w:t>
      </w:r>
    </w:p>
    <w:p w14:paraId="0125A55F">
      <w:pPr>
        <w:pStyle w:val="18"/>
        <w:spacing w:line="360" w:lineRule="auto"/>
        <w:ind w:firstLine="480"/>
        <w:rPr>
          <w:rFonts w:hint="eastAsia" w:hAnsi="宋体" w:cs="宋体"/>
          <w:color w:val="auto"/>
          <w:highlight w:val="none"/>
        </w:rPr>
      </w:pPr>
      <w:r>
        <w:rPr>
          <w:rFonts w:hint="eastAsia" w:hAnsi="宋体" w:cs="宋体"/>
          <w:color w:val="auto"/>
          <w:highlight w:val="none"/>
        </w:rPr>
        <w:t>6.2投标单位在考察过程中发生的各类事件及所发生的各项费用，均由投标单位自行承担。采购人和代理机构概不负责。</w:t>
      </w:r>
    </w:p>
    <w:p w14:paraId="371B2D79">
      <w:pPr>
        <w:pStyle w:val="18"/>
        <w:adjustRightInd w:val="0"/>
        <w:snapToGrid w:val="0"/>
        <w:spacing w:line="360" w:lineRule="auto"/>
        <w:ind w:firstLine="420" w:firstLineChars="200"/>
        <w:rPr>
          <w:rFonts w:hint="eastAsia" w:hAnsi="宋体" w:cs="宋体"/>
          <w:color w:val="auto"/>
          <w:highlight w:val="none"/>
        </w:rPr>
      </w:pPr>
      <w:r>
        <w:rPr>
          <w:rFonts w:hint="eastAsia" w:hAnsi="宋体" w:cs="宋体"/>
          <w:color w:val="auto"/>
          <w:highlight w:val="none"/>
        </w:rPr>
        <w:t>6.3采购人向投标单位提供的有关现场的数据和资料，是采购人现有的能被投标人利用的资料，采购人对投标人据此做出的任何推论、理解和结论不负责任。</w:t>
      </w:r>
    </w:p>
    <w:p w14:paraId="1D353F9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6.4现场踏勘完毕，将认为投标人已了解现场情况，并充分理解了为之所承担的风险、义务和责任。</w:t>
      </w:r>
    </w:p>
    <w:p w14:paraId="5403CCBE">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7.联合体投标</w:t>
      </w:r>
    </w:p>
    <w:p w14:paraId="5E16698A">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本项目不允许转包。</w:t>
      </w:r>
    </w:p>
    <w:p w14:paraId="1D7D7CB5">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本项目不允许分包。</w:t>
      </w:r>
    </w:p>
    <w:p w14:paraId="71ABCD48">
      <w:pPr>
        <w:adjustRightInd w:val="0"/>
        <w:snapToGrid w:val="0"/>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本项目不接受联合体投标。</w:t>
      </w:r>
    </w:p>
    <w:p w14:paraId="08A46795">
      <w:pPr>
        <w:pStyle w:val="3"/>
        <w:spacing w:before="120" w:after="120" w:line="360" w:lineRule="auto"/>
        <w:rPr>
          <w:rFonts w:hint="eastAsia" w:ascii="宋体" w:hAnsi="宋体" w:eastAsia="宋体" w:cs="宋体"/>
          <w:color w:val="auto"/>
          <w:sz w:val="21"/>
          <w:szCs w:val="21"/>
          <w:highlight w:val="none"/>
        </w:rPr>
      </w:pPr>
      <w:bookmarkStart w:id="13" w:name="_Toc6999"/>
      <w:bookmarkStart w:id="14" w:name="_Toc274303230"/>
      <w:bookmarkStart w:id="15" w:name="_Toc12737"/>
      <w:bookmarkStart w:id="16" w:name="_Toc362250688"/>
      <w:bookmarkStart w:id="17" w:name="_Toc29212"/>
      <w:r>
        <w:rPr>
          <w:rFonts w:hint="eastAsia" w:ascii="宋体" w:hAnsi="宋体" w:eastAsia="宋体" w:cs="宋体"/>
          <w:color w:val="auto"/>
          <w:sz w:val="21"/>
          <w:szCs w:val="21"/>
          <w:highlight w:val="none"/>
        </w:rPr>
        <w:t>二、招标文件</w:t>
      </w:r>
      <w:bookmarkEnd w:id="13"/>
      <w:bookmarkEnd w:id="14"/>
      <w:bookmarkEnd w:id="15"/>
      <w:bookmarkEnd w:id="16"/>
      <w:bookmarkEnd w:id="17"/>
    </w:p>
    <w:p w14:paraId="72DE64CC">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8.招标文件的组成</w:t>
      </w:r>
    </w:p>
    <w:p w14:paraId="3C9FCAE8">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8.1招标文件包括下列内容：</w:t>
      </w:r>
    </w:p>
    <w:p w14:paraId="574F443B">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第一章  招标公告</w:t>
      </w:r>
    </w:p>
    <w:p w14:paraId="38297750">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第二章  投标须知和投标须知前附表</w:t>
      </w:r>
    </w:p>
    <w:p w14:paraId="3BFDE49A">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第三章  招标项目要求</w:t>
      </w:r>
    </w:p>
    <w:p w14:paraId="69672E9D">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第四章  开标、评标和定标须知</w:t>
      </w:r>
    </w:p>
    <w:p w14:paraId="49E80475">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第五章  投标文件的有效性</w:t>
      </w:r>
    </w:p>
    <w:p w14:paraId="2DF73789">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第六章  评标办法</w:t>
      </w:r>
    </w:p>
    <w:p w14:paraId="2CDDD40D">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第七章  合同主要条款</w:t>
      </w:r>
    </w:p>
    <w:p w14:paraId="163E76A2">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第八章  投标文件部分格式</w:t>
      </w:r>
    </w:p>
    <w:p w14:paraId="497DC012">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8.2除8.1内容外，采购人以书面形式发出的对招标文件的澄清或修改内容，均为招标文件的组成部分，对采购人和投标人起约束作用。</w:t>
      </w:r>
    </w:p>
    <w:p w14:paraId="45AE1CF0">
      <w:pPr>
        <w:adjustRightInd w:val="0"/>
        <w:snapToGrid w:val="0"/>
        <w:spacing w:before="50" w:after="50"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8.3上述所列8.1及8.2条内容均以书面文件为准，采购人（招标代理机构）的任何工作人员对投标人所作的任何口头解释、介绍、答复，对采购人和投标人无任何约束力。</w:t>
      </w:r>
    </w:p>
    <w:p w14:paraId="21E9DEE2">
      <w:pPr>
        <w:adjustRightInd w:val="0"/>
        <w:snapToGrid w:val="0"/>
        <w:spacing w:before="50" w:after="50"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8.4</w:t>
      </w:r>
      <w:r>
        <w:rPr>
          <w:rFonts w:hint="eastAsia" w:ascii="宋体" w:hAnsi="宋体" w:cs="宋体"/>
          <w:b/>
          <w:bCs/>
          <w:color w:val="auto"/>
          <w:szCs w:val="21"/>
          <w:highlight w:val="none"/>
        </w:rPr>
        <w:t>投标单位应认真阅读投标须知、合同条件、规定格式、项目要求、报价要求等招标文件所有的内容。如果投标单位的投标文件不能符合招标文件的要求，责任由投标单位自负。实质上不响应招标文件要求的投标文件将被拒绝。</w:t>
      </w:r>
    </w:p>
    <w:p w14:paraId="130FF349">
      <w:pPr>
        <w:adjustRightInd w:val="0"/>
        <w:snapToGrid w:val="0"/>
        <w:spacing w:before="50" w:after="50"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9.招标文件的澄清</w:t>
      </w:r>
    </w:p>
    <w:p w14:paraId="075287EB">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9.1投标人若对招标文件有任何疑问，应于前附表规定的时间及方式向采购人和代理机构提出。</w:t>
      </w:r>
    </w:p>
    <w:p w14:paraId="1550B495">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9.2无论是采购人根据需要主动对招标文件进行必要澄清，或是根据投标人的要求对招标文件做出澄清，采购人都将答疑；答疑内容是招标文件的组成部分。</w:t>
      </w:r>
    </w:p>
    <w:p w14:paraId="33592F7A">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同时将书面澄清文件向所有投标人发送。投标人在收到该澄清文件后应于 一 日内，以书面或传真形式（签署意见并加盖公章）向招标代理机构回函给予确认。过期未回复的，视为默认接收。</w:t>
      </w:r>
    </w:p>
    <w:p w14:paraId="45AC1D7F">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9.3投标单位在前附表规定时间未提交疑问的，视作默认对本次招标过程中招标文件无异议，采购人对其提出的问题可以不作解释。</w:t>
      </w:r>
    </w:p>
    <w:p w14:paraId="60113AED">
      <w:pPr>
        <w:spacing w:line="360" w:lineRule="auto"/>
        <w:ind w:firstLine="420" w:firstLineChars="200"/>
        <w:textAlignment w:val="baseline"/>
        <w:rPr>
          <w:rFonts w:hint="eastAsia" w:ascii="宋体" w:hAnsi="宋体" w:cs="宋体"/>
          <w:color w:val="auto"/>
          <w:spacing w:val="-4"/>
          <w:szCs w:val="21"/>
          <w:highlight w:val="none"/>
        </w:rPr>
      </w:pPr>
      <w:r>
        <w:rPr>
          <w:rFonts w:hint="eastAsia" w:ascii="宋体" w:hAnsi="宋体" w:cs="宋体"/>
          <w:color w:val="auto"/>
          <w:szCs w:val="21"/>
          <w:highlight w:val="none"/>
        </w:rPr>
        <w:t>9.4</w:t>
      </w:r>
      <w:r>
        <w:rPr>
          <w:rFonts w:hint="eastAsia" w:ascii="宋体" w:hAnsi="宋体" w:cs="宋体"/>
          <w:color w:val="auto"/>
          <w:spacing w:val="-4"/>
          <w:szCs w:val="21"/>
          <w:highlight w:val="none"/>
        </w:rPr>
        <w:t>招标文件澄清、修改、补充等内容均以书面形式明确的内容为准。当招标文件、招标文件的澄清、修改、补充等在同一内容的表述上不一致时，以最后发出的书面文件为准。</w:t>
      </w:r>
    </w:p>
    <w:p w14:paraId="427EAAC6">
      <w:pPr>
        <w:spacing w:before="50" w:after="50" w:line="360" w:lineRule="auto"/>
        <w:ind w:firstLine="404" w:firstLineChars="200"/>
        <w:rPr>
          <w:rFonts w:hint="eastAsia" w:ascii="宋体" w:hAnsi="宋体" w:cs="宋体"/>
          <w:color w:val="auto"/>
          <w:spacing w:val="-6"/>
          <w:szCs w:val="21"/>
          <w:highlight w:val="none"/>
        </w:rPr>
      </w:pPr>
      <w:r>
        <w:rPr>
          <w:rFonts w:hint="eastAsia" w:ascii="宋体" w:hAnsi="宋体" w:cs="宋体"/>
          <w:bCs/>
          <w:color w:val="auto"/>
          <w:spacing w:val="-4"/>
          <w:szCs w:val="21"/>
          <w:highlight w:val="none"/>
        </w:rPr>
        <w:t>9.5</w:t>
      </w:r>
      <w:r>
        <w:rPr>
          <w:rFonts w:hint="eastAsia" w:ascii="宋体" w:hAnsi="宋体" w:cs="宋体"/>
          <w:color w:val="auto"/>
          <w:spacing w:val="-6"/>
          <w:szCs w:val="21"/>
          <w:highlight w:val="none"/>
        </w:rPr>
        <w:t>采购人及招标代理机构工作人员向投标人所作的任何口头答复或电话通知一律无效。</w:t>
      </w:r>
    </w:p>
    <w:p w14:paraId="5EB5CAE2">
      <w:pPr>
        <w:spacing w:line="360" w:lineRule="auto"/>
        <w:ind w:firstLine="404" w:firstLineChars="200"/>
        <w:textAlignment w:val="baseline"/>
        <w:rPr>
          <w:rFonts w:hint="eastAsia" w:ascii="宋体" w:hAnsi="宋体" w:cs="宋体"/>
          <w:color w:val="auto"/>
          <w:spacing w:val="-4"/>
          <w:szCs w:val="21"/>
          <w:highlight w:val="none"/>
        </w:rPr>
      </w:pPr>
      <w:r>
        <w:rPr>
          <w:rFonts w:hint="eastAsia" w:ascii="宋体" w:hAnsi="宋体" w:cs="宋体"/>
          <w:color w:val="auto"/>
          <w:spacing w:val="-4"/>
          <w:szCs w:val="21"/>
          <w:highlight w:val="none"/>
        </w:rPr>
        <w:t>9.6投标人应仔细阅读和检查招标文件的全部内容。如发现缺页或附件不全，应及时向采购人提出，以便补齐。如有疑问，应在投标人须知前附表规定的方式及时间前以书面或传真的形式要求采购人对招标文件予以澄清。否则，由此引起的损失由投标人自己承担。</w:t>
      </w:r>
    </w:p>
    <w:p w14:paraId="7B506C1D">
      <w:pPr>
        <w:pStyle w:val="3"/>
        <w:spacing w:before="120" w:after="120" w:line="360" w:lineRule="auto"/>
        <w:rPr>
          <w:rFonts w:hint="eastAsia" w:ascii="宋体" w:hAnsi="宋体" w:eastAsia="宋体" w:cs="宋体"/>
          <w:color w:val="auto"/>
          <w:sz w:val="21"/>
          <w:szCs w:val="21"/>
          <w:highlight w:val="none"/>
        </w:rPr>
      </w:pPr>
      <w:bookmarkStart w:id="18" w:name="_Toc16783"/>
      <w:bookmarkStart w:id="19" w:name="_Toc362250689"/>
      <w:bookmarkStart w:id="20" w:name="_Toc274303231"/>
      <w:bookmarkStart w:id="21" w:name="_Toc31250"/>
      <w:bookmarkStart w:id="22" w:name="_Toc29690"/>
      <w:r>
        <w:rPr>
          <w:rFonts w:hint="eastAsia" w:ascii="宋体" w:hAnsi="宋体" w:eastAsia="宋体" w:cs="宋体"/>
          <w:color w:val="auto"/>
          <w:sz w:val="21"/>
          <w:szCs w:val="21"/>
          <w:highlight w:val="none"/>
        </w:rPr>
        <w:t>三、投标文件</w:t>
      </w:r>
      <w:bookmarkEnd w:id="18"/>
      <w:bookmarkEnd w:id="19"/>
      <w:bookmarkEnd w:id="20"/>
      <w:bookmarkEnd w:id="21"/>
      <w:bookmarkEnd w:id="22"/>
    </w:p>
    <w:p w14:paraId="410CE370">
      <w:pPr>
        <w:adjustRightInd w:val="0"/>
        <w:snapToGrid w:val="0"/>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10.</w:t>
      </w:r>
      <w:r>
        <w:rPr>
          <w:rFonts w:hint="eastAsia" w:ascii="宋体" w:hAnsi="宋体" w:cs="宋体"/>
          <w:b/>
          <w:bCs/>
          <w:color w:val="auto"/>
          <w:szCs w:val="21"/>
          <w:highlight w:val="none"/>
        </w:rPr>
        <w:t>投标文件的语言及度量衡单位</w:t>
      </w:r>
    </w:p>
    <w:p w14:paraId="6029209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10.1投标文件和与投标有关的所有文件均应使用汉语。</w:t>
      </w:r>
    </w:p>
    <w:p w14:paraId="0D7D8245">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10.2除工程规范另有规定外，投标文件使用的度量衡单位，均采用中华人民共和国法定计量单位。</w:t>
      </w:r>
    </w:p>
    <w:p w14:paraId="1310ECD6">
      <w:pPr>
        <w:spacing w:line="360" w:lineRule="auto"/>
        <w:ind w:firstLine="422" w:firstLineChars="200"/>
        <w:rPr>
          <w:rFonts w:hint="eastAsia" w:ascii="宋体" w:hAnsi="宋体" w:cs="宋体"/>
          <w:color w:val="auto"/>
          <w:kern w:val="0"/>
          <w:szCs w:val="21"/>
          <w:highlight w:val="none"/>
        </w:rPr>
      </w:pPr>
      <w:r>
        <w:rPr>
          <w:rFonts w:hint="eastAsia" w:ascii="宋体" w:hAnsi="宋体" w:cs="宋体"/>
          <w:b/>
          <w:bCs/>
          <w:color w:val="auto"/>
          <w:szCs w:val="21"/>
          <w:highlight w:val="none"/>
        </w:rPr>
        <w:t>11.对投标文件的要求</w:t>
      </w:r>
    </w:p>
    <w:p w14:paraId="488DD2AF">
      <w:pPr>
        <w:pStyle w:val="31"/>
        <w:spacing w:line="360" w:lineRule="auto"/>
        <w:jc w:val="left"/>
        <w:textAlignment w:val="baseline"/>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11.1投标人应仔细阅读招标文件，了解招标文件的要求，在完全了解招标项目的技术要求和商务要求后，编制投标文件。</w:t>
      </w:r>
    </w:p>
    <w:p w14:paraId="29AB367E">
      <w:pPr>
        <w:pStyle w:val="15"/>
        <w:spacing w:line="360" w:lineRule="auto"/>
        <w:ind w:left="1" w:firstLine="415" w:firstLineChars="198"/>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11.2编制投标文件时，投标人对招标文件中技术及商务要求须逐条逐项作出实质性回答。</w:t>
      </w:r>
    </w:p>
    <w:p w14:paraId="15BE7B6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 在招标文件对技术要求中，投标人必须充分应答和满足用户的强制性的需求，如“★”等，否则将导致废标。</w:t>
      </w:r>
    </w:p>
    <w:p w14:paraId="18A56924">
      <w:pPr>
        <w:spacing w:line="360" w:lineRule="auto"/>
        <w:ind w:firstLine="480"/>
        <w:rPr>
          <w:rFonts w:hint="eastAsia" w:ascii="宋体" w:hAnsi="宋体" w:cs="宋体"/>
          <w:bCs/>
          <w:color w:val="auto"/>
          <w:szCs w:val="21"/>
          <w:highlight w:val="none"/>
        </w:rPr>
      </w:pPr>
      <w:r>
        <w:rPr>
          <w:rFonts w:hint="eastAsia" w:ascii="宋体" w:hAnsi="宋体" w:cs="宋体"/>
          <w:color w:val="auto"/>
          <w:szCs w:val="21"/>
          <w:highlight w:val="none"/>
        </w:rPr>
        <w:t>11.4</w:t>
      </w:r>
      <w:r>
        <w:rPr>
          <w:rFonts w:hint="eastAsia" w:ascii="宋体" w:hAnsi="宋体" w:cs="宋体"/>
          <w:bCs/>
          <w:color w:val="auto"/>
          <w:szCs w:val="21"/>
          <w:highlight w:val="none"/>
        </w:rPr>
        <w:t>投标人应提供证明其拟提供的货物及其辅助服务的合格性及符合招标文件规定的文件，作为其投标文件的一部分。</w:t>
      </w:r>
    </w:p>
    <w:p w14:paraId="08429770">
      <w:pPr>
        <w:spacing w:line="360" w:lineRule="auto"/>
        <w:ind w:firstLine="480"/>
        <w:rPr>
          <w:rFonts w:hint="eastAsia" w:ascii="宋体" w:hAnsi="宋体" w:cs="宋体"/>
          <w:color w:val="auto"/>
          <w:szCs w:val="21"/>
          <w:highlight w:val="none"/>
        </w:rPr>
      </w:pPr>
      <w:r>
        <w:rPr>
          <w:rFonts w:hint="eastAsia" w:ascii="宋体" w:hAnsi="宋体" w:cs="宋体"/>
          <w:bCs/>
          <w:color w:val="auto"/>
          <w:szCs w:val="21"/>
          <w:highlight w:val="none"/>
        </w:rPr>
        <w:t>11.5</w:t>
      </w:r>
      <w:r>
        <w:rPr>
          <w:rFonts w:hint="eastAsia" w:ascii="宋体" w:hAnsi="宋体" w:cs="宋体"/>
          <w:color w:val="auto"/>
          <w:szCs w:val="21"/>
          <w:highlight w:val="none"/>
        </w:rPr>
        <w:t>货物简要说明中对货物和服务原产地的说明，并应有原产地证书证明，进口货物必须有进口产品的商检证明、报关单等资料。</w:t>
      </w:r>
    </w:p>
    <w:p w14:paraId="286D787E">
      <w:pPr>
        <w:spacing w:line="360" w:lineRule="auto"/>
        <w:ind w:firstLine="480"/>
        <w:rPr>
          <w:rFonts w:hint="eastAsia" w:ascii="宋体" w:hAnsi="宋体" w:cs="宋体"/>
          <w:color w:val="auto"/>
          <w:szCs w:val="21"/>
          <w:highlight w:val="none"/>
        </w:rPr>
      </w:pPr>
      <w:r>
        <w:rPr>
          <w:rFonts w:hint="eastAsia" w:ascii="宋体" w:hAnsi="宋体" w:cs="宋体"/>
          <w:color w:val="auto"/>
          <w:szCs w:val="21"/>
          <w:highlight w:val="none"/>
        </w:rPr>
        <w:t>11.6投标人在阐述货物和服务与招标文件的要求相一致的资料时应注意采购人和招标代理机构在技术与商务要求中指出的工艺、材料和设备的标准以及参照的牌号或分类号仅起说明作用，并没有任何限制投标人在响应中可以选用替代标准、牌号或分类号，但这些替代要实质上相当于招标文件的要求，并使采购人满意。</w:t>
      </w:r>
    </w:p>
    <w:p w14:paraId="19BA59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11.7编制的投标文件对招标文件中有关条款未提出异议的，均被视为接受和同意。</w:t>
      </w:r>
    </w:p>
    <w:p w14:paraId="0855C065">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12.投标文件的组成</w:t>
      </w:r>
    </w:p>
    <w:p w14:paraId="6694D35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 招标文件“投标文件部分格式”所列的内容、格式及其投标人认为有必要提供的其他文件。</w:t>
      </w:r>
    </w:p>
    <w:p w14:paraId="5BA9C707">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 xml:space="preserve">12.2 </w:t>
      </w:r>
      <w:r>
        <w:rPr>
          <w:rFonts w:hint="eastAsia" w:ascii="宋体" w:hAnsi="宋体" w:cs="宋体"/>
          <w:b/>
          <w:bCs/>
          <w:color w:val="auto"/>
          <w:szCs w:val="21"/>
          <w:highlight w:val="none"/>
        </w:rPr>
        <w:t>投标文件由资格响应文件、商务技术响应文件和报价响应文件组成，以下的“格式”，指的是第八章投标文件格式中的表格；</w:t>
      </w:r>
    </w:p>
    <w:p w14:paraId="08C70572">
      <w:pPr>
        <w:pStyle w:val="18"/>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12.2.1 资格响应文件：</w:t>
      </w:r>
      <w:r>
        <w:rPr>
          <w:rFonts w:hint="eastAsia" w:hAnsi="宋体" w:cs="宋体"/>
          <w:color w:val="auto"/>
          <w:highlight w:val="none"/>
        </w:rPr>
        <w:t>投标方资格、资信合格性的有关证明及资料（提供的证明文件需在有效期内，过期的文件无效）：投标人应提交证明其有资格参加投标和中标后有能力履行合同的文件，并作为其投标文件的一部分；投标人提交的合格性的证明文件应使招标方满意，投标人在投标时应是符合条件的投标人。</w:t>
      </w:r>
      <w:r>
        <w:rPr>
          <w:rFonts w:hint="eastAsia" w:hAnsi="宋体" w:cs="宋体"/>
          <w:b/>
          <w:bCs/>
          <w:color w:val="auto"/>
          <w:highlight w:val="none"/>
        </w:rPr>
        <w:t>应包括下列内容（并不仅限于以下）：（</w:t>
      </w:r>
      <w:r>
        <w:rPr>
          <w:rFonts w:hint="eastAsia" w:hAnsi="宋体" w:cs="宋体"/>
          <w:b/>
          <w:bCs/>
          <w:color w:val="auto"/>
          <w:highlight w:val="none"/>
          <w:u w:val="single"/>
        </w:rPr>
        <w:t>提供的所有证书应在有效期内，过期的文件无效）</w:t>
      </w:r>
    </w:p>
    <w:p w14:paraId="271C4E8B">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（1）有效的营业执照副本等经营资格扫描件或在“国家企业信用信息公示系统”（网址：http://www.gsxt.gov.cn/）上的单位详细信息打印件；</w:t>
      </w:r>
    </w:p>
    <w:p w14:paraId="02FDCB4E">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（2）义乌市国企采购项目投标承诺书；</w:t>
      </w:r>
    </w:p>
    <w:p w14:paraId="7AEFA2ED">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w:t>
      </w:r>
      <w:r>
        <w:rPr>
          <w:rFonts w:hint="eastAsia" w:hAnsi="宋体" w:cs="宋体"/>
          <w:color w:val="auto"/>
          <w:highlight w:val="none"/>
        </w:rPr>
        <w:t>（3）法定代表人授权书和被授权人身份证复印件［适用于非法定代表人参加投标的，说明：法定代表人以营业执照载明的人员为准］；</w:t>
      </w:r>
    </w:p>
    <w:p w14:paraId="35ADE58C">
      <w:pPr>
        <w:pStyle w:val="18"/>
        <w:spacing w:line="360" w:lineRule="auto"/>
        <w:ind w:firstLine="843" w:firstLineChars="400"/>
        <w:rPr>
          <w:rFonts w:hint="eastAsia" w:hAnsi="宋体" w:cs="宋体"/>
          <w:color w:val="auto"/>
          <w:highlight w:val="none"/>
        </w:rPr>
      </w:pPr>
      <w:r>
        <w:rPr>
          <w:rFonts w:hint="eastAsia" w:hAnsi="宋体" w:cs="宋体"/>
          <w:b/>
          <w:bCs/>
          <w:color w:val="auto"/>
          <w:highlight w:val="none"/>
        </w:rPr>
        <w:t>12.2.2 商务技术响应文件</w:t>
      </w:r>
      <w:r>
        <w:rPr>
          <w:rFonts w:hint="eastAsia" w:hAnsi="宋体" w:cs="宋体"/>
          <w:color w:val="auto"/>
          <w:highlight w:val="none"/>
        </w:rPr>
        <w:t>：投标货物、服务符合性的有关证明及技术资料：投标人须提交参投货物的详细技术文件，其形式可以是文字资料、图纸和数据等，证明其拟供货物和服务符合招标文件规定的技术响应文件，作为投标文件的一部分。</w:t>
      </w:r>
      <w:r>
        <w:rPr>
          <w:rFonts w:hint="eastAsia" w:hAnsi="宋体" w:cs="宋体"/>
          <w:b/>
          <w:bCs/>
          <w:color w:val="auto"/>
          <w:highlight w:val="none"/>
        </w:rPr>
        <w:t>应包括下列内容（并不仅限于以下）</w:t>
      </w:r>
    </w:p>
    <w:p w14:paraId="2C8FDF7F">
      <w:pPr>
        <w:spacing w:line="360" w:lineRule="auto"/>
        <w:ind w:firstLine="422" w:firstLineChars="200"/>
        <w:rPr>
          <w:rFonts w:hint="eastAsia" w:ascii="宋体" w:hAnsi="宋体" w:cs="宋体"/>
          <w:color w:val="auto"/>
          <w:szCs w:val="21"/>
          <w:highlight w:val="none"/>
        </w:rPr>
      </w:pPr>
      <w:r>
        <w:rPr>
          <w:rFonts w:hint="eastAsia" w:ascii="宋体" w:hAnsi="宋体" w:cs="宋体"/>
          <w:b/>
          <w:color w:val="auto"/>
          <w:szCs w:val="21"/>
          <w:highlight w:val="none"/>
        </w:rPr>
        <w:t>★</w:t>
      </w:r>
      <w:r>
        <w:rPr>
          <w:rFonts w:hint="eastAsia" w:ascii="宋体" w:hAnsi="宋体" w:cs="宋体"/>
          <w:color w:val="auto"/>
          <w:szCs w:val="21"/>
          <w:highlight w:val="none"/>
        </w:rPr>
        <w:t>（1）货物简要说明一览表；</w:t>
      </w:r>
    </w:p>
    <w:p w14:paraId="6B3388FB">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★（2）规范偏离表；</w:t>
      </w:r>
    </w:p>
    <w:p w14:paraId="6DE0C892">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★（3）产品质量保证承诺书和售后服务承诺书；</w:t>
      </w:r>
    </w:p>
    <w:p w14:paraId="16235B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（4）根据评审需要、招标文件要求等，投标人自行考虑需提供的资料。</w:t>
      </w:r>
    </w:p>
    <w:p w14:paraId="01D585D9">
      <w:pPr>
        <w:pStyle w:val="1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34BAD831">
      <w:pPr>
        <w:pStyle w:val="18"/>
        <w:spacing w:line="360" w:lineRule="auto"/>
        <w:ind w:firstLine="843" w:firstLineChars="400"/>
        <w:rPr>
          <w:rFonts w:hint="eastAsia" w:hAnsi="宋体" w:cs="宋体"/>
          <w:b/>
          <w:bCs/>
          <w:color w:val="auto"/>
          <w:highlight w:val="none"/>
        </w:rPr>
      </w:pPr>
      <w:r>
        <w:rPr>
          <w:rFonts w:hint="eastAsia" w:hAnsi="宋体" w:cs="宋体"/>
          <w:b/>
          <w:bCs/>
          <w:color w:val="auto"/>
          <w:highlight w:val="none"/>
        </w:rPr>
        <w:t>12.2.3报价响应文件：应包括下列内容（并不仅限于以下）</w:t>
      </w:r>
    </w:p>
    <w:p w14:paraId="6CC0C04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（1）开标一览表；</w:t>
      </w:r>
    </w:p>
    <w:p w14:paraId="17405653">
      <w:pPr>
        <w:pStyle w:val="18"/>
        <w:spacing w:line="360" w:lineRule="auto"/>
        <w:ind w:firstLine="422" w:firstLineChars="200"/>
        <w:rPr>
          <w:rFonts w:hint="eastAsia" w:hAnsi="宋体" w:cs="宋体"/>
          <w:color w:val="auto"/>
          <w:highlight w:val="none"/>
        </w:rPr>
      </w:pPr>
      <w:r>
        <w:rPr>
          <w:rFonts w:hint="eastAsia" w:hAnsi="宋体" w:cs="宋体"/>
          <w:b/>
          <w:bCs/>
          <w:color w:val="auto"/>
          <w:highlight w:val="none"/>
          <w:u w:val="single"/>
        </w:rPr>
        <w:t>以上文件均需加盖电子签章</w:t>
      </w:r>
    </w:p>
    <w:p w14:paraId="372BE133">
      <w:pPr>
        <w:pStyle w:val="15"/>
        <w:spacing w:line="360" w:lineRule="auto"/>
        <w:ind w:firstLine="422" w:firstLineChars="200"/>
        <w:rPr>
          <w:rFonts w:hint="eastAsia" w:ascii="宋体" w:hAnsi="宋体" w:cs="宋体"/>
          <w:b/>
          <w:bCs/>
          <w:color w:val="auto"/>
          <w:sz w:val="21"/>
          <w:szCs w:val="21"/>
          <w:highlight w:val="none"/>
        </w:rPr>
      </w:pPr>
      <w:r>
        <w:rPr>
          <w:rFonts w:hint="eastAsia" w:ascii="宋体" w:hAnsi="宋体" w:cs="宋体"/>
          <w:b/>
          <w:bCs/>
          <w:color w:val="auto"/>
          <w:sz w:val="21"/>
          <w:szCs w:val="21"/>
          <w:highlight w:val="none"/>
        </w:rPr>
        <w:t>13.投标人资格的有关证明资料</w:t>
      </w:r>
    </w:p>
    <w:p w14:paraId="546EB3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13.1投标人应提交证明其有资格参加投标和中标后有能力履行合同的文件，并作为其投标文件的一部分。</w:t>
      </w:r>
    </w:p>
    <w:p w14:paraId="6300D96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13.2 投标人提交的合格性的证明文件应使采购人满意，投标人在投标时应是符合条件的投标人。</w:t>
      </w:r>
    </w:p>
    <w:p w14:paraId="1C9D888D">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14.投标报价</w:t>
      </w:r>
    </w:p>
    <w:p w14:paraId="11F75859">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14.1投标人应根据国家的有关规定和</w:t>
      </w:r>
      <w:r>
        <w:rPr>
          <w:rFonts w:hint="eastAsia" w:hAnsi="宋体" w:cs="宋体"/>
          <w:b/>
          <w:color w:val="auto"/>
          <w:highlight w:val="none"/>
        </w:rPr>
        <w:t>招标文件要求</w:t>
      </w:r>
      <w:r>
        <w:rPr>
          <w:rFonts w:hint="eastAsia" w:hAnsi="宋体" w:cs="宋体"/>
          <w:color w:val="auto"/>
          <w:highlight w:val="none"/>
        </w:rPr>
        <w:t>并结合企业的实际情况进行投标报价。具体详见招标文件第三章中的商务要求。</w:t>
      </w:r>
    </w:p>
    <w:p w14:paraId="7F9859C4">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15.投标文件格式</w:t>
      </w:r>
    </w:p>
    <w:p w14:paraId="406A115F">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15.1投标文件须包括本须知第12条中规定的全部内容，投标人不按招标文件的要求提供的投标文件和资料将视为没有对招标文件作实质性响应，其投标将被拒绝，其风险由投标人自行承担。</w:t>
      </w:r>
    </w:p>
    <w:p w14:paraId="5B60623C">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15.2投标人提交的投标文件应当使用招标文件所提供的投标文件格式，表格格式在不改变格式内容的情况下可自行制作。在所提供表格格式之外，投标人可以增加自行设计的表格及内容，以便更细致全面地说明其能力。</w:t>
      </w:r>
    </w:p>
    <w:p w14:paraId="03E5189A">
      <w:pPr>
        <w:pStyle w:val="18"/>
        <w:spacing w:line="360" w:lineRule="auto"/>
        <w:ind w:firstLine="422" w:firstLineChars="200"/>
        <w:rPr>
          <w:rFonts w:hint="eastAsia" w:hAnsi="宋体" w:cs="宋体"/>
          <w:b/>
          <w:bCs/>
          <w:color w:val="auto"/>
          <w:highlight w:val="none"/>
        </w:rPr>
      </w:pPr>
      <w:r>
        <w:rPr>
          <w:rFonts w:hint="eastAsia" w:hAnsi="宋体" w:cs="宋体"/>
          <w:b/>
          <w:bCs/>
          <w:color w:val="auto"/>
          <w:highlight w:val="none"/>
        </w:rPr>
        <w:t>16.投标文件编制要求</w:t>
      </w:r>
    </w:p>
    <w:p w14:paraId="03519A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16.1投标人应仔细阅读招标文件，了解招标文件的要求，在完全了解招标项目的要求后，编制投标文件。</w:t>
      </w:r>
    </w:p>
    <w:p w14:paraId="1A400B4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16.2在招标文件对技术要求中，投标人必须充分应答和满足用户的强制性的需求，如“★”等，否则将导致无效标。</w:t>
      </w:r>
    </w:p>
    <w:p w14:paraId="66BF44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16.3编制的投标文件对招标文件中有关条款未提出异议的，均被视为接受和同意。</w:t>
      </w:r>
    </w:p>
    <w:p w14:paraId="60DDEEF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16.4投标人应根据电子投标操作指南按本招标文件规定的格式和顺序编制电子投标文件并进行关联定位。</w:t>
      </w:r>
    </w:p>
    <w:p w14:paraId="5876370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16.5由于未按招标文件的规定要求编制投标文件，导致评审小组作出的对投标人的误判，责任由投标人自己承担。</w:t>
      </w:r>
    </w:p>
    <w:p w14:paraId="69CC16E4">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17.投标有效期</w:t>
      </w:r>
    </w:p>
    <w:p w14:paraId="26387563">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17.1 投标文件从开标之日起，投标有效期为60天。</w:t>
      </w:r>
    </w:p>
    <w:p w14:paraId="32A18766">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17.2 特殊情况下，在原投标有效期截止之前，采购人可要求投标人同意延长有效期，这种要求与答复均应以书面形式提交。</w:t>
      </w:r>
      <w:bookmarkStart w:id="23" w:name="_Toc274303232"/>
      <w:bookmarkStart w:id="24" w:name="_Toc27009"/>
      <w:bookmarkStart w:id="25" w:name="_Toc8254"/>
      <w:bookmarkStart w:id="26" w:name="_Toc362250690"/>
    </w:p>
    <w:p w14:paraId="564DB719">
      <w:pPr>
        <w:pStyle w:val="3"/>
        <w:spacing w:before="120" w:after="120" w:line="360" w:lineRule="auto"/>
        <w:rPr>
          <w:rFonts w:hint="eastAsia" w:ascii="宋体" w:hAnsi="宋体" w:eastAsia="宋体" w:cs="宋体"/>
          <w:color w:val="auto"/>
          <w:sz w:val="21"/>
          <w:szCs w:val="21"/>
          <w:highlight w:val="none"/>
        </w:rPr>
      </w:pPr>
      <w:bookmarkStart w:id="27" w:name="_Toc12109"/>
      <w:r>
        <w:rPr>
          <w:rFonts w:hint="eastAsia" w:ascii="宋体" w:hAnsi="宋体" w:eastAsia="宋体" w:cs="宋体"/>
          <w:color w:val="auto"/>
          <w:sz w:val="21"/>
          <w:szCs w:val="21"/>
          <w:highlight w:val="none"/>
        </w:rPr>
        <w:t>四、投标文件的递交</w:t>
      </w:r>
      <w:bookmarkEnd w:id="23"/>
      <w:bookmarkEnd w:id="24"/>
      <w:bookmarkEnd w:id="25"/>
      <w:bookmarkEnd w:id="26"/>
      <w:bookmarkEnd w:id="27"/>
      <w:bookmarkStart w:id="28" w:name="_Toc7770"/>
      <w:bookmarkStart w:id="29" w:name="_Toc6809"/>
    </w:p>
    <w:p w14:paraId="53E428E8">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18.电子投标文件上传的截止时间</w:t>
      </w:r>
    </w:p>
    <w:p w14:paraId="6EB35649">
      <w:pPr>
        <w:spacing w:line="360" w:lineRule="auto"/>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投标人应在投标截止时间（</w:t>
      </w:r>
      <w:r>
        <w:rPr>
          <w:rFonts w:hint="eastAsia" w:ascii="宋体" w:hAnsi="宋体" w:cs="宋体"/>
          <w:color w:val="auto"/>
          <w:szCs w:val="21"/>
          <w:highlight w:val="none"/>
          <w:lang w:eastAsia="zh-CN"/>
        </w:rPr>
        <w:t>2025年11月4日09</w:t>
      </w:r>
      <w:r>
        <w:rPr>
          <w:rFonts w:hint="eastAsia" w:ascii="宋体" w:hAnsi="宋体" w:cs="宋体"/>
          <w:color w:val="auto"/>
          <w:szCs w:val="21"/>
          <w:highlight w:val="none"/>
        </w:rPr>
        <w:t>:30）之前上传投标文件</w:t>
      </w:r>
      <w:r>
        <w:rPr>
          <w:rFonts w:hint="eastAsia" w:ascii="宋体" w:hAnsi="宋体" w:cs="宋体"/>
          <w:b/>
          <w:bCs/>
          <w:color w:val="auto"/>
          <w:szCs w:val="21"/>
          <w:highlight w:val="none"/>
        </w:rPr>
        <w:t>。</w:t>
      </w:r>
    </w:p>
    <w:p w14:paraId="21EC2F50">
      <w:pPr>
        <w:spacing w:line="360" w:lineRule="auto"/>
        <w:ind w:firstLine="422" w:firstLineChars="200"/>
        <w:rPr>
          <w:rFonts w:hint="eastAsia" w:ascii="宋体" w:hAnsi="宋体" w:cs="宋体"/>
          <w:b/>
          <w:bCs/>
          <w:color w:val="auto"/>
          <w:szCs w:val="21"/>
          <w:highlight w:val="none"/>
        </w:rPr>
      </w:pPr>
      <w:r>
        <w:rPr>
          <w:rFonts w:hint="eastAsia" w:ascii="宋体" w:hAnsi="宋体" w:cs="宋体"/>
          <w:b/>
          <w:color w:val="auto"/>
          <w:szCs w:val="21"/>
          <w:highlight w:val="none"/>
        </w:rPr>
        <w:t>19.</w:t>
      </w:r>
      <w:r>
        <w:rPr>
          <w:rFonts w:hint="eastAsia" w:ascii="宋体" w:hAnsi="宋体" w:cs="宋体"/>
          <w:b/>
          <w:bCs/>
          <w:color w:val="auto"/>
          <w:szCs w:val="21"/>
          <w:highlight w:val="none"/>
        </w:rPr>
        <w:t>投标文件的补充、修改与撤回</w:t>
      </w:r>
    </w:p>
    <w:p w14:paraId="34C8832D">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19.1投标人在“义乌市阳光招标采购平台”上提交投标文件以后，在规定的投标截止时间之前，可以重新补充修改或撤回已上传的投标文件，补充、修改的内容为投标文件的组成部分。</w:t>
      </w:r>
    </w:p>
    <w:p w14:paraId="3404505B">
      <w:pPr>
        <w:pStyle w:val="15"/>
        <w:spacing w:line="360" w:lineRule="auto"/>
        <w:ind w:firstLine="411" w:firstLineChars="196"/>
        <w:rPr>
          <w:rFonts w:hint="eastAsia" w:ascii="宋体" w:hAnsi="宋体" w:cs="宋体"/>
          <w:color w:val="auto"/>
          <w:spacing w:val="-6"/>
          <w:sz w:val="21"/>
          <w:szCs w:val="21"/>
          <w:highlight w:val="none"/>
        </w:rPr>
      </w:pPr>
      <w:r>
        <w:rPr>
          <w:rFonts w:hint="eastAsia" w:ascii="宋体" w:hAnsi="宋体" w:cs="宋体"/>
          <w:color w:val="auto"/>
          <w:sz w:val="21"/>
          <w:szCs w:val="21"/>
          <w:highlight w:val="none"/>
        </w:rPr>
        <w:t>19.2在投标截止时间之后，</w:t>
      </w:r>
      <w:r>
        <w:rPr>
          <w:rFonts w:hint="eastAsia" w:ascii="宋体" w:hAnsi="宋体" w:cs="宋体"/>
          <w:color w:val="auto"/>
          <w:spacing w:val="-6"/>
          <w:sz w:val="21"/>
          <w:szCs w:val="21"/>
          <w:highlight w:val="none"/>
        </w:rPr>
        <w:t>投标人不得对其投标做任何修改。</w:t>
      </w:r>
    </w:p>
    <w:p w14:paraId="78468F63">
      <w:pPr>
        <w:pStyle w:val="18"/>
        <w:spacing w:line="360" w:lineRule="auto"/>
        <w:ind w:firstLine="396" w:firstLineChars="200"/>
        <w:rPr>
          <w:rFonts w:hint="eastAsia" w:hAnsi="宋体" w:cs="宋体"/>
          <w:color w:val="auto"/>
          <w:spacing w:val="-6"/>
          <w:highlight w:val="none"/>
        </w:rPr>
      </w:pPr>
      <w:r>
        <w:rPr>
          <w:rFonts w:hint="eastAsia" w:hAnsi="宋体" w:cs="宋体"/>
          <w:color w:val="auto"/>
          <w:spacing w:val="-6"/>
          <w:highlight w:val="none"/>
        </w:rPr>
        <w:t>19.3从投标截止时间至投标人在投标书格式中确定的投标有效期期满这段时间内，投标人不得撤回其投标，否则将通报市信用管理部门，列入严重失信名单。</w:t>
      </w:r>
    </w:p>
    <w:p w14:paraId="1BAE8339">
      <w:pPr>
        <w:pStyle w:val="18"/>
        <w:spacing w:line="360" w:lineRule="auto"/>
        <w:ind w:firstLine="422" w:firstLineChars="200"/>
        <w:rPr>
          <w:rFonts w:hint="eastAsia" w:hAnsi="宋体" w:cs="宋体"/>
          <w:b/>
          <w:color w:val="auto"/>
          <w:highlight w:val="none"/>
        </w:rPr>
      </w:pPr>
      <w:r>
        <w:rPr>
          <w:rFonts w:hint="eastAsia" w:hAnsi="宋体" w:cs="宋体"/>
          <w:b/>
          <w:color w:val="auto"/>
          <w:highlight w:val="none"/>
        </w:rPr>
        <w:t>20.投标文件解密</w:t>
      </w:r>
    </w:p>
    <w:p w14:paraId="424B35DD">
      <w:pPr>
        <w:pStyle w:val="18"/>
        <w:spacing w:line="360" w:lineRule="auto"/>
        <w:ind w:firstLine="480"/>
        <w:rPr>
          <w:rFonts w:hint="eastAsia" w:hAnsi="宋体" w:cs="宋体"/>
          <w:color w:val="auto"/>
          <w:highlight w:val="none"/>
        </w:rPr>
      </w:pPr>
      <w:r>
        <w:rPr>
          <w:rFonts w:hint="eastAsia" w:hAnsi="宋体" w:cs="宋体"/>
          <w:color w:val="auto"/>
          <w:highlight w:val="none"/>
        </w:rPr>
        <w:t>本项目采用不见面开标方式，供应商无需到开标现场，但应准时参加线上开标。开标时间后代理机构公布名单并开启解密。开启解密后的30分钟内，供应商应当登录“义乌市阳光招标采购平台”，用“开标签到解密”功能或者登录“不见面开标大厅”解密投标文件。</w:t>
      </w:r>
    </w:p>
    <w:p w14:paraId="2C9E5D7E">
      <w:pPr>
        <w:snapToGrid w:val="0"/>
        <w:spacing w:line="360" w:lineRule="auto"/>
        <w:ind w:firstLine="413" w:firstLineChars="196"/>
        <w:rPr>
          <w:rFonts w:hint="eastAsia" w:ascii="宋体" w:hAnsi="宋体" w:cs="宋体"/>
          <w:color w:val="auto"/>
          <w:highlight w:val="none"/>
        </w:rPr>
      </w:pPr>
      <w:r>
        <w:rPr>
          <w:rFonts w:hint="eastAsia" w:ascii="宋体" w:hAnsi="宋体" w:cs="宋体"/>
          <w:b/>
          <w:bCs/>
          <w:color w:val="auto"/>
          <w:highlight w:val="none"/>
        </w:rPr>
        <w:t>电子交易平台网络不畅</w:t>
      </w:r>
      <w:r>
        <w:rPr>
          <w:rFonts w:hint="eastAsia" w:ascii="宋体" w:hAnsi="宋体" w:cs="宋体"/>
          <w:color w:val="auto"/>
          <w:highlight w:val="none"/>
        </w:rPr>
        <w:t>导致投标人不能在规定时间内完成解密，可相应延长解密时间，超出相应延长解密时间仍然未解密的，视做撤销投标文件。</w:t>
      </w:r>
    </w:p>
    <w:p w14:paraId="2C14D347">
      <w:pPr>
        <w:snapToGrid w:val="0"/>
        <w:spacing w:line="360" w:lineRule="auto"/>
        <w:ind w:firstLine="413" w:firstLineChars="196"/>
        <w:outlineLvl w:val="1"/>
        <w:rPr>
          <w:rFonts w:ascii="宋体" w:hAnsi="宋体" w:cs="宋体"/>
          <w:b/>
          <w:bCs/>
          <w:color w:val="auto"/>
          <w:szCs w:val="21"/>
          <w:highlight w:val="none"/>
        </w:rPr>
      </w:pPr>
      <w:bookmarkStart w:id="30" w:name="_Toc24332"/>
      <w:r>
        <w:rPr>
          <w:rFonts w:hint="eastAsia" w:ascii="宋体" w:hAnsi="宋体" w:cs="宋体"/>
          <w:b/>
          <w:bCs/>
          <w:color w:val="auto"/>
          <w:szCs w:val="21"/>
          <w:highlight w:val="none"/>
        </w:rPr>
        <w:t>五、</w:t>
      </w:r>
      <w:bookmarkEnd w:id="28"/>
      <w:bookmarkEnd w:id="29"/>
      <w:r>
        <w:rPr>
          <w:rFonts w:hint="eastAsia" w:ascii="宋体" w:hAnsi="宋体" w:cs="宋体"/>
          <w:b/>
          <w:bCs/>
          <w:color w:val="auto"/>
          <w:szCs w:val="21"/>
          <w:highlight w:val="none"/>
        </w:rPr>
        <w:t>费用缴纳</w:t>
      </w:r>
      <w:bookmarkEnd w:id="30"/>
    </w:p>
    <w:p w14:paraId="7E11C5A1">
      <w:pPr>
        <w:spacing w:line="360" w:lineRule="auto"/>
        <w:ind w:firstLine="435"/>
        <w:rPr>
          <w:rFonts w:hint="eastAsia" w:ascii="宋体" w:hAnsi="宋体" w:cs="宋体"/>
          <w:color w:val="auto"/>
          <w:spacing w:val="-6"/>
          <w:szCs w:val="21"/>
          <w:highlight w:val="none"/>
        </w:rPr>
      </w:pPr>
      <w:r>
        <w:rPr>
          <w:rFonts w:hint="eastAsia" w:ascii="宋体" w:hAnsi="宋体" w:cs="宋体"/>
          <w:color w:val="auto"/>
          <w:spacing w:val="-6"/>
          <w:szCs w:val="21"/>
          <w:highlight w:val="none"/>
        </w:rPr>
        <w:t>1.招标代理服务费于中标通知书发送前按照</w:t>
      </w:r>
      <w:r>
        <w:rPr>
          <w:rFonts w:hint="eastAsia" w:ascii="宋体" w:hAnsi="宋体" w:cs="宋体"/>
          <w:color w:val="auto"/>
          <w:spacing w:val="-6"/>
          <w:szCs w:val="21"/>
          <w:highlight w:val="none"/>
          <w:lang w:val="en-US" w:eastAsia="zh-CN"/>
        </w:rPr>
        <w:t>中标金额</w:t>
      </w:r>
      <w:r>
        <w:rPr>
          <w:rFonts w:hint="eastAsia" w:ascii="宋体" w:hAnsi="宋体" w:cs="宋体"/>
          <w:color w:val="auto"/>
          <w:spacing w:val="-6"/>
          <w:szCs w:val="21"/>
          <w:highlight w:val="none"/>
        </w:rPr>
        <w:t>向中标方收取。单宗招标代理服务费不足3000元按3000元收取。</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2"/>
        <w:gridCol w:w="1384"/>
        <w:gridCol w:w="4048"/>
      </w:tblGrid>
      <w:tr w14:paraId="5151E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082" w:type="dxa"/>
            <w:noWrap w:val="0"/>
            <w:vAlign w:val="center"/>
          </w:tcPr>
          <w:p w14:paraId="4A62A40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1384" w:type="dxa"/>
            <w:noWrap w:val="0"/>
            <w:vAlign w:val="center"/>
          </w:tcPr>
          <w:p w14:paraId="76CD083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收费标准</w:t>
            </w:r>
          </w:p>
        </w:tc>
        <w:tc>
          <w:tcPr>
            <w:tcW w:w="4048" w:type="dxa"/>
            <w:noWrap w:val="0"/>
            <w:vAlign w:val="top"/>
          </w:tcPr>
          <w:p w14:paraId="6DD3CFC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A94F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2082" w:type="dxa"/>
            <w:noWrap w:val="0"/>
            <w:vAlign w:val="center"/>
          </w:tcPr>
          <w:p w14:paraId="41580334">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100以下</w:t>
            </w:r>
          </w:p>
        </w:tc>
        <w:tc>
          <w:tcPr>
            <w:tcW w:w="1384" w:type="dxa"/>
            <w:noWrap w:val="0"/>
            <w:vAlign w:val="center"/>
          </w:tcPr>
          <w:p w14:paraId="2716C89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w:t>
            </w:r>
          </w:p>
        </w:tc>
        <w:tc>
          <w:tcPr>
            <w:tcW w:w="4048" w:type="dxa"/>
            <w:vMerge w:val="restart"/>
            <w:noWrap w:val="0"/>
            <w:vAlign w:val="center"/>
          </w:tcPr>
          <w:p w14:paraId="2CAC2AEA">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招标代理服务费采用差额定率累进法计算，向采购方或中标方单向收取。</w:t>
            </w:r>
          </w:p>
          <w:p w14:paraId="72A23748">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例：中标金额为1000万。服务费=100万×1.5%+400万×1.1%+500万×0.8%=9.9万</w:t>
            </w:r>
          </w:p>
        </w:tc>
      </w:tr>
      <w:tr w14:paraId="0F2F0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jc w:val="center"/>
        </w:trPr>
        <w:tc>
          <w:tcPr>
            <w:tcW w:w="2082" w:type="dxa"/>
            <w:noWrap w:val="0"/>
            <w:vAlign w:val="center"/>
          </w:tcPr>
          <w:p w14:paraId="171A66D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100-500</w:t>
            </w:r>
          </w:p>
        </w:tc>
        <w:tc>
          <w:tcPr>
            <w:tcW w:w="1384" w:type="dxa"/>
            <w:noWrap w:val="0"/>
            <w:vAlign w:val="center"/>
          </w:tcPr>
          <w:p w14:paraId="24C2DD2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1.1%</w:t>
            </w:r>
          </w:p>
        </w:tc>
        <w:tc>
          <w:tcPr>
            <w:tcW w:w="4048" w:type="dxa"/>
            <w:vMerge w:val="continue"/>
            <w:noWrap w:val="0"/>
            <w:vAlign w:val="top"/>
          </w:tcPr>
          <w:p w14:paraId="1F8050FC">
            <w:pPr>
              <w:spacing w:line="360" w:lineRule="auto"/>
              <w:rPr>
                <w:rFonts w:hint="eastAsia" w:ascii="宋体" w:hAnsi="宋体" w:eastAsia="宋体" w:cs="宋体"/>
                <w:color w:val="auto"/>
                <w:szCs w:val="21"/>
                <w:highlight w:val="none"/>
              </w:rPr>
            </w:pPr>
          </w:p>
        </w:tc>
      </w:tr>
      <w:tr w14:paraId="56246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2082" w:type="dxa"/>
            <w:noWrap w:val="0"/>
            <w:vAlign w:val="center"/>
          </w:tcPr>
          <w:p w14:paraId="18C505F1">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500-1000</w:t>
            </w:r>
          </w:p>
        </w:tc>
        <w:tc>
          <w:tcPr>
            <w:tcW w:w="1384" w:type="dxa"/>
            <w:noWrap w:val="0"/>
            <w:vAlign w:val="center"/>
          </w:tcPr>
          <w:p w14:paraId="56AC939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0.8%</w:t>
            </w:r>
          </w:p>
        </w:tc>
        <w:tc>
          <w:tcPr>
            <w:tcW w:w="4048" w:type="dxa"/>
            <w:vMerge w:val="continue"/>
            <w:noWrap w:val="0"/>
            <w:vAlign w:val="top"/>
          </w:tcPr>
          <w:p w14:paraId="589EE5E7">
            <w:pPr>
              <w:spacing w:line="360" w:lineRule="auto"/>
              <w:rPr>
                <w:rFonts w:hint="eastAsia" w:ascii="宋体" w:hAnsi="宋体" w:eastAsia="宋体" w:cs="宋体"/>
                <w:color w:val="auto"/>
                <w:szCs w:val="21"/>
                <w:highlight w:val="none"/>
              </w:rPr>
            </w:pPr>
          </w:p>
        </w:tc>
      </w:tr>
      <w:tr w14:paraId="6E2B0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082" w:type="dxa"/>
            <w:noWrap w:val="0"/>
            <w:vAlign w:val="center"/>
          </w:tcPr>
          <w:p w14:paraId="1056CD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1000-5000</w:t>
            </w:r>
          </w:p>
        </w:tc>
        <w:tc>
          <w:tcPr>
            <w:tcW w:w="1384" w:type="dxa"/>
            <w:noWrap w:val="0"/>
            <w:vAlign w:val="center"/>
          </w:tcPr>
          <w:p w14:paraId="277FFDC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0.5%</w:t>
            </w:r>
          </w:p>
        </w:tc>
        <w:tc>
          <w:tcPr>
            <w:tcW w:w="4048" w:type="dxa"/>
            <w:vMerge w:val="continue"/>
            <w:noWrap w:val="0"/>
            <w:vAlign w:val="top"/>
          </w:tcPr>
          <w:p w14:paraId="10BFC0B9">
            <w:pPr>
              <w:spacing w:line="360" w:lineRule="auto"/>
              <w:rPr>
                <w:rFonts w:hint="eastAsia" w:ascii="宋体" w:hAnsi="宋体" w:eastAsia="宋体" w:cs="宋体"/>
                <w:color w:val="auto"/>
                <w:szCs w:val="21"/>
                <w:highlight w:val="none"/>
              </w:rPr>
            </w:pPr>
          </w:p>
        </w:tc>
      </w:tr>
      <w:tr w14:paraId="790AF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2082" w:type="dxa"/>
            <w:noWrap w:val="0"/>
            <w:vAlign w:val="center"/>
          </w:tcPr>
          <w:p w14:paraId="73B7B15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5000-10000</w:t>
            </w:r>
          </w:p>
        </w:tc>
        <w:tc>
          <w:tcPr>
            <w:tcW w:w="1384" w:type="dxa"/>
            <w:noWrap w:val="0"/>
            <w:vAlign w:val="center"/>
          </w:tcPr>
          <w:p w14:paraId="20A5B94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0.25%</w:t>
            </w:r>
          </w:p>
        </w:tc>
        <w:tc>
          <w:tcPr>
            <w:tcW w:w="4048" w:type="dxa"/>
            <w:vMerge w:val="continue"/>
            <w:noWrap w:val="0"/>
            <w:vAlign w:val="top"/>
          </w:tcPr>
          <w:p w14:paraId="182FE589">
            <w:pPr>
              <w:spacing w:line="360" w:lineRule="auto"/>
              <w:rPr>
                <w:rFonts w:hint="eastAsia" w:ascii="宋体" w:hAnsi="宋体" w:eastAsia="宋体" w:cs="宋体"/>
                <w:color w:val="auto"/>
                <w:szCs w:val="21"/>
                <w:highlight w:val="none"/>
              </w:rPr>
            </w:pPr>
          </w:p>
        </w:tc>
      </w:tr>
      <w:tr w14:paraId="42661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082" w:type="dxa"/>
            <w:noWrap w:val="0"/>
            <w:vAlign w:val="center"/>
          </w:tcPr>
          <w:p w14:paraId="3A44905C">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10000以上</w:t>
            </w:r>
          </w:p>
        </w:tc>
        <w:tc>
          <w:tcPr>
            <w:tcW w:w="1384" w:type="dxa"/>
            <w:noWrap w:val="0"/>
            <w:vAlign w:val="center"/>
          </w:tcPr>
          <w:p w14:paraId="5A6B274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0.05%</w:t>
            </w:r>
          </w:p>
        </w:tc>
        <w:tc>
          <w:tcPr>
            <w:tcW w:w="4048" w:type="dxa"/>
            <w:vMerge w:val="continue"/>
            <w:noWrap w:val="0"/>
            <w:vAlign w:val="top"/>
          </w:tcPr>
          <w:p w14:paraId="192D48D8">
            <w:pPr>
              <w:spacing w:line="360" w:lineRule="auto"/>
              <w:rPr>
                <w:rFonts w:hint="eastAsia" w:ascii="宋体" w:hAnsi="宋体" w:eastAsia="宋体" w:cs="宋体"/>
                <w:color w:val="auto"/>
                <w:szCs w:val="21"/>
                <w:highlight w:val="none"/>
              </w:rPr>
            </w:pPr>
          </w:p>
        </w:tc>
      </w:tr>
    </w:tbl>
    <w:p w14:paraId="5A2EA428">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服务费汇至：</w:t>
      </w:r>
    </w:p>
    <w:p w14:paraId="6C27F913">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银行账号名称：义乌产权交易所有限公司</w:t>
      </w:r>
    </w:p>
    <w:p w14:paraId="18B8E2D8">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 xml:space="preserve">银行账号：1208020009045009586 </w:t>
      </w:r>
    </w:p>
    <w:p w14:paraId="7420503B">
      <w:pPr>
        <w:spacing w:line="360" w:lineRule="auto"/>
        <w:ind w:firstLine="422" w:firstLineChars="200"/>
        <w:jc w:val="left"/>
        <w:rPr>
          <w:rFonts w:hint="eastAsia" w:ascii="宋体" w:hAnsi="宋体" w:cs="宋体"/>
          <w:b/>
          <w:bCs/>
          <w:color w:val="auto"/>
          <w:szCs w:val="21"/>
          <w:highlight w:val="none"/>
        </w:rPr>
      </w:pPr>
      <w:r>
        <w:rPr>
          <w:rFonts w:hint="eastAsia" w:ascii="宋体" w:hAnsi="宋体" w:cs="宋体"/>
          <w:b/>
          <w:bCs/>
          <w:color w:val="auto"/>
          <w:szCs w:val="21"/>
          <w:highlight w:val="none"/>
        </w:rPr>
        <w:t>开户银行：中国工商银行义乌分行</w:t>
      </w:r>
    </w:p>
    <w:p w14:paraId="4CBD5A93">
      <w:pPr>
        <w:spacing w:line="480" w:lineRule="exact"/>
        <w:ind w:firstLine="396" w:firstLineChars="200"/>
        <w:rPr>
          <w:rFonts w:hint="eastAsia" w:ascii="宋体" w:hAnsi="宋体" w:cs="宋体"/>
          <w:color w:val="auto"/>
          <w:spacing w:val="-6"/>
          <w:szCs w:val="21"/>
          <w:highlight w:val="none"/>
        </w:rPr>
      </w:pPr>
      <w:r>
        <w:rPr>
          <w:rFonts w:hint="eastAsia" w:ascii="宋体" w:hAnsi="宋体" w:cs="宋体"/>
          <w:color w:val="auto"/>
          <w:spacing w:val="-6"/>
          <w:szCs w:val="21"/>
          <w:highlight w:val="none"/>
        </w:rPr>
        <w:t>2.项目中标后，中标人需向义乌市阳光招标采购平台缴纳交易服务费，收费标准如下：</w:t>
      </w:r>
    </w:p>
    <w:tbl>
      <w:tblPr>
        <w:tblStyle w:val="37"/>
        <w:tblW w:w="36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37"/>
        <w:gridCol w:w="3573"/>
      </w:tblGrid>
      <w:tr w14:paraId="7BEAE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3F41689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中标金额（万元）</w:t>
            </w:r>
          </w:p>
        </w:tc>
        <w:tc>
          <w:tcPr>
            <w:tcW w:w="2585" w:type="pct"/>
            <w:noWrap w:val="0"/>
            <w:vAlign w:val="center"/>
          </w:tcPr>
          <w:p w14:paraId="515747E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收费标准</w:t>
            </w:r>
          </w:p>
        </w:tc>
      </w:tr>
      <w:tr w14:paraId="26A21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0D5A61C9">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100万（含）以下</w:t>
            </w:r>
          </w:p>
        </w:tc>
        <w:tc>
          <w:tcPr>
            <w:tcW w:w="2585" w:type="pct"/>
            <w:noWrap w:val="0"/>
            <w:vAlign w:val="center"/>
          </w:tcPr>
          <w:p w14:paraId="1454A29A">
            <w:pPr>
              <w:spacing w:line="360" w:lineRule="auto"/>
              <w:jc w:val="center"/>
              <w:rPr>
                <w:rFonts w:ascii="宋体" w:hAnsi="宋体" w:eastAsia="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eastAsia="宋体" w:cs="宋体"/>
                <w:color w:val="auto"/>
                <w:szCs w:val="21"/>
                <w:highlight w:val="none"/>
              </w:rPr>
              <w:t>00元</w:t>
            </w:r>
          </w:p>
        </w:tc>
      </w:tr>
      <w:tr w14:paraId="191A7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264C246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100万-200万（含）</w:t>
            </w:r>
          </w:p>
        </w:tc>
        <w:tc>
          <w:tcPr>
            <w:tcW w:w="2585" w:type="pct"/>
            <w:noWrap w:val="0"/>
            <w:vAlign w:val="center"/>
          </w:tcPr>
          <w:p w14:paraId="34A3B48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1500元</w:t>
            </w:r>
          </w:p>
        </w:tc>
      </w:tr>
      <w:tr w14:paraId="5FCB6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2C59CFF">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200万-500万（含）</w:t>
            </w:r>
          </w:p>
        </w:tc>
        <w:tc>
          <w:tcPr>
            <w:tcW w:w="2585" w:type="pct"/>
            <w:noWrap w:val="0"/>
            <w:vAlign w:val="center"/>
          </w:tcPr>
          <w:p w14:paraId="2CB9EE58">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3000元</w:t>
            </w:r>
          </w:p>
        </w:tc>
      </w:tr>
      <w:tr w14:paraId="7B5D21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1B2731D2">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500万-1000万（含）</w:t>
            </w:r>
          </w:p>
        </w:tc>
        <w:tc>
          <w:tcPr>
            <w:tcW w:w="2585" w:type="pct"/>
            <w:noWrap w:val="0"/>
            <w:vAlign w:val="center"/>
          </w:tcPr>
          <w:p w14:paraId="7107F2A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8000元</w:t>
            </w:r>
          </w:p>
        </w:tc>
      </w:tr>
      <w:tr w14:paraId="7B04E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92B922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1000万-2000万（含）</w:t>
            </w:r>
          </w:p>
        </w:tc>
        <w:tc>
          <w:tcPr>
            <w:tcW w:w="2585" w:type="pct"/>
            <w:noWrap w:val="0"/>
            <w:vAlign w:val="center"/>
          </w:tcPr>
          <w:p w14:paraId="26D27017">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16000元</w:t>
            </w:r>
          </w:p>
        </w:tc>
      </w:tr>
      <w:tr w14:paraId="0CCFC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61A290B0">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2000万-5000万（含）</w:t>
            </w:r>
          </w:p>
        </w:tc>
        <w:tc>
          <w:tcPr>
            <w:tcW w:w="2585" w:type="pct"/>
            <w:noWrap w:val="0"/>
            <w:vAlign w:val="center"/>
          </w:tcPr>
          <w:p w14:paraId="3620B74B">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25000元</w:t>
            </w:r>
          </w:p>
        </w:tc>
      </w:tr>
      <w:tr w14:paraId="4B56E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3CE84BD">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5000万-1亿（含）</w:t>
            </w:r>
          </w:p>
        </w:tc>
        <w:tc>
          <w:tcPr>
            <w:tcW w:w="2585" w:type="pct"/>
            <w:noWrap w:val="0"/>
            <w:vAlign w:val="center"/>
          </w:tcPr>
          <w:p w14:paraId="708D5933">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35000元</w:t>
            </w:r>
          </w:p>
        </w:tc>
      </w:tr>
      <w:tr w14:paraId="16948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atLeast"/>
          <w:jc w:val="center"/>
        </w:trPr>
        <w:tc>
          <w:tcPr>
            <w:tcW w:w="2414" w:type="pct"/>
            <w:noWrap w:val="0"/>
            <w:vAlign w:val="center"/>
          </w:tcPr>
          <w:p w14:paraId="40E1F086">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rPr>
              <w:t>1亿以上</w:t>
            </w:r>
          </w:p>
        </w:tc>
        <w:tc>
          <w:tcPr>
            <w:tcW w:w="2585" w:type="pct"/>
            <w:noWrap w:val="0"/>
            <w:vAlign w:val="center"/>
          </w:tcPr>
          <w:p w14:paraId="3A8A2B9A">
            <w:pPr>
              <w:spacing w:line="360" w:lineRule="auto"/>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50000元</w:t>
            </w:r>
          </w:p>
        </w:tc>
      </w:tr>
    </w:tbl>
    <w:p w14:paraId="45D26262">
      <w:pPr>
        <w:spacing w:line="480" w:lineRule="exact"/>
        <w:ind w:firstLine="396" w:firstLineChars="200"/>
        <w:rPr>
          <w:rFonts w:ascii="宋体" w:hAnsi="宋体" w:cs="宋体"/>
          <w:b/>
          <w:bCs/>
          <w:color w:val="auto"/>
          <w:szCs w:val="21"/>
          <w:highlight w:val="none"/>
        </w:rPr>
      </w:pPr>
      <w:r>
        <w:rPr>
          <w:rFonts w:hint="eastAsia" w:ascii="宋体" w:hAnsi="宋体" w:cs="宋体"/>
          <w:color w:val="auto"/>
          <w:spacing w:val="-6"/>
          <w:szCs w:val="21"/>
          <w:highlight w:val="none"/>
        </w:rPr>
        <w:t>注：1）不涉及具体金额的采购项目，中标单位收取交易服务费1000元/次；2）以上收费不包含作为投标单位交纳的150元技术服务费；3）具体操作流程详见“义乌市阳光招标采购平台-下载中心-义乌市阳光招标采购平台投标人操作手册”</w:t>
      </w:r>
    </w:p>
    <w:p w14:paraId="230C634F">
      <w:pPr>
        <w:pStyle w:val="3"/>
        <w:spacing w:before="120" w:after="120" w:line="360" w:lineRule="auto"/>
        <w:rPr>
          <w:rFonts w:hint="eastAsia" w:ascii="宋体" w:hAnsi="宋体" w:eastAsia="宋体" w:cs="宋体"/>
          <w:color w:val="auto"/>
          <w:sz w:val="21"/>
          <w:szCs w:val="21"/>
          <w:highlight w:val="none"/>
        </w:rPr>
      </w:pPr>
      <w:bookmarkStart w:id="31" w:name="_Toc22106"/>
      <w:r>
        <w:rPr>
          <w:rFonts w:hint="eastAsia" w:ascii="宋体" w:hAnsi="宋体" w:eastAsia="宋体" w:cs="宋体"/>
          <w:color w:val="auto"/>
          <w:sz w:val="21"/>
          <w:szCs w:val="21"/>
          <w:highlight w:val="none"/>
        </w:rPr>
        <w:t>六、其它</w:t>
      </w:r>
      <w:bookmarkEnd w:id="31"/>
    </w:p>
    <w:p w14:paraId="5B1F1B2D">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本招标文件解释权归采购人。</w:t>
      </w:r>
    </w:p>
    <w:p w14:paraId="40AFD363">
      <w:pPr>
        <w:pStyle w:val="2"/>
        <w:tabs>
          <w:tab w:val="left" w:pos="360"/>
        </w:tabs>
        <w:spacing w:line="240" w:lineRule="exact"/>
        <w:jc w:val="center"/>
        <w:rPr>
          <w:rFonts w:hint="eastAsia"/>
          <w:color w:val="auto"/>
          <w:sz w:val="36"/>
          <w:highlight w:val="none"/>
        </w:rPr>
      </w:pPr>
      <w:r>
        <w:rPr>
          <w:rFonts w:hint="eastAsia"/>
          <w:color w:val="auto"/>
          <w:sz w:val="36"/>
          <w:highlight w:val="none"/>
        </w:rPr>
        <w:br w:type="page"/>
      </w:r>
      <w:bookmarkStart w:id="32" w:name="_Toc6592"/>
      <w:r>
        <w:rPr>
          <w:rFonts w:hint="eastAsia"/>
          <w:color w:val="auto"/>
          <w:sz w:val="36"/>
          <w:highlight w:val="none"/>
        </w:rPr>
        <w:t>第三章  招标项目要求</w:t>
      </w:r>
      <w:bookmarkEnd w:id="32"/>
    </w:p>
    <w:p w14:paraId="72FF1C0C">
      <w:pPr>
        <w:keepNext w:val="0"/>
        <w:keepLines w:val="0"/>
        <w:pageBreakBefore w:val="0"/>
        <w:widowControl w:val="0"/>
        <w:kinsoku/>
        <w:wordWrap/>
        <w:autoSpaceDE/>
        <w:autoSpaceDN/>
        <w:bidi w:val="0"/>
        <w:adjustRightInd w:val="0"/>
        <w:snapToGrid w:val="0"/>
        <w:spacing w:line="360" w:lineRule="auto"/>
        <w:ind w:firstLine="422" w:firstLineChars="200"/>
        <w:textAlignment w:val="auto"/>
        <w:outlineLvl w:val="1"/>
        <w:rPr>
          <w:rFonts w:hint="eastAsia" w:ascii="宋体" w:hAnsi="宋体" w:eastAsia="宋体" w:cs="宋体"/>
          <w:b/>
          <w:bCs/>
          <w:color w:val="auto"/>
          <w:sz w:val="21"/>
          <w:szCs w:val="21"/>
          <w:highlight w:val="none"/>
        </w:rPr>
      </w:pPr>
      <w:bookmarkStart w:id="33" w:name="_Toc4189"/>
      <w:bookmarkStart w:id="34" w:name="_Toc23020"/>
      <w:bookmarkStart w:id="35" w:name="_Toc449016998"/>
      <w:bookmarkStart w:id="36" w:name="_Toc254507067"/>
      <w:bookmarkStart w:id="37" w:name="_Toc7717"/>
      <w:r>
        <w:rPr>
          <w:rFonts w:hint="eastAsia" w:ascii="宋体" w:hAnsi="宋体" w:eastAsia="宋体" w:cs="宋体"/>
          <w:b/>
          <w:bCs/>
          <w:color w:val="auto"/>
          <w:sz w:val="21"/>
          <w:szCs w:val="21"/>
          <w:highlight w:val="none"/>
        </w:rPr>
        <w:t>一、项目简介</w:t>
      </w:r>
      <w:bookmarkEnd w:id="33"/>
      <w:bookmarkEnd w:id="34"/>
    </w:p>
    <w:p w14:paraId="0468EE54">
      <w:pPr>
        <w:keepNext w:val="0"/>
        <w:keepLines w:val="0"/>
        <w:pageBreakBefore w:val="0"/>
        <w:widowControl w:val="0"/>
        <w:kinsoku/>
        <w:wordWrap/>
        <w:autoSpaceDE/>
        <w:autoSpaceDN/>
        <w:bidi w:val="0"/>
        <w:spacing w:line="360" w:lineRule="auto"/>
        <w:ind w:firstLine="42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项目名称：江东公交出行中心直流充电桩采购安装</w:t>
      </w:r>
    </w:p>
    <w:p w14:paraId="17E04DE5">
      <w:pPr>
        <w:keepNext w:val="0"/>
        <w:keepLines w:val="0"/>
        <w:pageBreakBefore w:val="0"/>
        <w:widowControl w:val="0"/>
        <w:kinsoku/>
        <w:wordWrap/>
        <w:autoSpaceDE/>
        <w:autoSpaceDN/>
        <w:bidi w:val="0"/>
        <w:spacing w:line="360" w:lineRule="auto"/>
        <w:ind w:firstLine="42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项目概述：为保障江东公交出行中心场地充电桩设备正常投入使用，计划采购并安装30台120KW一体式直流充电桩，配套敷设电缆2000米，</w:t>
      </w:r>
      <w:r>
        <w:rPr>
          <w:rFonts w:hint="eastAsia" w:ascii="宋体" w:hAnsi="宋体" w:eastAsia="宋体" w:cs="宋体"/>
          <w:color w:val="auto"/>
          <w:sz w:val="21"/>
          <w:szCs w:val="21"/>
          <w:highlight w:val="none"/>
        </w:rPr>
        <w:t>并</w:t>
      </w:r>
      <w:r>
        <w:rPr>
          <w:rFonts w:hint="eastAsia" w:ascii="宋体" w:hAnsi="宋体" w:cs="宋体"/>
          <w:color w:val="auto"/>
          <w:sz w:val="21"/>
          <w:szCs w:val="21"/>
          <w:highlight w:val="none"/>
          <w:lang w:val="en-US" w:eastAsia="zh-CN"/>
        </w:rPr>
        <w:t>配备3</w:t>
      </w: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rPr>
        <w:t>座基础设施。</w:t>
      </w:r>
    </w:p>
    <w:p w14:paraId="6943FD82">
      <w:pPr>
        <w:keepNext w:val="0"/>
        <w:keepLines w:val="0"/>
        <w:pageBreakBefore w:val="0"/>
        <w:widowControl w:val="0"/>
        <w:kinsoku/>
        <w:wordWrap/>
        <w:autoSpaceDE/>
        <w:autoSpaceDN/>
        <w:bidi w:val="0"/>
        <w:spacing w:line="360" w:lineRule="auto"/>
        <w:ind w:firstLine="420"/>
        <w:textAlignment w:val="auto"/>
        <w:outlineLvl w:val="1"/>
        <w:rPr>
          <w:rFonts w:hint="eastAsia" w:ascii="宋体" w:hAnsi="宋体" w:eastAsia="宋体" w:cs="宋体"/>
          <w:b/>
          <w:bCs/>
          <w:color w:val="auto"/>
          <w:sz w:val="21"/>
          <w:szCs w:val="21"/>
          <w:highlight w:val="none"/>
        </w:rPr>
      </w:pPr>
      <w:bookmarkStart w:id="38" w:name="_Toc21051"/>
      <w:bookmarkStart w:id="39" w:name="_Toc31986"/>
      <w:r>
        <w:rPr>
          <w:rFonts w:hint="eastAsia" w:ascii="宋体" w:hAnsi="宋体" w:eastAsia="宋体" w:cs="宋体"/>
          <w:b/>
          <w:bCs/>
          <w:color w:val="auto"/>
          <w:sz w:val="21"/>
          <w:szCs w:val="21"/>
          <w:highlight w:val="none"/>
        </w:rPr>
        <w:t>二、技术标准</w:t>
      </w:r>
      <w:bookmarkEnd w:id="38"/>
      <w:bookmarkEnd w:id="39"/>
    </w:p>
    <w:p w14:paraId="320BA251">
      <w:pPr>
        <w:keepNext w:val="0"/>
        <w:keepLines w:val="0"/>
        <w:pageBreakBefore w:val="0"/>
        <w:widowControl w:val="0"/>
        <w:kinsoku/>
        <w:wordWrap/>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1、按有关标准、规范或准则规定的合同设备，包含投标人向其他厂家购买的所有附件和设备，都应符合但不仅限于下表所列的标准、规范或准则的要求。</w:t>
      </w:r>
    </w:p>
    <w:p w14:paraId="70185E60">
      <w:pPr>
        <w:keepNext w:val="0"/>
        <w:keepLines w:val="0"/>
        <w:pageBreakBefore w:val="0"/>
        <w:widowControl w:val="0"/>
        <w:kinsoku/>
        <w:wordWrap/>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2、下表所列标准中的条款通过本招标文件的引用而成为本招标文件的条款。凡经修订的标准，其最新版本适用于本招标文件。</w:t>
      </w:r>
    </w:p>
    <w:p w14:paraId="68CC2EDC">
      <w:pPr>
        <w:keepNext w:val="0"/>
        <w:keepLines w:val="0"/>
        <w:pageBreakBefore w:val="0"/>
        <w:widowControl w:val="0"/>
        <w:kinsoku/>
        <w:wordWrap/>
        <w:autoSpaceDE/>
        <w:autoSpaceDN/>
        <w:bidi w:val="0"/>
        <w:spacing w:line="360" w:lineRule="auto"/>
        <w:textAlignment w:val="auto"/>
        <w:rPr>
          <w:rFonts w:hint="eastAsia"/>
          <w:color w:val="auto"/>
          <w:highlight w:val="none"/>
        </w:rPr>
      </w:pPr>
      <w:r>
        <w:rPr>
          <w:rFonts w:hint="eastAsia" w:ascii="宋体" w:hAnsi="宋体" w:eastAsia="宋体" w:cs="宋体"/>
          <w:color w:val="auto"/>
          <w:sz w:val="21"/>
          <w:szCs w:val="21"/>
          <w:highlight w:val="none"/>
        </w:rPr>
        <w:t>投标人提供的设备和附件需要满足的主要标准</w:t>
      </w:r>
    </w:p>
    <w:tbl>
      <w:tblPr>
        <w:tblStyle w:val="37"/>
        <w:tblW w:w="943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138"/>
        <w:gridCol w:w="7295"/>
      </w:tblGrid>
      <w:tr w14:paraId="2807378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top"/>
          </w:tcPr>
          <w:p w14:paraId="0000C5D7">
            <w:pPr>
              <w:keepNext w:val="0"/>
              <w:keepLines w:val="0"/>
              <w:pageBreakBefore w:val="0"/>
              <w:widowControl w:val="0"/>
              <w:kinsoku/>
              <w:wordWrap/>
              <w:autoSpaceDE/>
              <w:autoSpaceDN/>
              <w:bidi w:val="0"/>
              <w:spacing w:line="360" w:lineRule="auto"/>
              <w:ind w:left="124" w:leftChars="59"/>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标准号</w:t>
            </w:r>
          </w:p>
        </w:tc>
        <w:tc>
          <w:tcPr>
            <w:tcW w:w="7295" w:type="dxa"/>
            <w:noWrap w:val="0"/>
            <w:tcMar>
              <w:left w:w="0" w:type="dxa"/>
              <w:right w:w="0" w:type="dxa"/>
            </w:tcMar>
            <w:vAlign w:val="top"/>
          </w:tcPr>
          <w:p w14:paraId="039B87C9">
            <w:pPr>
              <w:keepNext w:val="0"/>
              <w:keepLines w:val="0"/>
              <w:pageBreakBefore w:val="0"/>
              <w:widowControl w:val="0"/>
              <w:kinsoku/>
              <w:wordWrap/>
              <w:autoSpaceDE/>
              <w:autoSpaceDN/>
              <w:bidi w:val="0"/>
              <w:spacing w:line="360" w:lineRule="auto"/>
              <w:ind w:left="124" w:leftChars="59"/>
              <w:jc w:val="center"/>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标准名称</w:t>
            </w:r>
          </w:p>
        </w:tc>
      </w:tr>
      <w:tr w14:paraId="620EE6B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46A85CAA">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2421.1-2008</w:t>
            </w:r>
          </w:p>
        </w:tc>
        <w:tc>
          <w:tcPr>
            <w:tcW w:w="7295" w:type="dxa"/>
            <w:noWrap w:val="0"/>
            <w:tcMar>
              <w:left w:w="0" w:type="dxa"/>
              <w:right w:w="0" w:type="dxa"/>
            </w:tcMar>
            <w:vAlign w:val="center"/>
          </w:tcPr>
          <w:p w14:paraId="46621F4A">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电工电子产品环境试验概述和指南</w:t>
            </w:r>
          </w:p>
        </w:tc>
      </w:tr>
      <w:tr w14:paraId="19A5CE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07CF2736">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2423.1-2008</w:t>
            </w:r>
          </w:p>
        </w:tc>
        <w:tc>
          <w:tcPr>
            <w:tcW w:w="7295" w:type="dxa"/>
            <w:noWrap w:val="0"/>
            <w:tcMar>
              <w:left w:w="0" w:type="dxa"/>
              <w:right w:w="0" w:type="dxa"/>
            </w:tcMar>
            <w:vAlign w:val="center"/>
          </w:tcPr>
          <w:p w14:paraId="31C6FF6F">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电工电子产品环境试验　第2部分：试验方法　试验A：低温</w:t>
            </w:r>
          </w:p>
        </w:tc>
      </w:tr>
      <w:tr w14:paraId="477FB0F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41D29424">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2423.2-2008</w:t>
            </w:r>
          </w:p>
        </w:tc>
        <w:tc>
          <w:tcPr>
            <w:tcW w:w="7295" w:type="dxa"/>
            <w:noWrap w:val="0"/>
            <w:tcMar>
              <w:left w:w="0" w:type="dxa"/>
              <w:right w:w="0" w:type="dxa"/>
            </w:tcMar>
            <w:vAlign w:val="center"/>
          </w:tcPr>
          <w:p w14:paraId="211B4E3D">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电工电子产品环境试验　第2部分：试验方法　试验B：高温</w:t>
            </w:r>
          </w:p>
        </w:tc>
      </w:tr>
      <w:tr w14:paraId="5E4B3F0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54FD9D1B">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2423.3-2006</w:t>
            </w:r>
          </w:p>
        </w:tc>
        <w:tc>
          <w:tcPr>
            <w:tcW w:w="7295" w:type="dxa"/>
            <w:noWrap w:val="0"/>
            <w:tcMar>
              <w:left w:w="0" w:type="dxa"/>
              <w:right w:w="0" w:type="dxa"/>
            </w:tcMar>
            <w:vAlign w:val="center"/>
          </w:tcPr>
          <w:p w14:paraId="3395E526">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电工电子产品环境试验  第2部分：试验方法 试验Cab：恒定湿热试验</w:t>
            </w:r>
          </w:p>
        </w:tc>
      </w:tr>
      <w:tr w14:paraId="58B20CF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29196CF8">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2423.4-2008</w:t>
            </w:r>
          </w:p>
        </w:tc>
        <w:tc>
          <w:tcPr>
            <w:tcW w:w="7295" w:type="dxa"/>
            <w:noWrap w:val="0"/>
            <w:tcMar>
              <w:left w:w="0" w:type="dxa"/>
              <w:right w:w="0" w:type="dxa"/>
            </w:tcMar>
            <w:vAlign w:val="center"/>
          </w:tcPr>
          <w:p w14:paraId="71ECEB52">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电工电子产品环境试验　第2部分：试验方法　试验Db：交变湿热（12h+12h循环）</w:t>
            </w:r>
          </w:p>
        </w:tc>
      </w:tr>
      <w:tr w14:paraId="6E6962D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1E21FA9D">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2423.17-2008</w:t>
            </w:r>
          </w:p>
        </w:tc>
        <w:tc>
          <w:tcPr>
            <w:tcW w:w="7295" w:type="dxa"/>
            <w:noWrap w:val="0"/>
            <w:tcMar>
              <w:left w:w="0" w:type="dxa"/>
              <w:right w:w="0" w:type="dxa"/>
            </w:tcMar>
            <w:vAlign w:val="center"/>
          </w:tcPr>
          <w:p w14:paraId="05BA3B11">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电工电子产品环境试验 第2部分：试验方法 试验Ka：盐雾</w:t>
            </w:r>
          </w:p>
        </w:tc>
      </w:tr>
      <w:tr w14:paraId="4EBFB6E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4A7FD6C1">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2423.55-2006</w:t>
            </w:r>
          </w:p>
        </w:tc>
        <w:tc>
          <w:tcPr>
            <w:tcW w:w="7295" w:type="dxa"/>
            <w:noWrap w:val="0"/>
            <w:tcMar>
              <w:left w:w="0" w:type="dxa"/>
              <w:right w:w="0" w:type="dxa"/>
            </w:tcMar>
            <w:vAlign w:val="center"/>
          </w:tcPr>
          <w:p w14:paraId="474D591D">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电工电子产品环境试验　第2部分：环境测试实验Eh：锤击试验</w:t>
            </w:r>
          </w:p>
        </w:tc>
      </w:tr>
      <w:tr w14:paraId="05418D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0D8AECF7">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4028-2017</w:t>
            </w:r>
          </w:p>
        </w:tc>
        <w:tc>
          <w:tcPr>
            <w:tcW w:w="7295" w:type="dxa"/>
            <w:noWrap w:val="0"/>
            <w:tcMar>
              <w:left w:w="0" w:type="dxa"/>
              <w:right w:w="0" w:type="dxa"/>
            </w:tcMar>
            <w:vAlign w:val="center"/>
          </w:tcPr>
          <w:p w14:paraId="186CDF16">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外壳防护等级（IP代码）</w:t>
            </w:r>
          </w:p>
        </w:tc>
      </w:tr>
      <w:tr w14:paraId="089B02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212A39B4">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4797.5-2017</w:t>
            </w:r>
          </w:p>
        </w:tc>
        <w:tc>
          <w:tcPr>
            <w:tcW w:w="7295" w:type="dxa"/>
            <w:noWrap w:val="0"/>
            <w:tcMar>
              <w:left w:w="0" w:type="dxa"/>
              <w:right w:w="0" w:type="dxa"/>
            </w:tcMar>
            <w:vAlign w:val="center"/>
          </w:tcPr>
          <w:p w14:paraId="17D1CA77">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环境条件分类  自然环境条件  降水和风</w:t>
            </w:r>
          </w:p>
        </w:tc>
      </w:tr>
      <w:tr w14:paraId="500B9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385B2186">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13384-2008</w:t>
            </w:r>
          </w:p>
        </w:tc>
        <w:tc>
          <w:tcPr>
            <w:tcW w:w="7295" w:type="dxa"/>
            <w:noWrap w:val="0"/>
            <w:tcMar>
              <w:left w:w="0" w:type="dxa"/>
              <w:right w:w="0" w:type="dxa"/>
            </w:tcMar>
            <w:vAlign w:val="center"/>
          </w:tcPr>
          <w:p w14:paraId="10C7DCBC">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机电产品包装通用技术条件</w:t>
            </w:r>
          </w:p>
        </w:tc>
      </w:tr>
      <w:tr w14:paraId="3B59400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596950B0">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13422-2013</w:t>
            </w:r>
          </w:p>
        </w:tc>
        <w:tc>
          <w:tcPr>
            <w:tcW w:w="7295" w:type="dxa"/>
            <w:noWrap w:val="0"/>
            <w:tcMar>
              <w:left w:w="0" w:type="dxa"/>
              <w:right w:w="0" w:type="dxa"/>
            </w:tcMar>
            <w:vAlign w:val="center"/>
          </w:tcPr>
          <w:p w14:paraId="7E1D485D">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半导体电力变流器 电气试验方法</w:t>
            </w:r>
          </w:p>
        </w:tc>
      </w:tr>
      <w:tr w14:paraId="727DAE4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7E0F8862">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 17625.1-2012</w:t>
            </w:r>
          </w:p>
        </w:tc>
        <w:tc>
          <w:tcPr>
            <w:tcW w:w="7295" w:type="dxa"/>
            <w:noWrap w:val="0"/>
            <w:tcMar>
              <w:left w:w="0" w:type="dxa"/>
              <w:right w:w="0" w:type="dxa"/>
            </w:tcMar>
            <w:vAlign w:val="center"/>
          </w:tcPr>
          <w:p w14:paraId="1145B8C7">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电磁兼容　限值　谐波电流发射限值（设备每相输入电流≤16 A）</w:t>
            </w:r>
          </w:p>
        </w:tc>
      </w:tr>
      <w:tr w14:paraId="52124C4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195117CD">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17626.2-2018</w:t>
            </w:r>
          </w:p>
        </w:tc>
        <w:tc>
          <w:tcPr>
            <w:tcW w:w="7295" w:type="dxa"/>
            <w:noWrap w:val="0"/>
            <w:tcMar>
              <w:left w:w="0" w:type="dxa"/>
              <w:right w:w="0" w:type="dxa"/>
            </w:tcMar>
            <w:vAlign w:val="center"/>
          </w:tcPr>
          <w:p w14:paraId="1CA00D71">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电磁兼容　试验和测量技术　静电放电抗扰度试验</w:t>
            </w:r>
          </w:p>
        </w:tc>
      </w:tr>
      <w:tr w14:paraId="6FA1EE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5EEB95E9">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17626.3-2016</w:t>
            </w:r>
          </w:p>
        </w:tc>
        <w:tc>
          <w:tcPr>
            <w:tcW w:w="7295" w:type="dxa"/>
            <w:noWrap w:val="0"/>
            <w:tcMar>
              <w:left w:w="0" w:type="dxa"/>
              <w:right w:w="0" w:type="dxa"/>
            </w:tcMar>
            <w:vAlign w:val="center"/>
          </w:tcPr>
          <w:p w14:paraId="1F122EB8">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电磁兼容　试验和测量技术　射频电磁场辐射抗扰度试验</w:t>
            </w:r>
          </w:p>
        </w:tc>
      </w:tr>
      <w:tr w14:paraId="3ED3B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6B2202A8">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17626.4-2018</w:t>
            </w:r>
          </w:p>
        </w:tc>
        <w:tc>
          <w:tcPr>
            <w:tcW w:w="7295" w:type="dxa"/>
            <w:noWrap w:val="0"/>
            <w:tcMar>
              <w:left w:w="0" w:type="dxa"/>
              <w:right w:w="0" w:type="dxa"/>
            </w:tcMar>
            <w:vAlign w:val="center"/>
          </w:tcPr>
          <w:p w14:paraId="4E6D936B">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电磁兼容　试验和测量技术　电快速瞬变脉冲群抗扰度试验</w:t>
            </w:r>
          </w:p>
        </w:tc>
      </w:tr>
      <w:tr w14:paraId="19F8087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1EE1C8FD">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17626.5-2019</w:t>
            </w:r>
          </w:p>
        </w:tc>
        <w:tc>
          <w:tcPr>
            <w:tcW w:w="7295" w:type="dxa"/>
            <w:noWrap w:val="0"/>
            <w:tcMar>
              <w:left w:w="0" w:type="dxa"/>
              <w:right w:w="0" w:type="dxa"/>
            </w:tcMar>
            <w:vAlign w:val="center"/>
          </w:tcPr>
          <w:p w14:paraId="0BB0843A">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电磁兼容　试验和测量技术　浪涌(冲击)抗扰度试验</w:t>
            </w:r>
          </w:p>
        </w:tc>
      </w:tr>
      <w:tr w14:paraId="28CB8A9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67CB63B0">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18487.1-2015</w:t>
            </w:r>
          </w:p>
        </w:tc>
        <w:tc>
          <w:tcPr>
            <w:tcW w:w="7295" w:type="dxa"/>
            <w:noWrap w:val="0"/>
            <w:tcMar>
              <w:left w:w="0" w:type="dxa"/>
              <w:right w:w="0" w:type="dxa"/>
            </w:tcMar>
            <w:vAlign w:val="center"/>
          </w:tcPr>
          <w:p w14:paraId="6153C7BC">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电动汽车传导充电系统 第1部分：通用要求</w:t>
            </w:r>
          </w:p>
        </w:tc>
      </w:tr>
      <w:tr w14:paraId="4F4F4C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4A76F8E0">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18487.2-2017</w:t>
            </w:r>
          </w:p>
        </w:tc>
        <w:tc>
          <w:tcPr>
            <w:tcW w:w="7295" w:type="dxa"/>
            <w:noWrap w:val="0"/>
            <w:tcMar>
              <w:left w:w="0" w:type="dxa"/>
              <w:right w:w="0" w:type="dxa"/>
            </w:tcMar>
            <w:vAlign w:val="center"/>
          </w:tcPr>
          <w:p w14:paraId="28011313">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电动汽车传导充电系统 第2部分：非车载传导供电设备电磁兼容要求</w:t>
            </w:r>
          </w:p>
        </w:tc>
      </w:tr>
      <w:tr w14:paraId="7364A9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48F76563">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19826-2014</w:t>
            </w:r>
          </w:p>
        </w:tc>
        <w:tc>
          <w:tcPr>
            <w:tcW w:w="7295" w:type="dxa"/>
            <w:noWrap w:val="0"/>
            <w:tcMar>
              <w:left w:w="0" w:type="dxa"/>
              <w:right w:w="0" w:type="dxa"/>
            </w:tcMar>
            <w:vAlign w:val="center"/>
          </w:tcPr>
          <w:p w14:paraId="6E01F1EE">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电力工程直流电源设备通用技术条件及安全要求</w:t>
            </w:r>
          </w:p>
        </w:tc>
      </w:tr>
      <w:tr w14:paraId="0D62CF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21DB59DA">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20234.1-2015</w:t>
            </w:r>
          </w:p>
        </w:tc>
        <w:tc>
          <w:tcPr>
            <w:tcW w:w="7295" w:type="dxa"/>
            <w:noWrap w:val="0"/>
            <w:tcMar>
              <w:left w:w="0" w:type="dxa"/>
              <w:right w:w="0" w:type="dxa"/>
            </w:tcMar>
            <w:vAlign w:val="center"/>
          </w:tcPr>
          <w:p w14:paraId="1FBDE790">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电动汽车充电接口规范 第1部分：通用要求</w:t>
            </w:r>
          </w:p>
        </w:tc>
      </w:tr>
      <w:tr w14:paraId="5A5E07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50AB9D69">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20234.3-2015</w:t>
            </w:r>
          </w:p>
        </w:tc>
        <w:tc>
          <w:tcPr>
            <w:tcW w:w="7295" w:type="dxa"/>
            <w:noWrap w:val="0"/>
            <w:tcMar>
              <w:left w:w="0" w:type="dxa"/>
              <w:right w:w="0" w:type="dxa"/>
            </w:tcMar>
            <w:vAlign w:val="center"/>
          </w:tcPr>
          <w:p w14:paraId="0A3AD029">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电动汽车充电接口规范 第3部分：直流充电接口</w:t>
            </w:r>
          </w:p>
        </w:tc>
      </w:tr>
      <w:tr w14:paraId="7C549C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0F570346">
            <w:pPr>
              <w:topLinePunct/>
              <w:snapToGrid w:val="0"/>
              <w:spacing w:before="60" w:after="60"/>
              <w:ind w:left="151" w:leftChars="72"/>
              <w:jc w:val="both"/>
              <w:rPr>
                <w:rFonts w:hint="eastAsia" w:ascii="宋体" w:hAnsi="宋体" w:eastAsia="宋体" w:cs="宋体"/>
                <w:color w:val="auto"/>
                <w:sz w:val="21"/>
                <w:szCs w:val="21"/>
                <w:highlight w:val="none"/>
              </w:rPr>
            </w:pPr>
            <w:r>
              <w:rPr>
                <w:rFonts w:hint="eastAsia" w:ascii="宋体" w:hAnsi="宋体" w:cs="宋体"/>
                <w:color w:val="auto"/>
                <w:highlight w:val="none"/>
              </w:rPr>
              <w:t>GB/T 27930-2015</w:t>
            </w:r>
          </w:p>
        </w:tc>
        <w:tc>
          <w:tcPr>
            <w:tcW w:w="7295" w:type="dxa"/>
            <w:noWrap w:val="0"/>
            <w:tcMar>
              <w:left w:w="0" w:type="dxa"/>
              <w:right w:w="0" w:type="dxa"/>
            </w:tcMar>
            <w:vAlign w:val="center"/>
          </w:tcPr>
          <w:p w14:paraId="2DB02298">
            <w:pPr>
              <w:topLinePunct/>
              <w:snapToGrid w:val="0"/>
              <w:spacing w:before="60" w:after="60"/>
              <w:ind w:left="124" w:leftChars="59"/>
              <w:jc w:val="both"/>
              <w:rPr>
                <w:rFonts w:hint="eastAsia" w:ascii="宋体" w:hAnsi="宋体" w:eastAsia="宋体" w:cs="宋体"/>
                <w:color w:val="auto"/>
                <w:sz w:val="21"/>
                <w:szCs w:val="21"/>
                <w:highlight w:val="none"/>
              </w:rPr>
            </w:pPr>
            <w:r>
              <w:rPr>
                <w:rFonts w:hint="eastAsia" w:ascii="宋体" w:hAnsi="宋体" w:cs="宋体"/>
                <w:color w:val="auto"/>
                <w:highlight w:val="none"/>
              </w:rPr>
              <w:t>电动汽车非车载充电桩 通信协议</w:t>
            </w:r>
          </w:p>
        </w:tc>
      </w:tr>
      <w:tr w14:paraId="2D5E3AD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1560B4DC">
            <w:pPr>
              <w:topLinePunct/>
              <w:snapToGrid w:val="0"/>
              <w:spacing w:before="60" w:after="60"/>
              <w:ind w:left="151" w:leftChars="72"/>
              <w:jc w:val="both"/>
              <w:rPr>
                <w:rFonts w:hint="eastAsia" w:ascii="宋体" w:hAnsi="宋体" w:cs="宋体"/>
                <w:color w:val="auto"/>
                <w:highlight w:val="none"/>
              </w:rPr>
            </w:pPr>
            <w:r>
              <w:rPr>
                <w:rFonts w:hint="eastAsia" w:ascii="宋体" w:hAnsi="宋体" w:cs="宋体"/>
                <w:color w:val="auto"/>
                <w:highlight w:val="none"/>
              </w:rPr>
              <w:t>GB/T 29318</w:t>
            </w:r>
          </w:p>
        </w:tc>
        <w:tc>
          <w:tcPr>
            <w:tcW w:w="7295" w:type="dxa"/>
            <w:noWrap w:val="0"/>
            <w:tcMar>
              <w:left w:w="0" w:type="dxa"/>
              <w:right w:w="0" w:type="dxa"/>
            </w:tcMar>
            <w:vAlign w:val="center"/>
          </w:tcPr>
          <w:p w14:paraId="3F1B615D">
            <w:pPr>
              <w:topLinePunct/>
              <w:snapToGrid w:val="0"/>
              <w:spacing w:before="60" w:after="60"/>
              <w:ind w:left="124" w:leftChars="59"/>
              <w:jc w:val="both"/>
              <w:rPr>
                <w:rFonts w:hint="eastAsia" w:ascii="宋体" w:hAnsi="宋体" w:cs="宋体"/>
                <w:color w:val="auto"/>
                <w:highlight w:val="none"/>
              </w:rPr>
            </w:pPr>
            <w:r>
              <w:rPr>
                <w:rFonts w:hint="eastAsia" w:ascii="宋体" w:hAnsi="宋体" w:cs="宋体"/>
                <w:color w:val="auto"/>
                <w:highlight w:val="none"/>
              </w:rPr>
              <w:t>电动汽车非车载充电机电能计量</w:t>
            </w:r>
          </w:p>
        </w:tc>
      </w:tr>
      <w:tr w14:paraId="6D5F40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38" w:type="dxa"/>
            <w:noWrap w:val="0"/>
            <w:tcMar>
              <w:left w:w="0" w:type="dxa"/>
              <w:right w:w="0" w:type="dxa"/>
            </w:tcMar>
            <w:vAlign w:val="center"/>
          </w:tcPr>
          <w:p w14:paraId="55DEF871">
            <w:pPr>
              <w:topLinePunct/>
              <w:snapToGrid w:val="0"/>
              <w:spacing w:before="60" w:after="60"/>
              <w:ind w:left="151" w:leftChars="72"/>
              <w:jc w:val="both"/>
              <w:rPr>
                <w:rFonts w:hint="eastAsia" w:ascii="宋体" w:hAnsi="宋体" w:cs="宋体"/>
                <w:color w:val="auto"/>
                <w:highlight w:val="none"/>
              </w:rPr>
            </w:pPr>
            <w:r>
              <w:rPr>
                <w:rFonts w:hint="eastAsia" w:ascii="宋体" w:hAnsi="宋体" w:cs="宋体"/>
                <w:color w:val="auto"/>
                <w:highlight w:val="none"/>
              </w:rPr>
              <w:t>NB/T 33001-2018</w:t>
            </w:r>
          </w:p>
        </w:tc>
        <w:tc>
          <w:tcPr>
            <w:tcW w:w="7295" w:type="dxa"/>
            <w:noWrap w:val="0"/>
            <w:tcMar>
              <w:left w:w="0" w:type="dxa"/>
              <w:right w:w="0" w:type="dxa"/>
            </w:tcMar>
            <w:vAlign w:val="center"/>
          </w:tcPr>
          <w:p w14:paraId="078E870E">
            <w:pPr>
              <w:topLinePunct/>
              <w:snapToGrid w:val="0"/>
              <w:spacing w:before="60" w:after="60"/>
              <w:ind w:left="124" w:leftChars="59"/>
              <w:jc w:val="both"/>
              <w:rPr>
                <w:rFonts w:hint="eastAsia" w:ascii="宋体" w:hAnsi="宋体" w:cs="宋体"/>
                <w:color w:val="auto"/>
                <w:highlight w:val="none"/>
              </w:rPr>
            </w:pPr>
            <w:r>
              <w:rPr>
                <w:rFonts w:hint="eastAsia" w:ascii="宋体" w:hAnsi="宋体" w:cs="宋体"/>
                <w:color w:val="auto"/>
                <w:highlight w:val="none"/>
              </w:rPr>
              <w:t>电动汽车非车载传导式充电机技术条件</w:t>
            </w:r>
          </w:p>
        </w:tc>
      </w:tr>
    </w:tbl>
    <w:p w14:paraId="36F1826C">
      <w:pPr>
        <w:keepNext w:val="0"/>
        <w:keepLines w:val="0"/>
        <w:pageBreakBefore w:val="0"/>
        <w:widowControl w:val="0"/>
        <w:numPr>
          <w:ilvl w:val="0"/>
          <w:numId w:val="3"/>
        </w:numPr>
        <w:kinsoku/>
        <w:wordWrap/>
        <w:autoSpaceDE/>
        <w:autoSpaceDN/>
        <w:bidi w:val="0"/>
        <w:spacing w:line="360" w:lineRule="auto"/>
        <w:textAlignment w:val="auto"/>
        <w:outlineLvl w:val="1"/>
        <w:rPr>
          <w:rFonts w:hint="eastAsia" w:ascii="宋体" w:hAnsi="宋体" w:eastAsia="宋体" w:cs="宋体"/>
          <w:b/>
          <w:bCs/>
          <w:color w:val="auto"/>
          <w:sz w:val="21"/>
          <w:szCs w:val="21"/>
          <w:highlight w:val="none"/>
        </w:rPr>
      </w:pPr>
      <w:bookmarkStart w:id="40" w:name="_Toc25180"/>
      <w:bookmarkStart w:id="41" w:name="_Toc16094"/>
      <w:r>
        <w:rPr>
          <w:rFonts w:hint="eastAsia" w:ascii="宋体" w:hAnsi="宋体" w:eastAsia="宋体" w:cs="宋体"/>
          <w:b/>
          <w:bCs/>
          <w:color w:val="auto"/>
          <w:sz w:val="21"/>
          <w:szCs w:val="21"/>
          <w:highlight w:val="none"/>
        </w:rPr>
        <w:t>技术要求</w:t>
      </w:r>
      <w:bookmarkEnd w:id="40"/>
      <w:bookmarkEnd w:id="41"/>
      <w:bookmarkStart w:id="42" w:name="_Toc155151667"/>
      <w:bookmarkStart w:id="43" w:name="_Toc351107508"/>
      <w:bookmarkStart w:id="44" w:name="_Toc255074827"/>
      <w:bookmarkStart w:id="45" w:name="_Toc351107793"/>
      <w:bookmarkStart w:id="46" w:name="_Toc351107611"/>
      <w:bookmarkStart w:id="47" w:name="_Toc253150291"/>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5"/>
        <w:gridCol w:w="1575"/>
        <w:gridCol w:w="5400"/>
        <w:gridCol w:w="1540"/>
      </w:tblGrid>
      <w:tr w14:paraId="5329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noWrap w:val="0"/>
            <w:vAlign w:val="center"/>
          </w:tcPr>
          <w:p w14:paraId="419FE4F4">
            <w:pPr>
              <w:widowControl/>
              <w:jc w:val="center"/>
              <w:textAlignment w:val="center"/>
              <w:rPr>
                <w:rFonts w:hint="eastAsia"/>
                <w:color w:val="auto"/>
                <w:highlight w:val="none"/>
                <w:vertAlign w:val="baseline"/>
              </w:rPr>
            </w:pPr>
            <w:r>
              <w:rPr>
                <w:rFonts w:hint="eastAsia" w:ascii="宋体" w:hAnsi="宋体" w:cs="宋体"/>
                <w:b/>
                <w:color w:val="auto"/>
                <w:kern w:val="0"/>
                <w:highlight w:val="none"/>
              </w:rPr>
              <w:t>系统</w:t>
            </w:r>
          </w:p>
        </w:tc>
        <w:tc>
          <w:tcPr>
            <w:tcW w:w="1575" w:type="dxa"/>
            <w:noWrap w:val="0"/>
            <w:vAlign w:val="center"/>
          </w:tcPr>
          <w:p w14:paraId="0EEDDD34">
            <w:pPr>
              <w:widowControl/>
              <w:jc w:val="center"/>
              <w:textAlignment w:val="center"/>
              <w:rPr>
                <w:rFonts w:hint="eastAsia"/>
                <w:color w:val="auto"/>
                <w:highlight w:val="none"/>
                <w:vertAlign w:val="baseline"/>
              </w:rPr>
            </w:pPr>
            <w:r>
              <w:rPr>
                <w:rFonts w:hint="eastAsia" w:ascii="宋体" w:hAnsi="宋体" w:cs="宋体"/>
                <w:b/>
                <w:color w:val="auto"/>
                <w:kern w:val="0"/>
                <w:highlight w:val="none"/>
              </w:rPr>
              <w:t>项目</w:t>
            </w:r>
          </w:p>
        </w:tc>
        <w:tc>
          <w:tcPr>
            <w:tcW w:w="5400" w:type="dxa"/>
            <w:noWrap w:val="0"/>
            <w:vAlign w:val="center"/>
          </w:tcPr>
          <w:p w14:paraId="1BF7C95F">
            <w:pPr>
              <w:widowControl/>
              <w:jc w:val="center"/>
              <w:textAlignment w:val="center"/>
              <w:rPr>
                <w:rFonts w:hint="eastAsia"/>
                <w:color w:val="auto"/>
                <w:highlight w:val="none"/>
                <w:vertAlign w:val="baseline"/>
              </w:rPr>
            </w:pPr>
            <w:r>
              <w:rPr>
                <w:rFonts w:hint="eastAsia" w:ascii="宋体" w:hAnsi="宋体" w:cs="宋体"/>
                <w:b/>
                <w:color w:val="auto"/>
                <w:kern w:val="0"/>
                <w:highlight w:val="none"/>
              </w:rPr>
              <w:t>主要技术参数及要求</w:t>
            </w:r>
          </w:p>
        </w:tc>
        <w:tc>
          <w:tcPr>
            <w:tcW w:w="1540" w:type="dxa"/>
            <w:noWrap w:val="0"/>
            <w:vAlign w:val="center"/>
          </w:tcPr>
          <w:p w14:paraId="317EB9BE">
            <w:pPr>
              <w:widowControl/>
              <w:jc w:val="center"/>
              <w:textAlignment w:val="center"/>
              <w:rPr>
                <w:rFonts w:hint="eastAsia"/>
                <w:color w:val="auto"/>
                <w:highlight w:val="none"/>
                <w:vertAlign w:val="baseline"/>
              </w:rPr>
            </w:pPr>
            <w:r>
              <w:rPr>
                <w:rFonts w:hint="eastAsia" w:ascii="宋体" w:hAnsi="宋体" w:cs="宋体"/>
                <w:b/>
                <w:color w:val="auto"/>
                <w:kern w:val="0"/>
                <w:highlight w:val="none"/>
              </w:rPr>
              <w:t>备注</w:t>
            </w:r>
          </w:p>
        </w:tc>
      </w:tr>
      <w:tr w14:paraId="6E0A2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noWrap w:val="0"/>
            <w:vAlign w:val="center"/>
          </w:tcPr>
          <w:p w14:paraId="4CF037B1">
            <w:pPr>
              <w:keepNext w:val="0"/>
              <w:keepLines w:val="0"/>
              <w:pageBreakBefore w:val="0"/>
              <w:widowControl w:val="0"/>
              <w:kinsoku/>
              <w:wordWrap/>
              <w:autoSpaceDE/>
              <w:autoSpaceDN/>
              <w:bidi w:val="0"/>
              <w:spacing w:line="360" w:lineRule="auto"/>
              <w:jc w:val="center"/>
              <w:textAlignment w:val="auto"/>
              <w:rPr>
                <w:rFonts w:hint="eastAsia" w:ascii="宋体" w:hAnsi="宋体" w:cs="宋体"/>
                <w:b/>
                <w:color w:val="auto"/>
                <w:kern w:val="0"/>
                <w:highlight w:val="none"/>
              </w:rPr>
            </w:pPr>
            <w:r>
              <w:rPr>
                <w:rFonts w:hint="eastAsia" w:ascii="宋体" w:hAnsi="宋体" w:cs="宋体"/>
                <w:b/>
                <w:color w:val="auto"/>
                <w:kern w:val="0"/>
                <w:highlight w:val="none"/>
              </w:rPr>
              <w:t>直流</w:t>
            </w:r>
          </w:p>
          <w:p w14:paraId="747316D3">
            <w:pPr>
              <w:widowControl/>
              <w:jc w:val="center"/>
              <w:textAlignment w:val="center"/>
              <w:rPr>
                <w:rFonts w:hint="eastAsia" w:ascii="宋体" w:hAnsi="宋体" w:cs="宋体"/>
                <w:b/>
                <w:color w:val="auto"/>
                <w:kern w:val="0"/>
                <w:highlight w:val="none"/>
              </w:rPr>
            </w:pPr>
            <w:r>
              <w:rPr>
                <w:rFonts w:hint="eastAsia" w:ascii="宋体" w:hAnsi="宋体" w:cs="宋体"/>
                <w:b/>
                <w:color w:val="auto"/>
                <w:kern w:val="0"/>
                <w:highlight w:val="none"/>
              </w:rPr>
              <w:t>充电机</w:t>
            </w:r>
          </w:p>
          <w:p w14:paraId="23456559">
            <w:pPr>
              <w:keepNext w:val="0"/>
              <w:keepLines w:val="0"/>
              <w:pageBreakBefore w:val="0"/>
              <w:widowControl w:val="0"/>
              <w:kinsoku/>
              <w:wordWrap/>
              <w:autoSpaceDE/>
              <w:autoSpaceDN/>
              <w:bidi w:val="0"/>
              <w:spacing w:line="360" w:lineRule="auto"/>
              <w:jc w:val="center"/>
              <w:textAlignment w:val="auto"/>
              <w:rPr>
                <w:rFonts w:hint="eastAsia"/>
                <w:color w:val="auto"/>
                <w:highlight w:val="none"/>
                <w:vertAlign w:val="baseline"/>
              </w:rPr>
            </w:pPr>
            <w:r>
              <w:rPr>
                <w:rFonts w:hint="eastAsia" w:ascii="宋体" w:hAnsi="宋体" w:cs="宋体"/>
                <w:b/>
                <w:color w:val="auto"/>
                <w:kern w:val="0"/>
                <w:highlight w:val="none"/>
              </w:rPr>
              <w:t>参数</w:t>
            </w:r>
          </w:p>
        </w:tc>
        <w:tc>
          <w:tcPr>
            <w:tcW w:w="1575" w:type="dxa"/>
            <w:noWrap w:val="0"/>
            <w:vAlign w:val="center"/>
          </w:tcPr>
          <w:p w14:paraId="405DB5FC">
            <w:pPr>
              <w:widowControl/>
              <w:jc w:val="center"/>
              <w:textAlignment w:val="center"/>
              <w:rPr>
                <w:rFonts w:hint="eastAsia" w:ascii="宋体" w:hAnsi="宋体" w:cs="宋体"/>
                <w:color w:val="auto"/>
                <w:kern w:val="0"/>
                <w:highlight w:val="none"/>
              </w:rPr>
            </w:pPr>
            <w:r>
              <w:rPr>
                <w:rFonts w:hint="eastAsia" w:ascii="宋体" w:hAnsi="宋体" w:cs="宋体"/>
                <w:color w:val="auto"/>
                <w:kern w:val="0"/>
                <w:highlight w:val="none"/>
              </w:rPr>
              <w:t>主要技术</w:t>
            </w:r>
          </w:p>
          <w:p w14:paraId="73B0E2F9">
            <w:pPr>
              <w:keepNext w:val="0"/>
              <w:keepLines w:val="0"/>
              <w:pageBreakBefore w:val="0"/>
              <w:widowControl w:val="0"/>
              <w:kinsoku/>
              <w:wordWrap/>
              <w:autoSpaceDE/>
              <w:autoSpaceDN/>
              <w:bidi w:val="0"/>
              <w:spacing w:line="360" w:lineRule="auto"/>
              <w:jc w:val="center"/>
              <w:textAlignment w:val="auto"/>
              <w:rPr>
                <w:rFonts w:hint="eastAsia"/>
                <w:color w:val="auto"/>
                <w:highlight w:val="none"/>
                <w:vertAlign w:val="baseline"/>
              </w:rPr>
            </w:pPr>
            <w:r>
              <w:rPr>
                <w:rFonts w:hint="eastAsia" w:ascii="宋体" w:hAnsi="宋体" w:cs="宋体"/>
                <w:color w:val="auto"/>
                <w:kern w:val="0"/>
                <w:highlight w:val="none"/>
              </w:rPr>
              <w:t>参数</w:t>
            </w:r>
          </w:p>
        </w:tc>
        <w:tc>
          <w:tcPr>
            <w:tcW w:w="5400" w:type="dxa"/>
            <w:noWrap w:val="0"/>
            <w:vAlign w:val="center"/>
          </w:tcPr>
          <w:p w14:paraId="30D219EB">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设备形式：120KW一体式直流充电机（需注明投标设备型号）；</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2.充电接口：2个；</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shd w:val="clear" w:color="auto" w:fill="auto"/>
                <w:lang w:val="en-US" w:eastAsia="zh-CN"/>
              </w:rPr>
              <w:t>3.</w:t>
            </w:r>
            <w:r>
              <w:rPr>
                <w:rFonts w:hint="eastAsia" w:ascii="宋体" w:hAnsi="宋体" w:eastAsia="宋体" w:cs="宋体"/>
                <w:color w:val="auto"/>
                <w:sz w:val="21"/>
                <w:szCs w:val="21"/>
                <w:highlight w:val="none"/>
                <w:lang w:val="en-US" w:eastAsia="zh-CN"/>
              </w:rPr>
              <w:t>充电枪线长：≥7.5米；</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4.输出功率：120KW</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5.通信方式：以太网和4G通信模块；</w:t>
            </w:r>
          </w:p>
          <w:p w14:paraId="3B6BB80F">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6.充电支付方式：支持刷卡、微信、支付宝；</w:t>
            </w:r>
          </w:p>
          <w:p w14:paraId="3CA439D5">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7.充电启动方式：刷卡、手机扫描、VIN码识别；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8.输入电压：380±15%Vac；</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9.输入频率：50Hz±1；</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10.输入功率因数：≥0.99；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11.模块恒功率输出电压调节范围：300Vdc-1000Vdc；</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12.输出电流调节范围： 0-250A；</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13.稳压精度：≤±0.5%；</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14.稳流精度：≤±1%；</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 xml:space="preserve">15.满载工作效率：≥94%；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16.55分贝＜噪音≤80分贝；</w:t>
            </w:r>
          </w:p>
          <w:p w14:paraId="12E7A843">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17.接口类型：GB/T 20234.3-2015（标准国标九针接口）</w:t>
            </w:r>
          </w:p>
          <w:p w14:paraId="04752209">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备注：需具备CMA、CNAS资质的第三方检测机构出具的直流充电桩（功率等级≥120KW）检验报告（按最新国标）</w:t>
            </w:r>
          </w:p>
        </w:tc>
        <w:tc>
          <w:tcPr>
            <w:tcW w:w="1540" w:type="dxa"/>
            <w:noWrap w:val="0"/>
            <w:vAlign w:val="center"/>
          </w:tcPr>
          <w:p w14:paraId="5BBC252C">
            <w:pPr>
              <w:widowControl/>
              <w:jc w:val="center"/>
              <w:textAlignment w:val="center"/>
              <w:rPr>
                <w:rFonts w:hint="eastAsia"/>
                <w:color w:val="auto"/>
                <w:highlight w:val="none"/>
                <w:vertAlign w:val="baseline"/>
              </w:rPr>
            </w:pPr>
          </w:p>
        </w:tc>
      </w:tr>
      <w:tr w14:paraId="51C0F8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restart"/>
            <w:noWrap w:val="0"/>
            <w:vAlign w:val="center"/>
          </w:tcPr>
          <w:p w14:paraId="1EE82505">
            <w:pPr>
              <w:keepNext w:val="0"/>
              <w:keepLines w:val="0"/>
              <w:pageBreakBefore w:val="0"/>
              <w:widowControl w:val="0"/>
              <w:kinsoku/>
              <w:wordWrap/>
              <w:autoSpaceDE/>
              <w:autoSpaceDN/>
              <w:bidi w:val="0"/>
              <w:spacing w:line="360" w:lineRule="auto"/>
              <w:jc w:val="center"/>
              <w:textAlignment w:val="auto"/>
              <w:rPr>
                <w:rFonts w:hint="eastAsia"/>
                <w:b/>
                <w:bCs/>
                <w:color w:val="auto"/>
                <w:highlight w:val="none"/>
                <w:vertAlign w:val="baseline"/>
              </w:rPr>
            </w:pPr>
            <w:r>
              <w:rPr>
                <w:rFonts w:hint="eastAsia"/>
                <w:b/>
                <w:bCs/>
                <w:color w:val="auto"/>
                <w:highlight w:val="none"/>
                <w:vertAlign w:val="baseline"/>
              </w:rPr>
              <w:t>直流充电</w:t>
            </w:r>
            <w:r>
              <w:rPr>
                <w:rFonts w:hint="eastAsia" w:ascii="宋体" w:hAnsi="宋体" w:eastAsia="宋体" w:cs="宋体"/>
                <w:b/>
                <w:bCs/>
                <w:color w:val="auto"/>
                <w:kern w:val="0"/>
                <w:highlight w:val="none"/>
              </w:rPr>
              <w:t>系统性</w:t>
            </w:r>
            <w:r>
              <w:rPr>
                <w:rFonts w:hint="eastAsia"/>
                <w:b/>
                <w:bCs/>
                <w:color w:val="auto"/>
                <w:highlight w:val="none"/>
                <w:vertAlign w:val="baseline"/>
              </w:rPr>
              <w:t>能</w:t>
            </w:r>
          </w:p>
          <w:p w14:paraId="413F3720">
            <w:pPr>
              <w:keepNext w:val="0"/>
              <w:keepLines w:val="0"/>
              <w:pageBreakBefore w:val="0"/>
              <w:widowControl w:val="0"/>
              <w:kinsoku/>
              <w:wordWrap/>
              <w:autoSpaceDE/>
              <w:autoSpaceDN/>
              <w:bidi w:val="0"/>
              <w:spacing w:line="360" w:lineRule="auto"/>
              <w:jc w:val="center"/>
              <w:textAlignment w:val="auto"/>
              <w:rPr>
                <w:rFonts w:hint="eastAsia"/>
                <w:b/>
                <w:bCs/>
                <w:color w:val="auto"/>
                <w:highlight w:val="none"/>
                <w:vertAlign w:val="baseline"/>
              </w:rPr>
            </w:pPr>
            <w:r>
              <w:rPr>
                <w:rFonts w:hint="eastAsia"/>
                <w:b/>
                <w:bCs/>
                <w:color w:val="auto"/>
                <w:highlight w:val="none"/>
                <w:vertAlign w:val="baseline"/>
              </w:rPr>
              <w:t>要求</w:t>
            </w:r>
          </w:p>
        </w:tc>
        <w:tc>
          <w:tcPr>
            <w:tcW w:w="1575" w:type="dxa"/>
            <w:noWrap w:val="0"/>
            <w:vAlign w:val="center"/>
          </w:tcPr>
          <w:p w14:paraId="5E5036A8">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充电枪</w:t>
            </w:r>
          </w:p>
        </w:tc>
        <w:tc>
          <w:tcPr>
            <w:tcW w:w="5400" w:type="dxa"/>
            <w:noWrap w:val="0"/>
            <w:vAlign w:val="center"/>
          </w:tcPr>
          <w:p w14:paraId="0D5921B4">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1.满足新国标要求；</w:t>
            </w:r>
          </w:p>
          <w:p w14:paraId="05182F72">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2.最大输出电流250A； </w:t>
            </w:r>
            <w:r>
              <w:rPr>
                <w:rFonts w:hint="eastAsia" w:ascii="宋体" w:hAnsi="宋体" w:eastAsia="宋体" w:cs="宋体"/>
                <w:color w:val="auto"/>
                <w:sz w:val="21"/>
                <w:szCs w:val="21"/>
                <w:highlight w:val="none"/>
                <w:lang w:val="en-US" w:eastAsia="zh-CN"/>
              </w:rPr>
              <w:br w:type="textWrapping"/>
            </w:r>
            <w:r>
              <w:rPr>
                <w:rFonts w:hint="eastAsia" w:ascii="宋体" w:hAnsi="宋体" w:eastAsia="宋体" w:cs="宋体"/>
                <w:color w:val="auto"/>
                <w:sz w:val="21"/>
                <w:szCs w:val="21"/>
                <w:highlight w:val="none"/>
                <w:lang w:val="en-US" w:eastAsia="zh-CN"/>
              </w:rPr>
              <w:t>3.带电子锁及温度检测功能；</w:t>
            </w:r>
          </w:p>
          <w:p w14:paraId="6F611173">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4.充电枪线需加波纹管或其他保护措施。</w:t>
            </w:r>
          </w:p>
        </w:tc>
        <w:tc>
          <w:tcPr>
            <w:tcW w:w="1540" w:type="dxa"/>
            <w:noWrap w:val="0"/>
            <w:vAlign w:val="center"/>
          </w:tcPr>
          <w:p w14:paraId="78071731">
            <w:pPr>
              <w:widowControl/>
              <w:jc w:val="center"/>
              <w:textAlignment w:val="center"/>
              <w:rPr>
                <w:rFonts w:hint="eastAsia"/>
                <w:color w:val="auto"/>
                <w:highlight w:val="none"/>
                <w:vertAlign w:val="baseline"/>
              </w:rPr>
            </w:pPr>
          </w:p>
        </w:tc>
      </w:tr>
      <w:tr w14:paraId="7921C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242ED708">
            <w:pPr>
              <w:pStyle w:val="36"/>
              <w:numPr>
                <w:ilvl w:val="0"/>
                <w:numId w:val="0"/>
              </w:numPr>
              <w:rPr>
                <w:rFonts w:hint="eastAsia"/>
                <w:color w:val="auto"/>
                <w:highlight w:val="none"/>
                <w:vertAlign w:val="baseline"/>
              </w:rPr>
            </w:pPr>
          </w:p>
        </w:tc>
        <w:tc>
          <w:tcPr>
            <w:tcW w:w="1575" w:type="dxa"/>
            <w:noWrap w:val="0"/>
            <w:vAlign w:val="center"/>
          </w:tcPr>
          <w:p w14:paraId="6A599BE7">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基本组成</w:t>
            </w:r>
          </w:p>
        </w:tc>
        <w:tc>
          <w:tcPr>
            <w:tcW w:w="5400" w:type="dxa"/>
            <w:noWrap w:val="0"/>
            <w:vAlign w:val="center"/>
          </w:tcPr>
          <w:p w14:paraId="7F9554B8">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充电桩需采用模块化一体式设计，基本构成包括：功率单元、控制单元、计量单元、充电接口、供电接口及人机交互界面等</w:t>
            </w:r>
          </w:p>
        </w:tc>
        <w:tc>
          <w:tcPr>
            <w:tcW w:w="1540" w:type="dxa"/>
            <w:noWrap w:val="0"/>
            <w:vAlign w:val="center"/>
          </w:tcPr>
          <w:p w14:paraId="5160F1D1">
            <w:pPr>
              <w:widowControl/>
              <w:jc w:val="center"/>
              <w:textAlignment w:val="center"/>
              <w:rPr>
                <w:rFonts w:hint="eastAsia"/>
                <w:color w:val="auto"/>
                <w:highlight w:val="none"/>
                <w:vertAlign w:val="baseline"/>
              </w:rPr>
            </w:pPr>
          </w:p>
        </w:tc>
      </w:tr>
      <w:tr w14:paraId="5E345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5169AE16">
            <w:pPr>
              <w:pStyle w:val="36"/>
              <w:numPr>
                <w:ilvl w:val="0"/>
                <w:numId w:val="0"/>
              </w:numPr>
              <w:rPr>
                <w:rFonts w:hint="eastAsia"/>
                <w:color w:val="auto"/>
                <w:highlight w:val="none"/>
                <w:vertAlign w:val="baseline"/>
              </w:rPr>
            </w:pPr>
          </w:p>
        </w:tc>
        <w:tc>
          <w:tcPr>
            <w:tcW w:w="1575" w:type="dxa"/>
            <w:noWrap w:val="0"/>
            <w:vAlign w:val="center"/>
          </w:tcPr>
          <w:p w14:paraId="63A466FA">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充电机外观</w:t>
            </w:r>
          </w:p>
          <w:p w14:paraId="64CA5781">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尺寸及要求</w:t>
            </w:r>
          </w:p>
        </w:tc>
        <w:tc>
          <w:tcPr>
            <w:tcW w:w="5400" w:type="dxa"/>
            <w:noWrap w:val="0"/>
            <w:vAlign w:val="center"/>
          </w:tcPr>
          <w:p w14:paraId="4C42E215">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宽*深*高≤800mm*800mm*2000mm,采用阻燃外壳材料，壳体坚固，结构上防止用户轻易触及露电部分，采用一体式开关门</w:t>
            </w:r>
          </w:p>
        </w:tc>
        <w:tc>
          <w:tcPr>
            <w:tcW w:w="1540" w:type="dxa"/>
            <w:noWrap w:val="0"/>
            <w:vAlign w:val="center"/>
          </w:tcPr>
          <w:p w14:paraId="6588FDB8">
            <w:pPr>
              <w:widowControl/>
              <w:jc w:val="center"/>
              <w:textAlignment w:val="center"/>
              <w:rPr>
                <w:rFonts w:hint="eastAsia"/>
                <w:color w:val="auto"/>
                <w:highlight w:val="none"/>
                <w:vertAlign w:val="baseline"/>
              </w:rPr>
            </w:pPr>
          </w:p>
        </w:tc>
      </w:tr>
      <w:tr w14:paraId="5B6C6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03B563B7">
            <w:pPr>
              <w:pStyle w:val="36"/>
              <w:numPr>
                <w:ilvl w:val="0"/>
                <w:numId w:val="0"/>
              </w:numPr>
              <w:rPr>
                <w:rFonts w:hint="eastAsia"/>
                <w:color w:val="auto"/>
                <w:highlight w:val="none"/>
                <w:vertAlign w:val="baseline"/>
              </w:rPr>
            </w:pPr>
          </w:p>
        </w:tc>
        <w:tc>
          <w:tcPr>
            <w:tcW w:w="1575" w:type="dxa"/>
            <w:noWrap w:val="0"/>
            <w:vAlign w:val="center"/>
          </w:tcPr>
          <w:p w14:paraId="3E99B550">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在线维护要求</w:t>
            </w:r>
          </w:p>
        </w:tc>
        <w:tc>
          <w:tcPr>
            <w:tcW w:w="5400" w:type="dxa"/>
            <w:noWrap w:val="0"/>
            <w:vAlign w:val="center"/>
          </w:tcPr>
          <w:p w14:paraId="27BB5881">
            <w:pPr>
              <w:keepNext w:val="0"/>
              <w:keepLines w:val="0"/>
              <w:pageBreakBefore w:val="0"/>
              <w:widowControl w:val="0"/>
              <w:kinsoku/>
              <w:wordWrap/>
              <w:autoSpaceDE/>
              <w:autoSpaceDN/>
              <w:bidi w:val="0"/>
              <w:spacing w:line="360" w:lineRule="auto"/>
              <w:textAlignment w:val="auto"/>
              <w:rPr>
                <w:rFonts w:hint="eastAsia"/>
                <w:color w:val="auto"/>
                <w:highlight w:val="none"/>
                <w:vertAlign w:val="baseline"/>
              </w:rPr>
            </w:pPr>
            <w:r>
              <w:rPr>
                <w:rFonts w:hint="eastAsia" w:ascii="宋体" w:hAnsi="宋体" w:cs="宋体"/>
                <w:color w:val="auto"/>
                <w:kern w:val="0"/>
                <w:highlight w:val="none"/>
              </w:rPr>
              <w:t>所有充电模块支持带电插拔，能正常在线维护，不影响</w:t>
            </w:r>
            <w:r>
              <w:rPr>
                <w:rFonts w:hint="eastAsia" w:ascii="宋体" w:hAnsi="宋体" w:eastAsia="宋体" w:cs="宋体"/>
                <w:color w:val="auto"/>
                <w:sz w:val="21"/>
                <w:szCs w:val="21"/>
                <w:highlight w:val="none"/>
                <w:lang w:val="en-US" w:eastAsia="zh-CN"/>
              </w:rPr>
              <w:t>充电</w:t>
            </w:r>
            <w:r>
              <w:rPr>
                <w:rFonts w:hint="eastAsia" w:ascii="宋体" w:hAnsi="宋体" w:cs="宋体"/>
                <w:color w:val="auto"/>
                <w:kern w:val="0"/>
                <w:highlight w:val="none"/>
              </w:rPr>
              <w:t>桩的正常充电</w:t>
            </w:r>
          </w:p>
        </w:tc>
        <w:tc>
          <w:tcPr>
            <w:tcW w:w="1540" w:type="dxa"/>
            <w:noWrap w:val="0"/>
            <w:vAlign w:val="center"/>
          </w:tcPr>
          <w:p w14:paraId="1B016E4C">
            <w:pPr>
              <w:widowControl/>
              <w:jc w:val="center"/>
              <w:textAlignment w:val="center"/>
              <w:rPr>
                <w:rFonts w:hint="eastAsia"/>
                <w:color w:val="auto"/>
                <w:highlight w:val="none"/>
                <w:vertAlign w:val="baseline"/>
              </w:rPr>
            </w:pPr>
          </w:p>
        </w:tc>
      </w:tr>
      <w:tr w14:paraId="3CD00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24CFF99F">
            <w:pPr>
              <w:pStyle w:val="36"/>
              <w:numPr>
                <w:ilvl w:val="0"/>
                <w:numId w:val="0"/>
              </w:numPr>
              <w:rPr>
                <w:rFonts w:hint="eastAsia"/>
                <w:color w:val="auto"/>
                <w:highlight w:val="none"/>
                <w:vertAlign w:val="baseline"/>
              </w:rPr>
            </w:pPr>
          </w:p>
        </w:tc>
        <w:tc>
          <w:tcPr>
            <w:tcW w:w="1575" w:type="dxa"/>
            <w:noWrap w:val="0"/>
            <w:vAlign w:val="center"/>
          </w:tcPr>
          <w:p w14:paraId="73A5F7E6">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安装方式</w:t>
            </w:r>
          </w:p>
        </w:tc>
        <w:tc>
          <w:tcPr>
            <w:tcW w:w="5400" w:type="dxa"/>
            <w:noWrap w:val="0"/>
            <w:vAlign w:val="center"/>
          </w:tcPr>
          <w:p w14:paraId="1CD87F51">
            <w:pPr>
              <w:widowControl/>
              <w:jc w:val="left"/>
              <w:textAlignment w:val="center"/>
              <w:rPr>
                <w:rFonts w:hint="eastAsia"/>
                <w:color w:val="auto"/>
                <w:highlight w:val="none"/>
                <w:vertAlign w:val="baseline"/>
              </w:rPr>
            </w:pPr>
            <w:r>
              <w:rPr>
                <w:rFonts w:hint="eastAsia" w:ascii="宋体" w:hAnsi="宋体" w:cs="宋体"/>
                <w:color w:val="auto"/>
                <w:kern w:val="0"/>
                <w:highlight w:val="none"/>
              </w:rPr>
              <w:t>落地式安装。需提供安装图纸及安装螺栓等配件</w:t>
            </w:r>
          </w:p>
        </w:tc>
        <w:tc>
          <w:tcPr>
            <w:tcW w:w="1540" w:type="dxa"/>
            <w:noWrap w:val="0"/>
            <w:vAlign w:val="center"/>
          </w:tcPr>
          <w:p w14:paraId="6BD6E56E">
            <w:pPr>
              <w:widowControl/>
              <w:jc w:val="center"/>
              <w:textAlignment w:val="center"/>
              <w:rPr>
                <w:rFonts w:hint="eastAsia"/>
                <w:color w:val="auto"/>
                <w:highlight w:val="none"/>
                <w:vertAlign w:val="baseline"/>
              </w:rPr>
            </w:pPr>
          </w:p>
        </w:tc>
      </w:tr>
      <w:tr w14:paraId="1E30A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60047049">
            <w:pPr>
              <w:pStyle w:val="36"/>
              <w:numPr>
                <w:ilvl w:val="0"/>
                <w:numId w:val="0"/>
              </w:numPr>
              <w:rPr>
                <w:rFonts w:hint="eastAsia"/>
                <w:color w:val="auto"/>
                <w:highlight w:val="none"/>
                <w:vertAlign w:val="baseline"/>
              </w:rPr>
            </w:pPr>
          </w:p>
        </w:tc>
        <w:tc>
          <w:tcPr>
            <w:tcW w:w="1575" w:type="dxa"/>
            <w:noWrap w:val="0"/>
            <w:vAlign w:val="center"/>
          </w:tcPr>
          <w:p w14:paraId="58593DE3">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充电设定方式</w:t>
            </w:r>
          </w:p>
        </w:tc>
        <w:tc>
          <w:tcPr>
            <w:tcW w:w="5400" w:type="dxa"/>
            <w:noWrap w:val="0"/>
            <w:vAlign w:val="center"/>
          </w:tcPr>
          <w:p w14:paraId="126EFAE1">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充电设定方式可以分为自动设定方式和手动设定方式两种。</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1.自动设定方式：在充电过程中，充电桩依据电动汽车蓄电池管理系统提供的数据动态调整充电参数，执行相应动作，完成充电过程；</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2.手动设定方式：由操作人员通过外部手动控制设备设置充电方式、充电电压、充电电流等参数，充电桩根据设定参数执行相应操作，完成充电过程。充电桩采用手动设定方式时，应具有明确的操作指示信息；</w:t>
            </w:r>
          </w:p>
        </w:tc>
        <w:tc>
          <w:tcPr>
            <w:tcW w:w="1540" w:type="dxa"/>
            <w:noWrap w:val="0"/>
            <w:vAlign w:val="center"/>
          </w:tcPr>
          <w:p w14:paraId="278BBA96">
            <w:pPr>
              <w:widowControl/>
              <w:jc w:val="center"/>
              <w:textAlignment w:val="center"/>
              <w:rPr>
                <w:rFonts w:hint="eastAsia"/>
                <w:color w:val="auto"/>
                <w:highlight w:val="none"/>
                <w:vertAlign w:val="baseline"/>
              </w:rPr>
            </w:pPr>
          </w:p>
        </w:tc>
      </w:tr>
      <w:tr w14:paraId="4F8E8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0BAE8BD4">
            <w:pPr>
              <w:pStyle w:val="36"/>
              <w:numPr>
                <w:ilvl w:val="0"/>
                <w:numId w:val="0"/>
              </w:numPr>
              <w:rPr>
                <w:rFonts w:hint="eastAsia"/>
                <w:color w:val="auto"/>
                <w:highlight w:val="none"/>
                <w:vertAlign w:val="baseline"/>
              </w:rPr>
            </w:pPr>
          </w:p>
        </w:tc>
        <w:tc>
          <w:tcPr>
            <w:tcW w:w="1575" w:type="dxa"/>
            <w:noWrap w:val="0"/>
            <w:vAlign w:val="center"/>
          </w:tcPr>
          <w:p w14:paraId="5736DE24">
            <w:pPr>
              <w:widowControl/>
              <w:jc w:val="center"/>
              <w:textAlignment w:val="center"/>
              <w:rPr>
                <w:rFonts w:hint="eastAsia"/>
                <w:color w:val="auto"/>
                <w:highlight w:val="none"/>
                <w:vertAlign w:val="baseline"/>
              </w:rPr>
            </w:pPr>
            <w:r>
              <w:rPr>
                <w:rFonts w:hint="eastAsia" w:ascii="宋体" w:hAnsi="宋体" w:cs="宋体"/>
                <w:color w:val="auto"/>
                <w:kern w:val="0"/>
                <w:highlight w:val="none"/>
              </w:rPr>
              <w:t>显示功能</w:t>
            </w:r>
          </w:p>
        </w:tc>
        <w:tc>
          <w:tcPr>
            <w:tcW w:w="5400" w:type="dxa"/>
            <w:noWrap w:val="0"/>
            <w:vAlign w:val="center"/>
          </w:tcPr>
          <w:p w14:paraId="4A5CD009">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充电桩显示信息包括以下内容。信息显示字符清晰、完整，应不依靠环境光源即可辨认。</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1.充电桩应显示的信息：</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——电池类型、电池当前荷电状态、充电电压、充电电流、已充电时间和电能量计量信息；</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——电池单体最高/最低电压；</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——故障及报警信息；</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——在手动设定过程中应显示人工输入信息。</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2.充电桩可显示的信息：</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——电池温度、设定参数和电池单体电压等</w:t>
            </w:r>
          </w:p>
        </w:tc>
        <w:tc>
          <w:tcPr>
            <w:tcW w:w="1540" w:type="dxa"/>
            <w:noWrap w:val="0"/>
            <w:vAlign w:val="center"/>
          </w:tcPr>
          <w:p w14:paraId="2D147F3F">
            <w:pPr>
              <w:widowControl/>
              <w:jc w:val="center"/>
              <w:textAlignment w:val="center"/>
              <w:rPr>
                <w:rFonts w:hint="eastAsia"/>
                <w:color w:val="auto"/>
                <w:highlight w:val="none"/>
                <w:vertAlign w:val="baseline"/>
              </w:rPr>
            </w:pPr>
          </w:p>
        </w:tc>
      </w:tr>
      <w:tr w14:paraId="05830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7BF4B716">
            <w:pPr>
              <w:pStyle w:val="36"/>
              <w:numPr>
                <w:ilvl w:val="0"/>
                <w:numId w:val="0"/>
              </w:numPr>
              <w:rPr>
                <w:rFonts w:hint="eastAsia"/>
                <w:color w:val="auto"/>
                <w:highlight w:val="none"/>
                <w:vertAlign w:val="baseline"/>
              </w:rPr>
            </w:pPr>
          </w:p>
        </w:tc>
        <w:tc>
          <w:tcPr>
            <w:tcW w:w="1575" w:type="dxa"/>
            <w:noWrap w:val="0"/>
            <w:vAlign w:val="center"/>
          </w:tcPr>
          <w:p w14:paraId="15748C11">
            <w:pPr>
              <w:widowControl/>
              <w:jc w:val="center"/>
              <w:textAlignment w:val="center"/>
              <w:rPr>
                <w:rFonts w:hint="eastAsia"/>
                <w:color w:val="auto"/>
                <w:highlight w:val="none"/>
                <w:vertAlign w:val="baseline"/>
              </w:rPr>
            </w:pPr>
            <w:r>
              <w:rPr>
                <w:rFonts w:hint="eastAsia" w:ascii="宋体" w:hAnsi="宋体" w:cs="宋体"/>
                <w:color w:val="auto"/>
                <w:kern w:val="0"/>
                <w:highlight w:val="none"/>
              </w:rPr>
              <w:t>输入功能</w:t>
            </w:r>
          </w:p>
        </w:tc>
        <w:tc>
          <w:tcPr>
            <w:tcW w:w="5400" w:type="dxa"/>
            <w:noWrap w:val="0"/>
            <w:vAlign w:val="center"/>
          </w:tcPr>
          <w:p w14:paraId="697BE5E4">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充电机应具有外部手动设置充电参数、费率、充电桩的编号、运营监控系统前置IP和端口，实现手动控制的功能和界面，实现手动输入和控制的功能</w:t>
            </w:r>
          </w:p>
        </w:tc>
        <w:tc>
          <w:tcPr>
            <w:tcW w:w="1540" w:type="dxa"/>
            <w:noWrap w:val="0"/>
            <w:vAlign w:val="center"/>
          </w:tcPr>
          <w:p w14:paraId="3E5BCE99">
            <w:pPr>
              <w:widowControl/>
              <w:jc w:val="center"/>
              <w:textAlignment w:val="center"/>
              <w:rPr>
                <w:rFonts w:hint="eastAsia"/>
                <w:color w:val="auto"/>
                <w:highlight w:val="none"/>
                <w:vertAlign w:val="baseline"/>
              </w:rPr>
            </w:pPr>
          </w:p>
        </w:tc>
      </w:tr>
      <w:tr w14:paraId="0EBDC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49DD0023">
            <w:pPr>
              <w:pStyle w:val="36"/>
              <w:numPr>
                <w:ilvl w:val="0"/>
                <w:numId w:val="0"/>
              </w:numPr>
              <w:rPr>
                <w:rFonts w:hint="eastAsia"/>
                <w:color w:val="auto"/>
                <w:highlight w:val="none"/>
                <w:vertAlign w:val="baseline"/>
              </w:rPr>
            </w:pPr>
          </w:p>
        </w:tc>
        <w:tc>
          <w:tcPr>
            <w:tcW w:w="1575" w:type="dxa"/>
            <w:noWrap w:val="0"/>
            <w:vAlign w:val="center"/>
          </w:tcPr>
          <w:p w14:paraId="423A3810">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内部环境</w:t>
            </w:r>
          </w:p>
          <w:p w14:paraId="12977249">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调节功能</w:t>
            </w:r>
          </w:p>
        </w:tc>
        <w:tc>
          <w:tcPr>
            <w:tcW w:w="5400" w:type="dxa"/>
            <w:noWrap w:val="0"/>
            <w:vAlign w:val="center"/>
          </w:tcPr>
          <w:p w14:paraId="5B56EE11">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充电桩应具有对内部环境自动调节的功能，确保充电桩能在工作环境温度50℃的高温气候环境中正常工作；通风散热系统应和充电桩一体化设计，保证充电桩整体美观，不允许采用外部加设附属设备的设计方式</w:t>
            </w:r>
          </w:p>
        </w:tc>
        <w:tc>
          <w:tcPr>
            <w:tcW w:w="1540" w:type="dxa"/>
            <w:noWrap w:val="0"/>
            <w:vAlign w:val="center"/>
          </w:tcPr>
          <w:p w14:paraId="2E223D77">
            <w:pPr>
              <w:widowControl/>
              <w:jc w:val="center"/>
              <w:textAlignment w:val="center"/>
              <w:rPr>
                <w:rFonts w:hint="eastAsia"/>
                <w:color w:val="auto"/>
                <w:highlight w:val="none"/>
                <w:vertAlign w:val="baseline"/>
              </w:rPr>
            </w:pPr>
          </w:p>
        </w:tc>
      </w:tr>
      <w:tr w14:paraId="6A297C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2005FF1C">
            <w:pPr>
              <w:pStyle w:val="36"/>
              <w:numPr>
                <w:ilvl w:val="0"/>
                <w:numId w:val="0"/>
              </w:numPr>
              <w:rPr>
                <w:rFonts w:hint="eastAsia"/>
                <w:color w:val="auto"/>
                <w:highlight w:val="none"/>
                <w:vertAlign w:val="baseline"/>
              </w:rPr>
            </w:pPr>
          </w:p>
        </w:tc>
        <w:tc>
          <w:tcPr>
            <w:tcW w:w="1575" w:type="dxa"/>
            <w:noWrap w:val="0"/>
            <w:vAlign w:val="center"/>
          </w:tcPr>
          <w:p w14:paraId="7BD39584">
            <w:pPr>
              <w:widowControl/>
              <w:jc w:val="center"/>
              <w:textAlignment w:val="center"/>
              <w:rPr>
                <w:rFonts w:hint="eastAsia"/>
                <w:color w:val="auto"/>
                <w:highlight w:val="none"/>
                <w:vertAlign w:val="baseline"/>
              </w:rPr>
            </w:pPr>
            <w:r>
              <w:rPr>
                <w:rFonts w:hint="eastAsia" w:ascii="宋体" w:hAnsi="宋体" w:cs="宋体"/>
                <w:color w:val="auto"/>
                <w:kern w:val="0"/>
                <w:highlight w:val="none"/>
              </w:rPr>
              <w:t>计量功能</w:t>
            </w:r>
          </w:p>
        </w:tc>
        <w:tc>
          <w:tcPr>
            <w:tcW w:w="5400" w:type="dxa"/>
            <w:noWrap w:val="0"/>
            <w:vAlign w:val="center"/>
          </w:tcPr>
          <w:p w14:paraId="77562A86">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1、充电机具有对每个充电接口输出电能进行计量的功能。电能计量装置符合国家计量器具检定相关要求。表计要求电能表精确度等级为1.0级，符合国家标准及计量器具鉴定相关要求。充电机要满足JJG 1149-2022计量检定规程。</w:t>
            </w:r>
          </w:p>
          <w:p w14:paraId="36D817D8">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★2、最小电能变量应为0.001kW.h，充电机应能显示充电电能量，电能量显示位数应不少于6位（至少含3位小数）。对具有分时计费功能的充电机，时钟时刻显示分辨力不大于1s。</w:t>
            </w:r>
          </w:p>
          <w:p w14:paraId="41224015">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sz w:val="21"/>
                <w:szCs w:val="21"/>
                <w:highlight w:val="none"/>
                <w:lang w:val="en-US" w:eastAsia="zh-CN"/>
              </w:rPr>
              <w:t>3、充电机常数应具有与所测量直流电能相对应的脉冲输出，应与铭牌标识的常数一致。</w:t>
            </w:r>
          </w:p>
        </w:tc>
        <w:tc>
          <w:tcPr>
            <w:tcW w:w="1540" w:type="dxa"/>
            <w:noWrap w:val="0"/>
            <w:vAlign w:val="center"/>
          </w:tcPr>
          <w:p w14:paraId="3C428C99">
            <w:pPr>
              <w:widowControl/>
              <w:jc w:val="center"/>
              <w:textAlignment w:val="center"/>
              <w:rPr>
                <w:rFonts w:hint="eastAsia"/>
                <w:color w:val="auto"/>
                <w:highlight w:val="none"/>
                <w:vertAlign w:val="baseline"/>
              </w:rPr>
            </w:pPr>
          </w:p>
        </w:tc>
      </w:tr>
      <w:tr w14:paraId="15C67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68B09D06">
            <w:pPr>
              <w:pStyle w:val="36"/>
              <w:numPr>
                <w:ilvl w:val="0"/>
                <w:numId w:val="0"/>
              </w:numPr>
              <w:rPr>
                <w:rFonts w:hint="eastAsia"/>
                <w:color w:val="auto"/>
                <w:highlight w:val="none"/>
                <w:vertAlign w:val="baseline"/>
              </w:rPr>
            </w:pPr>
          </w:p>
        </w:tc>
        <w:tc>
          <w:tcPr>
            <w:tcW w:w="1575" w:type="dxa"/>
            <w:noWrap w:val="0"/>
            <w:vAlign w:val="center"/>
          </w:tcPr>
          <w:p w14:paraId="4DC4BA54">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充电费率统计及支付方式</w:t>
            </w:r>
          </w:p>
        </w:tc>
        <w:tc>
          <w:tcPr>
            <w:tcW w:w="5400" w:type="dxa"/>
            <w:noWrap w:val="0"/>
            <w:vAlign w:val="center"/>
          </w:tcPr>
          <w:p w14:paraId="0EA2663E">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1、</w:t>
            </w:r>
            <w:r>
              <w:rPr>
                <w:rFonts w:hint="eastAsia" w:ascii="宋体" w:hAnsi="宋体" w:eastAsia="宋体" w:cs="宋体"/>
                <w:color w:val="auto"/>
                <w:kern w:val="0"/>
                <w:highlight w:val="none"/>
              </w:rPr>
              <w:t>支持按充电电能计费，支持配置包括费率时段、计费单位电量、计费费率等参数，账务管理模块实时读取电能表的电量数据，根据电能表的用电量和设置的计量单价；</w:t>
            </w:r>
          </w:p>
          <w:p w14:paraId="206904CF">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en-US" w:eastAsia="zh-CN"/>
              </w:rPr>
              <w:t>2、</w:t>
            </w:r>
            <w:r>
              <w:rPr>
                <w:rFonts w:hint="eastAsia" w:ascii="宋体" w:hAnsi="宋体" w:eastAsia="宋体" w:cs="宋体"/>
                <w:color w:val="auto"/>
                <w:kern w:val="0"/>
                <w:highlight w:val="none"/>
              </w:rPr>
              <w:t>支持微信或支付宝支付。充电消费资金须不经过第三方账户，实时进入招标人指定账户，并提供书面承诺；</w:t>
            </w:r>
          </w:p>
        </w:tc>
        <w:tc>
          <w:tcPr>
            <w:tcW w:w="1540" w:type="dxa"/>
            <w:noWrap w:val="0"/>
            <w:vAlign w:val="center"/>
          </w:tcPr>
          <w:p w14:paraId="139FAF1A">
            <w:pPr>
              <w:widowControl/>
              <w:jc w:val="center"/>
              <w:textAlignment w:val="center"/>
              <w:rPr>
                <w:rFonts w:hint="eastAsia"/>
                <w:color w:val="auto"/>
                <w:highlight w:val="none"/>
                <w:vertAlign w:val="baseline"/>
              </w:rPr>
            </w:pPr>
            <w:r>
              <w:rPr>
                <w:rFonts w:hint="eastAsia" w:ascii="宋体" w:hAnsi="宋体" w:cs="宋体"/>
                <w:color w:val="auto"/>
                <w:kern w:val="0"/>
                <w:highlight w:val="none"/>
              </w:rPr>
              <w:t>★</w:t>
            </w:r>
          </w:p>
        </w:tc>
      </w:tr>
      <w:tr w14:paraId="520BF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2A3FE67E">
            <w:pPr>
              <w:pStyle w:val="36"/>
              <w:numPr>
                <w:ilvl w:val="0"/>
                <w:numId w:val="0"/>
              </w:numPr>
              <w:rPr>
                <w:rFonts w:hint="eastAsia"/>
                <w:color w:val="auto"/>
                <w:highlight w:val="none"/>
                <w:vertAlign w:val="baseline"/>
              </w:rPr>
            </w:pPr>
          </w:p>
        </w:tc>
        <w:tc>
          <w:tcPr>
            <w:tcW w:w="1575" w:type="dxa"/>
            <w:noWrap w:val="0"/>
            <w:vAlign w:val="center"/>
          </w:tcPr>
          <w:p w14:paraId="0E9D673C">
            <w:pPr>
              <w:widowControl/>
              <w:jc w:val="center"/>
              <w:textAlignment w:val="center"/>
              <w:rPr>
                <w:rFonts w:hint="eastAsia"/>
                <w:color w:val="auto"/>
                <w:highlight w:val="none"/>
                <w:vertAlign w:val="baseline"/>
              </w:rPr>
            </w:pPr>
            <w:r>
              <w:rPr>
                <w:rFonts w:hint="eastAsia" w:ascii="宋体" w:hAnsi="宋体" w:cs="宋体"/>
                <w:color w:val="auto"/>
                <w:kern w:val="0"/>
                <w:highlight w:val="none"/>
              </w:rPr>
              <w:t>人机交互界面</w:t>
            </w:r>
          </w:p>
        </w:tc>
        <w:tc>
          <w:tcPr>
            <w:tcW w:w="5400" w:type="dxa"/>
            <w:noWrap w:val="0"/>
            <w:vAlign w:val="center"/>
          </w:tcPr>
          <w:p w14:paraId="5625CF91">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人机界面采用≥7寸彩色触摸屏，分辨率≥800*600，显示文字应使用中文。显示功能根据用户的操作流程提出文字提示；能对应显示充电桩各状态下的相关信息；能显示账务管理模块输出的相关信息。能满足用户全天候的正常使用</w:t>
            </w:r>
          </w:p>
        </w:tc>
        <w:tc>
          <w:tcPr>
            <w:tcW w:w="1540" w:type="dxa"/>
            <w:noWrap w:val="0"/>
            <w:vAlign w:val="center"/>
          </w:tcPr>
          <w:p w14:paraId="025B2B9F">
            <w:pPr>
              <w:widowControl/>
              <w:jc w:val="center"/>
              <w:textAlignment w:val="center"/>
              <w:rPr>
                <w:rFonts w:hint="eastAsia"/>
                <w:color w:val="auto"/>
                <w:highlight w:val="none"/>
                <w:vertAlign w:val="baseline"/>
              </w:rPr>
            </w:pPr>
          </w:p>
        </w:tc>
      </w:tr>
      <w:tr w14:paraId="23BE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01CC4B05">
            <w:pPr>
              <w:pStyle w:val="36"/>
              <w:numPr>
                <w:ilvl w:val="0"/>
                <w:numId w:val="0"/>
              </w:numPr>
              <w:jc w:val="center"/>
              <w:rPr>
                <w:rFonts w:hint="eastAsia"/>
                <w:color w:val="auto"/>
                <w:highlight w:val="none"/>
                <w:vertAlign w:val="baseline"/>
              </w:rPr>
            </w:pPr>
          </w:p>
        </w:tc>
        <w:tc>
          <w:tcPr>
            <w:tcW w:w="1575" w:type="dxa"/>
            <w:noWrap w:val="0"/>
            <w:vAlign w:val="center"/>
          </w:tcPr>
          <w:p w14:paraId="1E3602C9">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控制导引和充电控制</w:t>
            </w:r>
          </w:p>
        </w:tc>
        <w:tc>
          <w:tcPr>
            <w:tcW w:w="5400" w:type="dxa"/>
            <w:noWrap w:val="0"/>
            <w:vAlign w:val="center"/>
          </w:tcPr>
          <w:p w14:paraId="63C537F9">
            <w:pPr>
              <w:widowControl/>
              <w:jc w:val="left"/>
              <w:textAlignment w:val="center"/>
              <w:rPr>
                <w:rFonts w:hint="eastAsia"/>
                <w:color w:val="auto"/>
                <w:highlight w:val="none"/>
                <w:vertAlign w:val="baseline"/>
              </w:rPr>
            </w:pPr>
            <w:r>
              <w:rPr>
                <w:rFonts w:hint="eastAsia" w:ascii="宋体" w:hAnsi="宋体" w:cs="宋体"/>
                <w:color w:val="auto"/>
                <w:kern w:val="0"/>
                <w:highlight w:val="none"/>
              </w:rPr>
              <w:t>充电桩应具备控制导引和充电控制功能</w:t>
            </w:r>
          </w:p>
        </w:tc>
        <w:tc>
          <w:tcPr>
            <w:tcW w:w="1540" w:type="dxa"/>
            <w:noWrap w:val="0"/>
            <w:vAlign w:val="center"/>
          </w:tcPr>
          <w:p w14:paraId="35AF8BEC">
            <w:pPr>
              <w:widowControl/>
              <w:jc w:val="center"/>
              <w:textAlignment w:val="center"/>
              <w:rPr>
                <w:rFonts w:hint="eastAsia"/>
                <w:color w:val="auto"/>
                <w:highlight w:val="none"/>
                <w:vertAlign w:val="baseline"/>
              </w:rPr>
            </w:pPr>
          </w:p>
        </w:tc>
      </w:tr>
      <w:tr w14:paraId="4A849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37025D46">
            <w:pPr>
              <w:pStyle w:val="36"/>
              <w:numPr>
                <w:ilvl w:val="0"/>
                <w:numId w:val="0"/>
              </w:numPr>
              <w:rPr>
                <w:rFonts w:hint="eastAsia"/>
                <w:color w:val="auto"/>
                <w:highlight w:val="none"/>
                <w:vertAlign w:val="baseline"/>
              </w:rPr>
            </w:pPr>
          </w:p>
        </w:tc>
        <w:tc>
          <w:tcPr>
            <w:tcW w:w="1575" w:type="dxa"/>
            <w:noWrap w:val="0"/>
            <w:vAlign w:val="center"/>
          </w:tcPr>
          <w:p w14:paraId="6D80F0D5">
            <w:pPr>
              <w:widowControl/>
              <w:jc w:val="center"/>
              <w:textAlignment w:val="center"/>
              <w:rPr>
                <w:rFonts w:hint="eastAsia"/>
                <w:color w:val="auto"/>
                <w:highlight w:val="none"/>
                <w:vertAlign w:val="baseline"/>
              </w:rPr>
            </w:pPr>
            <w:r>
              <w:rPr>
                <w:rFonts w:hint="eastAsia" w:ascii="宋体" w:hAnsi="宋体" w:cs="宋体"/>
                <w:color w:val="auto"/>
                <w:kern w:val="0"/>
                <w:highlight w:val="none"/>
              </w:rPr>
              <w:t>通信功能</w:t>
            </w:r>
          </w:p>
        </w:tc>
        <w:tc>
          <w:tcPr>
            <w:tcW w:w="5400" w:type="dxa"/>
            <w:noWrap w:val="0"/>
            <w:vAlign w:val="center"/>
          </w:tcPr>
          <w:p w14:paraId="619E7052">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1.充电机应具备通过CAN网络与BMS通信的功能，通信协议应能满足GB/T 27930-2015的规定，用于判断电池类型，获得动力电池系统参数、充电前和充电过程中动力电池的状态参数；充电机可通过CAN和工业以太网与充电站监控系统通信，上传充电机和动力电池的工作状态、工作参数、故障报警等信息，并接受充电站监控系统的控制命令，执行遥控动作；</w:t>
            </w:r>
          </w:p>
          <w:p w14:paraId="62DBD3F8">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2.充电桩通信方式选择以太网和配置4G通讯模块，手机端、PC端登陆云平台进行充电状态的监控、查询及控制功能。每个车位可单独计量、计费、通信等；</w:t>
            </w:r>
          </w:p>
          <w:p w14:paraId="0F40B52F">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3.监控装置应具有对外隔离RS-232/485口、CAN口（用于与BMS和上位机通信）和以太网口，可实现远程通讯；</w:t>
            </w:r>
          </w:p>
          <w:p w14:paraId="4D65D235">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4.支持VIN自动识别充电。通过插枪，自动识别车辆BMS传回的VIN码，识别正确，自动启动充电或遵循后台设置的启动充电时间，自动启动；充电结束后，自动停止</w:t>
            </w:r>
          </w:p>
        </w:tc>
        <w:tc>
          <w:tcPr>
            <w:tcW w:w="1540" w:type="dxa"/>
            <w:noWrap w:val="0"/>
            <w:vAlign w:val="center"/>
          </w:tcPr>
          <w:p w14:paraId="2DBFED0F">
            <w:pPr>
              <w:widowControl/>
              <w:jc w:val="center"/>
              <w:textAlignment w:val="center"/>
              <w:rPr>
                <w:rFonts w:hint="eastAsia"/>
                <w:color w:val="auto"/>
                <w:highlight w:val="none"/>
                <w:vertAlign w:val="baseline"/>
              </w:rPr>
            </w:pPr>
          </w:p>
        </w:tc>
      </w:tr>
      <w:tr w14:paraId="57731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4889AC06">
            <w:pPr>
              <w:pStyle w:val="36"/>
              <w:numPr>
                <w:ilvl w:val="0"/>
                <w:numId w:val="0"/>
              </w:numPr>
              <w:rPr>
                <w:rFonts w:hint="eastAsia"/>
                <w:color w:val="auto"/>
                <w:highlight w:val="none"/>
                <w:vertAlign w:val="baseline"/>
              </w:rPr>
            </w:pPr>
          </w:p>
        </w:tc>
        <w:tc>
          <w:tcPr>
            <w:tcW w:w="1575" w:type="dxa"/>
            <w:noWrap w:val="0"/>
            <w:vAlign w:val="center"/>
          </w:tcPr>
          <w:p w14:paraId="15A1BE87">
            <w:pPr>
              <w:widowControl/>
              <w:jc w:val="center"/>
              <w:textAlignment w:val="center"/>
              <w:rPr>
                <w:rFonts w:hint="eastAsia"/>
                <w:color w:val="auto"/>
                <w:highlight w:val="none"/>
                <w:vertAlign w:val="baseline"/>
              </w:rPr>
            </w:pPr>
            <w:r>
              <w:rPr>
                <w:rFonts w:hint="eastAsia" w:ascii="宋体" w:hAnsi="宋体" w:cs="宋体"/>
                <w:color w:val="auto"/>
                <w:kern w:val="0"/>
                <w:highlight w:val="none"/>
              </w:rPr>
              <w:t>保护功能</w:t>
            </w:r>
          </w:p>
        </w:tc>
        <w:tc>
          <w:tcPr>
            <w:tcW w:w="5400" w:type="dxa"/>
            <w:noWrap w:val="0"/>
            <w:vAlign w:val="center"/>
          </w:tcPr>
          <w:p w14:paraId="3C958BF9">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1.具备急停按钮，急停按钮外部加防护罩，防止误操作和人为破坏；</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2.充电机应具备防止电池电流倒灌功能；</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3.充电机应具备蓄电池极性检测功能。当充电机与电动汽车蓄电池系统连接时，检测蓄电池极性正确后，才允许充电机的直流输出回路接通蓄电池；</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4.充电机应具备蓄电池连接确认功能。当充电机与电动汽车蓄电池系统正确连接后，充电机才允许启动充电过程；当充电机检测到与电动汽车蓄电池系统的连接不正常时，必须立即切断直流输出；当充电机与电动汽车断开连接后，充电接口的任意带电导体之间或带电导体与地之间的电压在1s内要降到60V以下，以防止潜在的电击伤害；</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5.充电机在充电过程中，应保证蓄电池的充电电压、充电电流不超过允许值；</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6.充电机在充电过程中，当出现蓄电池的温度、电压超过允许限值时，充电机应停止充电；</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7.充电机在充电过程中，当出现与电动汽车蓄电池管理系统通信中断时，充电机应停止充电；</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8.充电机应具备直流输出侧的过压、短路保护。当出现直流输出过压时，充电机应能自动切断直流输出并发出告警信号；当出现直流输出短路时，充电机应能自动进入限流输出状态；</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9.充电机应具备直流输出侧的绝缘检测及绝缘降低报警功能；</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10.充电机在停止充电时，应保证直流输出回路处于断开状态</w:t>
            </w:r>
          </w:p>
        </w:tc>
        <w:tc>
          <w:tcPr>
            <w:tcW w:w="1540" w:type="dxa"/>
            <w:noWrap w:val="0"/>
            <w:vAlign w:val="center"/>
          </w:tcPr>
          <w:p w14:paraId="1CD13E72">
            <w:pPr>
              <w:widowControl/>
              <w:jc w:val="center"/>
              <w:textAlignment w:val="center"/>
              <w:rPr>
                <w:rFonts w:hint="eastAsia"/>
                <w:color w:val="auto"/>
                <w:highlight w:val="none"/>
                <w:vertAlign w:val="baseline"/>
              </w:rPr>
            </w:pPr>
          </w:p>
        </w:tc>
      </w:tr>
      <w:tr w14:paraId="11671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460E2415">
            <w:pPr>
              <w:pStyle w:val="36"/>
              <w:numPr>
                <w:ilvl w:val="0"/>
                <w:numId w:val="0"/>
              </w:numPr>
              <w:rPr>
                <w:rFonts w:hint="eastAsia"/>
                <w:color w:val="auto"/>
                <w:highlight w:val="none"/>
                <w:vertAlign w:val="baseline"/>
              </w:rPr>
            </w:pPr>
          </w:p>
        </w:tc>
        <w:tc>
          <w:tcPr>
            <w:tcW w:w="1575" w:type="dxa"/>
            <w:noWrap w:val="0"/>
            <w:vAlign w:val="center"/>
          </w:tcPr>
          <w:p w14:paraId="05AC295B">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充电模式</w:t>
            </w:r>
          </w:p>
        </w:tc>
        <w:tc>
          <w:tcPr>
            <w:tcW w:w="5400" w:type="dxa"/>
            <w:noWrap w:val="0"/>
            <w:vAlign w:val="center"/>
          </w:tcPr>
          <w:p w14:paraId="1307B841">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双枪充电模式通过独立均充，实现功率智能分配等充电模式。</w:t>
            </w:r>
          </w:p>
        </w:tc>
        <w:tc>
          <w:tcPr>
            <w:tcW w:w="1540" w:type="dxa"/>
            <w:noWrap w:val="0"/>
            <w:vAlign w:val="center"/>
          </w:tcPr>
          <w:p w14:paraId="3C5C26DF">
            <w:pPr>
              <w:widowControl/>
              <w:jc w:val="center"/>
              <w:textAlignment w:val="center"/>
              <w:rPr>
                <w:rFonts w:hint="eastAsia"/>
                <w:color w:val="auto"/>
                <w:highlight w:val="none"/>
                <w:vertAlign w:val="baseline"/>
              </w:rPr>
            </w:pPr>
            <w:r>
              <w:rPr>
                <w:rFonts w:hint="eastAsia" w:ascii="宋体" w:hAnsi="宋体" w:cs="宋体"/>
                <w:color w:val="auto"/>
                <w:kern w:val="0"/>
                <w:highlight w:val="none"/>
              </w:rPr>
              <w:t>★</w:t>
            </w:r>
          </w:p>
        </w:tc>
      </w:tr>
      <w:tr w14:paraId="60F1F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7895C6DF">
            <w:pPr>
              <w:pStyle w:val="36"/>
              <w:numPr>
                <w:ilvl w:val="0"/>
                <w:numId w:val="0"/>
              </w:numPr>
              <w:rPr>
                <w:rFonts w:hint="eastAsia"/>
                <w:color w:val="auto"/>
                <w:highlight w:val="none"/>
                <w:vertAlign w:val="baseline"/>
              </w:rPr>
            </w:pPr>
          </w:p>
        </w:tc>
        <w:tc>
          <w:tcPr>
            <w:tcW w:w="1575" w:type="dxa"/>
            <w:noWrap w:val="0"/>
            <w:vAlign w:val="center"/>
          </w:tcPr>
          <w:p w14:paraId="7DDBC5BA">
            <w:pPr>
              <w:widowControl/>
              <w:jc w:val="center"/>
              <w:textAlignment w:val="center"/>
              <w:rPr>
                <w:rFonts w:hint="eastAsia"/>
                <w:color w:val="auto"/>
                <w:highlight w:val="none"/>
                <w:vertAlign w:val="baseline"/>
              </w:rPr>
            </w:pPr>
            <w:r>
              <w:rPr>
                <w:rFonts w:hint="eastAsia"/>
                <w:color w:val="auto"/>
                <w:highlight w:val="none"/>
              </w:rPr>
              <w:t>开门保护</w:t>
            </w:r>
          </w:p>
        </w:tc>
        <w:tc>
          <w:tcPr>
            <w:tcW w:w="5400" w:type="dxa"/>
            <w:noWrap w:val="0"/>
            <w:vAlign w:val="center"/>
          </w:tcPr>
          <w:p w14:paraId="142703C2">
            <w:pPr>
              <w:widowControl/>
              <w:jc w:val="left"/>
              <w:textAlignment w:val="center"/>
              <w:rPr>
                <w:rFonts w:hint="eastAsia"/>
                <w:color w:val="auto"/>
                <w:highlight w:val="none"/>
                <w:vertAlign w:val="baseline"/>
              </w:rPr>
            </w:pPr>
            <w:r>
              <w:rPr>
                <w:rFonts w:hint="eastAsia"/>
                <w:color w:val="auto"/>
                <w:highlight w:val="none"/>
              </w:rPr>
              <w:t>充电桩具有开门保护功能；当维护门打开时，充电机应同时切断动力源输入和直流输出</w:t>
            </w:r>
          </w:p>
        </w:tc>
        <w:tc>
          <w:tcPr>
            <w:tcW w:w="1540" w:type="dxa"/>
            <w:noWrap w:val="0"/>
            <w:vAlign w:val="center"/>
          </w:tcPr>
          <w:p w14:paraId="0A911A39">
            <w:pPr>
              <w:widowControl/>
              <w:jc w:val="center"/>
              <w:textAlignment w:val="center"/>
              <w:rPr>
                <w:rFonts w:hint="eastAsia"/>
                <w:color w:val="auto"/>
                <w:highlight w:val="none"/>
                <w:vertAlign w:val="baseline"/>
              </w:rPr>
            </w:pPr>
          </w:p>
        </w:tc>
      </w:tr>
      <w:tr w14:paraId="66438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5ECE4F7A">
            <w:pPr>
              <w:pStyle w:val="36"/>
              <w:numPr>
                <w:ilvl w:val="0"/>
                <w:numId w:val="0"/>
              </w:numPr>
              <w:rPr>
                <w:rFonts w:hint="eastAsia"/>
                <w:color w:val="auto"/>
                <w:highlight w:val="none"/>
                <w:vertAlign w:val="baseline"/>
              </w:rPr>
            </w:pPr>
          </w:p>
        </w:tc>
        <w:tc>
          <w:tcPr>
            <w:tcW w:w="1575" w:type="dxa"/>
            <w:noWrap w:val="0"/>
            <w:vAlign w:val="center"/>
          </w:tcPr>
          <w:p w14:paraId="3E799D0E">
            <w:pPr>
              <w:widowControl/>
              <w:jc w:val="center"/>
              <w:textAlignment w:val="center"/>
              <w:rPr>
                <w:rFonts w:hint="eastAsia"/>
                <w:color w:val="auto"/>
                <w:highlight w:val="none"/>
                <w:vertAlign w:val="baseline"/>
              </w:rPr>
            </w:pPr>
            <w:r>
              <w:rPr>
                <w:rFonts w:hint="eastAsia" w:ascii="宋体" w:hAnsi="宋体" w:cs="宋体"/>
                <w:color w:val="auto"/>
                <w:kern w:val="0"/>
                <w:highlight w:val="none"/>
              </w:rPr>
              <w:t>电气隔离</w:t>
            </w:r>
          </w:p>
        </w:tc>
        <w:tc>
          <w:tcPr>
            <w:tcW w:w="5400" w:type="dxa"/>
            <w:noWrap w:val="0"/>
            <w:vAlign w:val="center"/>
          </w:tcPr>
          <w:p w14:paraId="1F66E266">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双枪同时充电时，两把充电枪输出的正极和负极要完全电气隔离，不能共正极或共负极，提高安全性。仅限于通过一种带简单隔离的非接地电源给电动汽车供电; 检查充电机的电气原理图，并目测检查充电机的 动力电源输入和直流输出之间应电气隔离； 对一机多充充电机，检查各直流输出口之间应电;气隔离。电气隔离防护措施应符合 NB/T 33001-2018中 7.5.5 的规定。</w:t>
            </w:r>
          </w:p>
        </w:tc>
        <w:tc>
          <w:tcPr>
            <w:tcW w:w="1540" w:type="dxa"/>
            <w:noWrap w:val="0"/>
            <w:vAlign w:val="center"/>
          </w:tcPr>
          <w:p w14:paraId="379E6127">
            <w:pPr>
              <w:widowControl/>
              <w:jc w:val="center"/>
              <w:textAlignment w:val="center"/>
              <w:rPr>
                <w:rFonts w:hint="eastAsia"/>
                <w:color w:val="auto"/>
                <w:highlight w:val="none"/>
                <w:vertAlign w:val="baseline"/>
              </w:rPr>
            </w:pPr>
          </w:p>
        </w:tc>
      </w:tr>
      <w:tr w14:paraId="1349A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182A66EF">
            <w:pPr>
              <w:pStyle w:val="36"/>
              <w:numPr>
                <w:ilvl w:val="0"/>
                <w:numId w:val="0"/>
              </w:numPr>
              <w:rPr>
                <w:rFonts w:hint="eastAsia"/>
                <w:color w:val="auto"/>
                <w:highlight w:val="none"/>
                <w:vertAlign w:val="baseline"/>
              </w:rPr>
            </w:pPr>
          </w:p>
        </w:tc>
        <w:tc>
          <w:tcPr>
            <w:tcW w:w="1575" w:type="dxa"/>
            <w:noWrap w:val="0"/>
            <w:vAlign w:val="center"/>
          </w:tcPr>
          <w:p w14:paraId="65FCFFD2">
            <w:pPr>
              <w:widowControl/>
              <w:jc w:val="center"/>
              <w:textAlignment w:val="center"/>
              <w:rPr>
                <w:rFonts w:hint="eastAsia"/>
                <w:color w:val="auto"/>
                <w:highlight w:val="none"/>
                <w:vertAlign w:val="baseline"/>
              </w:rPr>
            </w:pPr>
            <w:r>
              <w:rPr>
                <w:rFonts w:hint="eastAsia" w:ascii="宋体" w:hAnsi="宋体" w:cs="宋体"/>
                <w:color w:val="auto"/>
                <w:kern w:val="0"/>
                <w:highlight w:val="none"/>
              </w:rPr>
              <w:t>通用性</w:t>
            </w:r>
          </w:p>
        </w:tc>
        <w:tc>
          <w:tcPr>
            <w:tcW w:w="5400" w:type="dxa"/>
            <w:noWrap w:val="0"/>
            <w:vAlign w:val="center"/>
          </w:tcPr>
          <w:p w14:paraId="7C9FA30A">
            <w:pPr>
              <w:widowControl/>
              <w:jc w:val="left"/>
              <w:textAlignment w:val="center"/>
              <w:rPr>
                <w:rFonts w:hint="eastAsia"/>
                <w:color w:val="auto"/>
                <w:highlight w:val="none"/>
                <w:vertAlign w:val="baseline"/>
              </w:rPr>
            </w:pPr>
            <w:r>
              <w:rPr>
                <w:rFonts w:hint="eastAsia" w:ascii="宋体" w:hAnsi="宋体" w:cs="宋体"/>
                <w:color w:val="auto"/>
                <w:kern w:val="0"/>
                <w:highlight w:val="none"/>
              </w:rPr>
              <w:t>一体式直流充电机需满足兼容新国标</w:t>
            </w:r>
          </w:p>
        </w:tc>
        <w:tc>
          <w:tcPr>
            <w:tcW w:w="1540" w:type="dxa"/>
            <w:noWrap w:val="0"/>
            <w:vAlign w:val="center"/>
          </w:tcPr>
          <w:p w14:paraId="5CF485A5">
            <w:pPr>
              <w:widowControl/>
              <w:jc w:val="center"/>
              <w:textAlignment w:val="center"/>
              <w:rPr>
                <w:rFonts w:hint="eastAsia"/>
                <w:color w:val="auto"/>
                <w:highlight w:val="none"/>
                <w:vertAlign w:val="baseline"/>
              </w:rPr>
            </w:pPr>
          </w:p>
        </w:tc>
      </w:tr>
      <w:tr w14:paraId="299A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5AEE25E1">
            <w:pPr>
              <w:pStyle w:val="36"/>
              <w:numPr>
                <w:ilvl w:val="0"/>
                <w:numId w:val="0"/>
              </w:numPr>
              <w:rPr>
                <w:rFonts w:hint="eastAsia"/>
                <w:color w:val="auto"/>
                <w:highlight w:val="none"/>
                <w:vertAlign w:val="baseline"/>
              </w:rPr>
            </w:pPr>
          </w:p>
        </w:tc>
        <w:tc>
          <w:tcPr>
            <w:tcW w:w="1575" w:type="dxa"/>
            <w:noWrap w:val="0"/>
            <w:vAlign w:val="center"/>
          </w:tcPr>
          <w:p w14:paraId="50609015">
            <w:pPr>
              <w:widowControl/>
              <w:jc w:val="center"/>
              <w:textAlignment w:val="center"/>
              <w:rPr>
                <w:rFonts w:hint="eastAsia"/>
                <w:color w:val="auto"/>
                <w:highlight w:val="none"/>
                <w:vertAlign w:val="baseline"/>
              </w:rPr>
            </w:pPr>
            <w:r>
              <w:rPr>
                <w:rFonts w:hint="eastAsia" w:ascii="宋体" w:hAnsi="宋体" w:cs="宋体"/>
                <w:color w:val="auto"/>
                <w:kern w:val="0"/>
                <w:highlight w:val="none"/>
              </w:rPr>
              <w:t>BMS要求</w:t>
            </w:r>
          </w:p>
        </w:tc>
        <w:tc>
          <w:tcPr>
            <w:tcW w:w="5400" w:type="dxa"/>
            <w:noWrap w:val="0"/>
            <w:vAlign w:val="center"/>
          </w:tcPr>
          <w:p w14:paraId="230D0827">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BMS辅助电源支持12V、24V，并可以通过在触摸屏进行手动配置选择</w:t>
            </w:r>
          </w:p>
        </w:tc>
        <w:tc>
          <w:tcPr>
            <w:tcW w:w="1540" w:type="dxa"/>
            <w:noWrap w:val="0"/>
            <w:vAlign w:val="center"/>
          </w:tcPr>
          <w:p w14:paraId="4F649BFB">
            <w:pPr>
              <w:widowControl/>
              <w:jc w:val="center"/>
              <w:textAlignment w:val="center"/>
              <w:rPr>
                <w:rFonts w:hint="eastAsia"/>
                <w:color w:val="auto"/>
                <w:highlight w:val="none"/>
                <w:vertAlign w:val="baseline"/>
              </w:rPr>
            </w:pPr>
          </w:p>
        </w:tc>
      </w:tr>
      <w:tr w14:paraId="650DB5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1115D3C8">
            <w:pPr>
              <w:pStyle w:val="36"/>
              <w:numPr>
                <w:ilvl w:val="0"/>
                <w:numId w:val="0"/>
              </w:numPr>
              <w:rPr>
                <w:rFonts w:hint="eastAsia"/>
                <w:color w:val="auto"/>
                <w:highlight w:val="none"/>
                <w:vertAlign w:val="baseline"/>
              </w:rPr>
            </w:pPr>
          </w:p>
        </w:tc>
        <w:tc>
          <w:tcPr>
            <w:tcW w:w="1575" w:type="dxa"/>
            <w:noWrap w:val="0"/>
            <w:vAlign w:val="center"/>
          </w:tcPr>
          <w:p w14:paraId="2A450216">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耐气候</w:t>
            </w:r>
          </w:p>
          <w:p w14:paraId="573A33B4">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环境要求</w:t>
            </w:r>
          </w:p>
        </w:tc>
        <w:tc>
          <w:tcPr>
            <w:tcW w:w="5400" w:type="dxa"/>
            <w:noWrap w:val="0"/>
            <w:vAlign w:val="center"/>
          </w:tcPr>
          <w:p w14:paraId="65794A6C">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1.充电桩的桩体防护等级应不得低于IP54；</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2.三防（防潮湿，防霉变，防盐雾）保护。充电桩内印刷线路板、接插件等电路应进行防潮湿、防霉变、防盐雾处理；</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3.防锈(防氧化)保护。充电桩铁质外壳和暴露在外的铁质支架、零件应采取双层防锈措施，非铁质的金属外壳也应具有防氧化保护膜或进行防氧化处理</w:t>
            </w:r>
          </w:p>
        </w:tc>
        <w:tc>
          <w:tcPr>
            <w:tcW w:w="1540" w:type="dxa"/>
            <w:noWrap w:val="0"/>
            <w:vAlign w:val="center"/>
          </w:tcPr>
          <w:p w14:paraId="7F8C99EE">
            <w:pPr>
              <w:widowControl/>
              <w:jc w:val="center"/>
              <w:textAlignment w:val="center"/>
              <w:rPr>
                <w:rFonts w:hint="eastAsia"/>
                <w:color w:val="auto"/>
                <w:highlight w:val="none"/>
                <w:vertAlign w:val="baseline"/>
              </w:rPr>
            </w:pPr>
          </w:p>
        </w:tc>
      </w:tr>
      <w:tr w14:paraId="11D3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0A733F67">
            <w:pPr>
              <w:pStyle w:val="36"/>
              <w:numPr>
                <w:ilvl w:val="0"/>
                <w:numId w:val="0"/>
              </w:numPr>
              <w:rPr>
                <w:rFonts w:hint="eastAsia" w:ascii="宋体" w:hAnsi="宋体" w:eastAsia="宋体" w:cs="宋体"/>
                <w:color w:val="auto"/>
                <w:sz w:val="21"/>
                <w:szCs w:val="21"/>
                <w:highlight w:val="none"/>
                <w:vertAlign w:val="baseline"/>
              </w:rPr>
            </w:pPr>
          </w:p>
        </w:tc>
        <w:tc>
          <w:tcPr>
            <w:tcW w:w="1575" w:type="dxa"/>
            <w:noWrap w:val="0"/>
            <w:vAlign w:val="center"/>
          </w:tcPr>
          <w:p w14:paraId="15E959D0">
            <w:pPr>
              <w:widowControl/>
              <w:jc w:val="center"/>
              <w:textAlignment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kern w:val="0"/>
                <w:sz w:val="21"/>
                <w:szCs w:val="21"/>
                <w:highlight w:val="none"/>
              </w:rPr>
              <w:t>允许温度</w:t>
            </w:r>
          </w:p>
        </w:tc>
        <w:tc>
          <w:tcPr>
            <w:tcW w:w="5400" w:type="dxa"/>
            <w:noWrap w:val="0"/>
            <w:vAlign w:val="center"/>
          </w:tcPr>
          <w:p w14:paraId="43C4B55A">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1.在40℃环境温度下，充电桩可用手接触部分允许的最高温度应为：</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——金属部分，50℃；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——非金属部分，60℃；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2.可以用手接触但不必紧握的部分，在同样条件下允许的最高温度应为：</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——金属部分，60℃；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——非金属部分，85℃</w:t>
            </w:r>
          </w:p>
        </w:tc>
        <w:tc>
          <w:tcPr>
            <w:tcW w:w="1540" w:type="dxa"/>
            <w:noWrap w:val="0"/>
            <w:vAlign w:val="center"/>
          </w:tcPr>
          <w:p w14:paraId="34E26B81">
            <w:pPr>
              <w:widowControl/>
              <w:jc w:val="center"/>
              <w:textAlignment w:val="center"/>
              <w:rPr>
                <w:rFonts w:hint="eastAsia" w:ascii="宋体" w:hAnsi="宋体" w:eastAsia="宋体" w:cs="宋体"/>
                <w:color w:val="auto"/>
                <w:sz w:val="21"/>
                <w:szCs w:val="21"/>
                <w:highlight w:val="none"/>
                <w:vertAlign w:val="baseline"/>
              </w:rPr>
            </w:pPr>
          </w:p>
        </w:tc>
      </w:tr>
      <w:tr w14:paraId="71593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7D60D60B">
            <w:pPr>
              <w:pStyle w:val="36"/>
              <w:numPr>
                <w:ilvl w:val="0"/>
                <w:numId w:val="0"/>
              </w:numPr>
              <w:rPr>
                <w:rFonts w:hint="eastAsia"/>
                <w:color w:val="auto"/>
                <w:highlight w:val="none"/>
                <w:vertAlign w:val="baseline"/>
              </w:rPr>
            </w:pPr>
          </w:p>
        </w:tc>
        <w:tc>
          <w:tcPr>
            <w:tcW w:w="1575" w:type="dxa"/>
            <w:noWrap w:val="0"/>
            <w:vAlign w:val="center"/>
          </w:tcPr>
          <w:p w14:paraId="6C2F9F29">
            <w:pPr>
              <w:widowControl/>
              <w:jc w:val="center"/>
              <w:textAlignment w:val="center"/>
              <w:rPr>
                <w:rFonts w:hint="eastAsia"/>
                <w:color w:val="auto"/>
                <w:highlight w:val="none"/>
                <w:vertAlign w:val="baseline"/>
              </w:rPr>
            </w:pPr>
            <w:r>
              <w:rPr>
                <w:rFonts w:hint="eastAsia" w:ascii="宋体" w:hAnsi="宋体" w:cs="宋体"/>
                <w:color w:val="auto"/>
                <w:kern w:val="0"/>
                <w:highlight w:val="none"/>
              </w:rPr>
              <w:t>电击防护</w:t>
            </w:r>
          </w:p>
        </w:tc>
        <w:tc>
          <w:tcPr>
            <w:tcW w:w="5400" w:type="dxa"/>
            <w:noWrap w:val="0"/>
            <w:vAlign w:val="center"/>
          </w:tcPr>
          <w:p w14:paraId="3801F3B5">
            <w:pPr>
              <w:keepNext w:val="0"/>
              <w:keepLines w:val="0"/>
              <w:pageBreakBefore w:val="0"/>
              <w:widowControl w:val="0"/>
              <w:kinsoku/>
              <w:wordWrap/>
              <w:autoSpaceDE/>
              <w:autoSpaceDN/>
              <w:bidi w:val="0"/>
              <w:spacing w:line="360" w:lineRule="auto"/>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充电桩的电击防护应符合GB/T 18487.1-2015中第7章的要求</w:t>
            </w:r>
          </w:p>
        </w:tc>
        <w:tc>
          <w:tcPr>
            <w:tcW w:w="1540" w:type="dxa"/>
            <w:noWrap w:val="0"/>
            <w:vAlign w:val="center"/>
          </w:tcPr>
          <w:p w14:paraId="6AD709F8">
            <w:pPr>
              <w:widowControl/>
              <w:jc w:val="center"/>
              <w:textAlignment w:val="center"/>
              <w:rPr>
                <w:rFonts w:hint="eastAsia"/>
                <w:color w:val="auto"/>
                <w:highlight w:val="none"/>
                <w:vertAlign w:val="baseline"/>
              </w:rPr>
            </w:pPr>
          </w:p>
        </w:tc>
      </w:tr>
      <w:tr w14:paraId="0FCB6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2CAC6C6A">
            <w:pPr>
              <w:pStyle w:val="36"/>
              <w:numPr>
                <w:ilvl w:val="0"/>
                <w:numId w:val="0"/>
              </w:numPr>
              <w:rPr>
                <w:rFonts w:hint="eastAsia"/>
                <w:color w:val="auto"/>
                <w:highlight w:val="none"/>
                <w:vertAlign w:val="baseline"/>
              </w:rPr>
            </w:pPr>
          </w:p>
        </w:tc>
        <w:tc>
          <w:tcPr>
            <w:tcW w:w="1575" w:type="dxa"/>
            <w:noWrap w:val="0"/>
            <w:vAlign w:val="center"/>
          </w:tcPr>
          <w:p w14:paraId="632E1BDF">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电气间隙和</w:t>
            </w:r>
          </w:p>
          <w:p w14:paraId="430ACFB0">
            <w:pPr>
              <w:keepNext w:val="0"/>
              <w:keepLines w:val="0"/>
              <w:pageBreakBefore w:val="0"/>
              <w:widowControl w:val="0"/>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爬电距离</w:t>
            </w:r>
          </w:p>
        </w:tc>
        <w:tc>
          <w:tcPr>
            <w:tcW w:w="5400" w:type="dxa"/>
            <w:noWrap w:val="0"/>
            <w:vAlign w:val="center"/>
          </w:tcPr>
          <w:p w14:paraId="75DBE694">
            <w:pPr>
              <w:keepNext w:val="0"/>
              <w:keepLines w:val="0"/>
              <w:pageBreakBefore w:val="0"/>
              <w:widowControl w:val="0"/>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充电桩的电气间隙和爬电距离应符合</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额定绝缘电压Ui（V） 电气间隙（mm） 爬电距离（mm）</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Ui≤60             3.0            3.0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60＜Ui≤300        5.0            6.0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300＜Ui≤700       8.0            10.0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注1：当主电路与控制电路或辅助电路的额定绝缘电压不一致时，其电气间隙和爬电距离可分别按其额定值选取；</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注2：具有不同额定值主电路或控制电路导电部分之间的电气间隙与爬电距离，应按最高额定绝缘电压选取；</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注3：小母线、汇流排或不同级的裸露的带电导体之间，以及裸露的带电导体与未经绝缘的不带电导体之间的电气间隙不小于12mm，爬电距离不小于20mm</w:t>
            </w:r>
          </w:p>
        </w:tc>
        <w:tc>
          <w:tcPr>
            <w:tcW w:w="1540" w:type="dxa"/>
            <w:noWrap w:val="0"/>
            <w:vAlign w:val="center"/>
          </w:tcPr>
          <w:p w14:paraId="3D6FAC56">
            <w:pPr>
              <w:widowControl/>
              <w:jc w:val="center"/>
              <w:textAlignment w:val="center"/>
              <w:rPr>
                <w:rFonts w:hint="eastAsia"/>
                <w:color w:val="auto"/>
                <w:highlight w:val="none"/>
                <w:vertAlign w:val="baseline"/>
              </w:rPr>
            </w:pPr>
          </w:p>
        </w:tc>
      </w:tr>
      <w:tr w14:paraId="29982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69BD993E">
            <w:pPr>
              <w:pStyle w:val="36"/>
              <w:numPr>
                <w:ilvl w:val="0"/>
                <w:numId w:val="0"/>
              </w:numPr>
              <w:rPr>
                <w:rFonts w:hint="eastAsia"/>
                <w:color w:val="auto"/>
                <w:highlight w:val="none"/>
                <w:vertAlign w:val="baseline"/>
              </w:rPr>
            </w:pPr>
          </w:p>
        </w:tc>
        <w:tc>
          <w:tcPr>
            <w:tcW w:w="1575" w:type="dxa"/>
            <w:noWrap w:val="0"/>
            <w:vAlign w:val="center"/>
          </w:tcPr>
          <w:p w14:paraId="05793986">
            <w:pPr>
              <w:widowControl/>
              <w:jc w:val="center"/>
              <w:textAlignment w:val="center"/>
              <w:rPr>
                <w:rFonts w:hint="eastAsia"/>
                <w:color w:val="auto"/>
                <w:highlight w:val="none"/>
                <w:vertAlign w:val="baseline"/>
              </w:rPr>
            </w:pPr>
            <w:r>
              <w:rPr>
                <w:rFonts w:hint="eastAsia" w:ascii="宋体" w:hAnsi="宋体" w:cs="宋体"/>
                <w:color w:val="auto"/>
                <w:kern w:val="0"/>
                <w:highlight w:val="none"/>
              </w:rPr>
              <w:t>接地要求</w:t>
            </w:r>
          </w:p>
        </w:tc>
        <w:tc>
          <w:tcPr>
            <w:tcW w:w="5400" w:type="dxa"/>
            <w:noWrap w:val="0"/>
            <w:vAlign w:val="center"/>
          </w:tcPr>
          <w:p w14:paraId="1BCCA512">
            <w:pPr>
              <w:keepNext w:val="0"/>
              <w:keepLines w:val="0"/>
              <w:pageBreakBefore w:val="0"/>
              <w:widowControl w:val="0"/>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充电桩的接地要求应能满足以下的规定：</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1.充电桩金属壳体应设置接地螺栓，其直径不得小于6mm，并应有接地标志；</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2.所有作为隔离带电导体的金属隔板、电气元件的金属外壳以及金属手柄等均应有效接地，连续性电阻不应大于0.1Ω；</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3.充电桩的门、盖板、覆板和类似部件，应采用保护导体将这些部件和充电桩主体框架连接，此保护导体的截面积不得小于2.5mm²；</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4.接地母线和柜体之间的所有连接应躲开（或穿透绝缘层）喷漆层，以保证有效的电气连接；</w:t>
            </w:r>
          </w:p>
        </w:tc>
        <w:tc>
          <w:tcPr>
            <w:tcW w:w="1540" w:type="dxa"/>
            <w:noWrap w:val="0"/>
            <w:vAlign w:val="center"/>
          </w:tcPr>
          <w:p w14:paraId="64653DD3">
            <w:pPr>
              <w:widowControl/>
              <w:jc w:val="center"/>
              <w:textAlignment w:val="center"/>
              <w:rPr>
                <w:rFonts w:hint="eastAsia"/>
                <w:color w:val="auto"/>
                <w:highlight w:val="none"/>
                <w:vertAlign w:val="baseline"/>
              </w:rPr>
            </w:pPr>
          </w:p>
        </w:tc>
      </w:tr>
      <w:tr w14:paraId="24ADB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6CAD3880">
            <w:pPr>
              <w:pStyle w:val="36"/>
              <w:numPr>
                <w:ilvl w:val="0"/>
                <w:numId w:val="0"/>
              </w:numPr>
              <w:rPr>
                <w:rFonts w:hint="eastAsia"/>
                <w:color w:val="auto"/>
                <w:highlight w:val="none"/>
                <w:vertAlign w:val="baseline"/>
              </w:rPr>
            </w:pPr>
          </w:p>
        </w:tc>
        <w:tc>
          <w:tcPr>
            <w:tcW w:w="1575" w:type="dxa"/>
            <w:noWrap w:val="0"/>
            <w:vAlign w:val="center"/>
          </w:tcPr>
          <w:p w14:paraId="79DDC4E4">
            <w:pPr>
              <w:widowControl/>
              <w:jc w:val="center"/>
              <w:textAlignment w:val="center"/>
              <w:rPr>
                <w:rFonts w:hint="eastAsia"/>
                <w:color w:val="auto"/>
                <w:highlight w:val="none"/>
                <w:vertAlign w:val="baseline"/>
              </w:rPr>
            </w:pPr>
            <w:r>
              <w:rPr>
                <w:rFonts w:hint="eastAsia" w:ascii="宋体" w:hAnsi="宋体" w:cs="宋体"/>
                <w:color w:val="auto"/>
                <w:kern w:val="0"/>
                <w:highlight w:val="none"/>
              </w:rPr>
              <w:t>绝缘电阻</w:t>
            </w:r>
          </w:p>
        </w:tc>
        <w:tc>
          <w:tcPr>
            <w:tcW w:w="5400" w:type="dxa"/>
            <w:noWrap w:val="0"/>
            <w:vAlign w:val="center"/>
          </w:tcPr>
          <w:p w14:paraId="747A4D25">
            <w:pPr>
              <w:keepNext w:val="0"/>
              <w:keepLines w:val="0"/>
              <w:pageBreakBefore w:val="0"/>
              <w:widowControl w:val="0"/>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用开路电压为绝缘额定电压规定电压的测试仪器测量，充电桩非电气连接的各带电回路之间、各独立带电回路与地（金属外壳）之间绝缘电阻不应小于10MΩ</w:t>
            </w:r>
          </w:p>
        </w:tc>
        <w:tc>
          <w:tcPr>
            <w:tcW w:w="1540" w:type="dxa"/>
            <w:noWrap w:val="0"/>
            <w:vAlign w:val="center"/>
          </w:tcPr>
          <w:p w14:paraId="6FD10969">
            <w:pPr>
              <w:widowControl/>
              <w:jc w:val="center"/>
              <w:textAlignment w:val="center"/>
              <w:rPr>
                <w:rFonts w:hint="eastAsia"/>
                <w:color w:val="auto"/>
                <w:highlight w:val="none"/>
                <w:vertAlign w:val="baseline"/>
              </w:rPr>
            </w:pPr>
          </w:p>
        </w:tc>
      </w:tr>
      <w:tr w14:paraId="377F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569E1795">
            <w:pPr>
              <w:pStyle w:val="36"/>
              <w:numPr>
                <w:ilvl w:val="0"/>
                <w:numId w:val="0"/>
              </w:numPr>
              <w:rPr>
                <w:rFonts w:hint="eastAsia"/>
                <w:color w:val="auto"/>
                <w:highlight w:val="none"/>
                <w:vertAlign w:val="baseline"/>
              </w:rPr>
            </w:pPr>
          </w:p>
        </w:tc>
        <w:tc>
          <w:tcPr>
            <w:tcW w:w="1575" w:type="dxa"/>
            <w:noWrap w:val="0"/>
            <w:vAlign w:val="center"/>
          </w:tcPr>
          <w:p w14:paraId="055B3EBB">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工频耐压</w:t>
            </w:r>
          </w:p>
        </w:tc>
        <w:tc>
          <w:tcPr>
            <w:tcW w:w="5400" w:type="dxa"/>
            <w:noWrap w:val="0"/>
            <w:vAlign w:val="center"/>
          </w:tcPr>
          <w:p w14:paraId="4F04C2B0">
            <w:pPr>
              <w:keepNext w:val="0"/>
              <w:keepLines w:val="0"/>
              <w:pageBreakBefore w:val="0"/>
              <w:widowControl w:val="0"/>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充电桩非电气连接的各带电回路之间、各独立带电回路与地（金属外壳）之间，按其工作电压应能承受绝缘额定电压所规定历时1 min的工频耐压试验（也可采用直流电压，试验电压为交流电压有效值的1.4倍）。试验过程中应无绝缘击穿和闪络现象</w:t>
            </w:r>
          </w:p>
        </w:tc>
        <w:tc>
          <w:tcPr>
            <w:tcW w:w="1540" w:type="dxa"/>
            <w:noWrap w:val="0"/>
            <w:vAlign w:val="center"/>
          </w:tcPr>
          <w:p w14:paraId="26169DDF">
            <w:pPr>
              <w:widowControl/>
              <w:jc w:val="center"/>
              <w:textAlignment w:val="center"/>
              <w:rPr>
                <w:rFonts w:hint="eastAsia"/>
                <w:color w:val="auto"/>
                <w:highlight w:val="none"/>
                <w:vertAlign w:val="baseline"/>
              </w:rPr>
            </w:pPr>
          </w:p>
        </w:tc>
      </w:tr>
      <w:tr w14:paraId="48A85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7699E97B">
            <w:pPr>
              <w:pStyle w:val="36"/>
              <w:numPr>
                <w:ilvl w:val="0"/>
                <w:numId w:val="0"/>
              </w:numPr>
              <w:rPr>
                <w:rFonts w:hint="eastAsia"/>
                <w:color w:val="auto"/>
                <w:highlight w:val="none"/>
                <w:vertAlign w:val="baseline"/>
              </w:rPr>
            </w:pPr>
          </w:p>
        </w:tc>
        <w:tc>
          <w:tcPr>
            <w:tcW w:w="1575" w:type="dxa"/>
            <w:noWrap w:val="0"/>
            <w:vAlign w:val="center"/>
          </w:tcPr>
          <w:p w14:paraId="6EEBCF48">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冲击电压</w:t>
            </w:r>
          </w:p>
        </w:tc>
        <w:tc>
          <w:tcPr>
            <w:tcW w:w="5400" w:type="dxa"/>
            <w:noWrap w:val="0"/>
            <w:vAlign w:val="center"/>
          </w:tcPr>
          <w:p w14:paraId="379F2851">
            <w:pPr>
              <w:keepNext w:val="0"/>
              <w:keepLines w:val="0"/>
              <w:pageBreakBefore w:val="0"/>
              <w:widowControl w:val="0"/>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充电桩各带电回路、各带电电路对地（金属外壳）之间，按其工作电压应能承受如下所规定标准雷电波的短时冲击电压试验。试验过程中应无击穿放电</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额定绝缘电压Ui</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（V） 绝缘电阻测试仪器的电压等级</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w:t>
            </w:r>
            <w:r>
              <w:rPr>
                <w:rFonts w:hint="eastAsia" w:ascii="宋体" w:hAnsi="宋体" w:eastAsia="宋体" w:cs="宋体"/>
                <w:color w:val="auto"/>
                <w:kern w:val="0"/>
                <w:highlight w:val="none"/>
                <w:lang w:val="en-US" w:eastAsia="zh-CN"/>
              </w:rPr>
              <w:t>k</w:t>
            </w:r>
            <w:r>
              <w:rPr>
                <w:rFonts w:hint="eastAsia" w:ascii="宋体" w:hAnsi="宋体" w:eastAsia="宋体" w:cs="宋体"/>
                <w:color w:val="auto"/>
                <w:kern w:val="0"/>
                <w:highlight w:val="none"/>
              </w:rPr>
              <w:t>V） 工频耐压试验电压</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（kV） 冲击耐压试验电压</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（kV）</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≤60          250   1.0（1.4）   1.0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60＜Ui≤300   500   2.0（2.8）   5.0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300＜Ui≤700  1000  2.5（3.5）   12.0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注：括号内数据为直流介质强度试验值</w:t>
            </w:r>
          </w:p>
        </w:tc>
        <w:tc>
          <w:tcPr>
            <w:tcW w:w="1540" w:type="dxa"/>
            <w:noWrap w:val="0"/>
            <w:vAlign w:val="center"/>
          </w:tcPr>
          <w:p w14:paraId="6685411E">
            <w:pPr>
              <w:widowControl/>
              <w:jc w:val="center"/>
              <w:textAlignment w:val="center"/>
              <w:rPr>
                <w:rFonts w:hint="eastAsia"/>
                <w:color w:val="auto"/>
                <w:highlight w:val="none"/>
                <w:vertAlign w:val="baseline"/>
              </w:rPr>
            </w:pPr>
          </w:p>
        </w:tc>
      </w:tr>
      <w:tr w14:paraId="7C4D4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6223305D">
            <w:pPr>
              <w:pStyle w:val="36"/>
              <w:numPr>
                <w:ilvl w:val="0"/>
                <w:numId w:val="0"/>
              </w:numPr>
              <w:rPr>
                <w:rFonts w:hint="eastAsia"/>
                <w:color w:val="auto"/>
                <w:highlight w:val="none"/>
                <w:vertAlign w:val="baseline"/>
              </w:rPr>
            </w:pPr>
          </w:p>
        </w:tc>
        <w:tc>
          <w:tcPr>
            <w:tcW w:w="1575" w:type="dxa"/>
            <w:noWrap w:val="0"/>
            <w:vAlign w:val="center"/>
          </w:tcPr>
          <w:p w14:paraId="6C3E053C">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安全要求</w:t>
            </w:r>
          </w:p>
        </w:tc>
        <w:tc>
          <w:tcPr>
            <w:tcW w:w="5400" w:type="dxa"/>
            <w:noWrap w:val="0"/>
            <w:vAlign w:val="center"/>
          </w:tcPr>
          <w:p w14:paraId="7D8FEBC1">
            <w:pPr>
              <w:keepNext w:val="0"/>
              <w:keepLines w:val="0"/>
              <w:pageBreakBefore w:val="0"/>
              <w:widowControl w:val="0"/>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1.充电机应具备电源输入侧的过压、欠压保护。当出现交流输入过压、欠压时，充电机应能自动切断直流输出并发出告警提示；</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2.充电机应具备输出过压保护。在电流指令值发生急剧变化或突然失去负荷时，输出电压也不得超过当前输出的10%；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3.充电桩应具备内部过温保护，当内部温度达到保护值时，采取降功率或停止输出；</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4.充电桩应具备绝缘检测功能；</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5.充电桩在启动充电时应人工确认启动；</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6.充电桩应具备软启动功能，输入冲击电流不应超过额定输入电流的110%，软启动时间宜为3s～8s；</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7.充电桩应具备蓄电池反接保护功能；</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8.充电桩在自动充电前，应具有蓄电池电压检测功能；</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9.在充电过程中，充电桩应具有明显的状态指示和文字提示，防止人员误操作；</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10.充电桩在充电过程中应具有防止充电连接器意外脱落的锁止装置，锁止装置可通过专用方式（机械和电子方式）才能打开；</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11.充电桩应具备过充保护和漏电保护功能</w:t>
            </w:r>
          </w:p>
        </w:tc>
        <w:tc>
          <w:tcPr>
            <w:tcW w:w="1540" w:type="dxa"/>
            <w:noWrap w:val="0"/>
            <w:vAlign w:val="center"/>
          </w:tcPr>
          <w:p w14:paraId="00F5F4A0">
            <w:pPr>
              <w:widowControl/>
              <w:jc w:val="center"/>
              <w:textAlignment w:val="center"/>
              <w:rPr>
                <w:rFonts w:hint="eastAsia"/>
                <w:color w:val="auto"/>
                <w:highlight w:val="none"/>
                <w:vertAlign w:val="baseline"/>
              </w:rPr>
            </w:pPr>
          </w:p>
        </w:tc>
      </w:tr>
      <w:tr w14:paraId="1A79E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76FD6BB2">
            <w:pPr>
              <w:pStyle w:val="36"/>
              <w:numPr>
                <w:ilvl w:val="0"/>
                <w:numId w:val="0"/>
              </w:numPr>
              <w:rPr>
                <w:rFonts w:hint="eastAsia"/>
                <w:color w:val="auto"/>
                <w:highlight w:val="none"/>
                <w:vertAlign w:val="baseline"/>
              </w:rPr>
            </w:pPr>
          </w:p>
        </w:tc>
        <w:tc>
          <w:tcPr>
            <w:tcW w:w="1575" w:type="dxa"/>
            <w:noWrap w:val="0"/>
            <w:vAlign w:val="center"/>
          </w:tcPr>
          <w:p w14:paraId="0D02DD5B">
            <w:pPr>
              <w:widowControl/>
              <w:jc w:val="center"/>
              <w:textAlignment w:val="center"/>
              <w:rPr>
                <w:rFonts w:hint="eastAsia"/>
                <w:color w:val="auto"/>
                <w:highlight w:val="none"/>
                <w:vertAlign w:val="baseline"/>
              </w:rPr>
            </w:pPr>
            <w:r>
              <w:rPr>
                <w:rFonts w:hint="eastAsia" w:ascii="宋体" w:hAnsi="宋体" w:cs="宋体"/>
                <w:color w:val="auto"/>
                <w:kern w:val="0"/>
                <w:highlight w:val="none"/>
              </w:rPr>
              <w:t>机械强度</w:t>
            </w:r>
          </w:p>
        </w:tc>
        <w:tc>
          <w:tcPr>
            <w:tcW w:w="5400" w:type="dxa"/>
            <w:noWrap w:val="0"/>
            <w:vAlign w:val="center"/>
          </w:tcPr>
          <w:p w14:paraId="0A9E9AD0">
            <w:pPr>
              <w:keepNext w:val="0"/>
              <w:keepLines w:val="0"/>
              <w:pageBreakBefore w:val="0"/>
              <w:widowControl w:val="0"/>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按GB/T 2423.55-2006规定的方法进行试验，剧烈冲击能量为20J（5kg，在0.4m），试验结束后，充电桩的IP等级不受影响，绝缘性能不应降低，门的操作和锁止点不应损坏</w:t>
            </w:r>
          </w:p>
        </w:tc>
        <w:tc>
          <w:tcPr>
            <w:tcW w:w="1540" w:type="dxa"/>
            <w:noWrap w:val="0"/>
            <w:vAlign w:val="center"/>
          </w:tcPr>
          <w:p w14:paraId="6E576584">
            <w:pPr>
              <w:widowControl/>
              <w:jc w:val="center"/>
              <w:textAlignment w:val="center"/>
              <w:rPr>
                <w:rFonts w:hint="eastAsia"/>
                <w:color w:val="auto"/>
                <w:highlight w:val="none"/>
                <w:vertAlign w:val="baseline"/>
              </w:rPr>
            </w:pPr>
          </w:p>
        </w:tc>
      </w:tr>
      <w:tr w14:paraId="11131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7E07A0ED">
            <w:pPr>
              <w:pStyle w:val="36"/>
              <w:numPr>
                <w:ilvl w:val="0"/>
                <w:numId w:val="0"/>
              </w:numPr>
              <w:rPr>
                <w:rFonts w:hint="eastAsia"/>
                <w:color w:val="auto"/>
                <w:highlight w:val="none"/>
                <w:vertAlign w:val="baseline"/>
              </w:rPr>
            </w:pPr>
          </w:p>
        </w:tc>
        <w:tc>
          <w:tcPr>
            <w:tcW w:w="1575" w:type="dxa"/>
            <w:noWrap w:val="0"/>
            <w:vAlign w:val="center"/>
          </w:tcPr>
          <w:p w14:paraId="48952045">
            <w:pPr>
              <w:widowControl/>
              <w:jc w:val="center"/>
              <w:textAlignment w:val="center"/>
              <w:rPr>
                <w:rFonts w:hint="eastAsia"/>
                <w:color w:val="auto"/>
                <w:highlight w:val="none"/>
                <w:vertAlign w:val="baseline"/>
              </w:rPr>
            </w:pPr>
            <w:r>
              <w:rPr>
                <w:rFonts w:hint="eastAsia" w:ascii="宋体" w:hAnsi="宋体" w:cs="宋体"/>
                <w:color w:val="auto"/>
                <w:kern w:val="0"/>
                <w:highlight w:val="none"/>
              </w:rPr>
              <w:t>抗扰度要求</w:t>
            </w:r>
          </w:p>
        </w:tc>
        <w:tc>
          <w:tcPr>
            <w:tcW w:w="5400" w:type="dxa"/>
            <w:noWrap w:val="0"/>
            <w:vAlign w:val="center"/>
          </w:tcPr>
          <w:p w14:paraId="1D7A68CC">
            <w:pPr>
              <w:keepNext w:val="0"/>
              <w:keepLines w:val="0"/>
              <w:pageBreakBefore w:val="0"/>
              <w:widowControl w:val="0"/>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1.静电放电抗扰度：充电桩应能承受GB/T 17626.2-2018中第5章规定的试验等级为3级的静电放电抗扰度试验；</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2.射频电磁场辐射抗扰度：充电桩应能承受GB/T 17626.3-2016中第5章规定的试验等级为3级的射频电磁场辐射抗扰度试验；</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3.电快速瞬变脉冲群抗扰度 ：充电桩应能承受GB/T 17626.4-2018中第5章规定的试验等级为3级的电快速瞬变脉冲群抗扰度试验；</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4.浪涌（冲击）抗扰度：充电桩应能承受GB/T 17626.5-2019中第5章规定的试验等级为3级的浪涌（冲击）抗扰度试验</w:t>
            </w:r>
          </w:p>
        </w:tc>
        <w:tc>
          <w:tcPr>
            <w:tcW w:w="1540" w:type="dxa"/>
            <w:noWrap w:val="0"/>
            <w:vAlign w:val="center"/>
          </w:tcPr>
          <w:p w14:paraId="78E0E622">
            <w:pPr>
              <w:widowControl/>
              <w:jc w:val="center"/>
              <w:textAlignment w:val="center"/>
              <w:rPr>
                <w:rFonts w:hint="eastAsia"/>
                <w:color w:val="auto"/>
                <w:highlight w:val="none"/>
                <w:vertAlign w:val="baseline"/>
              </w:rPr>
            </w:pPr>
          </w:p>
        </w:tc>
      </w:tr>
      <w:tr w14:paraId="39812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72FD2BBF">
            <w:pPr>
              <w:pStyle w:val="36"/>
              <w:numPr>
                <w:ilvl w:val="0"/>
                <w:numId w:val="0"/>
              </w:numPr>
              <w:rPr>
                <w:rFonts w:hint="eastAsia"/>
                <w:color w:val="auto"/>
                <w:highlight w:val="none"/>
                <w:vertAlign w:val="baseline"/>
              </w:rPr>
            </w:pPr>
          </w:p>
        </w:tc>
        <w:tc>
          <w:tcPr>
            <w:tcW w:w="1575" w:type="dxa"/>
            <w:noWrap w:val="0"/>
            <w:vAlign w:val="center"/>
          </w:tcPr>
          <w:p w14:paraId="60889132">
            <w:pPr>
              <w:widowControl/>
              <w:jc w:val="center"/>
              <w:textAlignment w:val="center"/>
              <w:rPr>
                <w:rFonts w:hint="eastAsia"/>
                <w:color w:val="auto"/>
                <w:highlight w:val="none"/>
                <w:vertAlign w:val="baseline"/>
              </w:rPr>
            </w:pPr>
            <w:r>
              <w:rPr>
                <w:rFonts w:hint="eastAsia" w:ascii="宋体" w:hAnsi="宋体" w:cs="宋体"/>
                <w:color w:val="auto"/>
                <w:kern w:val="0"/>
                <w:highlight w:val="none"/>
              </w:rPr>
              <w:t>电磁发射限制要求</w:t>
            </w:r>
          </w:p>
        </w:tc>
        <w:tc>
          <w:tcPr>
            <w:tcW w:w="5400" w:type="dxa"/>
            <w:noWrap w:val="0"/>
            <w:vAlign w:val="center"/>
          </w:tcPr>
          <w:p w14:paraId="79752083">
            <w:pPr>
              <w:keepNext w:val="0"/>
              <w:keepLines w:val="0"/>
              <w:pageBreakBefore w:val="0"/>
              <w:widowControl w:val="0"/>
              <w:numPr>
                <w:ilvl w:val="0"/>
                <w:numId w:val="4"/>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传导和辐射发射限值要求：</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频率范围 MHz  发射限值dB(μV)</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准峰值   平均值</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0.15～0.5（不含0.5）    79        66</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0.5～30                 73       60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频率范围MHz 在10 m测量距离处辐射发射限值</w:t>
            </w:r>
          </w:p>
          <w:p w14:paraId="506478AA">
            <w:pPr>
              <w:keepNext w:val="0"/>
              <w:keepLines w:val="0"/>
              <w:pageBreakBefore w:val="0"/>
              <w:widowControl w:val="0"/>
              <w:numPr>
                <w:ilvl w:val="0"/>
                <w:numId w:val="0"/>
              </w:numPr>
              <w:kinsoku/>
              <w:wordWrap/>
              <w:autoSpaceDE/>
              <w:autoSpaceDN/>
              <w:bidi w:val="0"/>
              <w:spacing w:line="360" w:lineRule="auto"/>
              <w:ind w:firstLine="1470" w:firstLineChars="700"/>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dB(μV/m)</w:t>
            </w:r>
            <w:r>
              <w:rPr>
                <w:rFonts w:hint="eastAsia" w:ascii="宋体" w:hAnsi="宋体" w:eastAsia="宋体" w:cs="宋体"/>
                <w:color w:val="auto"/>
                <w:kern w:val="0"/>
                <w:highlight w:val="none"/>
                <w:lang w:val="en-US" w:eastAsia="zh-CN"/>
              </w:rPr>
              <w:t xml:space="preserve">     </w:t>
            </w:r>
            <w:r>
              <w:rPr>
                <w:rFonts w:hint="eastAsia" w:ascii="宋体" w:hAnsi="宋体" w:eastAsia="宋体" w:cs="宋体"/>
                <w:color w:val="auto"/>
                <w:kern w:val="0"/>
                <w:highlight w:val="none"/>
              </w:rPr>
              <w:t>准峰值</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30～230                   40</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230～1000（不含230）       47</w:t>
            </w:r>
            <w:r>
              <w:rPr>
                <w:rFonts w:hint="eastAsia" w:ascii="宋体" w:hAnsi="宋体" w:eastAsia="宋体" w:cs="宋体"/>
                <w:color w:val="auto"/>
                <w:kern w:val="0"/>
                <w:highlight w:val="none"/>
              </w:rPr>
              <w:br w:type="textWrapping"/>
            </w:r>
            <w:r>
              <w:rPr>
                <w:rFonts w:hint="eastAsia" w:ascii="宋体" w:hAnsi="宋体" w:eastAsia="宋体" w:cs="宋体"/>
                <w:color w:val="auto"/>
                <w:kern w:val="0"/>
                <w:highlight w:val="none"/>
              </w:rPr>
              <w:t>2.谐波电流限值要求：当输出功率为额定功率的50%～100%时，充电桩总谐波电流含有率不应大于6%</w:t>
            </w:r>
          </w:p>
        </w:tc>
        <w:tc>
          <w:tcPr>
            <w:tcW w:w="1540" w:type="dxa"/>
            <w:noWrap w:val="0"/>
            <w:vAlign w:val="top"/>
          </w:tcPr>
          <w:p w14:paraId="03AB9DD6">
            <w:pPr>
              <w:pStyle w:val="36"/>
              <w:numPr>
                <w:ilvl w:val="0"/>
                <w:numId w:val="0"/>
              </w:numPr>
              <w:rPr>
                <w:rFonts w:hint="eastAsia"/>
                <w:color w:val="auto"/>
                <w:highlight w:val="none"/>
                <w:vertAlign w:val="baseline"/>
              </w:rPr>
            </w:pPr>
          </w:p>
        </w:tc>
      </w:tr>
      <w:tr w14:paraId="666AA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restart"/>
            <w:noWrap w:val="0"/>
            <w:vAlign w:val="center"/>
          </w:tcPr>
          <w:p w14:paraId="153A3E05">
            <w:pPr>
              <w:jc w:val="center"/>
              <w:rPr>
                <w:rFonts w:hint="eastAsia" w:ascii="宋体" w:hAnsi="宋体" w:cs="宋体"/>
                <w:b/>
                <w:color w:val="auto"/>
                <w:highlight w:val="none"/>
              </w:rPr>
            </w:pPr>
            <w:r>
              <w:rPr>
                <w:rFonts w:hint="eastAsia" w:ascii="宋体" w:hAnsi="宋体" w:cs="宋体"/>
                <w:b/>
                <w:color w:val="auto"/>
                <w:highlight w:val="none"/>
              </w:rPr>
              <w:t>充电</w:t>
            </w:r>
          </w:p>
          <w:p w14:paraId="1C06D93E">
            <w:pPr>
              <w:jc w:val="center"/>
              <w:rPr>
                <w:rFonts w:hint="eastAsia"/>
                <w:color w:val="auto"/>
                <w:highlight w:val="none"/>
                <w:vertAlign w:val="baseline"/>
              </w:rPr>
            </w:pPr>
            <w:r>
              <w:rPr>
                <w:rFonts w:hint="eastAsia" w:ascii="宋体" w:hAnsi="宋体" w:cs="宋体"/>
                <w:b/>
                <w:color w:val="auto"/>
                <w:highlight w:val="none"/>
              </w:rPr>
              <w:t>模块</w:t>
            </w:r>
          </w:p>
        </w:tc>
        <w:tc>
          <w:tcPr>
            <w:tcW w:w="1575" w:type="dxa"/>
            <w:noWrap w:val="0"/>
            <w:vAlign w:val="center"/>
          </w:tcPr>
          <w:p w14:paraId="67E78A36">
            <w:pPr>
              <w:widowControl/>
              <w:jc w:val="center"/>
              <w:textAlignment w:val="center"/>
              <w:rPr>
                <w:rFonts w:hint="eastAsia"/>
                <w:color w:val="auto"/>
                <w:highlight w:val="none"/>
                <w:vertAlign w:val="baseline"/>
              </w:rPr>
            </w:pPr>
            <w:r>
              <w:rPr>
                <w:rFonts w:hint="eastAsia" w:ascii="宋体" w:hAnsi="宋体" w:cs="宋体"/>
                <w:color w:val="auto"/>
                <w:kern w:val="0"/>
                <w:highlight w:val="none"/>
              </w:rPr>
              <w:t>功率要求</w:t>
            </w:r>
          </w:p>
        </w:tc>
        <w:tc>
          <w:tcPr>
            <w:tcW w:w="5400" w:type="dxa"/>
            <w:noWrap w:val="0"/>
            <w:vAlign w:val="center"/>
          </w:tcPr>
          <w:p w14:paraId="59CB9D80">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单个模块额定输出功率≥20KW；恒功率输出电压范围300vdc—</w:t>
            </w:r>
            <w:r>
              <w:rPr>
                <w:rFonts w:hint="eastAsia" w:ascii="宋体" w:hAnsi="宋体" w:eastAsia="宋体" w:cs="宋体"/>
                <w:color w:val="auto"/>
                <w:kern w:val="0"/>
                <w:highlight w:val="none"/>
                <w:lang w:val="en-US" w:eastAsia="zh-CN"/>
              </w:rPr>
              <w:t>750</w:t>
            </w:r>
            <w:r>
              <w:rPr>
                <w:rFonts w:hint="eastAsia" w:ascii="宋体" w:hAnsi="宋体" w:eastAsia="宋体" w:cs="宋体"/>
                <w:color w:val="auto"/>
                <w:kern w:val="0"/>
                <w:highlight w:val="none"/>
              </w:rPr>
              <w:t>vdc</w:t>
            </w:r>
            <w:r>
              <w:rPr>
                <w:rFonts w:hint="eastAsia" w:ascii="宋体" w:hAnsi="宋体" w:eastAsia="宋体" w:cs="宋体"/>
                <w:color w:val="auto"/>
                <w:kern w:val="0"/>
                <w:highlight w:val="none"/>
              </w:rPr>
              <w:t>（需注明投标模块型号）</w:t>
            </w:r>
          </w:p>
        </w:tc>
        <w:tc>
          <w:tcPr>
            <w:tcW w:w="1540" w:type="dxa"/>
            <w:noWrap w:val="0"/>
            <w:vAlign w:val="center"/>
          </w:tcPr>
          <w:p w14:paraId="72F63150">
            <w:pPr>
              <w:widowControl/>
              <w:jc w:val="center"/>
              <w:textAlignment w:val="center"/>
              <w:rPr>
                <w:rFonts w:hint="eastAsia"/>
                <w:color w:val="auto"/>
                <w:highlight w:val="none"/>
                <w:vertAlign w:val="baseline"/>
              </w:rPr>
            </w:pPr>
            <w:r>
              <w:rPr>
                <w:rFonts w:hint="eastAsia" w:ascii="宋体" w:hAnsi="宋体" w:cs="宋体"/>
                <w:color w:val="auto"/>
                <w:highlight w:val="none"/>
              </w:rPr>
              <w:t>★</w:t>
            </w:r>
          </w:p>
        </w:tc>
      </w:tr>
      <w:tr w14:paraId="2AED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center"/>
          </w:tcPr>
          <w:p w14:paraId="078E3729">
            <w:pPr>
              <w:jc w:val="center"/>
              <w:rPr>
                <w:rFonts w:hint="eastAsia"/>
                <w:color w:val="auto"/>
                <w:highlight w:val="none"/>
                <w:vertAlign w:val="baseline"/>
              </w:rPr>
            </w:pPr>
          </w:p>
        </w:tc>
        <w:tc>
          <w:tcPr>
            <w:tcW w:w="1575" w:type="dxa"/>
            <w:noWrap w:val="0"/>
            <w:vAlign w:val="center"/>
          </w:tcPr>
          <w:p w14:paraId="1F250C8C">
            <w:pPr>
              <w:widowControl/>
              <w:jc w:val="center"/>
              <w:textAlignment w:val="center"/>
              <w:rPr>
                <w:rFonts w:hint="eastAsia"/>
                <w:color w:val="auto"/>
                <w:highlight w:val="none"/>
                <w:vertAlign w:val="baseline"/>
              </w:rPr>
            </w:pPr>
            <w:r>
              <w:rPr>
                <w:rFonts w:hint="eastAsia" w:ascii="宋体" w:hAnsi="宋体" w:cs="宋体"/>
                <w:color w:val="auto"/>
                <w:kern w:val="0"/>
                <w:highlight w:val="none"/>
              </w:rPr>
              <w:t>技术要求</w:t>
            </w:r>
          </w:p>
        </w:tc>
        <w:tc>
          <w:tcPr>
            <w:tcW w:w="5400" w:type="dxa"/>
            <w:noWrap w:val="0"/>
            <w:vAlign w:val="center"/>
          </w:tcPr>
          <w:p w14:paraId="3628CB25">
            <w:pPr>
              <w:widowControl/>
              <w:jc w:val="left"/>
              <w:textAlignment w:val="center"/>
              <w:rPr>
                <w:rFonts w:hint="eastAsia"/>
                <w:color w:val="auto"/>
                <w:highlight w:val="none"/>
                <w:vertAlign w:val="baseline"/>
              </w:rPr>
            </w:pPr>
            <w:r>
              <w:rPr>
                <w:rFonts w:hint="eastAsia" w:ascii="宋体" w:hAnsi="宋体" w:cs="宋体"/>
                <w:color w:val="auto"/>
                <w:highlight w:val="none"/>
              </w:rPr>
              <w:t>模块自带APFC（不可外置）</w:t>
            </w:r>
          </w:p>
        </w:tc>
        <w:tc>
          <w:tcPr>
            <w:tcW w:w="1540" w:type="dxa"/>
            <w:noWrap w:val="0"/>
            <w:vAlign w:val="center"/>
          </w:tcPr>
          <w:p w14:paraId="354C76F5">
            <w:pPr>
              <w:widowControl/>
              <w:jc w:val="center"/>
              <w:textAlignment w:val="center"/>
              <w:rPr>
                <w:rFonts w:hint="eastAsia"/>
                <w:color w:val="auto"/>
                <w:highlight w:val="none"/>
                <w:vertAlign w:val="baseline"/>
              </w:rPr>
            </w:pPr>
            <w:r>
              <w:rPr>
                <w:rFonts w:hint="eastAsia" w:ascii="宋体" w:hAnsi="宋体" w:cs="宋体"/>
                <w:color w:val="auto"/>
                <w:highlight w:val="none"/>
              </w:rPr>
              <w:t>★</w:t>
            </w:r>
          </w:p>
        </w:tc>
      </w:tr>
      <w:tr w14:paraId="4D606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restart"/>
            <w:noWrap w:val="0"/>
            <w:vAlign w:val="center"/>
          </w:tcPr>
          <w:p w14:paraId="0AD42C0E">
            <w:pPr>
              <w:jc w:val="center"/>
              <w:rPr>
                <w:rFonts w:hint="eastAsia" w:ascii="宋体" w:hAnsi="宋体" w:eastAsia="宋体" w:cs="宋体"/>
                <w:b/>
                <w:color w:val="auto"/>
                <w:highlight w:val="none"/>
              </w:rPr>
            </w:pPr>
            <w:r>
              <w:rPr>
                <w:rFonts w:hint="eastAsia" w:ascii="宋体" w:hAnsi="宋体" w:eastAsia="宋体" w:cs="宋体"/>
                <w:b/>
                <w:color w:val="auto"/>
                <w:highlight w:val="none"/>
              </w:rPr>
              <w:t>云平台管理</w:t>
            </w:r>
          </w:p>
          <w:p w14:paraId="6A382CAF">
            <w:pPr>
              <w:jc w:val="center"/>
              <w:rPr>
                <w:rFonts w:hint="eastAsia" w:ascii="宋体" w:hAnsi="宋体" w:eastAsia="宋体" w:cs="宋体"/>
                <w:b/>
                <w:color w:val="auto"/>
                <w:highlight w:val="none"/>
              </w:rPr>
            </w:pPr>
            <w:r>
              <w:rPr>
                <w:rFonts w:hint="eastAsia" w:ascii="宋体" w:hAnsi="宋体" w:eastAsia="宋体" w:cs="宋体"/>
                <w:b/>
                <w:color w:val="auto"/>
                <w:highlight w:val="none"/>
              </w:rPr>
              <w:t>系统</w:t>
            </w:r>
          </w:p>
          <w:p w14:paraId="66F85756">
            <w:pPr>
              <w:jc w:val="center"/>
              <w:rPr>
                <w:rFonts w:hint="eastAsia" w:ascii="宋体" w:hAnsi="宋体" w:eastAsia="宋体" w:cs="宋体"/>
                <w:b/>
                <w:color w:val="auto"/>
                <w:highlight w:val="none"/>
              </w:rPr>
            </w:pPr>
          </w:p>
        </w:tc>
        <w:tc>
          <w:tcPr>
            <w:tcW w:w="1575" w:type="dxa"/>
            <w:noWrap w:val="0"/>
            <w:vAlign w:val="center"/>
          </w:tcPr>
          <w:p w14:paraId="3CB71469">
            <w:pPr>
              <w:widowControl/>
              <w:jc w:val="center"/>
              <w:textAlignment w:val="center"/>
              <w:rPr>
                <w:rFonts w:hint="eastAsia" w:ascii="宋体" w:hAnsi="宋体" w:cs="宋体"/>
                <w:color w:val="auto"/>
                <w:kern w:val="0"/>
                <w:highlight w:val="none"/>
              </w:rPr>
            </w:pPr>
            <w:r>
              <w:rPr>
                <w:rFonts w:hint="eastAsia" w:ascii="宋体" w:hAnsi="宋体" w:cs="宋体"/>
                <w:color w:val="auto"/>
                <w:kern w:val="0"/>
                <w:highlight w:val="none"/>
              </w:rPr>
              <w:t>云平台充电</w:t>
            </w:r>
          </w:p>
          <w:p w14:paraId="4727DBFA">
            <w:pPr>
              <w:widowControl/>
              <w:jc w:val="center"/>
              <w:textAlignment w:val="center"/>
              <w:rPr>
                <w:rFonts w:hint="eastAsia"/>
                <w:color w:val="auto"/>
                <w:highlight w:val="none"/>
                <w:vertAlign w:val="baseline"/>
              </w:rPr>
            </w:pPr>
            <w:r>
              <w:rPr>
                <w:rFonts w:hint="eastAsia" w:ascii="宋体" w:hAnsi="宋体" w:cs="宋体"/>
                <w:color w:val="auto"/>
                <w:kern w:val="0"/>
                <w:highlight w:val="none"/>
              </w:rPr>
              <w:t>管理系统</w:t>
            </w:r>
          </w:p>
        </w:tc>
        <w:tc>
          <w:tcPr>
            <w:tcW w:w="5400" w:type="dxa"/>
            <w:noWrap w:val="0"/>
            <w:vAlign w:val="center"/>
          </w:tcPr>
          <w:p w14:paraId="555701FA">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电动车充电站综合运营管理系统，不少于5年免费给招标人使用并进行免费升级（运维平台可通过以太网、4G网络等形式，为充电机烧写程序，远程一键升级、远程更新通讯协议以及新国标更新等带来的控制模块升级）</w:t>
            </w:r>
          </w:p>
          <w:p w14:paraId="35F26294">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2</w:t>
            </w:r>
            <w:r>
              <w:rPr>
                <w:rFonts w:hint="eastAsia" w:ascii="宋体" w:hAnsi="宋体" w:eastAsia="宋体" w:cs="宋体"/>
                <w:color w:val="auto"/>
                <w:kern w:val="0"/>
                <w:highlight w:val="none"/>
                <w:lang w:eastAsia="zh-CN"/>
              </w:rPr>
              <w:t>.</w:t>
            </w:r>
            <w:r>
              <w:rPr>
                <w:rFonts w:hint="eastAsia" w:ascii="宋体" w:hAnsi="宋体" w:eastAsia="宋体" w:cs="宋体"/>
                <w:color w:val="auto"/>
                <w:kern w:val="0"/>
                <w:highlight w:val="none"/>
              </w:rPr>
              <w:t>因招标人提出更换云平台充电管理系统需要，投标人应响应接入招标人指定的充电运营平台</w:t>
            </w:r>
            <w:r>
              <w:rPr>
                <w:rFonts w:hint="eastAsia" w:ascii="宋体" w:hAnsi="宋体" w:eastAsia="宋体" w:cs="宋体"/>
                <w:color w:val="auto"/>
                <w:kern w:val="0"/>
                <w:highlight w:val="none"/>
                <w:lang w:val="en-US" w:eastAsia="zh-CN"/>
              </w:rPr>
              <w:t>或招标人自主研发的充电运营平台</w:t>
            </w:r>
            <w:r>
              <w:rPr>
                <w:rFonts w:hint="eastAsia" w:ascii="宋体" w:hAnsi="宋体" w:eastAsia="宋体" w:cs="宋体"/>
                <w:color w:val="auto"/>
                <w:kern w:val="0"/>
                <w:highlight w:val="none"/>
              </w:rPr>
              <w:t>且书面承诺</w:t>
            </w:r>
          </w:p>
        </w:tc>
        <w:tc>
          <w:tcPr>
            <w:tcW w:w="1540" w:type="dxa"/>
            <w:noWrap w:val="0"/>
            <w:vAlign w:val="center"/>
          </w:tcPr>
          <w:p w14:paraId="1B640BAD">
            <w:pPr>
              <w:widowControl/>
              <w:jc w:val="center"/>
              <w:textAlignment w:val="center"/>
              <w:rPr>
                <w:rFonts w:hint="eastAsia"/>
                <w:color w:val="auto"/>
                <w:highlight w:val="none"/>
                <w:vertAlign w:val="baseline"/>
              </w:rPr>
            </w:pPr>
            <w:r>
              <w:rPr>
                <w:rFonts w:hint="eastAsia" w:ascii="宋体" w:hAnsi="宋体" w:cs="宋体"/>
                <w:color w:val="auto"/>
                <w:kern w:val="0"/>
                <w:highlight w:val="none"/>
              </w:rPr>
              <w:t>★</w:t>
            </w:r>
          </w:p>
        </w:tc>
      </w:tr>
      <w:tr w14:paraId="69265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755A669E">
            <w:pPr>
              <w:pStyle w:val="36"/>
              <w:numPr>
                <w:ilvl w:val="0"/>
                <w:numId w:val="0"/>
              </w:numPr>
              <w:rPr>
                <w:rFonts w:hint="eastAsia"/>
                <w:color w:val="auto"/>
                <w:highlight w:val="none"/>
                <w:vertAlign w:val="baseline"/>
              </w:rPr>
            </w:pPr>
          </w:p>
        </w:tc>
        <w:tc>
          <w:tcPr>
            <w:tcW w:w="1575" w:type="dxa"/>
            <w:noWrap w:val="0"/>
            <w:vAlign w:val="center"/>
          </w:tcPr>
          <w:p w14:paraId="54CDC39F">
            <w:pPr>
              <w:widowControl/>
              <w:jc w:val="center"/>
              <w:textAlignment w:val="center"/>
              <w:rPr>
                <w:rFonts w:hint="eastAsia"/>
                <w:color w:val="auto"/>
                <w:highlight w:val="none"/>
                <w:vertAlign w:val="baseline"/>
              </w:rPr>
            </w:pPr>
            <w:r>
              <w:rPr>
                <w:rFonts w:hint="eastAsia" w:ascii="宋体" w:hAnsi="宋体" w:cs="宋体"/>
                <w:color w:val="auto"/>
                <w:kern w:val="0"/>
                <w:highlight w:val="none"/>
              </w:rPr>
              <w:t>报表管理</w:t>
            </w:r>
          </w:p>
        </w:tc>
        <w:tc>
          <w:tcPr>
            <w:tcW w:w="5400" w:type="dxa"/>
            <w:noWrap w:val="0"/>
            <w:vAlign w:val="center"/>
          </w:tcPr>
          <w:p w14:paraId="4D601ACE">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每次充电的信息的存储情况，包含充电卡号、充电电压、电流、温度、被充车辆电池信息、充电模式、充电时间等以表格的形式存储；</w:t>
            </w:r>
          </w:p>
          <w:p w14:paraId="12153D01">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每次生成的报表能够查询和打印；</w:t>
            </w:r>
          </w:p>
          <w:p w14:paraId="7B9752C8">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支持多种类型的报表制作查询，包括日报、周报、旬报、月报、年报、季报、自定义时段月报、年报表等；</w:t>
            </w:r>
          </w:p>
          <w:p w14:paraId="6B3706AE">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支持将报表输出至打印机、导出为EXCEL、WORD、PDF等格式的文档；</w:t>
            </w:r>
          </w:p>
          <w:p w14:paraId="7EDA65C6">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具有丰富的统计报表，以图表方式对站内充电桩的数据进行统计分析，用户可通过统计图表掌握设备状况，如总收入统计、充电站收入排行、故障设备统计、统计排名、充电历史统计、运行汇总统计、充电汇总统计。</w:t>
            </w:r>
          </w:p>
        </w:tc>
        <w:tc>
          <w:tcPr>
            <w:tcW w:w="1540" w:type="dxa"/>
            <w:noWrap w:val="0"/>
            <w:vAlign w:val="center"/>
          </w:tcPr>
          <w:p w14:paraId="2DE706E5">
            <w:pPr>
              <w:widowControl/>
              <w:jc w:val="center"/>
              <w:textAlignment w:val="center"/>
              <w:rPr>
                <w:rFonts w:hint="eastAsia"/>
                <w:color w:val="auto"/>
                <w:highlight w:val="none"/>
                <w:vertAlign w:val="baseline"/>
              </w:rPr>
            </w:pPr>
          </w:p>
        </w:tc>
      </w:tr>
      <w:tr w14:paraId="07CFA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top"/>
          </w:tcPr>
          <w:p w14:paraId="6D316BD5">
            <w:pPr>
              <w:pStyle w:val="36"/>
              <w:numPr>
                <w:ilvl w:val="0"/>
                <w:numId w:val="0"/>
              </w:numPr>
              <w:rPr>
                <w:rFonts w:hint="eastAsia"/>
                <w:color w:val="auto"/>
                <w:highlight w:val="none"/>
                <w:vertAlign w:val="baseline"/>
              </w:rPr>
            </w:pPr>
          </w:p>
        </w:tc>
        <w:tc>
          <w:tcPr>
            <w:tcW w:w="1575" w:type="dxa"/>
            <w:noWrap w:val="0"/>
            <w:vAlign w:val="center"/>
          </w:tcPr>
          <w:p w14:paraId="312B792C">
            <w:pPr>
              <w:widowControl/>
              <w:jc w:val="center"/>
              <w:textAlignment w:val="center"/>
              <w:rPr>
                <w:rFonts w:hint="eastAsia"/>
                <w:color w:val="auto"/>
                <w:highlight w:val="none"/>
                <w:vertAlign w:val="baseline"/>
              </w:rPr>
            </w:pPr>
            <w:r>
              <w:rPr>
                <w:rFonts w:hint="eastAsia" w:ascii="宋体" w:hAnsi="宋体" w:cs="宋体"/>
                <w:color w:val="auto"/>
                <w:kern w:val="0"/>
                <w:highlight w:val="none"/>
              </w:rPr>
              <w:t>事件管理</w:t>
            </w:r>
          </w:p>
        </w:tc>
        <w:tc>
          <w:tcPr>
            <w:tcW w:w="5400" w:type="dxa"/>
            <w:noWrap w:val="0"/>
            <w:vAlign w:val="center"/>
          </w:tcPr>
          <w:p w14:paraId="03BB96CA">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实现对事件的查看，可根据告警事件、操作事件、系统事件等进行过滤分类查看。具有快速解决故障的标准流程，迅速恢复业务系统的运行，最低限度减小对业务的影响。流程中指定具体责任人，记录流程动作、时间，记录流程日志和解决方案。用户发出维护具体的维护请求，监控人员对维护请求进行处理，发起人可查看维护请求的处理状态、处理纪录。包含事件管理功能、问题管理功能、变更管理功能、配置管理功能、流程引擎功能等。</w:t>
            </w:r>
          </w:p>
        </w:tc>
        <w:tc>
          <w:tcPr>
            <w:tcW w:w="1540" w:type="dxa"/>
            <w:noWrap w:val="0"/>
            <w:vAlign w:val="center"/>
          </w:tcPr>
          <w:p w14:paraId="7615A2FC">
            <w:pPr>
              <w:widowControl/>
              <w:jc w:val="center"/>
              <w:textAlignment w:val="center"/>
              <w:rPr>
                <w:rFonts w:hint="eastAsia"/>
                <w:color w:val="auto"/>
                <w:highlight w:val="none"/>
                <w:vertAlign w:val="baseline"/>
              </w:rPr>
            </w:pPr>
          </w:p>
        </w:tc>
      </w:tr>
      <w:tr w14:paraId="0DD7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restart"/>
            <w:noWrap w:val="0"/>
            <w:vAlign w:val="center"/>
          </w:tcPr>
          <w:p w14:paraId="2CADE3E7">
            <w:pPr>
              <w:jc w:val="center"/>
              <w:rPr>
                <w:rFonts w:hint="eastAsia"/>
                <w:color w:val="auto"/>
                <w:highlight w:val="none"/>
                <w:vertAlign w:val="baseline"/>
              </w:rPr>
            </w:pPr>
            <w:r>
              <w:rPr>
                <w:rFonts w:hint="eastAsia" w:ascii="宋体" w:hAnsi="宋体" w:cs="宋体"/>
                <w:b/>
                <w:color w:val="auto"/>
                <w:highlight w:val="none"/>
              </w:rPr>
              <w:t>其它</w:t>
            </w:r>
          </w:p>
        </w:tc>
        <w:tc>
          <w:tcPr>
            <w:tcW w:w="1575" w:type="dxa"/>
            <w:noWrap w:val="0"/>
            <w:vAlign w:val="center"/>
          </w:tcPr>
          <w:p w14:paraId="41DA350D">
            <w:pPr>
              <w:widowControl/>
              <w:jc w:val="center"/>
              <w:textAlignment w:val="center"/>
              <w:rPr>
                <w:rFonts w:hint="eastAsia"/>
                <w:color w:val="auto"/>
                <w:highlight w:val="none"/>
                <w:vertAlign w:val="baseline"/>
              </w:rPr>
            </w:pPr>
            <w:r>
              <w:rPr>
                <w:rFonts w:hint="eastAsia" w:ascii="宋体" w:hAnsi="宋体" w:cs="宋体"/>
                <w:color w:val="auto"/>
                <w:kern w:val="0"/>
                <w:highlight w:val="none"/>
              </w:rPr>
              <w:t>设备安装</w:t>
            </w:r>
          </w:p>
        </w:tc>
        <w:tc>
          <w:tcPr>
            <w:tcW w:w="5400" w:type="dxa"/>
            <w:noWrap w:val="0"/>
            <w:vAlign w:val="center"/>
          </w:tcPr>
          <w:p w14:paraId="2A81B558">
            <w:pPr>
              <w:widowControl/>
              <w:jc w:val="left"/>
              <w:textAlignment w:val="center"/>
              <w:rPr>
                <w:rFonts w:hint="eastAsia"/>
                <w:color w:val="auto"/>
                <w:highlight w:val="none"/>
                <w:vertAlign w:val="baseline"/>
              </w:rPr>
            </w:pPr>
            <w:r>
              <w:rPr>
                <w:rFonts w:hint="eastAsia" w:ascii="宋体" w:hAnsi="宋体" w:cs="宋体"/>
                <w:color w:val="auto"/>
                <w:kern w:val="0"/>
                <w:highlight w:val="none"/>
              </w:rPr>
              <w:t>直流充电机安装和云平台充电管理系统安装调试</w:t>
            </w:r>
          </w:p>
        </w:tc>
        <w:tc>
          <w:tcPr>
            <w:tcW w:w="1540" w:type="dxa"/>
            <w:noWrap w:val="0"/>
            <w:vAlign w:val="center"/>
          </w:tcPr>
          <w:p w14:paraId="1F35679D">
            <w:pPr>
              <w:widowControl/>
              <w:jc w:val="center"/>
              <w:textAlignment w:val="center"/>
              <w:rPr>
                <w:rFonts w:hint="eastAsia"/>
                <w:color w:val="auto"/>
                <w:highlight w:val="none"/>
                <w:vertAlign w:val="baseline"/>
              </w:rPr>
            </w:pPr>
          </w:p>
        </w:tc>
      </w:tr>
      <w:tr w14:paraId="31B351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center"/>
          </w:tcPr>
          <w:p w14:paraId="7431A163">
            <w:pPr>
              <w:jc w:val="center"/>
              <w:rPr>
                <w:rFonts w:hint="eastAsia"/>
                <w:color w:val="auto"/>
                <w:highlight w:val="none"/>
                <w:vertAlign w:val="baseline"/>
              </w:rPr>
            </w:pPr>
          </w:p>
        </w:tc>
        <w:tc>
          <w:tcPr>
            <w:tcW w:w="1575" w:type="dxa"/>
            <w:noWrap w:val="0"/>
            <w:vAlign w:val="center"/>
          </w:tcPr>
          <w:p w14:paraId="136A2EAA">
            <w:pPr>
              <w:widowControl/>
              <w:jc w:val="center"/>
              <w:textAlignment w:val="center"/>
              <w:rPr>
                <w:rFonts w:hint="eastAsia"/>
                <w:color w:val="auto"/>
                <w:highlight w:val="none"/>
                <w:vertAlign w:val="baseline"/>
              </w:rPr>
            </w:pPr>
            <w:r>
              <w:rPr>
                <w:rFonts w:hint="eastAsia" w:ascii="宋体" w:hAnsi="宋体" w:cs="宋体"/>
                <w:color w:val="auto"/>
                <w:kern w:val="0"/>
                <w:highlight w:val="none"/>
              </w:rPr>
              <w:t>赠送件</w:t>
            </w:r>
          </w:p>
        </w:tc>
        <w:tc>
          <w:tcPr>
            <w:tcW w:w="5400" w:type="dxa"/>
            <w:noWrap w:val="0"/>
            <w:vAlign w:val="center"/>
          </w:tcPr>
          <w:p w14:paraId="2307889B">
            <w:pPr>
              <w:keepNext w:val="0"/>
              <w:keepLines w:val="0"/>
              <w:pageBreakBefore w:val="0"/>
              <w:widowControl w:val="0"/>
              <w:numPr>
                <w:ilvl w:val="0"/>
                <w:numId w:val="0"/>
              </w:numPr>
              <w:kinsoku/>
              <w:wordWrap/>
              <w:autoSpaceDE/>
              <w:autoSpaceDN/>
              <w:bidi w:val="0"/>
              <w:spacing w:line="360" w:lineRule="auto"/>
              <w:jc w:val="both"/>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120KW充电桩赠送120KW模块，2只同型号枪线（含枪头），2块同型号触摸屏（赠送件只用于周转，质保期内以上配件出现故障厂家要及时修复）</w:t>
            </w:r>
          </w:p>
        </w:tc>
        <w:tc>
          <w:tcPr>
            <w:tcW w:w="1540" w:type="dxa"/>
            <w:noWrap w:val="0"/>
            <w:vAlign w:val="center"/>
          </w:tcPr>
          <w:p w14:paraId="53FCEECC">
            <w:pPr>
              <w:widowControl/>
              <w:jc w:val="center"/>
              <w:textAlignment w:val="center"/>
              <w:rPr>
                <w:rFonts w:hint="eastAsia"/>
                <w:color w:val="auto"/>
                <w:highlight w:val="none"/>
                <w:vertAlign w:val="baseline"/>
              </w:rPr>
            </w:pPr>
            <w:r>
              <w:rPr>
                <w:rFonts w:hint="eastAsia" w:ascii="宋体" w:hAnsi="宋体" w:cs="宋体"/>
                <w:color w:val="auto"/>
                <w:highlight w:val="none"/>
              </w:rPr>
              <w:t>★</w:t>
            </w:r>
          </w:p>
        </w:tc>
      </w:tr>
      <w:tr w14:paraId="7164F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55" w:type="dxa"/>
            <w:vMerge w:val="continue"/>
            <w:noWrap w:val="0"/>
            <w:vAlign w:val="center"/>
          </w:tcPr>
          <w:p w14:paraId="493E3C88">
            <w:pPr>
              <w:jc w:val="center"/>
              <w:rPr>
                <w:rFonts w:hint="eastAsia"/>
                <w:color w:val="auto"/>
                <w:highlight w:val="none"/>
                <w:vertAlign w:val="baseline"/>
              </w:rPr>
            </w:pPr>
          </w:p>
        </w:tc>
        <w:tc>
          <w:tcPr>
            <w:tcW w:w="1575" w:type="dxa"/>
            <w:noWrap w:val="0"/>
            <w:vAlign w:val="center"/>
          </w:tcPr>
          <w:p w14:paraId="05BE8500">
            <w:pPr>
              <w:keepNext w:val="0"/>
              <w:keepLines w:val="0"/>
              <w:pageBreakBefore w:val="0"/>
              <w:widowControl w:val="0"/>
              <w:numPr>
                <w:ilvl w:val="0"/>
                <w:numId w:val="0"/>
              </w:numPr>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充电桩</w:t>
            </w:r>
          </w:p>
          <w:p w14:paraId="7B3B12BD">
            <w:pPr>
              <w:keepNext w:val="0"/>
              <w:keepLines w:val="0"/>
              <w:pageBreakBefore w:val="0"/>
              <w:widowControl w:val="0"/>
              <w:numPr>
                <w:ilvl w:val="0"/>
                <w:numId w:val="0"/>
              </w:numPr>
              <w:kinsoku/>
              <w:wordWrap/>
              <w:autoSpaceDE/>
              <w:autoSpaceDN/>
              <w:bidi w:val="0"/>
              <w:spacing w:line="360" w:lineRule="auto"/>
              <w:jc w:val="center"/>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质保要求</w:t>
            </w:r>
          </w:p>
        </w:tc>
        <w:tc>
          <w:tcPr>
            <w:tcW w:w="5400" w:type="dxa"/>
            <w:noWrap w:val="0"/>
            <w:vAlign w:val="center"/>
          </w:tcPr>
          <w:p w14:paraId="25223A9A">
            <w:pPr>
              <w:keepNext w:val="0"/>
              <w:keepLines w:val="0"/>
              <w:pageBreakBefore w:val="0"/>
              <w:widowControl w:val="0"/>
              <w:numPr>
                <w:ilvl w:val="0"/>
                <w:numId w:val="0"/>
              </w:numPr>
              <w:kinsoku/>
              <w:wordWrap/>
              <w:autoSpaceDE/>
              <w:autoSpaceDN/>
              <w:bidi w:val="0"/>
              <w:spacing w:line="360" w:lineRule="auto"/>
              <w:jc w:val="left"/>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本次招标设备质保期5年（含易损件），并承诺配件提供、设备维修与云平台充电管理系统同期</w:t>
            </w:r>
          </w:p>
        </w:tc>
        <w:tc>
          <w:tcPr>
            <w:tcW w:w="1540" w:type="dxa"/>
            <w:noWrap w:val="0"/>
            <w:vAlign w:val="center"/>
          </w:tcPr>
          <w:p w14:paraId="199D5910">
            <w:pPr>
              <w:widowControl/>
              <w:jc w:val="center"/>
              <w:textAlignment w:val="center"/>
              <w:rPr>
                <w:rFonts w:hint="eastAsia"/>
                <w:color w:val="auto"/>
                <w:highlight w:val="none"/>
                <w:vertAlign w:val="baseline"/>
              </w:rPr>
            </w:pPr>
            <w:r>
              <w:rPr>
                <w:rFonts w:hint="eastAsia" w:ascii="宋体" w:hAnsi="宋体" w:cs="宋体"/>
                <w:color w:val="auto"/>
                <w:highlight w:val="none"/>
              </w:rPr>
              <w:t>★</w:t>
            </w:r>
          </w:p>
        </w:tc>
      </w:tr>
    </w:tbl>
    <w:p w14:paraId="7A5C7958">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shd w:val="clear" w:color="auto" w:fill="auto"/>
          <w:lang w:eastAsia="zh-CN"/>
        </w:rPr>
      </w:pPr>
      <w:r>
        <w:rPr>
          <w:rFonts w:hint="eastAsia" w:ascii="宋体" w:hAnsi="宋体" w:eastAsia="宋体" w:cs="宋体"/>
          <w:color w:val="auto"/>
          <w:sz w:val="21"/>
          <w:szCs w:val="21"/>
          <w:highlight w:val="none"/>
          <w:shd w:val="clear" w:color="auto" w:fill="auto"/>
        </w:rPr>
        <w:t>备注</w:t>
      </w:r>
      <w:r>
        <w:rPr>
          <w:rFonts w:hint="eastAsia" w:ascii="宋体" w:hAnsi="宋体" w:eastAsia="宋体" w:cs="宋体"/>
          <w:color w:val="auto"/>
          <w:sz w:val="21"/>
          <w:szCs w:val="21"/>
          <w:highlight w:val="none"/>
          <w:shd w:val="clear" w:color="auto" w:fill="auto"/>
          <w:lang w:eastAsia="zh-CN"/>
        </w:rPr>
        <w:t>：</w:t>
      </w:r>
    </w:p>
    <w:p w14:paraId="2499FD23">
      <w:pPr>
        <w:pStyle w:val="18"/>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lang w:val="en-US" w:eastAsia="zh-CN"/>
        </w:rPr>
        <w:t>1.</w:t>
      </w:r>
      <w:r>
        <w:rPr>
          <w:rFonts w:hint="eastAsia" w:ascii="宋体" w:hAnsi="宋体" w:eastAsia="宋体" w:cs="宋体"/>
          <w:color w:val="auto"/>
          <w:sz w:val="21"/>
          <w:szCs w:val="21"/>
          <w:highlight w:val="none"/>
          <w:shd w:val="clear" w:color="auto" w:fill="auto"/>
        </w:rPr>
        <w:t>“★”标记系指必须满足不能负偏离或必须应答的条款。</w:t>
      </w:r>
    </w:p>
    <w:p w14:paraId="6004F730">
      <w:pPr>
        <w:pStyle w:val="18"/>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2</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本项目所用的设备须与纯电动公交车辆电池型号、功能等相互兼容及配套，投标人可与招标人联系或现场勘查了解相关情况，如未能详细了解该项目情况而导致在项目实施过程中造成的损失由投标人自行承担，造成招标人损失的也由投标人承担。</w:t>
      </w:r>
    </w:p>
    <w:p w14:paraId="1B241BD7">
      <w:pPr>
        <w:pStyle w:val="18"/>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3</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 xml:space="preserve">充电站未注明安全技术条件必须符合中华人民共和国国家相关标准，同时依据国家有关产品质量法规和制造标准及施工规范要约进行验收。 </w:t>
      </w:r>
    </w:p>
    <w:p w14:paraId="7148C021">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color w:val="auto"/>
          <w:sz w:val="21"/>
          <w:szCs w:val="21"/>
          <w:highlight w:val="none"/>
          <w:shd w:val="clear" w:color="auto" w:fill="auto"/>
        </w:rPr>
      </w:pPr>
      <w:r>
        <w:rPr>
          <w:rFonts w:hint="eastAsia" w:ascii="宋体" w:hAnsi="宋体" w:eastAsia="宋体" w:cs="宋体"/>
          <w:color w:val="auto"/>
          <w:sz w:val="21"/>
          <w:szCs w:val="21"/>
          <w:highlight w:val="none"/>
          <w:shd w:val="clear" w:color="auto" w:fill="auto"/>
        </w:rPr>
        <w:t>4</w:t>
      </w:r>
      <w:r>
        <w:rPr>
          <w:rFonts w:hint="eastAsia" w:ascii="宋体" w:hAnsi="宋体" w:eastAsia="宋体" w:cs="宋体"/>
          <w:color w:val="auto"/>
          <w:sz w:val="21"/>
          <w:szCs w:val="21"/>
          <w:highlight w:val="none"/>
          <w:shd w:val="clear" w:color="auto" w:fill="auto"/>
          <w:lang w:val="en-US" w:eastAsia="zh-CN"/>
        </w:rPr>
        <w:t>.</w:t>
      </w:r>
      <w:r>
        <w:rPr>
          <w:rFonts w:hint="eastAsia" w:ascii="宋体" w:hAnsi="宋体" w:eastAsia="宋体" w:cs="宋体"/>
          <w:color w:val="auto"/>
          <w:sz w:val="21"/>
          <w:szCs w:val="21"/>
          <w:highlight w:val="none"/>
          <w:shd w:val="clear" w:color="auto" w:fill="auto"/>
        </w:rPr>
        <w:t>在检查时或使用中发现充电站设施设备实际配置与投标配置品牌或技术性能要求不符的，取消后期投标资格，并追究相应法律责任。</w:t>
      </w:r>
    </w:p>
    <w:p w14:paraId="0C2816BE">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color w:val="auto"/>
          <w:kern w:val="1"/>
          <w:highlight w:val="none"/>
          <w:shd w:val="clear" w:color="auto" w:fill="auto"/>
          <w:lang w:val="en-US" w:eastAsia="zh-CN"/>
        </w:rPr>
      </w:pPr>
      <w:bookmarkStart w:id="48" w:name="_Toc1949"/>
      <w:bookmarkStart w:id="49" w:name="_Toc19057"/>
      <w:r>
        <w:rPr>
          <w:rFonts w:hint="eastAsia" w:ascii="宋体" w:hAnsi="宋体" w:cs="宋体"/>
          <w:b/>
          <w:bCs/>
          <w:color w:val="auto"/>
          <w:kern w:val="1"/>
          <w:highlight w:val="none"/>
          <w:shd w:val="clear" w:color="auto" w:fill="auto"/>
        </w:rPr>
        <w:t>四、设备安装清单</w:t>
      </w:r>
      <w:bookmarkEnd w:id="35"/>
      <w:bookmarkEnd w:id="42"/>
      <w:bookmarkEnd w:id="43"/>
      <w:bookmarkEnd w:id="44"/>
      <w:bookmarkEnd w:id="45"/>
      <w:bookmarkEnd w:id="46"/>
      <w:bookmarkEnd w:id="47"/>
      <w:bookmarkEnd w:id="48"/>
      <w:r>
        <w:rPr>
          <w:rFonts w:hint="eastAsia" w:ascii="宋体" w:hAnsi="宋体" w:cs="宋体"/>
          <w:b/>
          <w:bCs/>
          <w:color w:val="auto"/>
          <w:kern w:val="1"/>
          <w:highlight w:val="none"/>
          <w:shd w:val="clear" w:color="auto" w:fill="auto"/>
          <w:lang w:eastAsia="zh-CN"/>
        </w:rPr>
        <w:t>（</w:t>
      </w:r>
      <w:r>
        <w:rPr>
          <w:rFonts w:hint="eastAsia" w:ascii="宋体" w:hAnsi="宋体" w:cs="宋体"/>
          <w:b/>
          <w:bCs/>
          <w:color w:val="auto"/>
          <w:kern w:val="1"/>
          <w:highlight w:val="none"/>
          <w:shd w:val="clear" w:color="auto" w:fill="auto"/>
          <w:lang w:val="en-US" w:eastAsia="zh-CN"/>
        </w:rPr>
        <w:t>税率13%）</w:t>
      </w:r>
      <w:bookmarkEnd w:id="49"/>
    </w:p>
    <w:p w14:paraId="43A0AED2">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color w:val="auto"/>
          <w:kern w:val="1"/>
          <w:highlight w:val="none"/>
          <w:shd w:val="clear" w:color="auto" w:fill="auto"/>
          <w:lang w:val="en-US" w:eastAsia="zh-CN"/>
        </w:rPr>
      </w:pPr>
    </w:p>
    <w:p w14:paraId="04A37913">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color w:val="auto"/>
          <w:kern w:val="1"/>
          <w:highlight w:val="none"/>
          <w:shd w:val="clear" w:color="auto" w:fill="auto"/>
          <w:lang w:val="en-US" w:eastAsia="zh-CN"/>
        </w:rPr>
      </w:pPr>
    </w:p>
    <w:p w14:paraId="3DC720FA">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1"/>
        <w:rPr>
          <w:rFonts w:hint="eastAsia" w:ascii="宋体" w:hAnsi="宋体" w:cs="宋体"/>
          <w:b/>
          <w:bCs/>
          <w:color w:val="auto"/>
          <w:kern w:val="1"/>
          <w:highlight w:val="none"/>
          <w:shd w:val="clear" w:color="auto" w:fill="auto"/>
          <w:lang w:val="en-US" w:eastAsia="zh-CN"/>
        </w:rPr>
      </w:pPr>
    </w:p>
    <w:p w14:paraId="5ADC32E6">
      <w:pPr>
        <w:pStyle w:val="36"/>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textAlignment w:val="auto"/>
        <w:outlineLvl w:val="1"/>
        <w:rPr>
          <w:rFonts w:hint="default" w:ascii="宋体" w:hAnsi="宋体" w:cs="宋体"/>
          <w:b/>
          <w:bCs/>
          <w:color w:val="auto"/>
          <w:kern w:val="1"/>
          <w:highlight w:val="none"/>
          <w:shd w:val="clear" w:color="auto" w:fill="auto"/>
          <w:lang w:val="en-US" w:eastAsia="zh-CN"/>
        </w:rPr>
      </w:pPr>
    </w:p>
    <w:tbl>
      <w:tblPr>
        <w:tblStyle w:val="37"/>
        <w:tblW w:w="847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33"/>
        <w:gridCol w:w="1335"/>
        <w:gridCol w:w="3238"/>
        <w:gridCol w:w="962"/>
        <w:gridCol w:w="840"/>
        <w:gridCol w:w="1370"/>
      </w:tblGrid>
      <w:tr w14:paraId="549FD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33" w:type="dxa"/>
            <w:tcBorders>
              <w:top w:val="single" w:color="000000" w:sz="4" w:space="0"/>
              <w:left w:val="single" w:color="000000" w:sz="4" w:space="0"/>
              <w:bottom w:val="single" w:color="000000" w:sz="4" w:space="0"/>
              <w:right w:val="single" w:color="000000" w:sz="4" w:space="0"/>
            </w:tcBorders>
            <w:noWrap w:val="0"/>
            <w:vAlign w:val="center"/>
          </w:tcPr>
          <w:p w14:paraId="34CD8F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11735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名称</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14:paraId="501DFF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规格内容</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511EBD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4E18D5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数量</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23640C8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备注</w:t>
            </w:r>
          </w:p>
        </w:tc>
      </w:tr>
      <w:tr w14:paraId="1B8F6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733" w:type="dxa"/>
            <w:tcBorders>
              <w:top w:val="single" w:color="000000" w:sz="4" w:space="0"/>
              <w:left w:val="single" w:color="000000" w:sz="4" w:space="0"/>
              <w:bottom w:val="single" w:color="000000" w:sz="4" w:space="0"/>
              <w:right w:val="single" w:color="000000" w:sz="4" w:space="0"/>
            </w:tcBorders>
            <w:noWrap w:val="0"/>
            <w:vAlign w:val="center"/>
          </w:tcPr>
          <w:p w14:paraId="32F06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21164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充电桩设备</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14:paraId="05A356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cs="宋体"/>
                <w:color w:val="auto"/>
                <w:kern w:val="0"/>
                <w:highlight w:val="none"/>
              </w:rPr>
              <w:t>120千瓦双枪</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734B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20C20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5BAA600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14:paraId="12A30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95" w:hRule="atLeast"/>
        </w:trPr>
        <w:tc>
          <w:tcPr>
            <w:tcW w:w="733" w:type="dxa"/>
            <w:vMerge w:val="restart"/>
            <w:tcBorders>
              <w:top w:val="single" w:color="000000" w:sz="4" w:space="0"/>
              <w:left w:val="single" w:color="000000" w:sz="4" w:space="0"/>
              <w:right w:val="single" w:color="000000" w:sz="4" w:space="0"/>
            </w:tcBorders>
            <w:noWrap w:val="0"/>
            <w:vAlign w:val="center"/>
          </w:tcPr>
          <w:p w14:paraId="1924A01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p w14:paraId="591686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5" w:type="dxa"/>
            <w:vMerge w:val="restart"/>
            <w:tcBorders>
              <w:top w:val="single" w:color="000000" w:sz="4" w:space="0"/>
              <w:left w:val="single" w:color="000000" w:sz="4" w:space="0"/>
              <w:right w:val="single" w:color="000000" w:sz="4" w:space="0"/>
            </w:tcBorders>
            <w:noWrap w:val="0"/>
            <w:vAlign w:val="center"/>
          </w:tcPr>
          <w:p w14:paraId="169CF6AC">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电线电缆</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14:paraId="6A8A5774">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YJV22-3*95+2*50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31557CA0">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3EDF078D">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250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4265A85F">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含敷设及接线安装（电缆为新增）</w:t>
            </w:r>
          </w:p>
        </w:tc>
      </w:tr>
      <w:tr w14:paraId="33D01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733" w:type="dxa"/>
            <w:vMerge w:val="continue"/>
            <w:tcBorders>
              <w:left w:val="single" w:color="000000" w:sz="4" w:space="0"/>
              <w:bottom w:val="single" w:color="000000" w:sz="4" w:space="0"/>
              <w:right w:val="single" w:color="000000" w:sz="4" w:space="0"/>
            </w:tcBorders>
            <w:noWrap w:val="0"/>
            <w:vAlign w:val="center"/>
          </w:tcPr>
          <w:p w14:paraId="707B29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1335" w:type="dxa"/>
            <w:vMerge w:val="continue"/>
            <w:tcBorders>
              <w:left w:val="single" w:color="000000" w:sz="4" w:space="0"/>
              <w:bottom w:val="single" w:color="000000" w:sz="4" w:space="0"/>
              <w:right w:val="single" w:color="000000" w:sz="4" w:space="0"/>
            </w:tcBorders>
            <w:noWrap w:val="0"/>
            <w:vAlign w:val="center"/>
          </w:tcPr>
          <w:p w14:paraId="5CD02139">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p>
        </w:tc>
        <w:tc>
          <w:tcPr>
            <w:tcW w:w="3238" w:type="dxa"/>
            <w:tcBorders>
              <w:top w:val="single" w:color="000000" w:sz="4" w:space="0"/>
              <w:left w:val="single" w:color="000000" w:sz="4" w:space="0"/>
              <w:bottom w:val="single" w:color="000000" w:sz="4" w:space="0"/>
              <w:right w:val="single" w:color="000000" w:sz="4" w:space="0"/>
            </w:tcBorders>
            <w:noWrap w:val="0"/>
            <w:vAlign w:val="center"/>
          </w:tcPr>
          <w:p w14:paraId="76C46C5C">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YJV22-3*95+2*50</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4F2D4EF1">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米</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59CBEB44">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1750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7ECB0493">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含敷设及接线安装（电缆为采购人提供)</w:t>
            </w:r>
          </w:p>
        </w:tc>
      </w:tr>
      <w:tr w14:paraId="40E9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5" w:hRule="atLeast"/>
        </w:trPr>
        <w:tc>
          <w:tcPr>
            <w:tcW w:w="733" w:type="dxa"/>
            <w:tcBorders>
              <w:top w:val="single" w:color="000000" w:sz="4" w:space="0"/>
              <w:left w:val="single" w:color="000000" w:sz="4" w:space="0"/>
              <w:bottom w:val="single" w:color="000000" w:sz="4" w:space="0"/>
              <w:right w:val="single" w:color="000000" w:sz="4" w:space="0"/>
            </w:tcBorders>
            <w:noWrap w:val="0"/>
            <w:vAlign w:val="center"/>
          </w:tcPr>
          <w:p w14:paraId="69F703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3</w:t>
            </w:r>
          </w:p>
        </w:tc>
        <w:tc>
          <w:tcPr>
            <w:tcW w:w="1335" w:type="dxa"/>
            <w:tcBorders>
              <w:top w:val="single" w:color="000000" w:sz="4" w:space="0"/>
              <w:left w:val="single" w:color="000000" w:sz="4" w:space="0"/>
              <w:bottom w:val="single" w:color="000000" w:sz="4" w:space="0"/>
              <w:right w:val="single" w:color="000000" w:sz="4" w:space="0"/>
            </w:tcBorders>
            <w:noWrap w:val="0"/>
            <w:vAlign w:val="center"/>
          </w:tcPr>
          <w:p w14:paraId="48405739">
            <w:pPr>
              <w:keepNext w:val="0"/>
              <w:keepLines w:val="0"/>
              <w:widowControl/>
              <w:suppressLineNumbers w:val="0"/>
              <w:jc w:val="center"/>
              <w:textAlignment w:val="center"/>
              <w:rPr>
                <w:rFonts w:hint="default"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充电桩基础（含充电桩安装）</w:t>
            </w:r>
          </w:p>
        </w:tc>
        <w:tc>
          <w:tcPr>
            <w:tcW w:w="3238" w:type="dxa"/>
            <w:tcBorders>
              <w:top w:val="single" w:color="000000" w:sz="4" w:space="0"/>
              <w:left w:val="single" w:color="000000" w:sz="4" w:space="0"/>
              <w:bottom w:val="single" w:color="000000" w:sz="4" w:space="0"/>
              <w:right w:val="single" w:color="000000" w:sz="4" w:space="0"/>
            </w:tcBorders>
            <w:noWrap w:val="0"/>
            <w:vAlign w:val="center"/>
          </w:tcPr>
          <w:p w14:paraId="1314D0F6">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2"/>
                <w:sz w:val="21"/>
                <w:szCs w:val="21"/>
                <w:highlight w:val="none"/>
                <w:u w:val="none"/>
                <w:lang w:val="en-US" w:eastAsia="zh-CN" w:bidi="ar-SA"/>
              </w:rPr>
              <w:t>直流充电桩</w:t>
            </w:r>
            <w:r>
              <w:rPr>
                <w:rFonts w:hint="eastAsia" w:ascii="宋体" w:hAnsi="宋体" w:cs="宋体"/>
                <w:i w:val="0"/>
                <w:iCs w:val="0"/>
                <w:color w:val="auto"/>
                <w:kern w:val="2"/>
                <w:sz w:val="21"/>
                <w:szCs w:val="21"/>
                <w:highlight w:val="none"/>
                <w:u w:val="none"/>
                <w:lang w:val="en-US" w:eastAsia="zh-CN" w:bidi="ar-SA"/>
              </w:rPr>
              <w:t>的安装底座</w:t>
            </w:r>
            <w:r>
              <w:rPr>
                <w:rFonts w:hint="eastAsia" w:ascii="宋体" w:hAnsi="宋体" w:eastAsia="宋体" w:cs="宋体"/>
                <w:i w:val="0"/>
                <w:iCs w:val="0"/>
                <w:color w:val="auto"/>
                <w:kern w:val="2"/>
                <w:sz w:val="21"/>
                <w:szCs w:val="21"/>
                <w:highlight w:val="none"/>
                <w:u w:val="none"/>
                <w:lang w:val="en-US" w:eastAsia="zh-CN" w:bidi="ar-SA"/>
              </w:rPr>
              <w:t>要求出地高度≥20CM，基础喷涂黑黄漆</w:t>
            </w:r>
          </w:p>
        </w:tc>
        <w:tc>
          <w:tcPr>
            <w:tcW w:w="962" w:type="dxa"/>
            <w:tcBorders>
              <w:top w:val="single" w:color="000000" w:sz="4" w:space="0"/>
              <w:left w:val="single" w:color="000000" w:sz="4" w:space="0"/>
              <w:bottom w:val="single" w:color="000000" w:sz="4" w:space="0"/>
              <w:right w:val="single" w:color="000000" w:sz="4" w:space="0"/>
            </w:tcBorders>
            <w:noWrap w:val="0"/>
            <w:vAlign w:val="center"/>
          </w:tcPr>
          <w:p w14:paraId="2A1869C8">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座</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14:paraId="6F42AA1A">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30</w:t>
            </w:r>
          </w:p>
        </w:tc>
        <w:tc>
          <w:tcPr>
            <w:tcW w:w="1370" w:type="dxa"/>
            <w:tcBorders>
              <w:top w:val="single" w:color="000000" w:sz="4" w:space="0"/>
              <w:left w:val="single" w:color="000000" w:sz="4" w:space="0"/>
              <w:bottom w:val="single" w:color="000000" w:sz="4" w:space="0"/>
              <w:right w:val="single" w:color="000000" w:sz="4" w:space="0"/>
            </w:tcBorders>
            <w:noWrap w:val="0"/>
            <w:vAlign w:val="center"/>
          </w:tcPr>
          <w:p w14:paraId="08D73E5D">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p>
        </w:tc>
      </w:tr>
    </w:tbl>
    <w:p w14:paraId="5733E5DA">
      <w:pPr>
        <w:spacing w:line="360" w:lineRule="auto"/>
        <w:ind w:firstLine="420" w:firstLineChars="200"/>
        <w:rPr>
          <w:rFonts w:hint="default" w:ascii="宋体" w:hAnsi="宋体" w:eastAsia="宋体" w:cs="宋体"/>
          <w:b/>
          <w:bCs/>
          <w:color w:val="auto"/>
          <w:highlight w:val="none"/>
          <w:lang w:val="en-US" w:eastAsia="zh-CN"/>
        </w:rPr>
      </w:pPr>
      <w:r>
        <w:rPr>
          <w:rFonts w:hint="eastAsia" w:ascii="宋体" w:hAnsi="宋体" w:eastAsia="宋体" w:cs="宋体"/>
          <w:b w:val="0"/>
          <w:bCs w:val="0"/>
          <w:color w:val="auto"/>
          <w:highlight w:val="none"/>
          <w:lang w:val="en-US" w:eastAsia="zh-CN"/>
        </w:rPr>
        <w:t>备注：</w:t>
      </w:r>
      <w:r>
        <w:rPr>
          <w:rFonts w:hint="eastAsia" w:ascii="宋体" w:hAnsi="宋体" w:eastAsia="宋体" w:cs="宋体"/>
          <w:b w:val="0"/>
          <w:bCs w:val="0"/>
          <w:color w:val="auto"/>
          <w:sz w:val="21"/>
          <w:szCs w:val="21"/>
          <w:highlight w:val="none"/>
          <w:lang w:val="en-US" w:eastAsia="zh-CN"/>
        </w:rPr>
        <w:t>以上设备清单为充电站设施设备主要设备清单（未列入的设备要符合充电站建设行业相关标准），并且为最低标准。</w:t>
      </w:r>
      <w:r>
        <w:rPr>
          <w:rFonts w:hint="eastAsia" w:ascii="宋体" w:hAnsi="宋体" w:eastAsia="宋体" w:cs="宋体"/>
          <w:color w:val="auto"/>
          <w:sz w:val="21"/>
          <w:szCs w:val="21"/>
          <w:highlight w:val="none"/>
          <w:lang w:val="en-US" w:eastAsia="zh-CN"/>
        </w:rPr>
        <w:t xml:space="preserve">因利旧电缆长度受限，投标人应考虑利旧电缆的长度，须正常接入一体式直流桩的交流进线开关。  </w:t>
      </w:r>
    </w:p>
    <w:p w14:paraId="31E0F86A">
      <w:pPr>
        <w:spacing w:line="360" w:lineRule="auto"/>
        <w:ind w:firstLine="422" w:firstLineChars="200"/>
        <w:outlineLvl w:val="1"/>
        <w:rPr>
          <w:rFonts w:hint="eastAsia" w:ascii="宋体" w:hAnsi="宋体" w:eastAsia="宋体" w:cs="宋体"/>
          <w:b/>
          <w:bCs/>
          <w:color w:val="auto"/>
          <w:highlight w:val="none"/>
        </w:rPr>
      </w:pPr>
      <w:bookmarkStart w:id="50" w:name="_Toc15029"/>
      <w:bookmarkStart w:id="51" w:name="_Toc5264"/>
      <w:r>
        <w:rPr>
          <w:rFonts w:hint="eastAsia" w:ascii="宋体" w:hAnsi="宋体" w:eastAsia="宋体" w:cs="宋体"/>
          <w:b/>
          <w:bCs/>
          <w:color w:val="auto"/>
          <w:highlight w:val="none"/>
          <w:lang w:val="en-US" w:eastAsia="zh-CN"/>
        </w:rPr>
        <w:t>五、</w:t>
      </w:r>
      <w:r>
        <w:rPr>
          <w:rFonts w:hint="eastAsia" w:ascii="宋体" w:hAnsi="宋体" w:eastAsia="宋体" w:cs="宋体"/>
          <w:b/>
          <w:bCs/>
          <w:color w:val="auto"/>
          <w:highlight w:val="none"/>
        </w:rPr>
        <w:t>项目实施进度要求</w:t>
      </w:r>
      <w:bookmarkEnd w:id="50"/>
      <w:bookmarkEnd w:id="51"/>
    </w:p>
    <w:p w14:paraId="739E43FC">
      <w:pPr>
        <w:spacing w:line="360" w:lineRule="auto"/>
        <w:ind w:firstLine="420" w:firstLineChars="200"/>
        <w:rPr>
          <w:rFonts w:hint="eastAsia" w:ascii="宋体" w:hAnsi="宋体" w:eastAsia="宋体" w:cs="宋体"/>
          <w:b w:val="0"/>
          <w:bCs w:val="0"/>
          <w:color w:val="auto"/>
          <w:highlight w:val="none"/>
          <w:lang w:val="en-US" w:eastAsia="zh-CN"/>
        </w:rPr>
      </w:pPr>
      <w:bookmarkStart w:id="52" w:name="_Toc421260468"/>
      <w:bookmarkStart w:id="53" w:name="_Toc28319"/>
      <w:bookmarkStart w:id="54" w:name="_Toc365897807"/>
      <w:bookmarkStart w:id="55" w:name="_Toc31016"/>
      <w:bookmarkStart w:id="56" w:name="_Toc413921186"/>
      <w:bookmarkStart w:id="57" w:name="_Toc413921187"/>
      <w:bookmarkStart w:id="58" w:name="_Toc365897808"/>
      <w:bookmarkStart w:id="59" w:name="_Toc238878121"/>
      <w:bookmarkStart w:id="60" w:name="_Toc421260469"/>
      <w:bookmarkStart w:id="61" w:name="_Toc25590"/>
      <w:bookmarkStart w:id="62" w:name="_Toc274303249"/>
      <w:r>
        <w:rPr>
          <w:rFonts w:hint="eastAsia" w:ascii="宋体" w:hAnsi="宋体" w:eastAsia="宋体" w:cs="宋体"/>
          <w:b w:val="0"/>
          <w:bCs w:val="0"/>
          <w:color w:val="auto"/>
          <w:highlight w:val="none"/>
          <w:lang w:val="en-US" w:eastAsia="zh-CN"/>
        </w:rPr>
        <w:t>本项目工期30日历天【自接到需求方书面通知之日起20天内充电桩相关设备要运至义乌，10天（自招标方书面通知中标人进场安装之日起）内安装调试完毕】</w:t>
      </w:r>
    </w:p>
    <w:p w14:paraId="7B2F9989">
      <w:pPr>
        <w:spacing w:line="360" w:lineRule="auto"/>
        <w:ind w:firstLine="422" w:firstLineChars="200"/>
        <w:outlineLvl w:val="1"/>
        <w:rPr>
          <w:rFonts w:hint="eastAsia" w:ascii="宋体" w:hAnsi="宋体" w:eastAsia="宋体" w:cs="宋体"/>
          <w:b/>
          <w:bCs/>
          <w:color w:val="auto"/>
          <w:highlight w:val="none"/>
        </w:rPr>
      </w:pPr>
      <w:bookmarkStart w:id="63" w:name="_Toc23197"/>
      <w:bookmarkStart w:id="64" w:name="_Toc16387"/>
      <w:r>
        <w:rPr>
          <w:rFonts w:hint="eastAsia" w:ascii="宋体" w:hAnsi="宋体" w:eastAsia="宋体" w:cs="宋体"/>
          <w:b/>
          <w:bCs/>
          <w:color w:val="auto"/>
          <w:highlight w:val="none"/>
          <w:lang w:val="en-US" w:eastAsia="zh-CN"/>
        </w:rPr>
        <w:t>六、</w:t>
      </w:r>
      <w:r>
        <w:rPr>
          <w:rFonts w:hint="eastAsia" w:ascii="宋体" w:hAnsi="宋体" w:eastAsia="宋体" w:cs="宋体"/>
          <w:b/>
          <w:bCs/>
          <w:color w:val="auto"/>
          <w:highlight w:val="none"/>
        </w:rPr>
        <w:t>履约验收</w:t>
      </w:r>
      <w:bookmarkEnd w:id="52"/>
      <w:bookmarkEnd w:id="53"/>
      <w:bookmarkEnd w:id="54"/>
      <w:bookmarkEnd w:id="55"/>
      <w:bookmarkEnd w:id="56"/>
      <w:bookmarkEnd w:id="63"/>
      <w:bookmarkEnd w:id="64"/>
    </w:p>
    <w:p w14:paraId="0AACB057">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rPr>
        <w:t>根据中华人民共和国现行技术标准，按招标文件以及合同规定的验收评定标准等规范，由采购人根据《义乌市人民政府办公室关于印发规范政府采购管理若干意见的通知》（义政办发〔2017〕102号）、《政府采购合同履约和验收管理办法（暂行）》（义招管办【2008】32号）文件要求，组织验收。</w:t>
      </w:r>
    </w:p>
    <w:p w14:paraId="11EAB257">
      <w:pPr>
        <w:keepNext w:val="0"/>
        <w:keepLines w:val="0"/>
        <w:pageBreakBefore w:val="0"/>
        <w:widowControl w:val="0"/>
        <w:kinsoku/>
        <w:wordWrap/>
        <w:overflowPunct/>
        <w:topLinePunct w:val="0"/>
        <w:autoSpaceDE/>
        <w:autoSpaceDN/>
        <w:bidi w:val="0"/>
        <w:adjustRightInd/>
        <w:snapToGrid/>
        <w:spacing w:line="360" w:lineRule="auto"/>
        <w:ind w:firstLine="630" w:firstLineChars="300"/>
        <w:jc w:val="left"/>
        <w:textAlignment w:val="auto"/>
        <w:rPr>
          <w:rFonts w:hint="eastAsia" w:ascii="宋体" w:hAnsi="宋体" w:eastAsia="宋体" w:cs="宋体"/>
          <w:color w:val="auto"/>
          <w:highlight w:val="none"/>
        </w:rPr>
      </w:pPr>
      <w:r>
        <w:rPr>
          <w:rFonts w:hint="eastAsia" w:ascii="宋体" w:hAnsi="宋体" w:cs="宋体"/>
          <w:color w:val="auto"/>
          <w:szCs w:val="21"/>
          <w:highlight w:val="none"/>
        </w:rPr>
        <w:t xml:space="preserve">验收产生的费用由中标方承担。同时，投标方应在投标文件中提供设备的验收标准、检测方法，验收标准应符合国家有关相应的规定和标准。  </w:t>
      </w:r>
    </w:p>
    <w:p w14:paraId="55DDA671">
      <w:pPr>
        <w:spacing w:line="360" w:lineRule="auto"/>
        <w:ind w:firstLine="422" w:firstLineChars="200"/>
        <w:outlineLvl w:val="1"/>
        <w:rPr>
          <w:rFonts w:hint="eastAsia" w:ascii="宋体" w:hAnsi="宋体" w:eastAsia="宋体" w:cs="宋体"/>
          <w:color w:val="auto"/>
          <w:highlight w:val="none"/>
        </w:rPr>
      </w:pPr>
      <w:bookmarkStart w:id="65" w:name="_Toc11644"/>
      <w:bookmarkStart w:id="66" w:name="_Toc27579"/>
      <w:r>
        <w:rPr>
          <w:rFonts w:hint="eastAsia" w:ascii="宋体" w:hAnsi="宋体" w:eastAsia="宋体" w:cs="宋体"/>
          <w:b/>
          <w:bCs/>
          <w:color w:val="auto"/>
          <w:highlight w:val="none"/>
          <w:lang w:val="en-US" w:eastAsia="zh-CN"/>
        </w:rPr>
        <w:t>七、</w:t>
      </w:r>
      <w:r>
        <w:rPr>
          <w:rFonts w:hint="eastAsia" w:ascii="宋体" w:hAnsi="宋体" w:eastAsia="宋体" w:cs="宋体"/>
          <w:b/>
          <w:bCs/>
          <w:color w:val="auto"/>
          <w:highlight w:val="none"/>
        </w:rPr>
        <w:t>商务要求</w:t>
      </w:r>
      <w:bookmarkEnd w:id="57"/>
      <w:bookmarkEnd w:id="58"/>
      <w:bookmarkEnd w:id="59"/>
      <w:bookmarkEnd w:id="60"/>
      <w:bookmarkEnd w:id="61"/>
      <w:bookmarkEnd w:id="62"/>
      <w:bookmarkEnd w:id="65"/>
      <w:bookmarkEnd w:id="66"/>
      <w:bookmarkStart w:id="67" w:name="_Toc274303250"/>
      <w:bookmarkStart w:id="68" w:name="_Toc238878122"/>
    </w:p>
    <w:p w14:paraId="53B1B0FD">
      <w:pPr>
        <w:numPr>
          <w:ilvl w:val="0"/>
          <w:numId w:val="0"/>
        </w:numPr>
        <w:spacing w:line="44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（一）项目投标报价要求</w:t>
      </w:r>
    </w:p>
    <w:p w14:paraId="44931EF4">
      <w:pPr>
        <w:pStyle w:val="18"/>
        <w:pageBreakBefore w:val="0"/>
        <w:widowControl w:val="0"/>
        <w:kinsoku/>
        <w:wordWrap/>
        <w:overflowPunct/>
        <w:topLinePunct w:val="0"/>
        <w:autoSpaceDE/>
        <w:autoSpaceDN/>
        <w:bidi w:val="0"/>
        <w:adjustRightInd/>
        <w:spacing w:line="360" w:lineRule="auto"/>
        <w:ind w:firstLine="420" w:firstLineChars="200"/>
        <w:textAlignment w:val="auto"/>
        <w:rPr>
          <w:rFonts w:hint="eastAsia" w:ascii="宋体" w:hAnsi="宋体" w:eastAsia="宋体" w:cs="宋体"/>
          <w:bCs/>
          <w:color w:val="auto"/>
          <w:sz w:val="21"/>
          <w:szCs w:val="21"/>
          <w:highlight w:val="none"/>
        </w:rPr>
      </w:pPr>
      <w:r>
        <w:rPr>
          <w:rFonts w:hint="eastAsia" w:hAnsi="宋体"/>
          <w:color w:val="auto"/>
          <w:highlight w:val="none"/>
          <w:lang w:val="en-US" w:eastAsia="zh-CN"/>
        </w:rPr>
        <w:t>1.</w:t>
      </w:r>
      <w:r>
        <w:rPr>
          <w:rFonts w:hint="eastAsia" w:ascii="宋体" w:hAnsi="宋体" w:eastAsia="宋体" w:cs="宋体"/>
          <w:color w:val="auto"/>
          <w:sz w:val="21"/>
          <w:szCs w:val="21"/>
          <w:highlight w:val="none"/>
          <w:u w:val="none"/>
        </w:rPr>
        <w:t>投标人应根据国家的有关规定和招标文件要求并结合企业的实际情况进行投标报价。</w:t>
      </w:r>
      <w:r>
        <w:rPr>
          <w:rFonts w:hint="eastAsia" w:hAnsi="宋体"/>
          <w:color w:val="auto"/>
          <w:highlight w:val="none"/>
        </w:rPr>
        <w:t>投标报价以人民币为结算货币，投标报价包括</w:t>
      </w:r>
      <w:r>
        <w:rPr>
          <w:rFonts w:hint="eastAsia" w:hAnsi="宋体"/>
          <w:b/>
          <w:bCs/>
          <w:color w:val="auto"/>
          <w:highlight w:val="none"/>
        </w:rPr>
        <w:t>充电设备、包安装费用、所有附属材料费用、项目验收费用、税金、利润、不可预见费等所有费用</w:t>
      </w:r>
      <w:r>
        <w:rPr>
          <w:rFonts w:hint="eastAsia" w:hAnsi="宋体"/>
          <w:b/>
          <w:color w:val="auto"/>
          <w:highlight w:val="none"/>
        </w:rPr>
        <w:t>，</w:t>
      </w:r>
      <w:r>
        <w:rPr>
          <w:rFonts w:hint="eastAsia" w:hAnsi="宋体"/>
          <w:color w:val="auto"/>
          <w:highlight w:val="none"/>
        </w:rPr>
        <w:t>即按招标方要求安装完毕的完工价格，如有漏项，视同已包含在其总项目中，合同总价不予调整。</w:t>
      </w:r>
      <w:r>
        <w:rPr>
          <w:rFonts w:hAnsi="宋体" w:eastAsia="宋体"/>
          <w:bCs/>
          <w:color w:val="auto"/>
          <w:sz w:val="21"/>
          <w:szCs w:val="21"/>
          <w:highlight w:val="none"/>
        </w:rPr>
        <w:t>投标报价为投标方所能承受的最低、最终一次性报价。须由中标单位开具增值税专用发票。</w:t>
      </w:r>
    </w:p>
    <w:p w14:paraId="1304B6C0">
      <w:pPr>
        <w:pStyle w:val="18"/>
        <w:spacing w:line="360" w:lineRule="auto"/>
        <w:ind w:firstLine="420" w:firstLineChars="200"/>
        <w:rPr>
          <w:rFonts w:hint="eastAsia" w:hAnsi="宋体"/>
          <w:color w:val="auto"/>
          <w:highlight w:val="none"/>
        </w:rPr>
      </w:pPr>
      <w:r>
        <w:rPr>
          <w:rFonts w:hint="eastAsia" w:hAnsi="宋体" w:cs="宋体"/>
          <w:color w:val="auto"/>
          <w:highlight w:val="none"/>
          <w:lang w:val="en-US" w:eastAsia="zh-CN"/>
        </w:rPr>
        <w:t>2.</w:t>
      </w:r>
      <w:r>
        <w:rPr>
          <w:rFonts w:hint="eastAsia" w:hAnsi="宋体" w:cs="宋体"/>
          <w:color w:val="auto"/>
          <w:highlight w:val="none"/>
        </w:rPr>
        <w:t>投标方须在《开标一览表》（报价一览表）上写明投标货物的单价和投标总价。如果大写金额和小写金额不一致的，以大写金额为准；单价金额小数点或者百分比有明显错位的，以开标一览表（报价一览表）的总价为准，并修改单价；总价金额与按单价汇总金额不一致的，以单价金额计算结果为准。</w:t>
      </w:r>
      <w:r>
        <w:rPr>
          <w:rFonts w:hint="eastAsia" w:hAnsi="宋体" w:cs="宋体"/>
          <w:color w:val="auto"/>
          <w:highlight w:val="none"/>
          <w:lang w:val="en-US" w:eastAsia="zh-CN"/>
        </w:rPr>
        <w:t xml:space="preserve">         </w:t>
      </w:r>
    </w:p>
    <w:p w14:paraId="3014FBCD">
      <w:pPr>
        <w:pStyle w:val="18"/>
        <w:spacing w:line="360" w:lineRule="auto"/>
        <w:ind w:firstLine="420" w:firstLineChars="200"/>
        <w:rPr>
          <w:rFonts w:hAnsi="宋体" w:cs="Times New Roman"/>
          <w:color w:val="auto"/>
          <w:highlight w:val="none"/>
        </w:rPr>
      </w:pPr>
      <w:r>
        <w:rPr>
          <w:rFonts w:hint="eastAsia" w:hAnsi="宋体"/>
          <w:color w:val="auto"/>
          <w:highlight w:val="none"/>
          <w:lang w:val="en-US" w:eastAsia="zh-CN"/>
        </w:rPr>
        <w:t>3.</w:t>
      </w:r>
      <w:r>
        <w:rPr>
          <w:rFonts w:hint="eastAsia" w:hAnsi="宋体"/>
          <w:color w:val="auto"/>
          <w:highlight w:val="none"/>
        </w:rPr>
        <w:t>中标后，</w:t>
      </w:r>
      <w:r>
        <w:rPr>
          <w:rFonts w:hint="eastAsia" w:hAnsi="宋体"/>
          <w:b/>
          <w:bCs/>
          <w:color w:val="auto"/>
          <w:highlight w:val="none"/>
        </w:rPr>
        <w:t>中标人所填写的单价在合同实施期间不因市场变化因素而变动；</w:t>
      </w:r>
      <w:r>
        <w:rPr>
          <w:rFonts w:hint="eastAsia" w:hAnsi="宋体"/>
          <w:color w:val="auto"/>
          <w:highlight w:val="none"/>
        </w:rPr>
        <w:t>投标人在计算报价时应考虑一定的风险系数。</w:t>
      </w:r>
      <w:r>
        <w:rPr>
          <w:rFonts w:hint="eastAsia" w:hAnsi="宋体"/>
          <w:color w:val="auto"/>
          <w:highlight w:val="none"/>
        </w:rPr>
        <w:t>因设计与工程因素引起实际施工中发生设计变更、修改、调整、完善等情况，修改部分则按其投标书相应部分货物及施工的单价同口径计算。</w:t>
      </w:r>
    </w:p>
    <w:p w14:paraId="2DAF4424">
      <w:pPr>
        <w:pStyle w:val="18"/>
        <w:spacing w:line="360" w:lineRule="auto"/>
        <w:ind w:firstLine="420" w:firstLineChars="200"/>
        <w:rPr>
          <w:rFonts w:hAnsi="宋体" w:cs="Times New Roman"/>
          <w:color w:val="auto"/>
          <w:highlight w:val="none"/>
        </w:rPr>
      </w:pPr>
      <w:r>
        <w:rPr>
          <w:rFonts w:hint="eastAsia" w:hAnsi="宋体"/>
          <w:color w:val="auto"/>
          <w:highlight w:val="none"/>
          <w:lang w:val="en-US" w:eastAsia="zh-CN"/>
        </w:rPr>
        <w:t>4.</w:t>
      </w:r>
      <w:r>
        <w:rPr>
          <w:rFonts w:hint="eastAsia" w:hAnsi="宋体"/>
          <w:color w:val="auto"/>
          <w:highlight w:val="none"/>
        </w:rPr>
        <w:t>投标人应按招标文件规定的报价格式进行投标报价。投标人对每种货物只允许有一个报价，采购人不接受任何有选择性的报价。</w:t>
      </w:r>
    </w:p>
    <w:p w14:paraId="57B42CB6">
      <w:pPr>
        <w:pStyle w:val="18"/>
        <w:spacing w:line="360" w:lineRule="auto"/>
        <w:ind w:firstLine="420" w:firstLineChars="200"/>
        <w:rPr>
          <w:rFonts w:hAnsi="宋体" w:cs="宋体"/>
          <w:color w:val="auto"/>
          <w:highlight w:val="none"/>
        </w:rPr>
      </w:pPr>
      <w:r>
        <w:rPr>
          <w:rFonts w:hint="eastAsia" w:hAnsi="宋体" w:cs="宋体"/>
          <w:color w:val="auto"/>
          <w:highlight w:val="none"/>
          <w:lang w:val="en-US" w:eastAsia="zh-CN"/>
        </w:rPr>
        <w:t>5.</w:t>
      </w:r>
      <w:r>
        <w:rPr>
          <w:rFonts w:hint="eastAsia" w:hAnsi="宋体" w:cs="宋体"/>
          <w:color w:val="auto"/>
          <w:spacing w:val="-8"/>
          <w:highlight w:val="none"/>
        </w:rPr>
        <w:t>采购人不接受低于成本的投标报价。</w:t>
      </w:r>
    </w:p>
    <w:p w14:paraId="090F582D">
      <w:pPr>
        <w:pStyle w:val="18"/>
        <w:spacing w:line="360" w:lineRule="auto"/>
        <w:ind w:firstLine="420" w:firstLineChars="200"/>
        <w:rPr>
          <w:rFonts w:hAnsi="宋体" w:cs="宋体"/>
          <w:color w:val="auto"/>
          <w:highlight w:val="none"/>
        </w:rPr>
      </w:pPr>
      <w:r>
        <w:rPr>
          <w:rFonts w:hint="eastAsia" w:hAnsi="宋体" w:cs="宋体"/>
          <w:color w:val="auto"/>
          <w:highlight w:val="none"/>
          <w:lang w:val="en-US" w:eastAsia="zh-CN"/>
        </w:rPr>
        <w:t>6.</w:t>
      </w:r>
      <w:r>
        <w:rPr>
          <w:rFonts w:hint="eastAsia" w:hAnsi="宋体" w:cs="宋体"/>
          <w:color w:val="auto"/>
          <w:highlight w:val="none"/>
        </w:rPr>
        <w:t>投标人按照上述要求编制投标报价。一旦确认某一投标人中标，除合同规定的可调整内容外，中标人不得要求追加任何费用。</w:t>
      </w:r>
    </w:p>
    <w:p w14:paraId="1341B8C7">
      <w:pPr>
        <w:pStyle w:val="18"/>
        <w:spacing w:line="360" w:lineRule="auto"/>
        <w:ind w:firstLine="420" w:firstLineChars="200"/>
        <w:rPr>
          <w:rFonts w:hint="eastAsia" w:hAnsi="宋体" w:cs="宋体"/>
          <w:color w:val="auto"/>
          <w:highlight w:val="none"/>
        </w:rPr>
      </w:pPr>
      <w:r>
        <w:rPr>
          <w:rFonts w:hint="eastAsia" w:hAnsi="宋体" w:cs="宋体"/>
          <w:color w:val="auto"/>
          <w:highlight w:val="none"/>
          <w:lang w:val="en-US" w:eastAsia="zh-CN"/>
        </w:rPr>
        <w:t>7.</w:t>
      </w:r>
      <w:r>
        <w:rPr>
          <w:rFonts w:hint="eastAsia" w:hAnsi="宋体" w:cs="宋体"/>
          <w:color w:val="auto"/>
          <w:highlight w:val="none"/>
        </w:rPr>
        <w:t>须由中标单位开具正式发票。</w:t>
      </w:r>
    </w:p>
    <w:p w14:paraId="00DAA73B">
      <w:pPr>
        <w:pStyle w:val="18"/>
        <w:spacing w:line="360" w:lineRule="auto"/>
        <w:ind w:firstLine="420" w:firstLineChars="200"/>
        <w:rPr>
          <w:rFonts w:hint="eastAsia"/>
          <w:color w:val="auto"/>
          <w:highlight w:val="none"/>
        </w:rPr>
      </w:pP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招标文件中规定由投标单位承担并支付的相关费用在投标报价时应一并考虑。</w:t>
      </w:r>
    </w:p>
    <w:p w14:paraId="7823A73E">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二</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售后服务要求</w:t>
      </w:r>
    </w:p>
    <w:p w14:paraId="027BA81A">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本次投标的整体设备（含配件）要求至少五年（7*24）小时质保，</w:t>
      </w:r>
      <w:r>
        <w:rPr>
          <w:rFonts w:hint="eastAsia" w:ascii="宋体" w:hAnsi="宋体" w:cs="宋体"/>
          <w:bCs/>
          <w:color w:val="auto"/>
          <w:highlight w:val="none"/>
        </w:rPr>
        <w:t>按每一批交流桩验收合格之日起计算，</w:t>
      </w:r>
      <w:r>
        <w:rPr>
          <w:rFonts w:hint="eastAsia" w:ascii="宋体" w:hAnsi="宋体" w:eastAsia="宋体" w:cs="宋体"/>
          <w:color w:val="auto"/>
          <w:highlight w:val="none"/>
        </w:rPr>
        <w:t>质保期内应免费提供产品保修服务和远程支持服务。</w:t>
      </w:r>
    </w:p>
    <w:p w14:paraId="60522969">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2.质保期满后，中标方负责终身维护服务。</w:t>
      </w:r>
    </w:p>
    <w:p w14:paraId="5192F651">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ascii="宋体" w:hAnsi="宋体" w:eastAsia="宋体" w:cs="宋体"/>
          <w:color w:val="auto"/>
          <w:highlight w:val="none"/>
          <w:lang w:val="en-US" w:eastAsia="zh-CN"/>
        </w:rPr>
        <w:t>.</w:t>
      </w:r>
      <w:r>
        <w:rPr>
          <w:rFonts w:hint="eastAsia" w:ascii="宋体" w:hAnsi="宋体" w:eastAsia="宋体" w:cs="宋体"/>
          <w:color w:val="auto"/>
          <w:highlight w:val="none"/>
        </w:rPr>
        <w:t>故障响应时间：设备出现故障后必须在2小时内对采购方所提出的维修要求做出响应，24小时内需安排技术人员至现场。</w:t>
      </w:r>
    </w:p>
    <w:p w14:paraId="3C7026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在质保期内，设备出现质量问题，中标方须在2天内无偿更换损坏的零部件，无法修复的需更换全新设备。</w:t>
      </w:r>
    </w:p>
    <w:p w14:paraId="4D91C4F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如未在规定时间做出响应，给招标人造成损失的，由中标方承担相关费用，其费用招标方有权在余款（合同总价的10%）中扣除或通过法律途径维权。</w:t>
      </w:r>
    </w:p>
    <w:p w14:paraId="1D2E9BDC">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在质保期内，更换后的故障存储介质未经拷贝并删除后，不得带离采购方现场。</w:t>
      </w:r>
    </w:p>
    <w:p w14:paraId="1102612B">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r>
        <w:rPr>
          <w:rFonts w:hint="eastAsia" w:ascii="宋体" w:hAnsi="宋体" w:eastAsia="宋体" w:cs="宋体"/>
          <w:color w:val="auto"/>
          <w:highlight w:val="none"/>
        </w:rPr>
        <w:t>投标方应终身提供良好的技术支持及零部件持续供应的优惠供应。</w:t>
      </w:r>
    </w:p>
    <w:p w14:paraId="5F7FA8BD">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r>
        <w:rPr>
          <w:rFonts w:hint="eastAsia" w:ascii="宋体" w:hAnsi="宋体" w:eastAsia="宋体" w:cs="宋体"/>
          <w:color w:val="auto"/>
          <w:highlight w:val="none"/>
        </w:rPr>
        <w:t>以上售后服务事项需投标方提供书面承诺材料并加盖公章。</w:t>
      </w:r>
    </w:p>
    <w:p w14:paraId="170F26D1">
      <w:pPr>
        <w:spacing w:line="360" w:lineRule="auto"/>
        <w:ind w:firstLine="422" w:firstLineChars="200"/>
        <w:rPr>
          <w:rFonts w:hint="eastAsia" w:ascii="宋体" w:hAnsi="宋体" w:eastAsia="宋体" w:cs="宋体"/>
          <w:b/>
          <w:bCs/>
          <w:color w:val="auto"/>
          <w:highlight w:val="none"/>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三</w:t>
      </w: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rPr>
        <w:t>付款方式</w:t>
      </w:r>
    </w:p>
    <w:p w14:paraId="5E96EFA6">
      <w:pPr>
        <w:pStyle w:val="18"/>
        <w:spacing w:line="360" w:lineRule="auto"/>
        <w:ind w:firstLine="420" w:firstLineChars="200"/>
        <w:rPr>
          <w:rFonts w:hint="eastAsia" w:ascii="宋体" w:hAnsi="宋体" w:eastAsia="宋体" w:cs="宋体"/>
          <w:b w:val="0"/>
          <w:bCs w:val="0"/>
          <w:color w:val="auto"/>
          <w:highlight w:val="none"/>
        </w:rPr>
      </w:pPr>
      <w:bookmarkStart w:id="69" w:name="_Toc365897809"/>
      <w:bookmarkStart w:id="70" w:name="_Toc421260470"/>
      <w:bookmarkStart w:id="71" w:name="_Toc413921188"/>
      <w:bookmarkStart w:id="72" w:name="_Toc19131"/>
      <w:r>
        <w:rPr>
          <w:rFonts w:hint="eastAsia" w:ascii="宋体" w:hAnsi="宋体" w:eastAsia="宋体" w:cs="宋体"/>
          <w:b w:val="0"/>
          <w:bCs w:val="0"/>
          <w:color w:val="auto"/>
          <w:highlight w:val="none"/>
          <w:lang w:val="en-US" w:eastAsia="zh-CN"/>
        </w:rPr>
        <w:t>1.</w:t>
      </w:r>
      <w:r>
        <w:rPr>
          <w:rFonts w:hint="eastAsia" w:ascii="宋体" w:hAnsi="宋体" w:eastAsia="宋体" w:cs="宋体"/>
          <w:b w:val="0"/>
          <w:bCs w:val="0"/>
          <w:color w:val="auto"/>
          <w:highlight w:val="none"/>
        </w:rPr>
        <w:t>充电桩设备现场完成安装调试运营30日，经招标人确认在调试运营期间设备无问题竣工验收合格后付到合同</w:t>
      </w:r>
      <w:r>
        <w:rPr>
          <w:rFonts w:hint="eastAsia" w:ascii="宋体" w:hAnsi="宋体" w:eastAsia="宋体" w:cs="宋体"/>
          <w:b w:val="0"/>
          <w:bCs w:val="0"/>
          <w:color w:val="auto"/>
          <w:highlight w:val="none"/>
          <w:lang w:val="en-US" w:eastAsia="zh-CN"/>
        </w:rPr>
        <w:t>实际结算</w:t>
      </w:r>
      <w:r>
        <w:rPr>
          <w:rFonts w:hint="eastAsia" w:ascii="宋体" w:hAnsi="宋体" w:eastAsia="宋体" w:cs="宋体"/>
          <w:b w:val="0"/>
          <w:bCs w:val="0"/>
          <w:color w:val="auto"/>
          <w:highlight w:val="none"/>
        </w:rPr>
        <w:t>价款9</w:t>
      </w:r>
      <w:r>
        <w:rPr>
          <w:rFonts w:hint="eastAsia" w:hAnsi="宋体" w:cs="宋体"/>
          <w:b w:val="0"/>
          <w:bCs w:val="0"/>
          <w:color w:val="auto"/>
          <w:highlight w:val="none"/>
          <w:lang w:val="en-US" w:eastAsia="zh-CN"/>
        </w:rPr>
        <w:t>5</w:t>
      </w:r>
      <w:r>
        <w:rPr>
          <w:rFonts w:hint="eastAsia" w:ascii="宋体" w:hAnsi="宋体" w:eastAsia="宋体" w:cs="宋体"/>
          <w:b w:val="0"/>
          <w:bCs w:val="0"/>
          <w:color w:val="auto"/>
          <w:highlight w:val="none"/>
        </w:rPr>
        <w:t>%，余款5%在质保期（5年）期满且无质量问题后无息退还。</w:t>
      </w:r>
    </w:p>
    <w:p w14:paraId="5B5D2DAD">
      <w:pPr>
        <w:pStyle w:val="18"/>
        <w:spacing w:line="360" w:lineRule="auto"/>
        <w:ind w:firstLine="420" w:firstLineChars="200"/>
        <w:rPr>
          <w:rFonts w:hint="default"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2.当采购数量与实际使用数量不一致时，供方应根据实际使用量供货，合同的最终结算金额按实际使用量乘以中标单价进行计算。</w:t>
      </w:r>
    </w:p>
    <w:p w14:paraId="5C354BAD">
      <w:pPr>
        <w:pStyle w:val="18"/>
        <w:numPr>
          <w:ilvl w:val="0"/>
          <w:numId w:val="5"/>
        </w:numPr>
        <w:spacing w:line="360" w:lineRule="auto"/>
        <w:ind w:firstLine="382" w:firstLineChars="200"/>
        <w:rPr>
          <w:rFonts w:hint="eastAsia" w:hAnsi="宋体"/>
          <w:b/>
          <w:bCs/>
          <w:color w:val="auto"/>
          <w:spacing w:val="-10"/>
          <w:highlight w:val="none"/>
        </w:rPr>
      </w:pPr>
      <w:r>
        <w:rPr>
          <w:rFonts w:hint="eastAsia" w:hAnsi="宋体"/>
          <w:b/>
          <w:bCs/>
          <w:color w:val="auto"/>
          <w:spacing w:val="-10"/>
          <w:highlight w:val="none"/>
        </w:rPr>
        <w:t>现场指导及培训</w:t>
      </w:r>
    </w:p>
    <w:p w14:paraId="1B8ABACC">
      <w:pPr>
        <w:pStyle w:val="18"/>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ascii="宋体" w:hAnsi="宋体"/>
          <w:bCs/>
          <w:color w:val="auto"/>
          <w:highlight w:val="none"/>
        </w:rPr>
      </w:pPr>
      <w:r>
        <w:rPr>
          <w:rFonts w:hint="eastAsia" w:ascii="宋体" w:hAnsi="宋体"/>
          <w:bCs/>
          <w:color w:val="auto"/>
          <w:highlight w:val="none"/>
          <w:lang w:val="en-US" w:eastAsia="zh-CN"/>
        </w:rPr>
        <w:t>1.</w:t>
      </w:r>
      <w:r>
        <w:rPr>
          <w:rFonts w:hint="eastAsia" w:ascii="宋体" w:hAnsi="宋体"/>
          <w:bCs/>
          <w:color w:val="auto"/>
          <w:highlight w:val="none"/>
        </w:rPr>
        <w:t>根据采购人需求，提供完整系统的培训（理论、实践）使招标人今后能自行操作、维护。</w:t>
      </w:r>
    </w:p>
    <w:p w14:paraId="2C6A8075">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bCs/>
          <w:color w:val="auto"/>
          <w:highlight w:val="none"/>
        </w:rPr>
      </w:pPr>
      <w:r>
        <w:rPr>
          <w:rFonts w:hint="eastAsia" w:ascii="宋体" w:hAnsi="宋体"/>
          <w:bCs/>
          <w:color w:val="auto"/>
          <w:highlight w:val="none"/>
          <w:lang w:val="en-US" w:eastAsia="zh-CN"/>
        </w:rPr>
        <w:t>2.</w:t>
      </w:r>
      <w:r>
        <w:rPr>
          <w:rFonts w:hint="eastAsia" w:ascii="宋体" w:hAnsi="宋体"/>
          <w:bCs/>
          <w:color w:val="auto"/>
          <w:highlight w:val="none"/>
        </w:rPr>
        <w:t>中标方纯电动车辆使用前期，为保障充电设备正常使用，应安排专门技术人员上门指导，直至招标方充电人员能自行安全使用。</w:t>
      </w:r>
    </w:p>
    <w:p w14:paraId="6346E6C7">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bCs/>
          <w:color w:val="auto"/>
          <w:highlight w:val="none"/>
        </w:rPr>
      </w:pPr>
      <w:r>
        <w:rPr>
          <w:rFonts w:hint="eastAsia" w:ascii="宋体" w:hAnsi="宋体"/>
          <w:bCs/>
          <w:color w:val="auto"/>
          <w:highlight w:val="none"/>
          <w:lang w:val="en-US" w:eastAsia="zh-CN"/>
        </w:rPr>
        <w:t>3.</w:t>
      </w:r>
      <w:r>
        <w:rPr>
          <w:rFonts w:hint="eastAsia" w:ascii="宋体" w:hAnsi="宋体"/>
          <w:bCs/>
          <w:color w:val="auto"/>
          <w:highlight w:val="none"/>
        </w:rPr>
        <w:t>中标方应编写培训手册，本手册内容包括：充电系统操作，后台软件操作、设备日常使用相关注意事项、维修维护相关知识等内容，每台充电桩不少于1册。</w:t>
      </w:r>
    </w:p>
    <w:p w14:paraId="1262792D">
      <w:pPr>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ascii="宋体" w:hAnsi="宋体"/>
          <w:bCs/>
          <w:color w:val="auto"/>
          <w:highlight w:val="none"/>
        </w:rPr>
      </w:pPr>
      <w:r>
        <w:rPr>
          <w:rFonts w:hint="eastAsia" w:ascii="宋体" w:hAnsi="宋体"/>
          <w:bCs/>
          <w:color w:val="auto"/>
          <w:highlight w:val="none"/>
          <w:lang w:val="en-US" w:eastAsia="zh-CN"/>
        </w:rPr>
        <w:t>4.</w:t>
      </w:r>
      <w:r>
        <w:rPr>
          <w:rFonts w:hint="eastAsia" w:ascii="宋体" w:hAnsi="宋体"/>
          <w:bCs/>
          <w:color w:val="auto"/>
          <w:highlight w:val="none"/>
        </w:rPr>
        <w:t>提供全面的技术支持和维护咨询。</w:t>
      </w:r>
    </w:p>
    <w:p w14:paraId="34193004">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highlight w:val="none"/>
        </w:rPr>
      </w:pPr>
      <w:r>
        <w:rPr>
          <w:rFonts w:hint="eastAsia" w:ascii="宋体" w:hAnsi="宋体"/>
          <w:bCs/>
          <w:color w:val="auto"/>
          <w:highlight w:val="none"/>
          <w:lang w:val="en-US" w:eastAsia="zh-CN"/>
        </w:rPr>
        <w:t>5.</w:t>
      </w:r>
      <w:r>
        <w:rPr>
          <w:rFonts w:hint="eastAsia" w:ascii="宋体" w:hAnsi="宋体"/>
          <w:bCs/>
          <w:color w:val="auto"/>
          <w:highlight w:val="none"/>
        </w:rPr>
        <w:t>中标方其它服务培训措施</w:t>
      </w:r>
      <w:r>
        <w:rPr>
          <w:rFonts w:hint="eastAsia" w:ascii="宋体" w:hAnsi="宋体"/>
          <w:bCs/>
          <w:color w:val="auto"/>
          <w:highlight w:val="none"/>
          <w:lang w:eastAsia="zh-CN"/>
        </w:rPr>
        <w:t>。</w:t>
      </w:r>
      <w:r>
        <w:rPr>
          <w:rFonts w:hint="eastAsia" w:ascii="宋体" w:hAnsi="宋体"/>
          <w:bCs/>
          <w:color w:val="auto"/>
          <w:highlight w:val="none"/>
        </w:rPr>
        <w:t xml:space="preserve">  </w:t>
      </w:r>
    </w:p>
    <w:p w14:paraId="4855E959">
      <w:pPr>
        <w:keepNext w:val="0"/>
        <w:keepLines w:val="0"/>
        <w:pageBreakBefore w:val="0"/>
        <w:kinsoku/>
        <w:wordWrap/>
        <w:overflowPunct/>
        <w:topLinePunct w:val="0"/>
        <w:autoSpaceDE/>
        <w:autoSpaceDN/>
        <w:bidi w:val="0"/>
        <w:adjustRightInd/>
        <w:snapToGrid/>
        <w:spacing w:line="360" w:lineRule="auto"/>
        <w:ind w:firstLine="422" w:firstLineChars="200"/>
        <w:textAlignment w:val="auto"/>
        <w:rPr>
          <w:rFonts w:hint="eastAsia" w:ascii="宋体" w:hAnsi="宋体"/>
          <w:b/>
          <w:bCs w:val="0"/>
          <w:color w:val="auto"/>
          <w:highlight w:val="none"/>
        </w:rPr>
      </w:pPr>
      <w:r>
        <w:rPr>
          <w:rFonts w:hint="eastAsia" w:ascii="宋体" w:hAnsi="宋体"/>
          <w:b/>
          <w:bCs w:val="0"/>
          <w:color w:val="auto"/>
          <w:highlight w:val="none"/>
          <w:lang w:eastAsia="zh-CN"/>
        </w:rPr>
        <w:t>（</w:t>
      </w:r>
      <w:r>
        <w:rPr>
          <w:rFonts w:hint="eastAsia" w:ascii="宋体" w:hAnsi="宋体"/>
          <w:b/>
          <w:bCs w:val="0"/>
          <w:color w:val="auto"/>
          <w:highlight w:val="none"/>
          <w:lang w:val="en-US" w:eastAsia="zh-CN"/>
        </w:rPr>
        <w:t>五</w:t>
      </w:r>
      <w:r>
        <w:rPr>
          <w:rFonts w:hint="eastAsia" w:ascii="宋体" w:hAnsi="宋体"/>
          <w:b/>
          <w:bCs w:val="0"/>
          <w:color w:val="auto"/>
          <w:highlight w:val="none"/>
          <w:lang w:eastAsia="zh-CN"/>
        </w:rPr>
        <w:t>）</w:t>
      </w:r>
      <w:r>
        <w:rPr>
          <w:rFonts w:hint="eastAsia" w:ascii="宋体" w:hAnsi="宋体"/>
          <w:b/>
          <w:bCs w:val="0"/>
          <w:color w:val="auto"/>
          <w:highlight w:val="none"/>
        </w:rPr>
        <w:t xml:space="preserve">违约责任   </w:t>
      </w:r>
    </w:p>
    <w:p w14:paraId="5556B812">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highlight w:val="none"/>
        </w:rPr>
      </w:pPr>
      <w:r>
        <w:rPr>
          <w:rFonts w:hint="eastAsia" w:ascii="宋体" w:hAnsi="宋体"/>
          <w:bCs/>
          <w:color w:val="auto"/>
          <w:highlight w:val="none"/>
        </w:rPr>
        <w:t>1</w:t>
      </w:r>
      <w:r>
        <w:rPr>
          <w:rFonts w:hint="eastAsia" w:ascii="宋体" w:hAnsi="宋体"/>
          <w:bCs/>
          <w:color w:val="auto"/>
          <w:highlight w:val="none"/>
          <w:lang w:eastAsia="zh-CN"/>
        </w:rPr>
        <w:t>.</w:t>
      </w:r>
      <w:r>
        <w:rPr>
          <w:rFonts w:hint="eastAsia" w:ascii="宋体" w:hAnsi="宋体"/>
          <w:bCs/>
          <w:color w:val="auto"/>
          <w:highlight w:val="none"/>
        </w:rPr>
        <w:t xml:space="preserve">供方逾期交付货物的，供方应按逾期交货总额每日千分之五向招标方支付违约金，由需方从待付货款中扣除。逾期超过约定日期7个工作日不能交货的，需方可解除本合同。供方因逾期交货或因其他违约行为导致需方解除合同的，供方应向需方支付合同总值10%的违约金，如造成需方损失超过违约金的，超出部分由供方继续承担赔偿责任。 </w:t>
      </w:r>
    </w:p>
    <w:p w14:paraId="470C0BB9">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highlight w:val="none"/>
        </w:rPr>
      </w:pPr>
      <w:r>
        <w:rPr>
          <w:rFonts w:hint="eastAsia" w:ascii="宋体" w:hAnsi="宋体"/>
          <w:bCs/>
          <w:color w:val="auto"/>
          <w:highlight w:val="none"/>
        </w:rPr>
        <w:t>2</w:t>
      </w:r>
      <w:r>
        <w:rPr>
          <w:rFonts w:hint="eastAsia" w:ascii="宋体" w:hAnsi="宋体"/>
          <w:bCs/>
          <w:color w:val="auto"/>
          <w:highlight w:val="none"/>
          <w:lang w:eastAsia="zh-CN"/>
        </w:rPr>
        <w:t>.</w:t>
      </w:r>
      <w:r>
        <w:rPr>
          <w:rFonts w:hint="eastAsia" w:ascii="宋体" w:hAnsi="宋体"/>
          <w:bCs/>
          <w:color w:val="auto"/>
          <w:highlight w:val="none"/>
        </w:rPr>
        <w:t>供方所交的货物品种、型号、规格、技术参数、质量不符合合同规定及招标文件规定标准的，需方有权拒收该货物，供方愿意更换货物但逾期交货的，按供方逾期交货处理。供方拒绝更换货物的，需方可单方面解除合同。</w:t>
      </w:r>
    </w:p>
    <w:p w14:paraId="652148C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highlight w:val="none"/>
        </w:rPr>
      </w:pPr>
      <w:r>
        <w:rPr>
          <w:rFonts w:hint="eastAsia" w:ascii="宋体" w:hAnsi="宋体"/>
          <w:bCs/>
          <w:color w:val="auto"/>
          <w:highlight w:val="none"/>
        </w:rPr>
        <w:t>3</w:t>
      </w:r>
      <w:r>
        <w:rPr>
          <w:rFonts w:hint="eastAsia" w:ascii="宋体" w:hAnsi="宋体"/>
          <w:bCs/>
          <w:color w:val="auto"/>
          <w:highlight w:val="none"/>
          <w:lang w:val="en-US" w:eastAsia="zh-CN"/>
        </w:rPr>
        <w:t>.</w:t>
      </w:r>
      <w:r>
        <w:rPr>
          <w:rFonts w:hint="eastAsia" w:ascii="宋体" w:hAnsi="宋体"/>
          <w:bCs/>
          <w:color w:val="auto"/>
          <w:highlight w:val="none"/>
        </w:rPr>
        <w:t>供方原因不能按期指导安装验收完毕的，供方向需方每日偿付货款总额5‰的违约金。</w:t>
      </w:r>
    </w:p>
    <w:p w14:paraId="339D504E">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bCs/>
          <w:color w:val="auto"/>
          <w:highlight w:val="none"/>
        </w:rPr>
      </w:pPr>
      <w:r>
        <w:rPr>
          <w:rFonts w:hint="eastAsia" w:ascii="宋体" w:hAnsi="宋体"/>
          <w:bCs/>
          <w:color w:val="auto"/>
          <w:highlight w:val="none"/>
        </w:rPr>
        <w:t>4</w:t>
      </w:r>
      <w:r>
        <w:rPr>
          <w:rFonts w:hint="eastAsia" w:ascii="宋体" w:hAnsi="宋体"/>
          <w:bCs/>
          <w:color w:val="auto"/>
          <w:highlight w:val="none"/>
          <w:lang w:val="en-US" w:eastAsia="zh-CN"/>
        </w:rPr>
        <w:t>.</w:t>
      </w:r>
      <w:r>
        <w:rPr>
          <w:rFonts w:hint="eastAsia" w:ascii="宋体" w:hAnsi="宋体"/>
          <w:bCs/>
          <w:color w:val="auto"/>
          <w:highlight w:val="none"/>
        </w:rPr>
        <w:t>未按规定提供完整的技术资料处以货款总额千分之三的违约金。</w:t>
      </w:r>
    </w:p>
    <w:p w14:paraId="2F14E3DC">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color w:val="auto"/>
          <w:highlight w:val="none"/>
        </w:rPr>
      </w:pPr>
      <w:r>
        <w:rPr>
          <w:rFonts w:hint="eastAsia" w:ascii="宋体" w:hAnsi="宋体"/>
          <w:bCs/>
          <w:color w:val="auto"/>
          <w:highlight w:val="none"/>
        </w:rPr>
        <w:t>5</w:t>
      </w:r>
      <w:r>
        <w:rPr>
          <w:rFonts w:hint="eastAsia" w:ascii="宋体" w:hAnsi="宋体"/>
          <w:bCs/>
          <w:color w:val="auto"/>
          <w:highlight w:val="none"/>
          <w:lang w:val="en-US" w:eastAsia="zh-CN"/>
        </w:rPr>
        <w:t>.</w:t>
      </w:r>
      <w:r>
        <w:rPr>
          <w:rFonts w:hint="eastAsia" w:ascii="宋体" w:hAnsi="宋体"/>
          <w:bCs/>
          <w:color w:val="auto"/>
          <w:highlight w:val="none"/>
        </w:rPr>
        <w:t>未按招标文件约定派驻相关专业的技术人员进行安装调试指导的，每发现一次处以</w:t>
      </w:r>
      <w:r>
        <w:rPr>
          <w:rFonts w:hint="eastAsia" w:ascii="宋体" w:hAnsi="宋体"/>
          <w:bCs/>
          <w:color w:val="auto"/>
          <w:highlight w:val="none"/>
          <w:lang w:val="en-US" w:eastAsia="zh-CN"/>
        </w:rPr>
        <w:t>货</w:t>
      </w:r>
      <w:r>
        <w:rPr>
          <w:rFonts w:hint="eastAsia" w:ascii="宋体" w:hAnsi="宋体"/>
          <w:bCs/>
          <w:color w:val="auto"/>
          <w:highlight w:val="none"/>
        </w:rPr>
        <w:t>款总额千分之三的违约金。</w:t>
      </w:r>
    </w:p>
    <w:p w14:paraId="40BA9E3B">
      <w:pPr>
        <w:spacing w:line="360" w:lineRule="auto"/>
        <w:ind w:firstLine="422" w:firstLineChars="200"/>
        <w:outlineLvl w:val="1"/>
        <w:rPr>
          <w:rFonts w:hint="eastAsia" w:ascii="宋体" w:hAnsi="宋体" w:eastAsia="宋体" w:cs="宋体"/>
          <w:b/>
          <w:bCs/>
          <w:color w:val="auto"/>
          <w:highlight w:val="none"/>
        </w:rPr>
      </w:pPr>
      <w:bookmarkStart w:id="73" w:name="_Toc23827"/>
      <w:bookmarkStart w:id="74" w:name="_Toc8585"/>
      <w:r>
        <w:rPr>
          <w:rFonts w:hint="eastAsia" w:ascii="宋体" w:hAnsi="宋体" w:eastAsia="宋体" w:cs="宋体"/>
          <w:b/>
          <w:bCs/>
          <w:color w:val="auto"/>
          <w:highlight w:val="none"/>
          <w:lang w:val="en-US" w:eastAsia="zh-CN"/>
        </w:rPr>
        <w:t>八</w:t>
      </w:r>
      <w:r>
        <w:rPr>
          <w:rFonts w:hint="eastAsia" w:ascii="宋体" w:hAnsi="宋体" w:eastAsia="宋体" w:cs="宋体"/>
          <w:b/>
          <w:bCs/>
          <w:color w:val="auto"/>
          <w:highlight w:val="none"/>
        </w:rPr>
        <w:t>、其他</w:t>
      </w:r>
      <w:bookmarkEnd w:id="67"/>
      <w:bookmarkEnd w:id="68"/>
      <w:bookmarkEnd w:id="69"/>
      <w:bookmarkEnd w:id="70"/>
      <w:bookmarkEnd w:id="71"/>
      <w:bookmarkEnd w:id="72"/>
      <w:bookmarkEnd w:id="73"/>
      <w:bookmarkEnd w:id="74"/>
    </w:p>
    <w:p w14:paraId="310D990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1、投标人所投项目的技术参数不得低于本项目的技术要求。</w:t>
      </w:r>
    </w:p>
    <w:p w14:paraId="72EB5D5E">
      <w:pPr>
        <w:spacing w:line="360" w:lineRule="auto"/>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rPr>
        <w:t>2、中标单位在签订合同时，若坚持提出附加条件和不合理要求，中标资格将被取消，该中标人对由此产生的一切后果负责。</w:t>
      </w:r>
    </w:p>
    <w:p w14:paraId="67728B20">
      <w:pPr>
        <w:spacing w:line="360" w:lineRule="auto"/>
        <w:ind w:firstLine="420" w:firstLineChars="200"/>
        <w:rPr>
          <w:rFonts w:hint="eastAsia" w:ascii="宋体" w:hAnsi="宋体" w:cs="宋体"/>
          <w:color w:val="auto"/>
          <w:szCs w:val="21"/>
          <w:highlight w:val="none"/>
        </w:rPr>
      </w:pP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中标之后，如发现投标文件与招标文件内容如有不一致，应以有利于采购人原则为准</w:t>
      </w:r>
      <w:r>
        <w:rPr>
          <w:rFonts w:hint="eastAsia" w:ascii="宋体" w:hAnsi="宋体" w:eastAsia="宋体" w:cs="宋体"/>
          <w:color w:val="auto"/>
          <w:szCs w:val="21"/>
          <w:highlight w:val="none"/>
        </w:rPr>
        <w:t>。</w:t>
      </w:r>
    </w:p>
    <w:bookmarkEnd w:id="36"/>
    <w:p w14:paraId="2311019D">
      <w:pPr>
        <w:pStyle w:val="2"/>
        <w:jc w:val="center"/>
        <w:rPr>
          <w:rFonts w:hint="eastAsia"/>
          <w:color w:val="auto"/>
          <w:sz w:val="36"/>
          <w:highlight w:val="none"/>
        </w:rPr>
      </w:pPr>
      <w:r>
        <w:rPr>
          <w:rFonts w:hint="eastAsia"/>
          <w:color w:val="auto"/>
          <w:highlight w:val="none"/>
        </w:rPr>
        <w:br w:type="page"/>
      </w:r>
      <w:bookmarkStart w:id="75" w:name="_Toc30047"/>
      <w:r>
        <w:rPr>
          <w:rFonts w:hint="eastAsia"/>
          <w:color w:val="auto"/>
          <w:sz w:val="36"/>
          <w:highlight w:val="none"/>
        </w:rPr>
        <w:t>第四章  开标、评标和定标须知</w:t>
      </w:r>
      <w:bookmarkEnd w:id="37"/>
      <w:bookmarkEnd w:id="75"/>
    </w:p>
    <w:p w14:paraId="7674ACFA">
      <w:pPr>
        <w:pStyle w:val="3"/>
        <w:spacing w:before="0" w:after="0" w:line="360" w:lineRule="auto"/>
        <w:rPr>
          <w:rFonts w:hint="eastAsia" w:ascii="宋体" w:hAnsi="宋体" w:eastAsia="宋体" w:cs="宋体"/>
          <w:color w:val="auto"/>
          <w:sz w:val="21"/>
          <w:szCs w:val="21"/>
          <w:highlight w:val="none"/>
        </w:rPr>
      </w:pPr>
      <w:bookmarkStart w:id="76" w:name="_Toc22509"/>
      <w:bookmarkStart w:id="77" w:name="_Toc6191"/>
      <w:bookmarkStart w:id="78" w:name="_Toc406413937"/>
      <w:bookmarkStart w:id="79" w:name="_Toc226973002"/>
      <w:bookmarkStart w:id="80" w:name="_Toc274303253"/>
      <w:bookmarkStart w:id="81" w:name="_Toc362250705"/>
      <w:bookmarkStart w:id="82" w:name="_Toc20175"/>
      <w:bookmarkStart w:id="83" w:name="_Toc261519847"/>
      <w:bookmarkStart w:id="84" w:name="_Toc27000"/>
      <w:bookmarkStart w:id="85" w:name="_Toc263090375"/>
      <w:r>
        <w:rPr>
          <w:rFonts w:hint="eastAsia" w:ascii="宋体" w:hAnsi="宋体" w:eastAsia="宋体" w:cs="宋体"/>
          <w:color w:val="auto"/>
          <w:sz w:val="21"/>
          <w:szCs w:val="21"/>
          <w:highlight w:val="none"/>
        </w:rPr>
        <w:t>一、开标</w:t>
      </w:r>
      <w:bookmarkEnd w:id="76"/>
      <w:bookmarkEnd w:id="77"/>
      <w:bookmarkEnd w:id="78"/>
    </w:p>
    <w:p w14:paraId="0868809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1.本项目实行电子开评标，投标人无需前往开评标现场，应在规定时间内在“义乌市阳光招标采购平台”上上传电子投标文件和准时在线参加开标。</w:t>
      </w:r>
    </w:p>
    <w:p w14:paraId="7735F9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2.电子开评标及评审程序</w:t>
      </w:r>
    </w:p>
    <w:p w14:paraId="7550918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2.1采购代理机构开启解密后的30分钟内，由各投标人自行对电子投标文件进行解密请各投标人务必在规定时间内完成电子投标文件的解密工作，在电子开评标期间，投标人（授权代表）需确保在各自所在的区域具备上网的技术条件并保持网络及联系方式畅通； </w:t>
      </w:r>
    </w:p>
    <w:p w14:paraId="02B64DA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2.2评标委员会对投标人的资格和商务技术响应文件进行评审；</w:t>
      </w:r>
    </w:p>
    <w:p w14:paraId="0A1D1D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2.3评标委员会对报价响应文件进行评审；</w:t>
      </w:r>
    </w:p>
    <w:p w14:paraId="113A75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2.4在系统上公布评审结果。</w:t>
      </w:r>
    </w:p>
    <w:p w14:paraId="027073E7">
      <w:pPr>
        <w:spacing w:line="360" w:lineRule="auto"/>
        <w:ind w:firstLine="422" w:firstLineChars="200"/>
        <w:rPr>
          <w:rFonts w:hint="eastAsia" w:ascii="宋体" w:hAnsi="宋体" w:cs="宋体"/>
          <w:b/>
          <w:color w:val="auto"/>
          <w:szCs w:val="21"/>
          <w:highlight w:val="none"/>
          <w:u w:val="single"/>
        </w:rPr>
      </w:pPr>
      <w:r>
        <w:rPr>
          <w:rFonts w:hint="eastAsia" w:ascii="宋体" w:hAnsi="宋体" w:cs="宋体"/>
          <w:b/>
          <w:color w:val="auto"/>
          <w:szCs w:val="21"/>
          <w:highlight w:val="none"/>
          <w:u w:val="single"/>
        </w:rPr>
        <w:t>特别说明：“义乌市阳光招标采购平台”如对开评标程序有调整的，按调整后的程序操作。</w:t>
      </w:r>
    </w:p>
    <w:p w14:paraId="13321614">
      <w:pPr>
        <w:pStyle w:val="3"/>
        <w:spacing w:before="120" w:after="120" w:line="360" w:lineRule="auto"/>
        <w:rPr>
          <w:rFonts w:hint="eastAsia" w:ascii="宋体" w:hAnsi="宋体" w:eastAsia="宋体" w:cs="宋体"/>
          <w:color w:val="auto"/>
          <w:sz w:val="21"/>
          <w:szCs w:val="21"/>
          <w:highlight w:val="none"/>
        </w:rPr>
      </w:pPr>
      <w:bookmarkStart w:id="86" w:name="_Toc6806"/>
      <w:r>
        <w:rPr>
          <w:rFonts w:hint="eastAsia" w:ascii="宋体" w:hAnsi="宋体" w:eastAsia="宋体" w:cs="宋体"/>
          <w:color w:val="auto"/>
          <w:sz w:val="21"/>
          <w:szCs w:val="21"/>
          <w:highlight w:val="none"/>
        </w:rPr>
        <w:t>二、评标</w:t>
      </w:r>
      <w:bookmarkEnd w:id="79"/>
      <w:bookmarkEnd w:id="80"/>
      <w:bookmarkEnd w:id="81"/>
      <w:bookmarkEnd w:id="82"/>
      <w:bookmarkEnd w:id="83"/>
      <w:bookmarkEnd w:id="84"/>
      <w:bookmarkEnd w:id="85"/>
      <w:bookmarkEnd w:id="86"/>
    </w:p>
    <w:p w14:paraId="4A1CCE0A">
      <w:pPr>
        <w:spacing w:line="360" w:lineRule="auto"/>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3.评标小组</w:t>
      </w:r>
    </w:p>
    <w:p w14:paraId="2FF6C73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 评标小组将根据招标采购项目的特点确定。其成员由专家和采购人代表5人及以上单数组成。评标小组对投标文件进行审查、质疑、评估和比较。</w:t>
      </w:r>
    </w:p>
    <w:p w14:paraId="270C4D54">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3.2 评审过程中招标代理人员通过“义乌市阳光招标采购平台”在线询标方式进行询标的，投标单位应在30分钟内予以回应，否则后果自负。</w:t>
      </w:r>
    </w:p>
    <w:p w14:paraId="05663723">
      <w:pPr>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4.评标原则</w:t>
      </w:r>
    </w:p>
    <w:p w14:paraId="076B13B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4.1评标小组将遵循公开、公平、公正的原则，严格遵守评标工作纪律。</w:t>
      </w:r>
    </w:p>
    <w:p w14:paraId="4FF712C0">
      <w:pPr>
        <w:spacing w:line="360" w:lineRule="auto"/>
        <w:ind w:firstLine="420" w:firstLineChars="200"/>
        <w:rPr>
          <w:rFonts w:hint="eastAsia" w:ascii="宋体" w:hAnsi="宋体" w:cs="宋体"/>
          <w:bCs/>
          <w:color w:val="auto"/>
          <w:szCs w:val="21"/>
          <w:highlight w:val="none"/>
        </w:rPr>
      </w:pPr>
      <w:r>
        <w:rPr>
          <w:rFonts w:hint="eastAsia" w:ascii="宋体" w:hAnsi="宋体" w:cs="宋体"/>
          <w:color w:val="auto"/>
          <w:szCs w:val="21"/>
          <w:highlight w:val="none"/>
        </w:rPr>
        <w:t>4.2</w:t>
      </w:r>
      <w:r>
        <w:rPr>
          <w:rFonts w:hint="eastAsia" w:ascii="宋体" w:hAnsi="宋体" w:cs="宋体"/>
          <w:bCs/>
          <w:color w:val="auto"/>
          <w:szCs w:val="21"/>
          <w:highlight w:val="none"/>
        </w:rPr>
        <w:t>先评资格及商务技术响应文件，再评报价响应文件。</w:t>
      </w:r>
    </w:p>
    <w:p w14:paraId="28A244E6">
      <w:pPr>
        <w:spacing w:line="360" w:lineRule="auto"/>
        <w:ind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4.3</w:t>
      </w:r>
      <w:r>
        <w:rPr>
          <w:rFonts w:hint="eastAsia" w:ascii="宋体" w:hAnsi="宋体" w:cs="宋体"/>
          <w:color w:val="auto"/>
          <w:szCs w:val="21"/>
          <w:highlight w:val="none"/>
        </w:rPr>
        <w:t>客观公正对待所有投标人，对所有投标评审均采用相同的程序和标准。评标的依据为招标文件和投标文件。</w:t>
      </w:r>
    </w:p>
    <w:p w14:paraId="205D078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4.4有利于提高投资效益，节约建设资金。</w:t>
      </w:r>
    </w:p>
    <w:p w14:paraId="4DB8A2F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4.5在评标过程中，出现异常或特殊情况时，由评标小组集体讨论决定。</w:t>
      </w:r>
    </w:p>
    <w:p w14:paraId="6611663C">
      <w:pPr>
        <w:pStyle w:val="18"/>
        <w:spacing w:line="360" w:lineRule="auto"/>
        <w:ind w:firstLine="422" w:firstLineChars="200"/>
        <w:rPr>
          <w:rFonts w:hint="eastAsia" w:hAnsi="宋体" w:cs="宋体"/>
          <w:color w:val="auto"/>
          <w:highlight w:val="none"/>
        </w:rPr>
      </w:pPr>
      <w:r>
        <w:rPr>
          <w:rFonts w:hint="eastAsia" w:hAnsi="宋体" w:cs="宋体"/>
          <w:b/>
          <w:color w:val="auto"/>
          <w:highlight w:val="none"/>
        </w:rPr>
        <w:t>5.评标过程的保密</w:t>
      </w:r>
    </w:p>
    <w:p w14:paraId="220A82F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5.1开标后，直至授予中标人合同为止，凡属于对投标文件的审查、澄清、评价和比较等有关的资料以及中标候选人的推荐情况等与评标有关的任何情况均严格保密。</w:t>
      </w:r>
    </w:p>
    <w:p w14:paraId="5BBB66D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5.2在投标文件的评审和比较、中标候选人推荐以及授予合同的过程中，投标人向采购人和评标小组施加影响的任何行为，都将会导致其投标被拒绝。</w:t>
      </w:r>
    </w:p>
    <w:p w14:paraId="556B0E8C">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5.3中标人确认后，采购人不对未中标人就评标过程以及未能中标原因作出任何解释。未中标人不得向评标小组人员或其他有关人员索问评标过程的全部情况。</w:t>
      </w:r>
    </w:p>
    <w:p w14:paraId="3FF1B404">
      <w:pPr>
        <w:spacing w:line="360" w:lineRule="auto"/>
        <w:ind w:firstLine="420" w:firstLineChars="200"/>
        <w:rPr>
          <w:rFonts w:hint="eastAsia" w:ascii="宋体" w:hAnsi="宋体" w:cs="宋体"/>
          <w:color w:val="auto"/>
          <w:spacing w:val="-4"/>
          <w:szCs w:val="21"/>
          <w:highlight w:val="none"/>
        </w:rPr>
      </w:pPr>
      <w:r>
        <w:rPr>
          <w:rFonts w:hint="eastAsia" w:ascii="宋体" w:hAnsi="宋体" w:cs="宋体"/>
          <w:color w:val="auto"/>
          <w:szCs w:val="21"/>
          <w:highlight w:val="none"/>
        </w:rPr>
        <w:t>5.4</w:t>
      </w:r>
      <w:r>
        <w:rPr>
          <w:rFonts w:hint="eastAsia" w:ascii="宋体" w:hAnsi="宋体" w:cs="宋体"/>
          <w:color w:val="auto"/>
          <w:spacing w:val="-4"/>
          <w:szCs w:val="21"/>
          <w:highlight w:val="none"/>
        </w:rPr>
        <w:t>为保证定标的公正性，在评标过程中，评标成员不得与投标人私人交换意见。在招标工作结束后，凡与评标情况有接触的任何人不得也不应将评标情况扩散出评标成员之外。</w:t>
      </w:r>
    </w:p>
    <w:p w14:paraId="747D936A">
      <w:pPr>
        <w:spacing w:line="360" w:lineRule="auto"/>
        <w:ind w:firstLine="406" w:firstLineChars="200"/>
        <w:rPr>
          <w:rFonts w:hint="eastAsia" w:ascii="宋体" w:hAnsi="宋体" w:cs="宋体"/>
          <w:color w:val="auto"/>
          <w:spacing w:val="-4"/>
          <w:szCs w:val="21"/>
          <w:highlight w:val="none"/>
        </w:rPr>
      </w:pPr>
      <w:r>
        <w:rPr>
          <w:rFonts w:hint="eastAsia" w:ascii="宋体" w:hAnsi="宋体" w:cs="宋体"/>
          <w:b/>
          <w:bCs/>
          <w:color w:val="auto"/>
          <w:spacing w:val="-4"/>
          <w:szCs w:val="21"/>
          <w:highlight w:val="none"/>
        </w:rPr>
        <w:t>6.投标文件中内容不一致的处理</w:t>
      </w:r>
    </w:p>
    <w:p w14:paraId="4FA77133">
      <w:pPr>
        <w:spacing w:line="360" w:lineRule="auto"/>
        <w:ind w:firstLine="404" w:firstLineChars="200"/>
        <w:rPr>
          <w:rFonts w:hint="eastAsia" w:ascii="宋体" w:hAnsi="宋体" w:cs="宋体"/>
          <w:color w:val="auto"/>
          <w:spacing w:val="-4"/>
          <w:szCs w:val="21"/>
          <w:highlight w:val="none"/>
        </w:rPr>
      </w:pPr>
      <w:r>
        <w:rPr>
          <w:rFonts w:hint="eastAsia" w:ascii="宋体" w:hAnsi="宋体" w:cs="宋体"/>
          <w:color w:val="auto"/>
          <w:spacing w:val="-4"/>
          <w:szCs w:val="21"/>
          <w:highlight w:val="none"/>
        </w:rPr>
        <w:t>同一份投标文件中，彩页、官网下载资料、检测报告等证明性资料中描写的技术性能指标与投标文件中其它地方内容描述不一致的，应以上述证明性资料为准；规范偏离表等偏离表的内容与投标文件中其它地方内容有描述不一致的，应以投标文件中其它地方内容的描述为准。</w:t>
      </w:r>
    </w:p>
    <w:p w14:paraId="17C82C0F">
      <w:pPr>
        <w:spacing w:line="360" w:lineRule="auto"/>
        <w:ind w:firstLine="406" w:firstLineChars="200"/>
        <w:rPr>
          <w:rFonts w:hint="eastAsia" w:ascii="宋体" w:hAnsi="宋体" w:cs="宋体"/>
          <w:b/>
          <w:color w:val="auto"/>
          <w:szCs w:val="21"/>
          <w:highlight w:val="none"/>
        </w:rPr>
      </w:pPr>
      <w:r>
        <w:rPr>
          <w:rFonts w:hint="eastAsia" w:ascii="宋体" w:hAnsi="宋体" w:cs="宋体"/>
          <w:b/>
          <w:bCs/>
          <w:color w:val="auto"/>
          <w:spacing w:val="-4"/>
          <w:szCs w:val="21"/>
          <w:highlight w:val="none"/>
        </w:rPr>
        <w:t>7.</w:t>
      </w:r>
      <w:r>
        <w:rPr>
          <w:rFonts w:hint="eastAsia" w:ascii="宋体" w:hAnsi="宋体" w:cs="宋体"/>
          <w:b/>
          <w:bCs/>
          <w:color w:val="auto"/>
          <w:szCs w:val="21"/>
          <w:highlight w:val="none"/>
        </w:rPr>
        <w:t>供应商的认定</w:t>
      </w:r>
    </w:p>
    <w:p w14:paraId="61E92448">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不同供应商之间所投核心产品为同一品牌产品的，应当按一个投标人认定，评审时取其中有效技术标的综合评分最高的一家为有效投标人，评审得分相同的，采取随机抽取方式确定，其他同品牌投标人投标无效。</w:t>
      </w:r>
    </w:p>
    <w:p w14:paraId="4A8DB359">
      <w:pPr>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单位负责人为同一人或者存在直接控股、管理关系的不同供应商，不得参加同一合同项下的政府采购活动。</w:t>
      </w:r>
    </w:p>
    <w:p w14:paraId="1702FE54">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8.投标文件的澄清</w:t>
      </w:r>
    </w:p>
    <w:p w14:paraId="03D2EB6F">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8.1为有助于投标文件的审查、评价和比较，评标委员会应当在“义乌市阳光招标采购平台”在线询标或采用其他有效形式要求投标人对同一份投标文件含义不明确、同类问题表述不一致或者有明显文字和计算错误的内容（招标文件其它地方有另有规定处理方法的除外）作必要的澄清或说明，投标人应采用在线回复或其他有效形式在询标规定时间内进行澄清或说明（需盖电子签章或实体公章），但不得超出投标文件的范围或改变投标文件的实质性内容。根据本须知第10条规定，凡属于评标小组在评标中发现的计算错误并进行核实的修改不在此列。</w:t>
      </w:r>
    </w:p>
    <w:p w14:paraId="3DD79015">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8.2如果投标人代表拒绝按评标委员会要求在“义乌市阳光招标采购平台”作出在线回复且无其他有效回复方式的，评标委员会可以对其作出无效标处理。</w:t>
      </w:r>
    </w:p>
    <w:p w14:paraId="2106B23E">
      <w:pPr>
        <w:tabs>
          <w:tab w:val="left" w:pos="362"/>
        </w:tabs>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9.投标文件的初步评审</w:t>
      </w:r>
    </w:p>
    <w:p w14:paraId="4C4D6873">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9.1开标后，采购人应将投标文件提交评标小组进行初步评审，初步评审内容为：</w:t>
      </w:r>
    </w:p>
    <w:p w14:paraId="12EABE88">
      <w:pPr>
        <w:tabs>
          <w:tab w:val="left" w:pos="362"/>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9.1.1是否出现第五章规定的内容；</w:t>
      </w:r>
    </w:p>
    <w:p w14:paraId="52C371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违反上述情形之一者，技术文件或商务文件初步评审不予通过，不列入商务标详细评审。</w:t>
      </w:r>
    </w:p>
    <w:p w14:paraId="78397BD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9.2评标时，评标小组将首先评定每份投标文件是否在实质上响应了招标文件的要求。所谓实质上响应，是指投标文件应与招标文件的所有实质性条款、条件和要求相符，无显著差异或保留，或者对合同中约定的采购人的权利和投标人的义务方面造成重大的限制，纠正这些显著差异或保留将会对其他实质上响应招标文件要求的投标文件的投标人的竞争地位产生不公正的影响。</w:t>
      </w:r>
    </w:p>
    <w:p w14:paraId="058B4FF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9.3如果投标文件实质上不响应招标文件的各项要求，评标小组将予以拒绝，并且不允许投标人通过修改或撤销其不符合要求的差异或保留，使之成为具有响应性的投标。</w:t>
      </w:r>
    </w:p>
    <w:p w14:paraId="410264F4">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10.投标文件计算错误的修正</w:t>
      </w:r>
    </w:p>
    <w:p w14:paraId="3F61E0DE">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10.1评标小组将对确定为实质上响应招标文件要求的投标文件进行校核，看其是否有计算或表达上的错误，修正错误的原则如下：</w:t>
      </w:r>
    </w:p>
    <w:p w14:paraId="34E961A0">
      <w:pPr>
        <w:adjustRightInd w:val="0"/>
        <w:snapToGrid w:val="0"/>
        <w:spacing w:line="360" w:lineRule="auto"/>
        <w:ind w:firstLine="840" w:firstLineChars="400"/>
        <w:rPr>
          <w:rFonts w:hint="eastAsia" w:ascii="宋体" w:hAnsi="宋体" w:cs="宋体"/>
          <w:bCs/>
          <w:color w:val="auto"/>
          <w:szCs w:val="21"/>
          <w:highlight w:val="none"/>
        </w:rPr>
      </w:pPr>
      <w:r>
        <w:rPr>
          <w:rFonts w:hint="eastAsia" w:ascii="宋体" w:hAnsi="宋体" w:cs="宋体"/>
          <w:bCs/>
          <w:color w:val="auto"/>
          <w:szCs w:val="21"/>
          <w:highlight w:val="none"/>
        </w:rPr>
        <w:t>10.1.1客户端填写的报价与以pdf格式上传文件中的报价不一致的，应以pdf格式上传文件中的报价为准；</w:t>
      </w:r>
    </w:p>
    <w:p w14:paraId="6C8339CC">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10.1.2投标文件中《开标一览表》（报价表）与投标文件中相应内容不一致的，以《开标一览表》（报价表）为准；</w:t>
      </w:r>
    </w:p>
    <w:p w14:paraId="1C41808B">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10.1.3大写金额和小写金额不一致的，以大写金额为准；</w:t>
      </w:r>
    </w:p>
    <w:p w14:paraId="6EF29D5A">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10.1.4单价金额小数点或者百分比有明显错位的，以开标一览表的总价为准，并修改单价；</w:t>
      </w:r>
    </w:p>
    <w:p w14:paraId="03C678E8">
      <w:pPr>
        <w:adjustRightInd w:val="0"/>
        <w:snapToGrid w:val="0"/>
        <w:spacing w:line="360" w:lineRule="auto"/>
        <w:ind w:firstLine="831" w:firstLineChars="396"/>
        <w:rPr>
          <w:rFonts w:hint="eastAsia" w:ascii="宋体" w:hAnsi="宋体" w:cs="宋体"/>
          <w:bCs/>
          <w:color w:val="auto"/>
          <w:szCs w:val="21"/>
          <w:highlight w:val="none"/>
        </w:rPr>
      </w:pPr>
      <w:r>
        <w:rPr>
          <w:rFonts w:hint="eastAsia" w:ascii="宋体" w:hAnsi="宋体" w:cs="宋体"/>
          <w:bCs/>
          <w:color w:val="auto"/>
          <w:szCs w:val="21"/>
          <w:highlight w:val="none"/>
        </w:rPr>
        <w:t>10.1.5总价金额与按单价汇总金额不一致的，以单价金额计算结果为准；</w:t>
      </w:r>
    </w:p>
    <w:p w14:paraId="51BBCCD0">
      <w:pPr>
        <w:adjustRightInd w:val="0"/>
        <w:snapToGrid w:val="0"/>
        <w:spacing w:line="360" w:lineRule="auto"/>
        <w:ind w:firstLine="411" w:firstLineChars="196"/>
        <w:rPr>
          <w:rFonts w:hint="eastAsia" w:ascii="宋体" w:hAnsi="宋体" w:cs="宋体"/>
          <w:bCs/>
          <w:color w:val="auto"/>
          <w:szCs w:val="21"/>
          <w:highlight w:val="none"/>
        </w:rPr>
      </w:pPr>
      <w:r>
        <w:rPr>
          <w:rFonts w:hint="eastAsia" w:ascii="宋体" w:hAnsi="宋体" w:cs="宋体"/>
          <w:bCs/>
          <w:color w:val="auto"/>
          <w:szCs w:val="21"/>
          <w:highlight w:val="none"/>
        </w:rPr>
        <w:t>同时出现两种以上不一致的，按照前款规定的顺序修正。修正后的报价按照财政部令第87号第五十一条第二款的规定通过“义乌市阳光招标采购平台”经投标人确认后产生约束力，投标人不确认的，其投标无效。</w:t>
      </w:r>
    </w:p>
    <w:p w14:paraId="3318210A">
      <w:pPr>
        <w:adjustRightInd w:val="0"/>
        <w:snapToGrid w:val="0"/>
        <w:spacing w:line="360" w:lineRule="auto"/>
        <w:ind w:firstLine="413" w:firstLineChars="196"/>
        <w:rPr>
          <w:rFonts w:hint="eastAsia" w:ascii="宋体" w:hAnsi="宋体" w:cs="宋体"/>
          <w:b/>
          <w:color w:val="auto"/>
          <w:szCs w:val="21"/>
          <w:highlight w:val="none"/>
        </w:rPr>
      </w:pPr>
      <w:r>
        <w:rPr>
          <w:rFonts w:hint="eastAsia" w:ascii="宋体" w:hAnsi="宋体" w:cs="宋体"/>
          <w:b/>
          <w:color w:val="auto"/>
          <w:szCs w:val="21"/>
          <w:highlight w:val="none"/>
        </w:rPr>
        <w:t>11.投标文件的评审、比较和否决</w:t>
      </w:r>
    </w:p>
    <w:p w14:paraId="051CDCC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11.1评标小组将按照本须知规定，仅对在实质上响应招标文件要求的投标文件进行评估和比较。</w:t>
      </w:r>
    </w:p>
    <w:p w14:paraId="14892AA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11.2在评审过程后，评标小组可以以书面形式要求投标人就投标文件中含义不明确的内容进行书面说明并提供相关材料。</w:t>
      </w:r>
    </w:p>
    <w:p w14:paraId="781EF6E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11.3评标小组在作出任何一项无效标决定前，都应当严格遵循以下程序：</w:t>
      </w:r>
    </w:p>
    <w:p w14:paraId="2E0713AC">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11.3.1要求当事投标人做相应的答辩；</w:t>
      </w:r>
    </w:p>
    <w:p w14:paraId="31897707">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11.3.2将答辩记录送当事投标人法定代表人或其授权委托的全权代表签字确认；</w:t>
      </w:r>
    </w:p>
    <w:p w14:paraId="39E26511">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11.3.3在充分讨论的基础上集体表决；</w:t>
      </w:r>
    </w:p>
    <w:p w14:paraId="5E6971D7">
      <w:pPr>
        <w:adjustRightInd w:val="0"/>
        <w:snapToGrid w:val="0"/>
        <w:spacing w:line="360" w:lineRule="auto"/>
        <w:ind w:firstLine="835" w:firstLineChars="396"/>
        <w:rPr>
          <w:rFonts w:hint="eastAsia" w:ascii="宋体" w:hAnsi="宋体" w:cs="宋体"/>
          <w:b/>
          <w:color w:val="auto"/>
          <w:szCs w:val="21"/>
          <w:highlight w:val="none"/>
        </w:rPr>
      </w:pPr>
      <w:r>
        <w:rPr>
          <w:rFonts w:hint="eastAsia" w:ascii="宋体" w:hAnsi="宋体" w:cs="宋体"/>
          <w:b/>
          <w:color w:val="auto"/>
          <w:szCs w:val="21"/>
          <w:highlight w:val="none"/>
        </w:rPr>
        <w:t>11.3.4若表决通过无效标决定，告知当事投标人，并在评标报告中详细载明废标理由、依据、答辩的情况和集体表决的情况（同意废标和不同意废标的评标小组成员均应当注明）。</w:t>
      </w:r>
    </w:p>
    <w:p w14:paraId="283E7D68">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11.4评标小组经评审，认为所有投标都不符合招标文件要求时，可以否决所有投标。所有投标被否决后，采购人应当依法重新招标。</w:t>
      </w:r>
    </w:p>
    <w:p w14:paraId="394D297C">
      <w:pPr>
        <w:pStyle w:val="18"/>
        <w:spacing w:line="360" w:lineRule="auto"/>
        <w:ind w:firstLine="406" w:firstLineChars="200"/>
        <w:rPr>
          <w:rFonts w:hint="eastAsia" w:hAnsi="宋体" w:cs="宋体"/>
          <w:b/>
          <w:color w:val="auto"/>
          <w:spacing w:val="-4"/>
          <w:highlight w:val="none"/>
        </w:rPr>
      </w:pPr>
      <w:r>
        <w:rPr>
          <w:rFonts w:hint="eastAsia" w:hAnsi="宋体" w:cs="宋体"/>
          <w:b/>
          <w:color w:val="auto"/>
          <w:spacing w:val="-4"/>
          <w:highlight w:val="none"/>
        </w:rPr>
        <w:t>12.评标办法</w:t>
      </w:r>
    </w:p>
    <w:p w14:paraId="5D514E25">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12.1采用综合评分法（具体评标办法见后）。</w:t>
      </w:r>
    </w:p>
    <w:p w14:paraId="26B46010">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13.决标</w:t>
      </w:r>
    </w:p>
    <w:p w14:paraId="5FF9094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采购人也可以授权评标小组直接确定中标人。</w:t>
      </w:r>
      <w:bookmarkStart w:id="87" w:name="_Toc274303254"/>
      <w:bookmarkStart w:id="88" w:name="_Toc10636"/>
      <w:bookmarkStart w:id="89" w:name="_Toc4305"/>
      <w:bookmarkStart w:id="90" w:name="_Toc261519848"/>
      <w:bookmarkStart w:id="91" w:name="_Toc263090376"/>
      <w:bookmarkStart w:id="92" w:name="_Toc226973003"/>
      <w:bookmarkStart w:id="93" w:name="_Toc362250706"/>
    </w:p>
    <w:p w14:paraId="43B47CEC">
      <w:pPr>
        <w:pStyle w:val="3"/>
        <w:spacing w:before="120" w:after="120" w:line="360" w:lineRule="auto"/>
        <w:rPr>
          <w:rFonts w:hint="eastAsia" w:ascii="宋体" w:hAnsi="宋体" w:eastAsia="宋体" w:cs="宋体"/>
          <w:color w:val="auto"/>
          <w:sz w:val="21"/>
          <w:szCs w:val="21"/>
          <w:highlight w:val="none"/>
        </w:rPr>
      </w:pPr>
      <w:bookmarkStart w:id="94" w:name="_Toc2314"/>
      <w:r>
        <w:rPr>
          <w:rFonts w:hint="eastAsia" w:ascii="宋体" w:hAnsi="宋体" w:eastAsia="宋体" w:cs="宋体"/>
          <w:color w:val="auto"/>
          <w:sz w:val="21"/>
          <w:szCs w:val="21"/>
          <w:highlight w:val="none"/>
        </w:rPr>
        <w:t>三、定标</w:t>
      </w:r>
      <w:bookmarkEnd w:id="87"/>
      <w:bookmarkEnd w:id="88"/>
      <w:bookmarkEnd w:id="89"/>
      <w:bookmarkEnd w:id="90"/>
      <w:bookmarkEnd w:id="91"/>
      <w:bookmarkEnd w:id="92"/>
      <w:bookmarkEnd w:id="93"/>
      <w:bookmarkEnd w:id="94"/>
    </w:p>
    <w:p w14:paraId="7155087C">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14.中标通知</w:t>
      </w:r>
    </w:p>
    <w:p w14:paraId="4B2F2D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14.1评标结束后，评标结果公告1个工作日，发布评标结果公告的媒体为：</w:t>
      </w:r>
      <w:r>
        <w:rPr>
          <w:rFonts w:hint="eastAsia" w:ascii="宋体" w:hAnsi="宋体" w:cs="宋体"/>
          <w:color w:val="auto"/>
          <w:highlight w:val="none"/>
        </w:rPr>
        <w:t>义乌市阳光招标采购平台(www.ywygzc.com)、义乌产权交易网（www.ywcq.com）</w:t>
      </w:r>
      <w:r>
        <w:rPr>
          <w:rFonts w:hint="eastAsia" w:ascii="宋体" w:hAnsi="宋体" w:cs="宋体"/>
          <w:color w:val="auto"/>
          <w:szCs w:val="21"/>
          <w:highlight w:val="none"/>
        </w:rPr>
        <w:t>。</w:t>
      </w:r>
    </w:p>
    <w:p w14:paraId="4B70FFDD">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14.2公告期内，如无有效异议，公告期结束，由采购人和义乌产权交易所有限公司共同签发《中标通知书》，中标人凭有效证明到义乌产权交易所有限公司领取《中标通知书》。《中标通知书》一经发出即发生法律效力。</w:t>
      </w:r>
    </w:p>
    <w:p w14:paraId="303A41A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14.3开标过程中，投标人对开标有异议的，应当在“义乌市阳光招标采购平台”上及时提出，评标委员应对异常情况制作相关记录。投标人若对开评标结果提出质疑的，质疑材料可加盖单位公章后以扫描件形式通过邮箱（ywcqztb001@ywcq.com）送达。</w:t>
      </w:r>
    </w:p>
    <w:p w14:paraId="60490B2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14.4质疑投诉的相关规定</w:t>
      </w:r>
    </w:p>
    <w:p w14:paraId="7FDAFDC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供应商认为采购文件、采购过程和中标、成交结果使自己的权益受到损害的，可以在知道或者应知其权益受到损害之日起7个工作日内，以书面形式向采购人提出质疑。</w:t>
      </w:r>
    </w:p>
    <w:p w14:paraId="2121BC4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前款所称的供应商应知其权益受到损害之日，是指：</w:t>
      </w:r>
    </w:p>
    <w:p w14:paraId="53B0E74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1.对可以质疑的采购文件提出质疑的，为收到采购文件之日或者采购文件公告期限届满之日；</w:t>
      </w:r>
    </w:p>
    <w:p w14:paraId="7F79408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2.对采购过程提出质疑的，为各采购程序环节结束之日；</w:t>
      </w:r>
    </w:p>
    <w:p w14:paraId="6838943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3.对中标或者成交结果提出质疑的，为中标或者成交结果公告期限届满之日。</w:t>
      </w:r>
    </w:p>
    <w:p w14:paraId="62EB64A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应当按规定在收到质疑后3个工作日内作出书面答复，但答复的内容不得涉及商业秘密。质疑供应商对采购人、采购代理机构的答复不满意或者采购人、采购代理机构未在规定的时间内作出答复的，可以在答复期满后10个工作日内向国企采购监督管理部门投诉。质疑投诉递交的资料需为书面材料。质疑投诉书面材料需法人代表人或授权代表签字并加盖公章。</w:t>
      </w:r>
    </w:p>
    <w:p w14:paraId="5CE1F76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投诉属于以下情况之一的，将不予受理：1.质疑投诉人不是所投诉项目的参与者，或者与质疑投诉项目无任何利害关系。2.质疑投诉事项不具体，且未提供有效线索，难以查证。3.未提供书面质疑或者质疑未加盖公章的；投诉人为法人或者其他组织，其投诉书未经法定代表人或者主要负责人签字并加盖公章。4.已超过招标文件规定质疑投诉提出期限的事项。5.投诉事项已作出处理决定，并且投诉人没有提出新的证据。6.质疑投诉的事项已经进入行政复议或者行政诉讼程序的；投诉事项应先提出质疑而没有提出质疑的。7.不符合《政府采购质疑和投诉办法》（财政部令第94号）、《义乌市国企采购管理办法（试行）》（义政办发〔2018〕97号）和《关于印发〈浙江省政府采购供应商质疑处理办法〉的通知》（浙财采监〔2012〕18号）等有关规定的质疑投诉。</w:t>
      </w:r>
    </w:p>
    <w:p w14:paraId="48B1C642">
      <w:pPr>
        <w:pStyle w:val="18"/>
        <w:tabs>
          <w:tab w:val="left" w:pos="900"/>
        </w:tabs>
        <w:spacing w:line="360" w:lineRule="auto"/>
        <w:ind w:firstLine="422" w:firstLineChars="200"/>
        <w:rPr>
          <w:rFonts w:hint="eastAsia" w:hAnsi="宋体" w:cs="宋体"/>
          <w:b/>
          <w:color w:val="auto"/>
          <w:highlight w:val="none"/>
        </w:rPr>
      </w:pPr>
      <w:r>
        <w:rPr>
          <w:rFonts w:hint="eastAsia" w:hAnsi="宋体" w:cs="宋体"/>
          <w:b/>
          <w:color w:val="auto"/>
          <w:highlight w:val="none"/>
        </w:rPr>
        <w:t>15.合同签订</w:t>
      </w:r>
    </w:p>
    <w:p w14:paraId="272F2CE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15.1中标人自接到《中标通知书》后应在三十天内与采购人签订合同。</w:t>
      </w:r>
    </w:p>
    <w:p w14:paraId="33B8D93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15.2招标文件、中标人的投标文件、评标过程中投标人在询标时作出的承诺及其澄清文件等，均为签订合同的依据。</w:t>
      </w:r>
    </w:p>
    <w:p w14:paraId="5FFED7D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15.3采购人与中标（成交）供应商应当在中标（成交）通知书发出之日起30日内，按照采购文件确定的合同文本以及采购标的、规格型号、采购金额、采购数量、技术和服务要求等事项签订采购合同。</w:t>
      </w:r>
    </w:p>
    <w:p w14:paraId="3603B1B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不得向中标（成交）供应商提出超出采购文件以外的任何要求作为签订合同的条件，不得与中标（成交）供应商订立背离采购文件确定的合同文本以及采购标的、规格型号、采购金额、采购数量、技术和服务要求等实质性内容的协议。</w:t>
      </w:r>
    </w:p>
    <w:p w14:paraId="20E3019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15.4除不可抗力等因素外，中标（成交）通知书发出后，采购人改变中标（成交）结果，或者中标（成交）供应商拒绝签订采购合同的，应当承担相应的法律责任。</w:t>
      </w:r>
    </w:p>
    <w:p w14:paraId="447515F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15.5中标（成交）供应商拒绝签订采购合同的，采购人应重新开展采购活动。拒绝签订采购合同的中标（成交）供应商不得参加对该项目重新开展的采购活动。</w:t>
      </w:r>
    </w:p>
    <w:p w14:paraId="2709D97B">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15.6中标人不遵守招标文件和投标文件的要约及承诺而擅自修改报价，或在接到《中标通知书》后借故拖延、拒签合同而造成超过规定时间的，取消该投标人的中标资格。在此情况下，采购人和招标代理机构重新招标，对受影响的投标人不承担任何责任。</w:t>
      </w:r>
    </w:p>
    <w:p w14:paraId="18DF866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15.7采购人变更数量的权利</w:t>
      </w:r>
    </w:p>
    <w:p w14:paraId="085129A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采购人在授予合同时有权对“技术要求及采购货物一览表”中规定的货物数量和服务予以增加或减少，但必须符合法律法规的相关规定。</w:t>
      </w:r>
    </w:p>
    <w:p w14:paraId="488002CA">
      <w:pPr>
        <w:spacing w:line="420" w:lineRule="exact"/>
        <w:ind w:firstLine="480" w:firstLineChars="200"/>
        <w:rPr>
          <w:color w:val="auto"/>
          <w:sz w:val="24"/>
          <w:highlight w:val="none"/>
        </w:rPr>
      </w:pPr>
    </w:p>
    <w:p w14:paraId="359A5D4C">
      <w:pPr>
        <w:spacing w:line="420" w:lineRule="exact"/>
        <w:ind w:firstLine="480" w:firstLineChars="200"/>
        <w:rPr>
          <w:rFonts w:hint="eastAsia"/>
          <w:color w:val="auto"/>
          <w:sz w:val="24"/>
          <w:highlight w:val="none"/>
        </w:rPr>
      </w:pPr>
    </w:p>
    <w:p w14:paraId="4AC8B255">
      <w:pPr>
        <w:spacing w:line="420" w:lineRule="exact"/>
        <w:ind w:firstLine="480" w:firstLineChars="200"/>
        <w:rPr>
          <w:rFonts w:hint="eastAsia"/>
          <w:color w:val="auto"/>
          <w:sz w:val="24"/>
          <w:highlight w:val="none"/>
        </w:rPr>
      </w:pPr>
    </w:p>
    <w:p w14:paraId="556725BC">
      <w:pPr>
        <w:spacing w:line="420" w:lineRule="exact"/>
        <w:ind w:firstLine="480" w:firstLineChars="200"/>
        <w:rPr>
          <w:rFonts w:hint="eastAsia"/>
          <w:color w:val="auto"/>
          <w:sz w:val="24"/>
          <w:highlight w:val="none"/>
        </w:rPr>
      </w:pPr>
    </w:p>
    <w:p w14:paraId="26C2DC54">
      <w:pPr>
        <w:pStyle w:val="2"/>
        <w:tabs>
          <w:tab w:val="left" w:pos="360"/>
        </w:tabs>
        <w:spacing w:line="240" w:lineRule="exact"/>
        <w:jc w:val="center"/>
        <w:rPr>
          <w:rFonts w:hint="eastAsia"/>
          <w:color w:val="auto"/>
          <w:sz w:val="36"/>
          <w:highlight w:val="none"/>
        </w:rPr>
      </w:pPr>
      <w:bookmarkStart w:id="95" w:name="_Toc23756"/>
      <w:r>
        <w:rPr>
          <w:rFonts w:hint="eastAsia"/>
          <w:color w:val="auto"/>
          <w:sz w:val="36"/>
          <w:highlight w:val="none"/>
        </w:rPr>
        <w:br w:type="page"/>
      </w:r>
      <w:bookmarkStart w:id="96" w:name="_Toc31267"/>
      <w:r>
        <w:rPr>
          <w:rFonts w:hint="eastAsia"/>
          <w:color w:val="auto"/>
          <w:sz w:val="36"/>
          <w:highlight w:val="none"/>
        </w:rPr>
        <w:t>第五章  投标文件的有效性</w:t>
      </w:r>
      <w:bookmarkEnd w:id="95"/>
      <w:bookmarkEnd w:id="96"/>
    </w:p>
    <w:p w14:paraId="1F1DF63B">
      <w:pPr>
        <w:pStyle w:val="18"/>
        <w:spacing w:line="440" w:lineRule="exact"/>
        <w:ind w:firstLine="413" w:firstLineChars="196"/>
        <w:rPr>
          <w:rFonts w:ascii="新宋体" w:hAnsi="新宋体" w:eastAsia="新宋体"/>
          <w:b/>
          <w:color w:val="auto"/>
          <w:highlight w:val="none"/>
        </w:rPr>
      </w:pPr>
      <w:r>
        <w:rPr>
          <w:rFonts w:hint="eastAsia" w:ascii="新宋体" w:hAnsi="新宋体" w:eastAsia="新宋体"/>
          <w:b/>
          <w:color w:val="auto"/>
          <w:highlight w:val="none"/>
        </w:rPr>
        <w:t>1.</w:t>
      </w:r>
      <w:r>
        <w:rPr>
          <w:rFonts w:ascii="新宋体" w:hAnsi="新宋体" w:eastAsia="新宋体"/>
          <w:b/>
          <w:color w:val="auto"/>
          <w:highlight w:val="none"/>
        </w:rPr>
        <w:t>有下列情形之一的，</w:t>
      </w:r>
      <w:r>
        <w:rPr>
          <w:rFonts w:hint="eastAsia" w:ascii="新宋体" w:hAnsi="新宋体" w:eastAsia="新宋体"/>
          <w:b/>
          <w:color w:val="auto"/>
          <w:highlight w:val="none"/>
        </w:rPr>
        <w:t>招标方</w:t>
      </w:r>
      <w:r>
        <w:rPr>
          <w:rFonts w:ascii="新宋体" w:hAnsi="新宋体" w:eastAsia="新宋体"/>
          <w:b/>
          <w:color w:val="auto"/>
          <w:highlight w:val="none"/>
        </w:rPr>
        <w:t>将不予受理投标文件：</w:t>
      </w:r>
    </w:p>
    <w:p w14:paraId="7A560DC6">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1.1逾期上传电子档投标文件至“义乌市阳光招标采购平台”的；</w:t>
      </w:r>
    </w:p>
    <w:p w14:paraId="080678E6">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1.2电子投标文件在规定时间内解密未成功的；</w:t>
      </w:r>
    </w:p>
    <w:p w14:paraId="1CBAE25D">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2.投标文件在资格或商务技术评审中出现下列情形之一的，由评标委员会审核后按无效投标文件处理：</w:t>
      </w:r>
    </w:p>
    <w:p w14:paraId="516BEF84">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2.1资格响应文件或商务技术响应文件中包含商务报价的。</w:t>
      </w:r>
    </w:p>
    <w:p w14:paraId="28E2B8C2">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2.2招标文件关于投标文件组成内容商务技术响应文件要求中打“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”的内容，投标人的投标文件内容未提供完整的，或关键字迹模糊、无法辨认的，或未按其规定的格式及要求填写、签字、盖章，或提供的投标文件内容不符合招标文件中有关打★号的条款的规定。</w:t>
      </w:r>
    </w:p>
    <w:p w14:paraId="588BB551">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2.3投标人的投标资格不符合招标文件的资格要求规定。</w:t>
      </w:r>
    </w:p>
    <w:p w14:paraId="54EACF9B">
      <w:pPr>
        <w:tabs>
          <w:tab w:val="left" w:pos="5325"/>
        </w:tabs>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2.4投标人递交两份或多份内容不同的投标文件，且未声明哪一个有效，但按招标文件规定提交备选方案的除外。</w:t>
      </w:r>
    </w:p>
    <w:p w14:paraId="60AB2CDD">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2.5投标人所投产品的数量不符合招标文件规定的。</w:t>
      </w:r>
    </w:p>
    <w:p w14:paraId="1B6F66BC">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2.6投标人借用或冒用他人名义或证件，或投标人涂改证件，或投标人伪造或编造投标资料的。</w:t>
      </w:r>
    </w:p>
    <w:p w14:paraId="4EF240EE">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2.7投标中不同投标人的投标文件出现雷同或相似（包括部分雷同或相似），对所有雷同或相似投标人按无效标处理，招标方将保留进一步追究责任的权利；或投标人串标的。</w:t>
      </w:r>
    </w:p>
    <w:p w14:paraId="57FA2E9F">
      <w:pPr>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2.8其</w:t>
      </w:r>
      <w:r>
        <w:rPr>
          <w:rFonts w:hint="eastAsia" w:ascii="新宋体" w:hAnsi="新宋体" w:eastAsia="新宋体"/>
          <w:color w:val="auto"/>
          <w:szCs w:val="21"/>
          <w:highlight w:val="none"/>
        </w:rPr>
        <w:t>它对本招标文件中打★号的条款未完全响应的。</w:t>
      </w:r>
    </w:p>
    <w:p w14:paraId="6309A07B">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kern w:val="0"/>
          <w:szCs w:val="21"/>
          <w:highlight w:val="none"/>
        </w:rPr>
        <w:t>2.9经评标委员会认定，</w:t>
      </w:r>
      <w:r>
        <w:rPr>
          <w:rFonts w:hint="eastAsia" w:ascii="新宋体" w:hAnsi="新宋体" w:eastAsia="新宋体"/>
          <w:color w:val="auto"/>
          <w:szCs w:val="21"/>
          <w:highlight w:val="none"/>
        </w:rPr>
        <w:t>投标文件附有采购人不能接受的条件。</w:t>
      </w:r>
    </w:p>
    <w:p w14:paraId="69F76135">
      <w:pPr>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2.10评标委员会要求投标人对其投标文件作出</w:t>
      </w:r>
      <w:r>
        <w:rPr>
          <w:rFonts w:hint="eastAsia" w:ascii="新宋体" w:hAnsi="新宋体" w:eastAsia="新宋体"/>
          <w:b/>
          <w:color w:val="auto"/>
          <w:szCs w:val="21"/>
          <w:highlight w:val="none"/>
        </w:rPr>
        <w:t>澄清或说明，</w:t>
      </w:r>
      <w:r>
        <w:rPr>
          <w:rFonts w:hint="eastAsia" w:ascii="新宋体" w:hAnsi="新宋体" w:eastAsia="新宋体"/>
          <w:color w:val="auto"/>
          <w:szCs w:val="21"/>
          <w:highlight w:val="none"/>
        </w:rPr>
        <w:t>如果投标人代表拒绝</w:t>
      </w:r>
      <w:r>
        <w:rPr>
          <w:rFonts w:hint="eastAsia" w:ascii="新宋体" w:hAnsi="新宋体" w:eastAsia="新宋体"/>
          <w:b/>
          <w:color w:val="auto"/>
          <w:szCs w:val="21"/>
          <w:highlight w:val="none"/>
        </w:rPr>
        <w:t>澄清或说明的，或者拒绝签字的</w:t>
      </w:r>
      <w:r>
        <w:rPr>
          <w:rFonts w:hint="eastAsia" w:ascii="新宋体" w:hAnsi="新宋体" w:eastAsia="新宋体"/>
          <w:color w:val="auto"/>
          <w:szCs w:val="21"/>
          <w:highlight w:val="none"/>
        </w:rPr>
        <w:t>。</w:t>
      </w:r>
    </w:p>
    <w:p w14:paraId="7C15F881">
      <w:pPr>
        <w:adjustRightInd w:val="0"/>
        <w:snapToGrid w:val="0"/>
        <w:spacing w:line="440" w:lineRule="exact"/>
        <w:ind w:firstLine="422" w:firstLineChars="200"/>
        <w:rPr>
          <w:rFonts w:hint="eastAsia" w:ascii="新宋体" w:hAnsi="新宋体" w:eastAsia="新宋体"/>
          <w:b/>
          <w:color w:val="auto"/>
          <w:szCs w:val="21"/>
          <w:highlight w:val="none"/>
        </w:rPr>
      </w:pPr>
      <w:r>
        <w:rPr>
          <w:rFonts w:hint="eastAsia" w:ascii="新宋体" w:hAnsi="新宋体" w:eastAsia="新宋体"/>
          <w:b/>
          <w:color w:val="auto"/>
          <w:szCs w:val="21"/>
          <w:highlight w:val="none"/>
          <w:shd w:val="pct10" w:color="auto" w:fill="FFFFFF"/>
        </w:rPr>
        <w:t>3.投标文件在投标报价评审出现下列情形之一的，由评标委员会审核后按无效投标文件处理：</w:t>
      </w:r>
    </w:p>
    <w:p w14:paraId="3D71F851">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szCs w:val="21"/>
          <w:highlight w:val="none"/>
        </w:rPr>
        <w:t>3.1招标文件关于投标文件组成内容报价响应文件要求中打“</w:t>
      </w:r>
      <w:r>
        <w:rPr>
          <w:rFonts w:ascii="新宋体" w:hAnsi="新宋体" w:eastAsia="新宋体"/>
          <w:color w:val="auto"/>
          <w:szCs w:val="21"/>
          <w:highlight w:val="none"/>
        </w:rPr>
        <w:t>★</w:t>
      </w:r>
      <w:r>
        <w:rPr>
          <w:rFonts w:hint="eastAsia" w:ascii="新宋体" w:hAnsi="新宋体" w:eastAsia="新宋体"/>
          <w:color w:val="auto"/>
          <w:szCs w:val="21"/>
          <w:highlight w:val="none"/>
        </w:rPr>
        <w:t>”的</w:t>
      </w:r>
      <w:r>
        <w:rPr>
          <w:rFonts w:hint="eastAsia" w:ascii="新宋体" w:hAnsi="新宋体" w:eastAsia="新宋体"/>
          <w:color w:val="auto"/>
          <w:kern w:val="0"/>
          <w:szCs w:val="21"/>
          <w:highlight w:val="none"/>
        </w:rPr>
        <w:t>内容，投标人的投标文件内容未提供完整，或关键字迹模糊、无法辨认的，或未按其规定的格式及要求填写、签字、盖章，或提供的投标文件内容不符合招标文件中有关打★号的条款的规定。</w:t>
      </w:r>
    </w:p>
    <w:p w14:paraId="5EA627E4">
      <w:pPr>
        <w:adjustRightInd w:val="0"/>
        <w:snapToGrid w:val="0"/>
        <w:spacing w:line="440" w:lineRule="exact"/>
        <w:ind w:firstLine="420" w:firstLineChars="200"/>
        <w:rPr>
          <w:rFonts w:hint="eastAsia" w:ascii="新宋体" w:hAnsi="新宋体" w:eastAsia="新宋体"/>
          <w:color w:val="auto"/>
          <w:kern w:val="0"/>
          <w:szCs w:val="21"/>
          <w:highlight w:val="none"/>
        </w:rPr>
      </w:pPr>
      <w:r>
        <w:rPr>
          <w:rFonts w:hint="eastAsia" w:ascii="新宋体" w:hAnsi="新宋体" w:eastAsia="新宋体"/>
          <w:color w:val="auto"/>
          <w:kern w:val="0"/>
          <w:szCs w:val="21"/>
          <w:highlight w:val="none"/>
        </w:rPr>
        <w:t>3.2投标总价高于预算价（或最高限价）。</w:t>
      </w:r>
    </w:p>
    <w:p w14:paraId="699456E8">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3.3投标人的所投产品的数量不符合招标文件规定的。</w:t>
      </w:r>
    </w:p>
    <w:p w14:paraId="77003FF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3.4投标人的投标报价未明确的，或者对同一采购项目提供两个或两个以上报价且未声明哪一个有效的。</w:t>
      </w:r>
    </w:p>
    <w:p w14:paraId="78922E1A">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3.5经评标委员会审议认为投标文件附有采购人不能接受的条件。评标委员会认为投标人的报价明显低于其他通过符合性审查投标人的报价，有可能影响服务质量或者不能诚信履约的，要求其在评标系统合理的时间内提供书面说明，必要时提交相关证明材料；投标人不能证明其报价合理性的。</w:t>
      </w:r>
    </w:p>
    <w:p w14:paraId="673DBFE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3.6其它对本招标文件中打★号的条款未完全响应的。</w:t>
      </w:r>
    </w:p>
    <w:p w14:paraId="2A3D539E">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3.7当投标人由于报价计算错误，投标人拒绝接受按招标文件的规定进行的修正处理（或投标人代表拒绝签名确认）。</w:t>
      </w:r>
    </w:p>
    <w:p w14:paraId="4AAFC95A">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4.在资格审查及评审过程中，符合中华人民共和国财政部令第87号《政府采购货物和服务招标投标管理办法》第三十七条情形之一的，视为投标人串通投标，其投标无效，并移送采购监管部门：</w:t>
      </w:r>
    </w:p>
    <w:p w14:paraId="69DC3DFC">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（1）不同投标人的投标文件由同一单位或者个人编制；</w:t>
      </w:r>
    </w:p>
    <w:p w14:paraId="7BB49575">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（2）不同投标人委托同一单位或者个人办理投标事宜；</w:t>
      </w:r>
    </w:p>
    <w:p w14:paraId="0EE960A9">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（3）不同投标人的投标文件载明的项目管理成员或者联系人员为同一人；</w:t>
      </w:r>
    </w:p>
    <w:p w14:paraId="34387CAB">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（4）不同投标人的投标文件异常一致或者投标报价呈规律性差异；</w:t>
      </w:r>
    </w:p>
    <w:p w14:paraId="3D0FC093">
      <w:pPr>
        <w:adjustRightInd w:val="0"/>
        <w:snapToGrid w:val="0"/>
        <w:spacing w:line="440" w:lineRule="exact"/>
        <w:ind w:firstLine="420" w:firstLineChars="200"/>
        <w:rPr>
          <w:rFonts w:hint="eastAsia" w:ascii="新宋体" w:hAnsi="新宋体" w:eastAsia="新宋体"/>
          <w:color w:val="auto"/>
          <w:szCs w:val="21"/>
          <w:highlight w:val="none"/>
        </w:rPr>
      </w:pPr>
      <w:r>
        <w:rPr>
          <w:rFonts w:hint="eastAsia" w:ascii="新宋体" w:hAnsi="新宋体" w:eastAsia="新宋体"/>
          <w:color w:val="auto"/>
          <w:szCs w:val="21"/>
          <w:highlight w:val="none"/>
        </w:rPr>
        <w:t>（5）不同投标人的投标文件相互混装。</w:t>
      </w:r>
    </w:p>
    <w:p w14:paraId="0B70FD1A">
      <w:pPr>
        <w:spacing w:line="440" w:lineRule="exact"/>
        <w:ind w:firstLine="422" w:firstLineChars="200"/>
        <w:rPr>
          <w:rFonts w:hint="eastAsia" w:ascii="宋体" w:hAnsi="宋体" w:cs="宋体"/>
          <w:b/>
          <w:color w:val="auto"/>
          <w:kern w:val="0"/>
          <w:szCs w:val="21"/>
          <w:highlight w:val="none"/>
        </w:rPr>
      </w:pPr>
      <w:r>
        <w:rPr>
          <w:rFonts w:hint="eastAsia" w:ascii="宋体" w:hAnsi="宋体" w:cs="宋体"/>
          <w:b/>
          <w:color w:val="auto"/>
          <w:kern w:val="0"/>
          <w:szCs w:val="21"/>
          <w:highlight w:val="none"/>
        </w:rPr>
        <w:t>5.同一个标段（包）的供应商存在下列情形之一的，其投标（响应）文件无效：</w:t>
      </w:r>
    </w:p>
    <w:p w14:paraId="704D54F7">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5.1不同供应商制作电子投标（响应）文件的计算机网卡 mAc 地址相同的。</w:t>
      </w:r>
    </w:p>
    <w:p w14:paraId="294B687B">
      <w:pPr>
        <w:adjustRightInd w:val="0"/>
        <w:snapToGrid w:val="0"/>
        <w:spacing w:line="44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5.2不同供应商制作电子投标（响应）文件的计算机硬盘序列号相同的。</w:t>
      </w:r>
    </w:p>
    <w:p w14:paraId="66DD51C2">
      <w:pPr>
        <w:adjustRightInd w:val="0"/>
        <w:snapToGrid w:val="0"/>
        <w:spacing w:line="440" w:lineRule="exact"/>
        <w:ind w:firstLine="420" w:firstLineChars="200"/>
        <w:rPr>
          <w:rFonts w:hint="eastAsia" w:ascii="新宋体" w:hAnsi="新宋体" w:eastAsia="新宋体"/>
          <w:b/>
          <w:bCs/>
          <w:color w:val="auto"/>
          <w:szCs w:val="21"/>
          <w:highlight w:val="none"/>
        </w:rPr>
      </w:pPr>
      <w:r>
        <w:rPr>
          <w:rFonts w:hint="eastAsia" w:ascii="宋体" w:hAnsi="宋体" w:cs="宋体"/>
          <w:color w:val="auto"/>
          <w:szCs w:val="21"/>
          <w:highlight w:val="none"/>
        </w:rPr>
        <w:t>5.3不同供应商的投标（响应）文件的内容存在两处以上细节错误一致，且无法合理解释的。</w:t>
      </w:r>
    </w:p>
    <w:p w14:paraId="5B09EAC9">
      <w:pPr>
        <w:adjustRightInd w:val="0"/>
        <w:snapToGrid w:val="0"/>
        <w:spacing w:line="440" w:lineRule="exact"/>
        <w:ind w:firstLine="422" w:firstLineChars="200"/>
        <w:rPr>
          <w:rFonts w:hint="eastAsia" w:ascii="新宋体" w:hAnsi="新宋体" w:eastAsia="新宋体"/>
          <w:b/>
          <w:bCs/>
          <w:color w:val="auto"/>
          <w:szCs w:val="21"/>
          <w:highlight w:val="none"/>
        </w:rPr>
      </w:pPr>
      <w:r>
        <w:rPr>
          <w:rFonts w:hint="eastAsia" w:ascii="新宋体" w:hAnsi="新宋体" w:eastAsia="新宋体"/>
          <w:b/>
          <w:bCs/>
          <w:color w:val="auto"/>
          <w:szCs w:val="21"/>
          <w:highlight w:val="none"/>
        </w:rPr>
        <w:t>6.其他违反法律法规的情况。</w:t>
      </w:r>
    </w:p>
    <w:p w14:paraId="20003BCC">
      <w:pPr>
        <w:spacing w:line="460" w:lineRule="exact"/>
        <w:ind w:firstLine="422" w:firstLineChars="200"/>
        <w:rPr>
          <w:rFonts w:ascii="宋体" w:cs="宋体"/>
          <w:b/>
          <w:bCs/>
          <w:color w:val="auto"/>
          <w:kern w:val="0"/>
          <w:szCs w:val="21"/>
          <w:highlight w:val="none"/>
        </w:rPr>
      </w:pPr>
      <w:r>
        <w:rPr>
          <w:rFonts w:hint="eastAsia" w:ascii="新宋体" w:hAnsi="新宋体" w:eastAsia="新宋体"/>
          <w:b/>
          <w:color w:val="auto"/>
          <w:kern w:val="0"/>
          <w:szCs w:val="21"/>
          <w:highlight w:val="none"/>
        </w:rPr>
        <w:t>7.评标过程中，非上述所罗列的情况，不得以无效标处理</w:t>
      </w:r>
      <w:r>
        <w:rPr>
          <w:rFonts w:hint="eastAsia" w:ascii="宋体" w:hAnsi="宋体" w:cs="宋体"/>
          <w:b/>
          <w:bCs/>
          <w:color w:val="auto"/>
          <w:kern w:val="0"/>
          <w:szCs w:val="21"/>
          <w:highlight w:val="none"/>
        </w:rPr>
        <w:t>。</w:t>
      </w:r>
    </w:p>
    <w:p w14:paraId="2111084D">
      <w:pPr>
        <w:spacing w:line="420" w:lineRule="exact"/>
        <w:ind w:firstLine="422" w:firstLineChars="200"/>
        <w:rPr>
          <w:rFonts w:hint="eastAsia"/>
          <w:b/>
          <w:bCs/>
          <w:color w:val="auto"/>
          <w:szCs w:val="21"/>
          <w:highlight w:val="none"/>
        </w:rPr>
      </w:pPr>
    </w:p>
    <w:p w14:paraId="663C7118">
      <w:pPr>
        <w:spacing w:line="420" w:lineRule="exact"/>
        <w:ind w:firstLine="422" w:firstLineChars="200"/>
        <w:rPr>
          <w:rFonts w:hint="eastAsia"/>
          <w:b/>
          <w:bCs/>
          <w:color w:val="auto"/>
          <w:szCs w:val="21"/>
          <w:highlight w:val="none"/>
        </w:rPr>
      </w:pPr>
    </w:p>
    <w:p w14:paraId="2BD9B31E">
      <w:pPr>
        <w:spacing w:line="420" w:lineRule="exact"/>
        <w:ind w:firstLine="480" w:firstLineChars="200"/>
        <w:rPr>
          <w:rFonts w:hint="eastAsia"/>
          <w:color w:val="auto"/>
          <w:sz w:val="24"/>
          <w:highlight w:val="none"/>
        </w:rPr>
      </w:pPr>
    </w:p>
    <w:p w14:paraId="6470819C">
      <w:pPr>
        <w:spacing w:line="420" w:lineRule="exact"/>
        <w:rPr>
          <w:rFonts w:hint="eastAsia"/>
          <w:color w:val="auto"/>
          <w:sz w:val="24"/>
          <w:highlight w:val="none"/>
        </w:rPr>
      </w:pPr>
    </w:p>
    <w:p w14:paraId="3C12B002">
      <w:pPr>
        <w:spacing w:line="420" w:lineRule="exact"/>
        <w:rPr>
          <w:rFonts w:hint="eastAsia"/>
          <w:color w:val="auto"/>
          <w:sz w:val="24"/>
          <w:highlight w:val="none"/>
        </w:rPr>
      </w:pPr>
    </w:p>
    <w:p w14:paraId="05FBFE5F">
      <w:pPr>
        <w:spacing w:line="420" w:lineRule="exact"/>
        <w:rPr>
          <w:rFonts w:hint="eastAsia"/>
          <w:color w:val="auto"/>
          <w:sz w:val="24"/>
          <w:highlight w:val="none"/>
        </w:rPr>
      </w:pPr>
    </w:p>
    <w:p w14:paraId="1DB86256">
      <w:pPr>
        <w:spacing w:line="420" w:lineRule="exact"/>
        <w:rPr>
          <w:rFonts w:hint="eastAsia"/>
          <w:color w:val="auto"/>
          <w:sz w:val="24"/>
          <w:highlight w:val="none"/>
        </w:rPr>
      </w:pPr>
    </w:p>
    <w:p w14:paraId="0B64F297">
      <w:pPr>
        <w:spacing w:line="420" w:lineRule="exact"/>
        <w:rPr>
          <w:rFonts w:hint="eastAsia"/>
          <w:color w:val="auto"/>
          <w:sz w:val="24"/>
          <w:highlight w:val="none"/>
        </w:rPr>
      </w:pPr>
    </w:p>
    <w:p w14:paraId="1BBB5252">
      <w:pPr>
        <w:spacing w:line="420" w:lineRule="exact"/>
        <w:rPr>
          <w:rFonts w:hint="eastAsia"/>
          <w:color w:val="auto"/>
          <w:sz w:val="24"/>
          <w:highlight w:val="none"/>
        </w:rPr>
      </w:pPr>
    </w:p>
    <w:p w14:paraId="5C962514">
      <w:pPr>
        <w:spacing w:line="420" w:lineRule="exact"/>
        <w:rPr>
          <w:rFonts w:hint="eastAsia"/>
          <w:color w:val="auto"/>
          <w:sz w:val="24"/>
          <w:highlight w:val="none"/>
        </w:rPr>
      </w:pPr>
    </w:p>
    <w:p w14:paraId="7FD3EBAC">
      <w:pPr>
        <w:spacing w:line="420" w:lineRule="exact"/>
        <w:rPr>
          <w:rFonts w:hint="eastAsia"/>
          <w:color w:val="auto"/>
          <w:sz w:val="24"/>
          <w:highlight w:val="none"/>
        </w:rPr>
      </w:pPr>
    </w:p>
    <w:p w14:paraId="47756890">
      <w:pPr>
        <w:pStyle w:val="67"/>
        <w:ind w:firstLine="420" w:firstLineChars="200"/>
        <w:rPr>
          <w:rFonts w:hint="eastAsia" w:ascii="宋体" w:hAnsi="宋体" w:cs="宋体"/>
          <w:color w:val="auto"/>
          <w:sz w:val="21"/>
          <w:szCs w:val="21"/>
          <w:highlight w:val="none"/>
        </w:rPr>
      </w:pPr>
      <w:bookmarkStart w:id="97" w:name="_Toc274303257"/>
    </w:p>
    <w:p w14:paraId="0A3C0DAC">
      <w:pPr>
        <w:pStyle w:val="2"/>
        <w:tabs>
          <w:tab w:val="left" w:pos="360"/>
        </w:tabs>
        <w:spacing w:line="240" w:lineRule="exact"/>
        <w:jc w:val="center"/>
        <w:rPr>
          <w:rFonts w:hint="eastAsia" w:ascii="宋体" w:hAnsi="宋体" w:cs="宋体"/>
          <w:color w:val="auto"/>
          <w:sz w:val="21"/>
          <w:szCs w:val="21"/>
          <w:highlight w:val="none"/>
        </w:rPr>
      </w:pPr>
      <w:bookmarkStart w:id="98" w:name="_Toc145992551"/>
      <w:bookmarkStart w:id="99" w:name="_Toc19786"/>
      <w:bookmarkStart w:id="100" w:name="_Toc226973004"/>
      <w:bookmarkStart w:id="101" w:name="_Toc274303255"/>
      <w:bookmarkStart w:id="102" w:name="_Toc362250708"/>
      <w:r>
        <w:rPr>
          <w:rFonts w:hint="eastAsia"/>
          <w:color w:val="auto"/>
          <w:sz w:val="36"/>
          <w:highlight w:val="none"/>
        </w:rPr>
        <w:br w:type="page"/>
      </w:r>
      <w:bookmarkStart w:id="103" w:name="_Toc22822"/>
      <w:r>
        <w:rPr>
          <w:rFonts w:hint="eastAsia"/>
          <w:color w:val="auto"/>
          <w:sz w:val="36"/>
          <w:highlight w:val="none"/>
        </w:rPr>
        <w:t>第六章</w:t>
      </w:r>
      <w:r>
        <w:rPr>
          <w:color w:val="auto"/>
          <w:sz w:val="36"/>
          <w:highlight w:val="none"/>
        </w:rPr>
        <w:t xml:space="preserve">  </w:t>
      </w:r>
      <w:r>
        <w:rPr>
          <w:rFonts w:hint="eastAsia"/>
          <w:color w:val="auto"/>
          <w:sz w:val="36"/>
          <w:highlight w:val="none"/>
        </w:rPr>
        <w:t>评标办法</w:t>
      </w:r>
      <w:bookmarkEnd w:id="98"/>
      <w:bookmarkEnd w:id="99"/>
      <w:bookmarkEnd w:id="100"/>
      <w:bookmarkEnd w:id="101"/>
      <w:bookmarkEnd w:id="102"/>
      <w:bookmarkEnd w:id="103"/>
    </w:p>
    <w:p w14:paraId="0F6C8F0C">
      <w:pPr>
        <w:pStyle w:val="67"/>
        <w:ind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根据《中华人民共和国招标投标法》的有关规定，遵循“公开、公平、公正”的原则，结合本次招标的特点，特制定本评标细则。</w:t>
      </w:r>
    </w:p>
    <w:p w14:paraId="2B488A68">
      <w:pPr>
        <w:pStyle w:val="3"/>
        <w:spacing w:before="120" w:after="120" w:line="360" w:lineRule="auto"/>
        <w:rPr>
          <w:rFonts w:hint="eastAsia" w:ascii="宋体" w:hAnsi="宋体" w:eastAsia="宋体" w:cs="宋体"/>
          <w:color w:val="auto"/>
          <w:sz w:val="21"/>
          <w:szCs w:val="21"/>
          <w:highlight w:val="none"/>
        </w:rPr>
      </w:pPr>
      <w:bookmarkStart w:id="104" w:name="_Toc11813"/>
      <w:r>
        <w:rPr>
          <w:rFonts w:hint="eastAsia" w:ascii="宋体" w:hAnsi="宋体" w:eastAsia="宋体" w:cs="宋体"/>
          <w:color w:val="auto"/>
          <w:sz w:val="21"/>
          <w:szCs w:val="21"/>
          <w:highlight w:val="none"/>
        </w:rPr>
        <w:t>一、评审程序</w:t>
      </w:r>
      <w:bookmarkEnd w:id="104"/>
    </w:p>
    <w:p w14:paraId="045C7113">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 xml:space="preserve">评标委员会以开标、评标、询标情况为基本依据，按照招标文件的规定，对各投标人的投标文件分资格、商务技术、投标报价三个部分按以下程序进行分析、评议： </w:t>
      </w:r>
    </w:p>
    <w:p w14:paraId="7DB3F5AD">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（一）对所有投标人的资格响应文件进行审查，并以开标当日为准，对投标人“信用中国”网站（www.creditchina.gov.cn）、中国政府采购网（www.ccgp.gov.cn）信用记录情况进行查询。</w:t>
      </w:r>
    </w:p>
    <w:p w14:paraId="0AE4A9E8">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（二）对通过资格性审查合格的投标人的商务技术响应文件进行符合性审查；</w:t>
      </w:r>
    </w:p>
    <w:p w14:paraId="0E47BAB0">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（三）对通过符合性审查有效的投标人的商务技术响应文件进行技术评分（详见三、评分细则）；</w:t>
      </w:r>
    </w:p>
    <w:p w14:paraId="4FBDDC3E">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四）上述投标人的评分结束后，评标委员会对上述投标人的报价文件进行评审；评标委员会认为投标人的报价明显低于其他通过符合性审查的投标人的报价，有可能影响服务质量或者不能诚信履约的，应当要求其在评标现场合理的时间内提供书面说明，必要时提交相关证明材料；投标人不能证明其报价合理性的，评标委员会应当将其作为无效投标处理。</w:t>
      </w:r>
    </w:p>
    <w:p w14:paraId="020CE86C">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（五）对通过报价评审有效的投标人，由“义乌市阳光招标采购平台”平台计算出其报价分及总得分，并由评标委员会进行确认；</w:t>
      </w:r>
    </w:p>
    <w:p w14:paraId="7DE78419">
      <w:pPr>
        <w:pStyle w:val="18"/>
        <w:spacing w:line="360" w:lineRule="auto"/>
        <w:ind w:firstLine="420" w:firstLineChars="200"/>
        <w:rPr>
          <w:rFonts w:hint="eastAsia" w:hAnsi="宋体" w:cs="宋体"/>
          <w:color w:val="auto"/>
          <w:highlight w:val="none"/>
        </w:rPr>
      </w:pPr>
      <w:r>
        <w:rPr>
          <w:rFonts w:hint="eastAsia" w:hAnsi="宋体" w:cs="宋体"/>
          <w:color w:val="auto"/>
          <w:highlight w:val="none"/>
        </w:rPr>
        <w:t>（六）确定中标人</w:t>
      </w:r>
    </w:p>
    <w:p w14:paraId="09FD635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首先，评标委员会按综合得分从高到低顺序进行排列；得分相同的，按投标报价由低到高顺序排列；得分且投标报价相同的，按技术分从高到低顺序排列；技术分相同，投标报价也相同的由采购人代表采用随机抽取程序随机确定。</w:t>
      </w:r>
    </w:p>
    <w:p w14:paraId="6E539DA0">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2.其次，评标委员会直接确定排名第一的投标人为中标单位。</w:t>
      </w:r>
    </w:p>
    <w:p w14:paraId="07261194">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（七）完成评标报告</w:t>
      </w:r>
    </w:p>
    <w:p w14:paraId="0452C265">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 xml:space="preserve">评标委员会根据评审相关情况作出评标报告。 </w:t>
      </w:r>
    </w:p>
    <w:p w14:paraId="550E1DF2">
      <w:pPr>
        <w:pStyle w:val="3"/>
        <w:spacing w:before="120" w:after="120" w:line="360" w:lineRule="auto"/>
        <w:rPr>
          <w:rFonts w:hint="eastAsia" w:ascii="宋体" w:hAnsi="宋体" w:eastAsia="宋体" w:cs="宋体"/>
          <w:color w:val="auto"/>
          <w:sz w:val="21"/>
          <w:szCs w:val="21"/>
          <w:highlight w:val="none"/>
        </w:rPr>
      </w:pPr>
      <w:bookmarkStart w:id="105" w:name="_Toc32322"/>
      <w:r>
        <w:rPr>
          <w:rFonts w:hint="eastAsia" w:ascii="宋体" w:hAnsi="宋体" w:eastAsia="宋体" w:cs="宋体"/>
          <w:color w:val="auto"/>
          <w:sz w:val="21"/>
          <w:szCs w:val="21"/>
          <w:highlight w:val="none"/>
        </w:rPr>
        <w:t>二、确定的中标人放弃中标等情况的处理</w:t>
      </w:r>
      <w:bookmarkEnd w:id="105"/>
    </w:p>
    <w:p w14:paraId="67420CDC">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1.当确定的中标人放弃中标，因不可抗力提出不能履行合同或者质疑投诉成立取消中标人资格的，均不再确定其余投标人作为中标人。</w:t>
      </w:r>
    </w:p>
    <w:p w14:paraId="70C0DE5F">
      <w:pPr>
        <w:pStyle w:val="18"/>
        <w:spacing w:line="360" w:lineRule="auto"/>
        <w:ind w:firstLine="420" w:firstLineChars="200"/>
        <w:jc w:val="left"/>
        <w:rPr>
          <w:rFonts w:hint="eastAsia" w:hAnsi="宋体" w:cs="宋体"/>
          <w:color w:val="auto"/>
          <w:highlight w:val="none"/>
        </w:rPr>
      </w:pPr>
      <w:r>
        <w:rPr>
          <w:rFonts w:hint="eastAsia" w:hAnsi="宋体" w:cs="宋体"/>
          <w:color w:val="auto"/>
          <w:highlight w:val="none"/>
        </w:rPr>
        <w:t>2.因中标人原因导致定标后无法签订合同的，中标人应按本文件服务费规定支付招标服务费。</w:t>
      </w:r>
    </w:p>
    <w:p w14:paraId="5754C318">
      <w:pPr>
        <w:rPr>
          <w:color w:val="auto"/>
          <w:highlight w:val="none"/>
        </w:rPr>
      </w:pPr>
    </w:p>
    <w:p w14:paraId="1469B92C">
      <w:pPr>
        <w:rPr>
          <w:rFonts w:hint="eastAsia"/>
          <w:color w:val="auto"/>
          <w:highlight w:val="none"/>
        </w:rPr>
      </w:pPr>
    </w:p>
    <w:p w14:paraId="05850E44">
      <w:pPr>
        <w:pStyle w:val="3"/>
        <w:spacing w:before="120" w:after="120" w:line="360" w:lineRule="auto"/>
        <w:rPr>
          <w:rFonts w:hint="eastAsia"/>
          <w:color w:val="auto"/>
          <w:highlight w:val="none"/>
        </w:rPr>
      </w:pPr>
      <w:bookmarkStart w:id="106" w:name="_Toc28943"/>
      <w:r>
        <w:rPr>
          <w:rFonts w:hint="eastAsia" w:ascii="宋体" w:hAnsi="宋体" w:eastAsia="宋体" w:cs="宋体"/>
          <w:color w:val="auto"/>
          <w:sz w:val="21"/>
          <w:szCs w:val="21"/>
          <w:highlight w:val="none"/>
        </w:rPr>
        <w:t>三、评</w:t>
      </w:r>
      <w:bookmarkEnd w:id="97"/>
      <w:bookmarkStart w:id="107" w:name="_Toc295815145"/>
      <w:bookmarkStart w:id="108" w:name="_Toc362250710"/>
      <w:bookmarkStart w:id="109" w:name="_Toc358884475"/>
      <w:bookmarkStart w:id="110" w:name="_Toc330474791"/>
      <w:bookmarkStart w:id="111" w:name="_Toc269969080"/>
      <w:bookmarkStart w:id="112" w:name="_Toc323024194"/>
      <w:r>
        <w:rPr>
          <w:rFonts w:hint="eastAsia" w:ascii="宋体" w:hAnsi="宋体" w:eastAsia="宋体" w:cs="宋体"/>
          <w:color w:val="auto"/>
          <w:sz w:val="21"/>
          <w:szCs w:val="21"/>
          <w:highlight w:val="none"/>
        </w:rPr>
        <w:t>分细则</w:t>
      </w:r>
      <w:bookmarkEnd w:id="106"/>
    </w:p>
    <w:tbl>
      <w:tblPr>
        <w:tblStyle w:val="37"/>
        <w:tblW w:w="9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1560"/>
        <w:gridCol w:w="5520"/>
        <w:gridCol w:w="900"/>
        <w:gridCol w:w="904"/>
      </w:tblGrid>
      <w:tr w14:paraId="4DE3D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45" w:type="dxa"/>
            <w:noWrap w:val="0"/>
            <w:vAlign w:val="center"/>
          </w:tcPr>
          <w:p w14:paraId="3D3D5C60">
            <w:pPr>
              <w:spacing w:line="360" w:lineRule="exact"/>
              <w:jc w:val="center"/>
              <w:rPr>
                <w:rFonts w:ascii="宋体"/>
                <w:b/>
                <w:bCs/>
                <w:color w:val="auto"/>
                <w:highlight w:val="none"/>
              </w:rPr>
            </w:pPr>
            <w:r>
              <w:rPr>
                <w:rFonts w:hint="eastAsia" w:ascii="宋体" w:hAnsi="宋体" w:cs="宋体"/>
                <w:b/>
                <w:bCs/>
                <w:color w:val="auto"/>
                <w:highlight w:val="none"/>
              </w:rPr>
              <w:t>序号</w:t>
            </w:r>
          </w:p>
        </w:tc>
        <w:tc>
          <w:tcPr>
            <w:tcW w:w="1560" w:type="dxa"/>
            <w:noWrap w:val="0"/>
            <w:vAlign w:val="center"/>
          </w:tcPr>
          <w:p w14:paraId="5FAED5FB">
            <w:pPr>
              <w:spacing w:line="360" w:lineRule="exact"/>
              <w:jc w:val="center"/>
              <w:rPr>
                <w:rFonts w:ascii="宋体"/>
                <w:b/>
                <w:bCs/>
                <w:color w:val="auto"/>
                <w:highlight w:val="none"/>
              </w:rPr>
            </w:pPr>
            <w:r>
              <w:rPr>
                <w:rFonts w:hint="eastAsia" w:ascii="宋体" w:hAnsi="宋体"/>
                <w:b/>
                <w:bCs/>
                <w:color w:val="auto"/>
                <w:szCs w:val="21"/>
                <w:highlight w:val="none"/>
              </w:rPr>
              <w:t>评分内容</w:t>
            </w:r>
          </w:p>
        </w:tc>
        <w:tc>
          <w:tcPr>
            <w:tcW w:w="5520" w:type="dxa"/>
            <w:noWrap w:val="0"/>
            <w:vAlign w:val="center"/>
          </w:tcPr>
          <w:p w14:paraId="0AD90739">
            <w:pPr>
              <w:spacing w:line="360" w:lineRule="exact"/>
              <w:jc w:val="center"/>
              <w:rPr>
                <w:rFonts w:ascii="宋体"/>
                <w:b/>
                <w:bCs/>
                <w:color w:val="auto"/>
                <w:highlight w:val="none"/>
              </w:rPr>
            </w:pPr>
            <w:r>
              <w:rPr>
                <w:rFonts w:hint="eastAsia" w:ascii="宋体" w:hAnsi="宋体" w:cs="宋体"/>
                <w:b/>
                <w:bCs/>
                <w:color w:val="auto"/>
                <w:highlight w:val="none"/>
              </w:rPr>
              <w:t>评分标准</w:t>
            </w:r>
          </w:p>
        </w:tc>
        <w:tc>
          <w:tcPr>
            <w:tcW w:w="900" w:type="dxa"/>
            <w:noWrap w:val="0"/>
            <w:vAlign w:val="center"/>
          </w:tcPr>
          <w:p w14:paraId="244BF092">
            <w:pPr>
              <w:spacing w:line="360" w:lineRule="exact"/>
              <w:jc w:val="center"/>
              <w:rPr>
                <w:rFonts w:ascii="宋体"/>
                <w:b/>
                <w:bCs/>
                <w:color w:val="auto"/>
                <w:highlight w:val="none"/>
              </w:rPr>
            </w:pPr>
            <w:r>
              <w:rPr>
                <w:rFonts w:hint="eastAsia" w:ascii="宋体" w:hAnsi="宋体" w:cs="宋体"/>
                <w:b/>
                <w:bCs/>
                <w:color w:val="auto"/>
                <w:highlight w:val="none"/>
              </w:rPr>
              <w:t>分数</w:t>
            </w:r>
          </w:p>
        </w:tc>
        <w:tc>
          <w:tcPr>
            <w:tcW w:w="904" w:type="dxa"/>
            <w:noWrap w:val="0"/>
            <w:vAlign w:val="center"/>
          </w:tcPr>
          <w:p w14:paraId="66208BF5">
            <w:pPr>
              <w:spacing w:line="360" w:lineRule="exact"/>
              <w:jc w:val="center"/>
              <w:rPr>
                <w:rFonts w:hint="eastAsia" w:ascii="宋体" w:hAnsi="宋体" w:eastAsia="宋体" w:cs="宋体"/>
                <w:b/>
                <w:bCs/>
                <w:color w:val="auto"/>
                <w:highlight w:val="none"/>
                <w:lang w:val="en-US" w:eastAsia="zh-CN"/>
              </w:rPr>
            </w:pPr>
            <w:r>
              <w:rPr>
                <w:rFonts w:hint="eastAsia" w:ascii="宋体" w:hAnsi="宋体" w:cs="宋体"/>
                <w:b/>
                <w:bCs/>
                <w:color w:val="auto"/>
                <w:highlight w:val="none"/>
                <w:lang w:val="en-US" w:eastAsia="zh-CN"/>
              </w:rPr>
              <w:t>备注</w:t>
            </w:r>
          </w:p>
        </w:tc>
      </w:tr>
      <w:tr w14:paraId="155EAC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6" w:hRule="atLeast"/>
          <w:jc w:val="center"/>
        </w:trPr>
        <w:tc>
          <w:tcPr>
            <w:tcW w:w="645" w:type="dxa"/>
            <w:noWrap w:val="0"/>
            <w:vAlign w:val="center"/>
          </w:tcPr>
          <w:p w14:paraId="3FE8DC15">
            <w:pPr>
              <w:jc w:val="center"/>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一</w:t>
            </w:r>
          </w:p>
        </w:tc>
        <w:tc>
          <w:tcPr>
            <w:tcW w:w="1560" w:type="dxa"/>
            <w:noWrap w:val="0"/>
            <w:vAlign w:val="center"/>
          </w:tcPr>
          <w:p w14:paraId="49B05722">
            <w:pPr>
              <w:jc w:val="center"/>
              <w:rPr>
                <w:rFonts w:hint="eastAsia" w:ascii="宋体" w:eastAsia="宋体"/>
                <w:color w:val="auto"/>
                <w:highlight w:val="none"/>
                <w:lang w:val="en-US" w:eastAsia="zh-CN"/>
              </w:rPr>
            </w:pPr>
            <w:r>
              <w:rPr>
                <w:rFonts w:hint="eastAsia" w:ascii="宋体"/>
                <w:color w:val="auto"/>
                <w:highlight w:val="none"/>
                <w:lang w:val="en-US" w:eastAsia="zh-CN"/>
              </w:rPr>
              <w:t>技术分</w:t>
            </w:r>
          </w:p>
        </w:tc>
        <w:tc>
          <w:tcPr>
            <w:tcW w:w="5520" w:type="dxa"/>
            <w:noWrap w:val="0"/>
            <w:vAlign w:val="center"/>
          </w:tcPr>
          <w:p w14:paraId="08C94949">
            <w:pPr>
              <w:pStyle w:val="18"/>
              <w:spacing w:line="360" w:lineRule="auto"/>
              <w:rPr>
                <w:rFonts w:hint="eastAsia" w:ascii="宋体" w:hAnsi="宋体" w:eastAsia="宋体" w:cs="宋体"/>
                <w:color w:val="auto"/>
                <w:szCs w:val="21"/>
                <w:highlight w:val="none"/>
              </w:rPr>
            </w:pPr>
            <w:r>
              <w:rPr>
                <w:rFonts w:hint="eastAsia" w:hAnsi="宋体"/>
                <w:bCs/>
                <w:color w:val="auto"/>
                <w:sz w:val="21"/>
                <w:szCs w:val="21"/>
                <w:highlight w:val="none"/>
              </w:rPr>
              <w:t>评标委员会根据</w:t>
            </w:r>
            <w:r>
              <w:rPr>
                <w:rFonts w:hint="eastAsia" w:hAnsi="宋体"/>
                <w:bCs/>
                <w:color w:val="auto"/>
                <w:sz w:val="21"/>
                <w:szCs w:val="21"/>
                <w:highlight w:val="none"/>
                <w:lang w:val="en-US" w:eastAsia="zh-CN"/>
              </w:rPr>
              <w:t>细则</w:t>
            </w:r>
            <w:r>
              <w:rPr>
                <w:rFonts w:hint="eastAsia" w:hAnsi="宋体"/>
                <w:bCs/>
                <w:color w:val="auto"/>
                <w:sz w:val="21"/>
                <w:szCs w:val="21"/>
                <w:highlight w:val="none"/>
              </w:rPr>
              <w:t>，对各投标单位的商务技术响应文件进行书面审核和评论后，由各专家独立给分，打分时保留小数1位，每人一份评分表，并签名。在统计得分时，如果发现某一单项评分超过评分细则规定的分值范围，则该张评分表无效。投标人的商务技术响应文件的最终得分为评标委员会成员的算术平均值。计算时保留小数2位（第3位四舍五入）。</w:t>
            </w:r>
          </w:p>
        </w:tc>
        <w:tc>
          <w:tcPr>
            <w:tcW w:w="900" w:type="dxa"/>
            <w:noWrap w:val="0"/>
            <w:vAlign w:val="center"/>
          </w:tcPr>
          <w:p w14:paraId="4866F77E">
            <w:pPr>
              <w:spacing w:line="320" w:lineRule="exact"/>
              <w:jc w:val="center"/>
              <w:rPr>
                <w:rFonts w:hint="default" w:ascii="宋体" w:hAnsi="宋体" w:cs="宋体"/>
                <w:color w:val="auto"/>
                <w:highlight w:val="none"/>
                <w:lang w:val="en-US"/>
              </w:rPr>
            </w:pPr>
            <w:r>
              <w:rPr>
                <w:rFonts w:hint="eastAsia" w:ascii="宋体" w:hAnsi="宋体" w:cs="宋体"/>
                <w:color w:val="auto"/>
                <w:highlight w:val="none"/>
                <w:lang w:val="en-US" w:eastAsia="zh-CN"/>
              </w:rPr>
              <w:t>60</w:t>
            </w:r>
          </w:p>
        </w:tc>
        <w:tc>
          <w:tcPr>
            <w:tcW w:w="904" w:type="dxa"/>
            <w:noWrap w:val="0"/>
            <w:vAlign w:val="center"/>
          </w:tcPr>
          <w:p w14:paraId="10C84521">
            <w:pPr>
              <w:spacing w:line="320" w:lineRule="exact"/>
              <w:jc w:val="center"/>
              <w:rPr>
                <w:rFonts w:hint="eastAsia" w:ascii="宋体" w:hAnsi="宋体" w:cs="宋体"/>
                <w:color w:val="auto"/>
                <w:highlight w:val="none"/>
                <w:lang w:val="en-US" w:eastAsia="zh-CN"/>
              </w:rPr>
            </w:pPr>
          </w:p>
        </w:tc>
      </w:tr>
      <w:tr w14:paraId="215B3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5" w:hRule="atLeast"/>
          <w:jc w:val="center"/>
        </w:trPr>
        <w:tc>
          <w:tcPr>
            <w:tcW w:w="645" w:type="dxa"/>
            <w:noWrap w:val="0"/>
            <w:vAlign w:val="center"/>
          </w:tcPr>
          <w:p w14:paraId="3CE4C3EE">
            <w:pPr>
              <w:jc w:val="center"/>
              <w:rPr>
                <w:rFonts w:hint="eastAsia" w:ascii="宋体" w:hAnsi="宋体" w:eastAsia="宋体" w:cs="宋体"/>
                <w:color w:val="auto"/>
                <w:kern w:val="0"/>
                <w:sz w:val="21"/>
                <w:szCs w:val="21"/>
                <w:highlight w:val="none"/>
                <w:lang w:eastAsia="zh-CN"/>
              </w:rPr>
            </w:pPr>
            <w:r>
              <w:rPr>
                <w:rFonts w:hint="eastAsia" w:ascii="宋体" w:hAnsi="宋体" w:cs="宋体"/>
                <w:color w:val="auto"/>
                <w:kern w:val="0"/>
                <w:highlight w:val="none"/>
                <w:lang w:val="en-US" w:eastAsia="zh-CN"/>
              </w:rPr>
              <w:t>1</w:t>
            </w:r>
          </w:p>
        </w:tc>
        <w:tc>
          <w:tcPr>
            <w:tcW w:w="1560" w:type="dxa"/>
            <w:noWrap w:val="0"/>
            <w:vAlign w:val="center"/>
          </w:tcPr>
          <w:p w14:paraId="6A81B357">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企业认证体系</w:t>
            </w:r>
          </w:p>
        </w:tc>
        <w:tc>
          <w:tcPr>
            <w:tcW w:w="5520" w:type="dxa"/>
            <w:noWrap w:val="0"/>
            <w:vAlign w:val="center"/>
          </w:tcPr>
          <w:p w14:paraId="0521419B">
            <w:pPr>
              <w:pStyle w:val="18"/>
              <w:numPr>
                <w:ilvl w:val="0"/>
                <w:numId w:val="0"/>
              </w:numPr>
              <w:spacing w:line="360" w:lineRule="auto"/>
              <w:rPr>
                <w:rFonts w:hint="eastAsia" w:hAnsi="宋体" w:cs="宋体"/>
                <w:bCs/>
                <w:color w:val="auto"/>
                <w:highlight w:val="none"/>
              </w:rPr>
            </w:pPr>
            <w:r>
              <w:rPr>
                <w:rFonts w:hint="eastAsia" w:ascii="宋体" w:hAnsi="宋体" w:eastAsia="宋体" w:cs="宋体"/>
                <w:bCs/>
                <w:color w:val="auto"/>
                <w:kern w:val="2"/>
                <w:sz w:val="21"/>
                <w:szCs w:val="21"/>
                <w:highlight w:val="none"/>
                <w:lang w:val="en-US" w:eastAsia="zh-CN" w:bidi="ar-SA"/>
              </w:rPr>
              <w:t>1、</w:t>
            </w:r>
            <w:r>
              <w:rPr>
                <w:rFonts w:hint="eastAsia" w:hAnsi="宋体" w:cs="宋体"/>
                <w:bCs/>
                <w:color w:val="auto"/>
                <w:highlight w:val="none"/>
              </w:rPr>
              <w:t>投标人同时具有ISO9001质量管理体系认证证书、ISO14001环境管理体系认证证书、ISO45001职业健康安全管理体系认证证书</w:t>
            </w:r>
            <w:r>
              <w:rPr>
                <w:rFonts w:hint="eastAsia" w:hAnsi="宋体" w:cs="宋体"/>
                <w:bCs/>
                <w:color w:val="auto"/>
                <w:highlight w:val="none"/>
                <w:lang w:val="en-US" w:eastAsia="zh-CN"/>
              </w:rPr>
              <w:t>的</w:t>
            </w:r>
            <w:r>
              <w:rPr>
                <w:rFonts w:hint="eastAsia" w:hAnsi="宋体" w:cs="宋体"/>
                <w:bCs/>
                <w:color w:val="auto"/>
                <w:highlight w:val="none"/>
              </w:rPr>
              <w:t>得0.5分；</w:t>
            </w:r>
          </w:p>
          <w:p w14:paraId="77B07F4B">
            <w:pPr>
              <w:pStyle w:val="18"/>
              <w:spacing w:line="360" w:lineRule="auto"/>
              <w:rPr>
                <w:rFonts w:hint="eastAsia" w:hAnsi="宋体" w:cs="宋体"/>
                <w:bCs/>
                <w:color w:val="auto"/>
                <w:highlight w:val="none"/>
              </w:rPr>
            </w:pPr>
            <w:r>
              <w:rPr>
                <w:rFonts w:hint="eastAsia" w:hAnsi="宋体" w:cs="宋体"/>
                <w:bCs/>
                <w:color w:val="auto"/>
                <w:highlight w:val="none"/>
              </w:rPr>
              <w:t>2、投标人具有IATF16949质量管理体系认证证书或IECQ QC080000电气与电子元件和产品有害物质过程控制管理体系认证的得0.5分。</w:t>
            </w:r>
          </w:p>
          <w:p w14:paraId="49912D0F">
            <w:pPr>
              <w:pStyle w:val="18"/>
              <w:numPr>
                <w:ilvl w:val="0"/>
                <w:numId w:val="0"/>
              </w:numPr>
              <w:spacing w:line="360" w:lineRule="auto"/>
              <w:rPr>
                <w:rFonts w:hint="eastAsia" w:ascii="宋体" w:hAnsi="宋体" w:eastAsia="宋体" w:cs="Courier New"/>
                <w:bCs/>
                <w:color w:val="auto"/>
                <w:sz w:val="21"/>
                <w:szCs w:val="21"/>
                <w:highlight w:val="none"/>
                <w:lang w:val="en-US" w:eastAsia="zh-CN"/>
              </w:rPr>
            </w:pPr>
            <w:r>
              <w:rPr>
                <w:rFonts w:hint="eastAsia" w:ascii="宋体" w:hAnsi="宋体" w:eastAsia="宋体" w:cs="Courier New"/>
                <w:bCs/>
                <w:color w:val="auto"/>
                <w:sz w:val="21"/>
                <w:szCs w:val="21"/>
                <w:highlight w:val="none"/>
                <w:lang w:val="zh-CN" w:eastAsia="zh-CN"/>
              </w:rPr>
              <w:t>（提供认证证书复印件</w:t>
            </w:r>
            <w:r>
              <w:rPr>
                <w:rFonts w:hint="eastAsia" w:ascii="宋体" w:hAnsi="宋体" w:eastAsia="宋体" w:cs="Courier New"/>
                <w:bCs/>
                <w:color w:val="auto"/>
                <w:sz w:val="21"/>
                <w:szCs w:val="21"/>
                <w:highlight w:val="none"/>
                <w:lang w:val="en-US" w:eastAsia="zh-CN"/>
              </w:rPr>
              <w:t>及</w:t>
            </w:r>
            <w:r>
              <w:rPr>
                <w:rFonts w:hint="eastAsia" w:ascii="宋体" w:hAnsi="宋体" w:eastAsia="宋体" w:cs="Courier New"/>
                <w:bCs/>
                <w:color w:val="auto"/>
                <w:sz w:val="21"/>
                <w:szCs w:val="21"/>
                <w:highlight w:val="none"/>
                <w:lang w:val="zh-CN" w:eastAsia="zh-CN"/>
              </w:rPr>
              <w:t>国家认证认可监督管理委员会</w:t>
            </w:r>
            <w:r>
              <w:rPr>
                <w:rFonts w:hint="eastAsia" w:ascii="宋体" w:hAnsi="宋体" w:eastAsia="宋体" w:cs="Courier New"/>
                <w:bCs/>
                <w:color w:val="auto"/>
                <w:sz w:val="21"/>
                <w:szCs w:val="21"/>
                <w:highlight w:val="none"/>
                <w:lang w:val="en-US" w:eastAsia="zh-CN"/>
              </w:rPr>
              <w:t>查询的网站截图并</w:t>
            </w:r>
            <w:r>
              <w:rPr>
                <w:rFonts w:hint="eastAsia" w:ascii="宋体" w:hAnsi="宋体" w:eastAsia="宋体" w:cs="Courier New"/>
                <w:bCs/>
                <w:color w:val="auto"/>
                <w:sz w:val="21"/>
                <w:szCs w:val="21"/>
                <w:highlight w:val="none"/>
                <w:lang w:val="zh-CN" w:eastAsia="zh-CN"/>
              </w:rPr>
              <w:t>加盖</w:t>
            </w:r>
            <w:r>
              <w:rPr>
                <w:rFonts w:hint="eastAsia" w:ascii="宋体" w:hAnsi="宋体" w:eastAsia="宋体" w:cs="Courier New"/>
                <w:bCs/>
                <w:color w:val="auto"/>
                <w:sz w:val="21"/>
                <w:szCs w:val="21"/>
                <w:highlight w:val="none"/>
                <w:lang w:val="en-US" w:eastAsia="zh-CN"/>
              </w:rPr>
              <w:t>电子签</w:t>
            </w:r>
            <w:r>
              <w:rPr>
                <w:rFonts w:hint="eastAsia" w:ascii="宋体" w:hAnsi="宋体" w:eastAsia="宋体" w:cs="Courier New"/>
                <w:bCs/>
                <w:color w:val="auto"/>
                <w:sz w:val="21"/>
                <w:szCs w:val="21"/>
                <w:highlight w:val="none"/>
                <w:lang w:val="zh-CN" w:eastAsia="zh-CN"/>
              </w:rPr>
              <w:t>章）</w:t>
            </w:r>
            <w:r>
              <w:rPr>
                <w:rFonts w:hint="eastAsia" w:ascii="宋体" w:hAnsi="宋体" w:eastAsia="宋体" w:cs="Courier New"/>
                <w:bCs/>
                <w:color w:val="auto"/>
                <w:sz w:val="21"/>
                <w:szCs w:val="21"/>
                <w:highlight w:val="none"/>
                <w:lang w:val="en-US" w:eastAsia="zh-CN"/>
              </w:rPr>
              <w:t>。</w:t>
            </w:r>
          </w:p>
        </w:tc>
        <w:tc>
          <w:tcPr>
            <w:tcW w:w="900" w:type="dxa"/>
            <w:noWrap w:val="0"/>
            <w:vAlign w:val="center"/>
          </w:tcPr>
          <w:p w14:paraId="3619ABCF">
            <w:pPr>
              <w:spacing w:line="32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1.0</w:t>
            </w:r>
          </w:p>
        </w:tc>
        <w:tc>
          <w:tcPr>
            <w:tcW w:w="904" w:type="dxa"/>
            <w:noWrap w:val="0"/>
            <w:vAlign w:val="center"/>
          </w:tcPr>
          <w:p w14:paraId="216613FF">
            <w:pPr>
              <w:pStyle w:val="18"/>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客观分</w:t>
            </w:r>
          </w:p>
        </w:tc>
      </w:tr>
      <w:tr w14:paraId="04DCD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noWrap w:val="0"/>
            <w:vAlign w:val="center"/>
          </w:tcPr>
          <w:p w14:paraId="0E038332">
            <w:pPr>
              <w:spacing w:line="380" w:lineRule="exact"/>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w:t>
            </w:r>
          </w:p>
        </w:tc>
        <w:tc>
          <w:tcPr>
            <w:tcW w:w="1560" w:type="dxa"/>
            <w:noWrap w:val="0"/>
            <w:vAlign w:val="center"/>
          </w:tcPr>
          <w:p w14:paraId="6AB6BB85">
            <w:pPr>
              <w:widowControl/>
              <w:spacing w:line="360" w:lineRule="exact"/>
              <w:jc w:val="center"/>
              <w:rPr>
                <w:rFonts w:hint="eastAsia" w:ascii="宋体" w:hAnsi="宋体" w:eastAsia="宋体" w:cs="宋体"/>
                <w:color w:val="auto"/>
                <w:highlight w:val="none"/>
              </w:rPr>
            </w:pPr>
            <w:r>
              <w:rPr>
                <w:rFonts w:hint="eastAsia" w:ascii="宋体" w:hAnsi="宋体" w:cs="宋体"/>
                <w:color w:val="auto"/>
                <w:highlight w:val="none"/>
              </w:rPr>
              <w:t>企业技术实力</w:t>
            </w:r>
          </w:p>
        </w:tc>
        <w:tc>
          <w:tcPr>
            <w:tcW w:w="5520" w:type="dxa"/>
            <w:noWrap w:val="0"/>
            <w:vAlign w:val="center"/>
          </w:tcPr>
          <w:p w14:paraId="4E1ABD73">
            <w:pPr>
              <w:pStyle w:val="18"/>
              <w:spacing w:line="360" w:lineRule="auto"/>
              <w:rPr>
                <w:rFonts w:hint="eastAsia" w:ascii="宋体" w:hAnsi="宋体" w:eastAsia="宋体" w:cs="Courier New"/>
                <w:bCs/>
                <w:color w:val="auto"/>
                <w:sz w:val="21"/>
                <w:szCs w:val="21"/>
                <w:highlight w:val="none"/>
                <w:lang w:val="zh-CN" w:eastAsia="zh-CN"/>
              </w:rPr>
            </w:pPr>
            <w:r>
              <w:rPr>
                <w:rFonts w:hint="eastAsia" w:ascii="宋体" w:hAnsi="宋体" w:eastAsia="宋体" w:cs="Courier New"/>
                <w:bCs/>
                <w:color w:val="auto"/>
                <w:sz w:val="21"/>
                <w:szCs w:val="21"/>
                <w:highlight w:val="none"/>
                <w:lang w:val="en-US" w:eastAsia="zh-CN"/>
              </w:rPr>
              <w:t>投标人获得</w:t>
            </w:r>
            <w:r>
              <w:rPr>
                <w:rFonts w:hint="eastAsia" w:hAnsi="宋体" w:cs="宋体"/>
                <w:bCs/>
                <w:color w:val="auto"/>
                <w:highlight w:val="none"/>
              </w:rPr>
              <w:t>国家高新技术企业证书</w:t>
            </w:r>
            <w:r>
              <w:rPr>
                <w:rFonts w:hint="eastAsia" w:ascii="宋体" w:hAnsi="宋体" w:eastAsia="宋体" w:cs="Courier New"/>
                <w:bCs/>
                <w:color w:val="auto"/>
                <w:sz w:val="21"/>
                <w:szCs w:val="21"/>
                <w:highlight w:val="none"/>
                <w:lang w:val="zh-CN" w:eastAsia="zh-CN"/>
              </w:rPr>
              <w:t>的得</w:t>
            </w:r>
            <w:r>
              <w:rPr>
                <w:rFonts w:hint="eastAsia" w:ascii="宋体" w:hAnsi="宋体" w:eastAsia="宋体" w:cs="Courier New"/>
                <w:bCs/>
                <w:color w:val="auto"/>
                <w:sz w:val="21"/>
                <w:szCs w:val="21"/>
                <w:highlight w:val="none"/>
                <w:lang w:val="en-US" w:eastAsia="zh-CN"/>
              </w:rPr>
              <w:t>2</w:t>
            </w:r>
            <w:r>
              <w:rPr>
                <w:rFonts w:hint="eastAsia" w:ascii="宋体" w:hAnsi="宋体" w:eastAsia="宋体" w:cs="Courier New"/>
                <w:bCs/>
                <w:color w:val="auto"/>
                <w:sz w:val="21"/>
                <w:szCs w:val="21"/>
                <w:highlight w:val="none"/>
                <w:lang w:val="zh-CN" w:eastAsia="zh-CN"/>
              </w:rPr>
              <w:t>分（</w:t>
            </w:r>
            <w:r>
              <w:rPr>
                <w:rFonts w:hint="eastAsia" w:ascii="宋体" w:hAnsi="宋体" w:eastAsia="宋体" w:cs="Courier New"/>
                <w:bCs/>
                <w:color w:val="auto"/>
                <w:sz w:val="21"/>
                <w:szCs w:val="21"/>
                <w:highlight w:val="none"/>
                <w:lang w:val="en-US" w:eastAsia="zh-CN"/>
              </w:rPr>
              <w:t>提供证书的扫描件并加盖投标人电子签章</w:t>
            </w:r>
            <w:r>
              <w:rPr>
                <w:rFonts w:hint="eastAsia" w:ascii="宋体" w:hAnsi="宋体" w:eastAsia="宋体" w:cs="Courier New"/>
                <w:bCs/>
                <w:color w:val="auto"/>
                <w:sz w:val="21"/>
                <w:szCs w:val="21"/>
                <w:highlight w:val="none"/>
                <w:lang w:val="zh-CN" w:eastAsia="zh-CN"/>
              </w:rPr>
              <w:t>）</w:t>
            </w:r>
          </w:p>
        </w:tc>
        <w:tc>
          <w:tcPr>
            <w:tcW w:w="900" w:type="dxa"/>
            <w:noWrap w:val="0"/>
            <w:vAlign w:val="center"/>
          </w:tcPr>
          <w:p w14:paraId="5B833B61">
            <w:pPr>
              <w:spacing w:line="380" w:lineRule="exact"/>
              <w:jc w:val="center"/>
              <w:rPr>
                <w:rFonts w:hint="default" w:ascii="宋体" w:hAnsi="宋体" w:eastAsia="宋体" w:cs="宋体"/>
                <w:color w:val="auto"/>
                <w:kern w:val="0"/>
                <w:highlight w:val="none"/>
                <w:lang w:val="en-US"/>
              </w:rPr>
            </w:pPr>
            <w:r>
              <w:rPr>
                <w:rFonts w:hint="eastAsia" w:ascii="宋体" w:hAnsi="宋体" w:eastAsia="宋体" w:cs="宋体"/>
                <w:color w:val="auto"/>
                <w:sz w:val="21"/>
                <w:szCs w:val="21"/>
                <w:highlight w:val="none"/>
                <w:lang w:val="en-US" w:eastAsia="zh-CN"/>
              </w:rPr>
              <w:t>0-2.0</w:t>
            </w:r>
          </w:p>
        </w:tc>
        <w:tc>
          <w:tcPr>
            <w:tcW w:w="904" w:type="dxa"/>
            <w:noWrap w:val="0"/>
            <w:vAlign w:val="center"/>
          </w:tcPr>
          <w:p w14:paraId="39653115">
            <w:pPr>
              <w:pStyle w:val="18"/>
              <w:jc w:val="center"/>
              <w:rPr>
                <w:rFonts w:hint="eastAsia" w:ascii="宋体" w:hAnsi="宋体" w:eastAsia="宋体" w:cs="宋体"/>
                <w:color w:val="auto"/>
                <w:kern w:val="0"/>
                <w:highlight w:val="none"/>
              </w:rPr>
            </w:pPr>
            <w:r>
              <w:rPr>
                <w:rFonts w:hint="eastAsia" w:ascii="宋体" w:hAnsi="宋体" w:cs="宋体"/>
                <w:color w:val="auto"/>
                <w:highlight w:val="none"/>
                <w:lang w:val="en-US" w:eastAsia="zh-CN"/>
              </w:rPr>
              <w:t>客观分</w:t>
            </w:r>
          </w:p>
        </w:tc>
      </w:tr>
      <w:tr w14:paraId="3B445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5" w:type="dxa"/>
            <w:noWrap w:val="0"/>
            <w:vAlign w:val="center"/>
          </w:tcPr>
          <w:p w14:paraId="2DFFDC71">
            <w:pPr>
              <w:spacing w:line="38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3</w:t>
            </w:r>
          </w:p>
        </w:tc>
        <w:tc>
          <w:tcPr>
            <w:tcW w:w="1560" w:type="dxa"/>
            <w:noWrap w:val="0"/>
            <w:vAlign w:val="center"/>
          </w:tcPr>
          <w:p w14:paraId="6F0753DA">
            <w:pPr>
              <w:pStyle w:val="90"/>
              <w:spacing w:line="360" w:lineRule="exact"/>
              <w:jc w:val="center"/>
              <w:rPr>
                <w:rFonts w:hint="eastAsia" w:ascii="宋体" w:hAnsi="宋体" w:eastAsia="宋体" w:cs="宋体"/>
                <w:color w:val="auto"/>
                <w:kern w:val="0"/>
                <w:highlight w:val="none"/>
              </w:rPr>
            </w:pPr>
            <w:r>
              <w:rPr>
                <w:rFonts w:hint="eastAsia" w:ascii="宋体" w:hAnsi="宋体" w:eastAsia="宋体" w:cs="宋体"/>
                <w:color w:val="auto"/>
                <w:sz w:val="21"/>
                <w:szCs w:val="21"/>
                <w:highlight w:val="none"/>
              </w:rPr>
              <w:t>业绩</w:t>
            </w:r>
          </w:p>
        </w:tc>
        <w:tc>
          <w:tcPr>
            <w:tcW w:w="5520" w:type="dxa"/>
            <w:noWrap w:val="0"/>
            <w:vAlign w:val="center"/>
          </w:tcPr>
          <w:p w14:paraId="5651CC6B">
            <w:pPr>
              <w:pStyle w:val="18"/>
              <w:spacing w:line="360" w:lineRule="auto"/>
              <w:rPr>
                <w:rFonts w:hint="eastAsia" w:ascii="宋体" w:hAnsi="宋体" w:eastAsia="宋体" w:cs="Courier New"/>
                <w:bCs/>
                <w:color w:val="auto"/>
                <w:sz w:val="21"/>
                <w:szCs w:val="21"/>
                <w:highlight w:val="none"/>
                <w:lang w:val="zh-CN" w:eastAsia="zh-CN"/>
              </w:rPr>
            </w:pPr>
            <w:r>
              <w:rPr>
                <w:rFonts w:hint="eastAsia" w:ascii="宋体" w:hAnsi="宋体" w:eastAsia="宋体" w:cs="Courier New"/>
                <w:bCs/>
                <w:color w:val="auto"/>
                <w:sz w:val="21"/>
                <w:szCs w:val="21"/>
                <w:highlight w:val="none"/>
                <w:lang w:val="zh-CN" w:eastAsia="zh-CN"/>
              </w:rPr>
              <w:t>投标人</w:t>
            </w:r>
            <w:r>
              <w:rPr>
                <w:rFonts w:hint="eastAsia" w:ascii="宋体" w:hAnsi="宋体" w:eastAsia="宋体" w:cs="Courier New"/>
                <w:bCs/>
                <w:color w:val="auto"/>
                <w:sz w:val="21"/>
                <w:szCs w:val="21"/>
                <w:highlight w:val="none"/>
                <w:lang w:val="en-US" w:eastAsia="zh-CN"/>
              </w:rPr>
              <w:t>自</w:t>
            </w:r>
            <w:r>
              <w:rPr>
                <w:rFonts w:hint="eastAsia" w:ascii="宋体" w:hAnsi="宋体" w:eastAsia="宋体" w:cs="Courier New"/>
                <w:bCs/>
                <w:color w:val="auto"/>
                <w:sz w:val="21"/>
                <w:szCs w:val="21"/>
                <w:highlight w:val="none"/>
                <w:lang w:val="zh-CN" w:eastAsia="zh-CN"/>
              </w:rPr>
              <w:t>202</w:t>
            </w:r>
            <w:r>
              <w:rPr>
                <w:rFonts w:hint="eastAsia" w:hAnsi="宋体" w:cs="Courier New"/>
                <w:bCs/>
                <w:color w:val="auto"/>
                <w:sz w:val="21"/>
                <w:szCs w:val="21"/>
                <w:highlight w:val="none"/>
                <w:lang w:val="en-US" w:eastAsia="zh-CN"/>
              </w:rPr>
              <w:t>2</w:t>
            </w:r>
            <w:r>
              <w:rPr>
                <w:rFonts w:hint="eastAsia" w:ascii="宋体" w:hAnsi="宋体" w:eastAsia="宋体" w:cs="Courier New"/>
                <w:bCs/>
                <w:color w:val="auto"/>
                <w:sz w:val="21"/>
                <w:szCs w:val="21"/>
                <w:highlight w:val="none"/>
                <w:lang w:val="zh-CN" w:eastAsia="zh-CN"/>
              </w:rPr>
              <w:t>年1月1日以来具有的充电设备业绩：</w:t>
            </w:r>
          </w:p>
          <w:p w14:paraId="1F74D3F8">
            <w:pPr>
              <w:pStyle w:val="18"/>
              <w:spacing w:line="360" w:lineRule="auto"/>
              <w:rPr>
                <w:rFonts w:hint="eastAsia" w:ascii="宋体" w:hAnsi="宋体" w:eastAsia="宋体" w:cs="Courier New"/>
                <w:bCs/>
                <w:color w:val="auto"/>
                <w:sz w:val="21"/>
                <w:szCs w:val="21"/>
                <w:highlight w:val="none"/>
                <w:lang w:val="zh-CN" w:eastAsia="zh-CN"/>
              </w:rPr>
            </w:pPr>
            <w:r>
              <w:rPr>
                <w:rFonts w:hint="eastAsia" w:ascii="宋体" w:hAnsi="宋体" w:eastAsia="宋体" w:cs="Courier New"/>
                <w:bCs/>
                <w:color w:val="auto"/>
                <w:sz w:val="21"/>
                <w:szCs w:val="21"/>
                <w:highlight w:val="none"/>
                <w:lang w:val="zh-CN" w:eastAsia="zh-CN"/>
              </w:rPr>
              <w:t>单份合同的总功率≥20000KW，且合同金额大于1000万，提供得1分；</w:t>
            </w:r>
          </w:p>
          <w:p w14:paraId="34C538C5">
            <w:pPr>
              <w:pStyle w:val="18"/>
              <w:spacing w:line="360" w:lineRule="auto"/>
              <w:rPr>
                <w:rFonts w:hint="eastAsia" w:ascii="宋体" w:hAnsi="宋体" w:eastAsia="宋体" w:cs="Courier New"/>
                <w:bCs/>
                <w:color w:val="auto"/>
                <w:sz w:val="21"/>
                <w:szCs w:val="21"/>
                <w:highlight w:val="none"/>
                <w:lang w:val="zh-CN" w:eastAsia="zh-CN"/>
              </w:rPr>
            </w:pPr>
            <w:r>
              <w:rPr>
                <w:rFonts w:hint="eastAsia" w:ascii="宋体" w:hAnsi="宋体" w:eastAsia="宋体" w:cs="Courier New"/>
                <w:bCs/>
                <w:color w:val="auto"/>
                <w:sz w:val="21"/>
                <w:szCs w:val="21"/>
                <w:highlight w:val="none"/>
                <w:lang w:val="zh-CN" w:eastAsia="zh-CN"/>
              </w:rPr>
              <w:t>单份合同的总功率≥8000KW，且合同金额大于500万，提供得0.6分；</w:t>
            </w:r>
          </w:p>
          <w:p w14:paraId="01E50485">
            <w:pPr>
              <w:pStyle w:val="18"/>
              <w:spacing w:line="360" w:lineRule="auto"/>
              <w:rPr>
                <w:rFonts w:hint="eastAsia" w:ascii="宋体" w:hAnsi="宋体" w:eastAsia="宋体" w:cs="Courier New"/>
                <w:bCs/>
                <w:color w:val="auto"/>
                <w:sz w:val="21"/>
                <w:szCs w:val="21"/>
                <w:highlight w:val="none"/>
                <w:lang w:val="zh-CN" w:eastAsia="zh-CN"/>
              </w:rPr>
            </w:pPr>
            <w:r>
              <w:rPr>
                <w:rFonts w:hint="eastAsia" w:ascii="宋体" w:hAnsi="宋体" w:eastAsia="宋体" w:cs="Courier New"/>
                <w:bCs/>
                <w:color w:val="auto"/>
                <w:sz w:val="21"/>
                <w:szCs w:val="21"/>
                <w:highlight w:val="none"/>
                <w:lang w:val="zh-CN" w:eastAsia="zh-CN"/>
              </w:rPr>
              <w:t>单份合同的总功率≥5000KW，且合同金额大于100万，提供得0.4分。</w:t>
            </w:r>
          </w:p>
          <w:p w14:paraId="6F91BC6D">
            <w:pPr>
              <w:pStyle w:val="18"/>
              <w:spacing w:line="360" w:lineRule="auto"/>
              <w:rPr>
                <w:rFonts w:hint="eastAsia" w:ascii="宋体" w:hAnsi="宋体" w:eastAsia="宋体" w:cs="Courier New"/>
                <w:bCs/>
                <w:color w:val="auto"/>
                <w:sz w:val="21"/>
                <w:szCs w:val="21"/>
                <w:highlight w:val="none"/>
                <w:lang w:val="zh-CN" w:eastAsia="zh-CN"/>
              </w:rPr>
            </w:pPr>
            <w:r>
              <w:rPr>
                <w:rFonts w:hint="eastAsia" w:ascii="宋体" w:hAnsi="宋体" w:eastAsia="宋体" w:cs="Courier New"/>
                <w:bCs/>
                <w:color w:val="auto"/>
                <w:sz w:val="21"/>
                <w:szCs w:val="21"/>
                <w:highlight w:val="none"/>
                <w:lang w:val="zh-CN" w:eastAsia="zh-CN"/>
              </w:rPr>
              <w:t>注：以上合同业绩得分不累计，按单份合同计算。业绩时间以合同签订日期为准，业绩金额以合同签订金额为准。须提供合同扫描件并加盖投标人电子签章，</w:t>
            </w:r>
            <w:r>
              <w:rPr>
                <w:rFonts w:hint="eastAsia" w:ascii="宋体" w:hAnsi="宋体" w:eastAsia="宋体" w:cs="Courier New"/>
                <w:bCs/>
                <w:color w:val="auto"/>
                <w:sz w:val="21"/>
                <w:szCs w:val="21"/>
                <w:highlight w:val="none"/>
                <w:lang w:val="en-US" w:eastAsia="zh-CN"/>
              </w:rPr>
              <w:t>否则不得分。</w:t>
            </w:r>
          </w:p>
        </w:tc>
        <w:tc>
          <w:tcPr>
            <w:tcW w:w="900" w:type="dxa"/>
            <w:noWrap w:val="0"/>
            <w:vAlign w:val="center"/>
          </w:tcPr>
          <w:p w14:paraId="51487CED">
            <w:pPr>
              <w:spacing w:line="380" w:lineRule="exact"/>
              <w:jc w:val="center"/>
              <w:rPr>
                <w:rFonts w:hint="default" w:ascii="宋体" w:hAnsi="宋体" w:eastAsia="宋体" w:cs="宋体"/>
                <w:color w:val="auto"/>
                <w:kern w:val="0"/>
                <w:highlight w:val="none"/>
                <w:lang w:val="en-US"/>
              </w:rPr>
            </w:pPr>
            <w:r>
              <w:rPr>
                <w:rFonts w:hint="eastAsia" w:ascii="宋体" w:hAnsi="宋体" w:eastAsia="宋体" w:cs="宋体"/>
                <w:color w:val="auto"/>
                <w:sz w:val="21"/>
                <w:szCs w:val="21"/>
                <w:highlight w:val="none"/>
                <w:lang w:val="en-US" w:eastAsia="zh-CN"/>
              </w:rPr>
              <w:t>0-1.0</w:t>
            </w:r>
          </w:p>
        </w:tc>
        <w:tc>
          <w:tcPr>
            <w:tcW w:w="904" w:type="dxa"/>
            <w:noWrap w:val="0"/>
            <w:vAlign w:val="center"/>
          </w:tcPr>
          <w:p w14:paraId="5258C506">
            <w:pPr>
              <w:pStyle w:val="18"/>
              <w:jc w:val="center"/>
              <w:rPr>
                <w:rFonts w:hint="eastAsia" w:ascii="宋体" w:hAnsi="宋体" w:eastAsia="宋体" w:cs="宋体"/>
                <w:color w:val="auto"/>
                <w:kern w:val="0"/>
                <w:highlight w:val="none"/>
              </w:rPr>
            </w:pPr>
            <w:r>
              <w:rPr>
                <w:rFonts w:hint="eastAsia" w:ascii="宋体" w:hAnsi="宋体" w:cs="宋体"/>
                <w:color w:val="auto"/>
                <w:highlight w:val="none"/>
                <w:lang w:val="en-US" w:eastAsia="zh-CN"/>
              </w:rPr>
              <w:t>客观分</w:t>
            </w:r>
          </w:p>
        </w:tc>
      </w:tr>
      <w:tr w14:paraId="58415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645" w:type="dxa"/>
            <w:noWrap w:val="0"/>
            <w:vAlign w:val="center"/>
          </w:tcPr>
          <w:p w14:paraId="40F7BDFE">
            <w:pPr>
              <w:spacing w:line="38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4</w:t>
            </w:r>
          </w:p>
        </w:tc>
        <w:tc>
          <w:tcPr>
            <w:tcW w:w="1560" w:type="dxa"/>
            <w:noWrap w:val="0"/>
            <w:vAlign w:val="center"/>
          </w:tcPr>
          <w:p w14:paraId="103221C0">
            <w:pPr>
              <w:spacing w:line="276" w:lineRule="auto"/>
              <w:jc w:val="center"/>
              <w:rPr>
                <w:rFonts w:hint="eastAsia" w:ascii="宋体" w:hAnsi="宋体" w:eastAsia="宋体" w:cs="宋体"/>
                <w:color w:val="auto"/>
                <w:kern w:val="0"/>
                <w:highlight w:val="none"/>
              </w:rPr>
            </w:pPr>
            <w:r>
              <w:rPr>
                <w:rFonts w:hint="eastAsia" w:ascii="宋体" w:hAnsi="宋体" w:cs="宋体"/>
                <w:bCs/>
                <w:color w:val="auto"/>
                <w:highlight w:val="none"/>
              </w:rPr>
              <w:t>企业专利证书</w:t>
            </w:r>
          </w:p>
        </w:tc>
        <w:tc>
          <w:tcPr>
            <w:tcW w:w="5520" w:type="dxa"/>
            <w:noWrap w:val="0"/>
            <w:vAlign w:val="center"/>
          </w:tcPr>
          <w:p w14:paraId="3A51FD62">
            <w:pPr>
              <w:pStyle w:val="18"/>
              <w:spacing w:line="360" w:lineRule="auto"/>
              <w:rPr>
                <w:rFonts w:hint="eastAsia" w:ascii="宋体" w:hAnsi="宋体" w:eastAsia="宋体" w:cs="Courier New"/>
                <w:bCs/>
                <w:color w:val="auto"/>
                <w:sz w:val="21"/>
                <w:szCs w:val="21"/>
                <w:highlight w:val="none"/>
                <w:lang w:val="en-US" w:eastAsia="zh-CN"/>
              </w:rPr>
            </w:pPr>
            <w:r>
              <w:rPr>
                <w:rFonts w:hint="eastAsia" w:hAnsi="宋体" w:cs="宋体"/>
                <w:bCs/>
                <w:color w:val="auto"/>
                <w:highlight w:val="none"/>
              </w:rPr>
              <w:t>投标人具有国家知识产权局发布的发明专利或实用新型专利证书，证书内容为充电桩或充电桩产品组成部件，每提供一个得0.5分，最高得</w:t>
            </w:r>
            <w:r>
              <w:rPr>
                <w:rFonts w:hint="eastAsia" w:hAnsi="宋体" w:cs="宋体"/>
                <w:bCs/>
                <w:color w:val="auto"/>
                <w:highlight w:val="none"/>
                <w:lang w:val="en-US" w:eastAsia="zh-CN"/>
              </w:rPr>
              <w:t>2</w:t>
            </w:r>
            <w:r>
              <w:rPr>
                <w:rFonts w:hint="eastAsia" w:hAnsi="宋体" w:cs="宋体"/>
                <w:bCs/>
                <w:color w:val="auto"/>
                <w:highlight w:val="none"/>
              </w:rPr>
              <w:t>分，否则不得分。（需提供相关证明材料扫描件，否则不得分）</w:t>
            </w:r>
          </w:p>
        </w:tc>
        <w:tc>
          <w:tcPr>
            <w:tcW w:w="900" w:type="dxa"/>
            <w:noWrap w:val="0"/>
            <w:vAlign w:val="center"/>
          </w:tcPr>
          <w:p w14:paraId="28D110E8">
            <w:pPr>
              <w:spacing w:line="380" w:lineRule="exact"/>
              <w:jc w:val="center"/>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0-2.0</w:t>
            </w:r>
          </w:p>
        </w:tc>
        <w:tc>
          <w:tcPr>
            <w:tcW w:w="904" w:type="dxa"/>
            <w:noWrap w:val="0"/>
            <w:vAlign w:val="center"/>
          </w:tcPr>
          <w:p w14:paraId="3855ED1F">
            <w:pPr>
              <w:pStyle w:val="18"/>
              <w:jc w:val="center"/>
              <w:rPr>
                <w:rFonts w:hint="eastAsia" w:ascii="宋体" w:hAnsi="宋体" w:eastAsia="宋体" w:cs="宋体"/>
                <w:color w:val="auto"/>
                <w:kern w:val="0"/>
                <w:highlight w:val="none"/>
              </w:rPr>
            </w:pPr>
            <w:r>
              <w:rPr>
                <w:rFonts w:hint="eastAsia" w:ascii="宋体" w:hAnsi="宋体" w:cs="宋体"/>
                <w:color w:val="auto"/>
                <w:highlight w:val="none"/>
                <w:lang w:val="en-US" w:eastAsia="zh-CN"/>
              </w:rPr>
              <w:t>客观分</w:t>
            </w:r>
          </w:p>
        </w:tc>
      </w:tr>
      <w:tr w14:paraId="3AA09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5" w:type="dxa"/>
            <w:noWrap w:val="0"/>
            <w:vAlign w:val="center"/>
          </w:tcPr>
          <w:p w14:paraId="0DAC2B43">
            <w:pPr>
              <w:spacing w:line="380" w:lineRule="exact"/>
              <w:jc w:val="center"/>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5</w:t>
            </w:r>
          </w:p>
        </w:tc>
        <w:tc>
          <w:tcPr>
            <w:tcW w:w="1560" w:type="dxa"/>
            <w:noWrap w:val="0"/>
            <w:vAlign w:val="center"/>
          </w:tcPr>
          <w:p w14:paraId="4030DED1">
            <w:pPr>
              <w:spacing w:line="276" w:lineRule="auto"/>
              <w:jc w:val="center"/>
              <w:rPr>
                <w:rFonts w:hint="eastAsia" w:ascii="宋体" w:hAnsi="宋体" w:cs="宋体"/>
                <w:bCs/>
                <w:color w:val="auto"/>
                <w:highlight w:val="none"/>
              </w:rPr>
            </w:pPr>
            <w:r>
              <w:rPr>
                <w:rFonts w:hint="eastAsia" w:ascii="宋体" w:hAnsi="宋体" w:cs="宋体"/>
                <w:color w:val="auto"/>
                <w:highlight w:val="none"/>
              </w:rPr>
              <w:t>售后服务网点</w:t>
            </w:r>
          </w:p>
        </w:tc>
        <w:tc>
          <w:tcPr>
            <w:tcW w:w="5520" w:type="dxa"/>
            <w:noWrap w:val="0"/>
            <w:vAlign w:val="center"/>
          </w:tcPr>
          <w:p w14:paraId="5B8FC9C6">
            <w:pPr>
              <w:pStyle w:val="18"/>
              <w:spacing w:line="360" w:lineRule="auto"/>
              <w:rPr>
                <w:rFonts w:hint="eastAsia" w:ascii="宋体" w:hAnsi="宋体" w:eastAsia="宋体" w:cs="Courier New"/>
                <w:bCs/>
                <w:color w:val="auto"/>
                <w:sz w:val="21"/>
                <w:szCs w:val="21"/>
                <w:highlight w:val="none"/>
                <w:lang w:val="zh-CN" w:eastAsia="zh-CN"/>
              </w:rPr>
            </w:pPr>
            <w:r>
              <w:rPr>
                <w:rFonts w:hint="eastAsia" w:ascii="宋体" w:hAnsi="宋体" w:eastAsia="宋体" w:cs="Courier New"/>
                <w:bCs/>
                <w:color w:val="auto"/>
                <w:sz w:val="21"/>
                <w:szCs w:val="21"/>
                <w:highlight w:val="none"/>
                <w:lang w:val="zh-CN" w:eastAsia="zh-CN"/>
              </w:rPr>
              <w:t>浙江省内设有服务网点</w:t>
            </w:r>
            <w:r>
              <w:rPr>
                <w:rFonts w:hint="eastAsia" w:ascii="宋体" w:hAnsi="宋体" w:eastAsia="宋体" w:cs="Courier New"/>
                <w:bCs/>
                <w:color w:val="auto"/>
                <w:sz w:val="21"/>
                <w:szCs w:val="21"/>
                <w:highlight w:val="none"/>
                <w:lang w:val="en-US" w:eastAsia="zh-CN"/>
              </w:rPr>
              <w:t>的</w:t>
            </w:r>
            <w:r>
              <w:rPr>
                <w:rFonts w:hint="eastAsia" w:ascii="宋体" w:hAnsi="宋体" w:eastAsia="宋体" w:cs="Courier New"/>
                <w:bCs/>
                <w:color w:val="auto"/>
                <w:sz w:val="21"/>
                <w:szCs w:val="21"/>
                <w:highlight w:val="none"/>
                <w:lang w:val="zh-CN" w:eastAsia="zh-CN"/>
              </w:rPr>
              <w:t>得1分，金华市内设有服务网点</w:t>
            </w:r>
            <w:r>
              <w:rPr>
                <w:rFonts w:hint="eastAsia" w:ascii="宋体" w:hAnsi="宋体" w:eastAsia="宋体" w:cs="Courier New"/>
                <w:bCs/>
                <w:color w:val="auto"/>
                <w:sz w:val="21"/>
                <w:szCs w:val="21"/>
                <w:highlight w:val="none"/>
                <w:lang w:val="en-US" w:eastAsia="zh-CN"/>
              </w:rPr>
              <w:t>的</w:t>
            </w:r>
            <w:r>
              <w:rPr>
                <w:rFonts w:hint="eastAsia" w:ascii="宋体" w:hAnsi="宋体" w:eastAsia="宋体" w:cs="Courier New"/>
                <w:bCs/>
                <w:color w:val="auto"/>
                <w:sz w:val="21"/>
                <w:szCs w:val="21"/>
                <w:highlight w:val="none"/>
                <w:lang w:val="zh-CN" w:eastAsia="zh-CN"/>
              </w:rPr>
              <w:t>得2分。投标人承诺中标后在浙江省内新建售后网点的按照新建地区得1-2分。</w:t>
            </w:r>
          </w:p>
          <w:p w14:paraId="0C850923">
            <w:pPr>
              <w:pStyle w:val="18"/>
              <w:spacing w:line="360" w:lineRule="auto"/>
              <w:rPr>
                <w:rFonts w:hint="eastAsia"/>
                <w:color w:val="auto"/>
                <w:highlight w:val="none"/>
                <w:lang w:val="zh-CN" w:eastAsia="zh-CN"/>
              </w:rPr>
            </w:pPr>
            <w:r>
              <w:rPr>
                <w:rFonts w:hint="eastAsia" w:hAnsi="宋体" w:cs="宋体"/>
                <w:color w:val="auto"/>
                <w:highlight w:val="none"/>
              </w:rPr>
              <w:t>注：提供服务网点要有房屋租赁协议复印件证明资料或不动产权复印件证明，同时提供安排驻点售后人员承诺书，未提供不得分。</w:t>
            </w:r>
          </w:p>
        </w:tc>
        <w:tc>
          <w:tcPr>
            <w:tcW w:w="900" w:type="dxa"/>
            <w:noWrap w:val="0"/>
            <w:vAlign w:val="center"/>
          </w:tcPr>
          <w:p w14:paraId="0842DCF8">
            <w:pPr>
              <w:spacing w:line="380" w:lineRule="exact"/>
              <w:jc w:val="center"/>
              <w:rPr>
                <w:rFonts w:hint="eastAsia" w:ascii="宋体" w:hAnsi="宋体" w:eastAsia="宋体" w:cs="宋体"/>
                <w:color w:val="auto"/>
                <w:kern w:val="0"/>
                <w:highlight w:val="none"/>
                <w:lang w:val="en-US" w:eastAsia="zh-CN"/>
              </w:rPr>
            </w:pPr>
            <w:r>
              <w:rPr>
                <w:rFonts w:hint="eastAsia" w:ascii="宋体" w:hAnsi="宋体" w:eastAsia="宋体" w:cs="宋体"/>
                <w:color w:val="auto"/>
                <w:sz w:val="21"/>
                <w:szCs w:val="21"/>
                <w:highlight w:val="none"/>
                <w:lang w:val="en-US" w:eastAsia="zh-CN"/>
              </w:rPr>
              <w:t>0-2.0</w:t>
            </w:r>
          </w:p>
        </w:tc>
        <w:tc>
          <w:tcPr>
            <w:tcW w:w="904" w:type="dxa"/>
            <w:noWrap w:val="0"/>
            <w:vAlign w:val="center"/>
          </w:tcPr>
          <w:p w14:paraId="04842ADA">
            <w:pPr>
              <w:pStyle w:val="18"/>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客观分</w:t>
            </w:r>
          </w:p>
        </w:tc>
      </w:tr>
      <w:tr w14:paraId="5F3A7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645" w:type="dxa"/>
            <w:noWrap w:val="0"/>
            <w:vAlign w:val="center"/>
          </w:tcPr>
          <w:p w14:paraId="68D2985C">
            <w:pPr>
              <w:jc w:val="center"/>
              <w:rPr>
                <w:rFonts w:hint="eastAsia" w:ascii="宋体" w:hAnsi="宋体" w:eastAsia="宋体" w:cs="宋体"/>
                <w:color w:val="auto"/>
                <w:sz w:val="21"/>
                <w:szCs w:val="21"/>
                <w:highlight w:val="none"/>
                <w:lang w:eastAsia="zh-CN"/>
              </w:rPr>
            </w:pPr>
            <w:r>
              <w:rPr>
                <w:rFonts w:hint="eastAsia" w:ascii="宋体" w:hAnsi="宋体" w:cs="宋体"/>
                <w:color w:val="auto"/>
                <w:kern w:val="0"/>
                <w:highlight w:val="none"/>
                <w:lang w:val="en-US" w:eastAsia="zh-CN"/>
              </w:rPr>
              <w:t>6</w:t>
            </w:r>
          </w:p>
        </w:tc>
        <w:tc>
          <w:tcPr>
            <w:tcW w:w="1560" w:type="dxa"/>
            <w:noWrap w:val="0"/>
            <w:vAlign w:val="center"/>
          </w:tcPr>
          <w:p w14:paraId="6272DAE5">
            <w:pPr>
              <w:spacing w:line="276" w:lineRule="auto"/>
              <w:jc w:val="center"/>
              <w:rPr>
                <w:rFonts w:hint="default" w:ascii="宋体" w:hAnsi="宋体" w:eastAsia="宋体" w:cs="宋体"/>
                <w:color w:val="auto"/>
                <w:sz w:val="21"/>
                <w:szCs w:val="21"/>
                <w:highlight w:val="none"/>
                <w:lang w:val="en-US"/>
              </w:rPr>
            </w:pPr>
            <w:r>
              <w:rPr>
                <w:rFonts w:hint="eastAsia" w:ascii="宋体" w:hAnsi="宋体" w:cs="宋体"/>
                <w:color w:val="auto"/>
                <w:kern w:val="0"/>
                <w:highlight w:val="none"/>
              </w:rPr>
              <w:t>产品责任险</w:t>
            </w:r>
          </w:p>
        </w:tc>
        <w:tc>
          <w:tcPr>
            <w:tcW w:w="5520" w:type="dxa"/>
            <w:noWrap w:val="0"/>
            <w:vAlign w:val="center"/>
          </w:tcPr>
          <w:p w14:paraId="695F2C68">
            <w:pPr>
              <w:pStyle w:val="18"/>
              <w:spacing w:line="360" w:lineRule="auto"/>
              <w:rPr>
                <w:rFonts w:hint="eastAsia" w:ascii="宋体" w:hAnsi="宋体" w:eastAsia="宋体" w:cs="Courier New"/>
                <w:bCs/>
                <w:color w:val="auto"/>
                <w:sz w:val="21"/>
                <w:szCs w:val="21"/>
                <w:highlight w:val="none"/>
                <w:lang w:val="en-US" w:eastAsia="zh-CN"/>
              </w:rPr>
            </w:pPr>
            <w:r>
              <w:rPr>
                <w:rFonts w:hint="eastAsia" w:ascii="宋体" w:hAnsi="宋体" w:eastAsia="宋体" w:cs="Courier New"/>
                <w:bCs/>
                <w:color w:val="auto"/>
                <w:sz w:val="21"/>
                <w:szCs w:val="21"/>
                <w:highlight w:val="none"/>
                <w:lang w:val="zh-CN" w:eastAsia="zh-CN"/>
              </w:rPr>
              <w:t>投标人具有所投充电设备产品责任险得2分。（提供保单等相关证明材料加盖</w:t>
            </w:r>
            <w:r>
              <w:rPr>
                <w:rFonts w:hint="eastAsia" w:ascii="宋体" w:hAnsi="宋体" w:eastAsia="宋体" w:cs="Courier New"/>
                <w:bCs/>
                <w:color w:val="auto"/>
                <w:sz w:val="21"/>
                <w:szCs w:val="21"/>
                <w:highlight w:val="none"/>
                <w:lang w:val="en-US" w:eastAsia="zh-CN"/>
              </w:rPr>
              <w:t>电子</w:t>
            </w:r>
            <w:r>
              <w:rPr>
                <w:rFonts w:hint="eastAsia" w:ascii="宋体" w:hAnsi="宋体" w:eastAsia="宋体" w:cs="Courier New"/>
                <w:bCs/>
                <w:color w:val="auto"/>
                <w:sz w:val="21"/>
                <w:szCs w:val="21"/>
                <w:highlight w:val="none"/>
                <w:lang w:val="zh-CN" w:eastAsia="zh-CN"/>
              </w:rPr>
              <w:t>公章，</w:t>
            </w:r>
            <w:r>
              <w:rPr>
                <w:rFonts w:hint="eastAsia" w:ascii="宋体" w:hAnsi="宋体" w:eastAsia="宋体" w:cs="Courier New"/>
                <w:bCs/>
                <w:color w:val="auto"/>
                <w:sz w:val="21"/>
                <w:szCs w:val="21"/>
                <w:highlight w:val="none"/>
                <w:lang w:val="en-US" w:eastAsia="zh-CN"/>
              </w:rPr>
              <w:t>否则</w:t>
            </w:r>
            <w:r>
              <w:rPr>
                <w:rFonts w:hint="eastAsia" w:ascii="宋体" w:hAnsi="宋体" w:eastAsia="宋体" w:cs="Courier New"/>
                <w:bCs/>
                <w:color w:val="auto"/>
                <w:sz w:val="21"/>
                <w:szCs w:val="21"/>
                <w:highlight w:val="none"/>
                <w:lang w:val="zh-CN" w:eastAsia="zh-CN"/>
              </w:rPr>
              <w:t>不得分）</w:t>
            </w:r>
          </w:p>
        </w:tc>
        <w:tc>
          <w:tcPr>
            <w:tcW w:w="900" w:type="dxa"/>
            <w:noWrap w:val="0"/>
            <w:vAlign w:val="center"/>
          </w:tcPr>
          <w:p w14:paraId="412E83C3">
            <w:pPr>
              <w:spacing w:line="400" w:lineRule="exact"/>
              <w:jc w:val="center"/>
              <w:rPr>
                <w:rFonts w:hint="default" w:ascii="宋体" w:hAnsi="宋体" w:eastAsia="宋体" w:cs="宋体"/>
                <w:color w:val="auto"/>
                <w:sz w:val="21"/>
                <w:szCs w:val="21"/>
                <w:highlight w:val="none"/>
                <w:lang w:val="en-US"/>
              </w:rPr>
            </w:pPr>
            <w:r>
              <w:rPr>
                <w:rFonts w:hint="eastAsia" w:ascii="宋体" w:hAnsi="宋体" w:cs="宋体"/>
                <w:color w:val="auto"/>
                <w:highlight w:val="none"/>
              </w:rPr>
              <w:t>0-</w:t>
            </w:r>
            <w:r>
              <w:rPr>
                <w:rFonts w:hint="eastAsia" w:ascii="宋体" w:hAnsi="宋体" w:cs="宋体"/>
                <w:color w:val="auto"/>
                <w:highlight w:val="none"/>
                <w:lang w:val="en-US" w:eastAsia="zh-CN"/>
              </w:rPr>
              <w:t>2</w:t>
            </w:r>
            <w:r>
              <w:rPr>
                <w:rFonts w:hint="eastAsia" w:ascii="宋体" w:hAnsi="宋体" w:cs="宋体"/>
                <w:color w:val="auto"/>
                <w:highlight w:val="none"/>
              </w:rPr>
              <w:t>.0</w:t>
            </w:r>
          </w:p>
        </w:tc>
        <w:tc>
          <w:tcPr>
            <w:tcW w:w="904" w:type="dxa"/>
            <w:noWrap w:val="0"/>
            <w:vAlign w:val="center"/>
          </w:tcPr>
          <w:p w14:paraId="4E0068F4">
            <w:pPr>
              <w:pStyle w:val="18"/>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客观分</w:t>
            </w:r>
          </w:p>
        </w:tc>
      </w:tr>
      <w:tr w14:paraId="547E0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645" w:type="dxa"/>
            <w:noWrap w:val="0"/>
            <w:vAlign w:val="center"/>
          </w:tcPr>
          <w:p w14:paraId="4D390408">
            <w:pPr>
              <w:widowControl/>
              <w:jc w:val="center"/>
              <w:rPr>
                <w:rFonts w:hint="eastAsia" w:ascii="宋体" w:hAnsi="宋体" w:eastAsia="宋体" w:cs="宋体"/>
                <w:color w:val="auto"/>
                <w:sz w:val="21"/>
                <w:szCs w:val="21"/>
                <w:highlight w:val="none"/>
              </w:rPr>
            </w:pPr>
            <w:r>
              <w:rPr>
                <w:rFonts w:hint="eastAsia" w:ascii="宋体" w:hAnsi="宋体" w:cs="宋体"/>
                <w:color w:val="auto"/>
                <w:highlight w:val="none"/>
                <w:lang w:val="en-US" w:eastAsia="zh-CN"/>
              </w:rPr>
              <w:t>7</w:t>
            </w:r>
          </w:p>
        </w:tc>
        <w:tc>
          <w:tcPr>
            <w:tcW w:w="1560" w:type="dxa"/>
            <w:noWrap w:val="0"/>
            <w:vAlign w:val="center"/>
          </w:tcPr>
          <w:p w14:paraId="29E113F8">
            <w:pPr>
              <w:jc w:val="center"/>
              <w:rPr>
                <w:rFonts w:hint="eastAsia" w:ascii="宋体" w:hAnsi="宋体" w:eastAsia="宋体" w:cs="宋体"/>
                <w:color w:val="auto"/>
                <w:sz w:val="21"/>
                <w:szCs w:val="21"/>
                <w:highlight w:val="none"/>
              </w:rPr>
            </w:pPr>
            <w:r>
              <w:rPr>
                <w:rFonts w:hint="eastAsia" w:ascii="宋体" w:hAnsi="宋体" w:cs="宋体"/>
                <w:color w:val="auto"/>
                <w:kern w:val="0"/>
                <w:highlight w:val="none"/>
              </w:rPr>
              <w:t>人员配备</w:t>
            </w:r>
          </w:p>
        </w:tc>
        <w:tc>
          <w:tcPr>
            <w:tcW w:w="5520" w:type="dxa"/>
            <w:noWrap w:val="0"/>
            <w:vAlign w:val="center"/>
          </w:tcPr>
          <w:p w14:paraId="3B8D60B0">
            <w:pPr>
              <w:pStyle w:val="18"/>
              <w:spacing w:line="360" w:lineRule="auto"/>
              <w:rPr>
                <w:rFonts w:hint="eastAsia" w:ascii="宋体" w:hAnsi="宋体" w:eastAsia="宋体" w:cs="Courier New"/>
                <w:bCs/>
                <w:color w:val="auto"/>
                <w:sz w:val="21"/>
                <w:szCs w:val="21"/>
                <w:highlight w:val="none"/>
                <w:lang w:val="en-US" w:eastAsia="zh-CN"/>
              </w:rPr>
            </w:pPr>
            <w:r>
              <w:rPr>
                <w:rFonts w:hint="eastAsia" w:hAnsi="宋体" w:cs="宋体"/>
                <w:bCs/>
                <w:color w:val="auto"/>
                <w:highlight w:val="none"/>
              </w:rPr>
              <w:t>拟投入项目2名技术人员具有机电工程二级及以上建造师</w:t>
            </w:r>
            <w:r>
              <w:rPr>
                <w:rFonts w:hint="eastAsia" w:hAnsi="宋体" w:cs="宋体"/>
                <w:bCs/>
                <w:color w:val="auto"/>
                <w:highlight w:val="none"/>
                <w:lang w:val="en-US" w:eastAsia="zh-CN"/>
              </w:rPr>
              <w:t>的得2分。</w:t>
            </w:r>
            <w:r>
              <w:rPr>
                <w:rFonts w:hint="eastAsia" w:hAnsi="宋体" w:cs="宋体"/>
                <w:bCs/>
                <w:color w:val="auto"/>
                <w:highlight w:val="none"/>
                <w:lang w:eastAsia="zh-CN"/>
              </w:rPr>
              <w:t>（</w:t>
            </w:r>
            <w:r>
              <w:rPr>
                <w:rFonts w:hint="eastAsia" w:hAnsi="宋体" w:cs="宋体"/>
                <w:bCs/>
                <w:color w:val="auto"/>
                <w:highlight w:val="none"/>
              </w:rPr>
              <w:t>提供</w:t>
            </w:r>
            <w:r>
              <w:rPr>
                <w:rFonts w:hint="eastAsia" w:ascii="宋体" w:hAnsi="宋体" w:eastAsia="宋体" w:cs="宋体"/>
                <w:color w:val="auto"/>
                <w:sz w:val="21"/>
                <w:szCs w:val="21"/>
                <w:highlight w:val="none"/>
              </w:rPr>
              <w:t>2023年1月起至投标截止时间内任意连续</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个月的在本单位任职的个人社保缴费清单及有效期内的证书</w:t>
            </w:r>
            <w:r>
              <w:rPr>
                <w:rFonts w:hint="eastAsia" w:ascii="宋体" w:hAnsi="宋体" w:eastAsia="宋体" w:cs="宋体"/>
                <w:color w:val="auto"/>
                <w:sz w:val="21"/>
                <w:szCs w:val="21"/>
                <w:highlight w:val="none"/>
                <w:lang w:eastAsia="zh-CN"/>
              </w:rPr>
              <w:t>）</w:t>
            </w:r>
          </w:p>
        </w:tc>
        <w:tc>
          <w:tcPr>
            <w:tcW w:w="900" w:type="dxa"/>
            <w:noWrap w:val="0"/>
            <w:vAlign w:val="center"/>
          </w:tcPr>
          <w:p w14:paraId="3C2F66F7">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.0</w:t>
            </w:r>
          </w:p>
        </w:tc>
        <w:tc>
          <w:tcPr>
            <w:tcW w:w="904" w:type="dxa"/>
            <w:noWrap w:val="0"/>
            <w:vAlign w:val="center"/>
          </w:tcPr>
          <w:p w14:paraId="5D62F2F4">
            <w:pPr>
              <w:pStyle w:val="18"/>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 w:val="21"/>
                <w:szCs w:val="21"/>
                <w:highlight w:val="none"/>
                <w:lang w:val="en-US" w:eastAsia="zh-CN"/>
              </w:rPr>
              <w:t>客观分</w:t>
            </w:r>
          </w:p>
        </w:tc>
      </w:tr>
      <w:tr w14:paraId="7FF53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5" w:hRule="atLeast"/>
          <w:jc w:val="center"/>
        </w:trPr>
        <w:tc>
          <w:tcPr>
            <w:tcW w:w="645" w:type="dxa"/>
            <w:noWrap w:val="0"/>
            <w:vAlign w:val="center"/>
          </w:tcPr>
          <w:p w14:paraId="3217505B">
            <w:pPr>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8</w:t>
            </w:r>
          </w:p>
        </w:tc>
        <w:tc>
          <w:tcPr>
            <w:tcW w:w="1560" w:type="dxa"/>
            <w:noWrap w:val="0"/>
            <w:vAlign w:val="center"/>
          </w:tcPr>
          <w:p w14:paraId="21B81F3A">
            <w:pPr>
              <w:spacing w:line="276" w:lineRule="auto"/>
              <w:jc w:val="center"/>
              <w:rPr>
                <w:rFonts w:hint="eastAsia" w:ascii="宋体" w:hAnsi="宋体" w:cs="宋体"/>
                <w:color w:val="auto"/>
                <w:sz w:val="21"/>
                <w:szCs w:val="21"/>
                <w:highlight w:val="none"/>
              </w:rPr>
            </w:pPr>
            <w:r>
              <w:rPr>
                <w:rFonts w:hint="eastAsia" w:ascii="宋体" w:hAnsi="宋体" w:cs="宋体"/>
                <w:color w:val="auto"/>
                <w:highlight w:val="none"/>
              </w:rPr>
              <w:t>充电配置</w:t>
            </w:r>
          </w:p>
        </w:tc>
        <w:tc>
          <w:tcPr>
            <w:tcW w:w="5520" w:type="dxa"/>
            <w:noWrap w:val="0"/>
            <w:vAlign w:val="center"/>
          </w:tcPr>
          <w:p w14:paraId="521918A2">
            <w:pPr>
              <w:pStyle w:val="18"/>
              <w:spacing w:line="360" w:lineRule="auto"/>
              <w:rPr>
                <w:rFonts w:hint="eastAsia" w:ascii="宋体" w:hAnsi="宋体" w:eastAsia="宋体" w:cs="宋体"/>
                <w:bCs/>
                <w:color w:val="auto"/>
                <w:highlight w:val="none"/>
                <w:lang w:val="en-US" w:eastAsia="zh-CN"/>
              </w:rPr>
            </w:pPr>
            <w:r>
              <w:rPr>
                <w:rFonts w:hint="eastAsia" w:ascii="宋体" w:hAnsi="宋体" w:cs="宋体"/>
                <w:color w:val="auto"/>
                <w:kern w:val="0"/>
                <w:highlight w:val="none"/>
              </w:rPr>
              <w:t>双枪同充，也称“双枪单充”，充电机充电桩具备双枪同时为一个电池管理系统（BMS)充电功能;可配置轮循充电和同时充电方式，亦可双枪同时给一辆车充电。须提供具备CMA及CNAS资质的第三方检验机构出具的≥120KW的检测报告，满足得3分，否则不得分。</w:t>
            </w:r>
          </w:p>
        </w:tc>
        <w:tc>
          <w:tcPr>
            <w:tcW w:w="900" w:type="dxa"/>
            <w:noWrap w:val="0"/>
            <w:vAlign w:val="center"/>
          </w:tcPr>
          <w:p w14:paraId="5BE37A40">
            <w:pPr>
              <w:widowControl/>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3.0</w:t>
            </w:r>
          </w:p>
        </w:tc>
        <w:tc>
          <w:tcPr>
            <w:tcW w:w="904" w:type="dxa"/>
            <w:noWrap w:val="0"/>
            <w:vAlign w:val="center"/>
          </w:tcPr>
          <w:p w14:paraId="04C9059C">
            <w:pPr>
              <w:pStyle w:val="18"/>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客观分</w:t>
            </w:r>
          </w:p>
        </w:tc>
      </w:tr>
      <w:tr w14:paraId="2E265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2" w:hRule="atLeast"/>
          <w:jc w:val="center"/>
        </w:trPr>
        <w:tc>
          <w:tcPr>
            <w:tcW w:w="645" w:type="dxa"/>
            <w:noWrap w:val="0"/>
            <w:vAlign w:val="center"/>
          </w:tcPr>
          <w:p w14:paraId="1D4184A1">
            <w:pPr>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9</w:t>
            </w:r>
          </w:p>
        </w:tc>
        <w:tc>
          <w:tcPr>
            <w:tcW w:w="1560" w:type="dxa"/>
            <w:noWrap w:val="0"/>
            <w:vAlign w:val="center"/>
          </w:tcPr>
          <w:p w14:paraId="54CC7C05">
            <w:pPr>
              <w:spacing w:line="276" w:lineRule="auto"/>
              <w:jc w:val="center"/>
              <w:rPr>
                <w:rFonts w:hint="eastAsia" w:ascii="宋体" w:hAnsi="宋体" w:eastAsia="宋体" w:cs="宋体"/>
                <w:color w:val="auto"/>
                <w:sz w:val="21"/>
                <w:szCs w:val="21"/>
                <w:highlight w:val="none"/>
              </w:rPr>
            </w:pPr>
            <w:r>
              <w:rPr>
                <w:rFonts w:hint="eastAsia" w:ascii="宋体" w:hAnsi="宋体" w:cs="宋体"/>
                <w:color w:val="auto"/>
                <w:kern w:val="0"/>
                <w:highlight w:val="none"/>
              </w:rPr>
              <w:t>充电模块</w:t>
            </w:r>
          </w:p>
        </w:tc>
        <w:tc>
          <w:tcPr>
            <w:tcW w:w="5520" w:type="dxa"/>
            <w:noWrap w:val="0"/>
            <w:vAlign w:val="center"/>
          </w:tcPr>
          <w:p w14:paraId="1C35EE09">
            <w:pPr>
              <w:spacing w:line="360" w:lineRule="auto"/>
              <w:rPr>
                <w:rFonts w:hint="eastAsia" w:ascii="宋体" w:hAnsi="宋体" w:eastAsia="宋体" w:cs="宋体"/>
                <w:bCs/>
                <w:color w:val="auto"/>
                <w:highlight w:val="none"/>
              </w:rPr>
            </w:pPr>
            <w:r>
              <w:rPr>
                <w:rFonts w:hint="eastAsia" w:ascii="宋体" w:hAnsi="宋体" w:cs="宋体"/>
                <w:color w:val="auto"/>
                <w:kern w:val="0"/>
                <w:highlight w:val="none"/>
              </w:rPr>
              <w:t>投标厂家具有直流充电机核心充电模块，须提供具备CMA及CNAS资质的第三方检验机构出具的检测报告。满足得5分，否则不得分。</w:t>
            </w:r>
          </w:p>
        </w:tc>
        <w:tc>
          <w:tcPr>
            <w:tcW w:w="900" w:type="dxa"/>
            <w:noWrap w:val="0"/>
            <w:vAlign w:val="center"/>
          </w:tcPr>
          <w:p w14:paraId="0EA9A446">
            <w:pPr>
              <w:widowControl/>
              <w:spacing w:line="40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0-5.0</w:t>
            </w:r>
          </w:p>
        </w:tc>
        <w:tc>
          <w:tcPr>
            <w:tcW w:w="904" w:type="dxa"/>
            <w:noWrap w:val="0"/>
            <w:vAlign w:val="center"/>
          </w:tcPr>
          <w:p w14:paraId="60D65BD7">
            <w:pPr>
              <w:pStyle w:val="18"/>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客观分</w:t>
            </w:r>
          </w:p>
        </w:tc>
      </w:tr>
      <w:tr w14:paraId="7B9EAA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45" w:type="dxa"/>
            <w:vMerge w:val="restart"/>
            <w:noWrap w:val="0"/>
            <w:vAlign w:val="center"/>
          </w:tcPr>
          <w:p w14:paraId="1612D5FB">
            <w:pPr>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10</w:t>
            </w:r>
          </w:p>
        </w:tc>
        <w:tc>
          <w:tcPr>
            <w:tcW w:w="1560" w:type="dxa"/>
            <w:vMerge w:val="restart"/>
            <w:noWrap w:val="0"/>
            <w:vAlign w:val="center"/>
          </w:tcPr>
          <w:p w14:paraId="23056299">
            <w:pPr>
              <w:spacing w:line="276" w:lineRule="auto"/>
              <w:jc w:val="center"/>
              <w:rPr>
                <w:rFonts w:hint="eastAsia" w:ascii="宋体" w:hAnsi="宋体" w:eastAsia="宋体" w:cs="宋体"/>
                <w:color w:val="auto"/>
                <w:sz w:val="21"/>
                <w:szCs w:val="21"/>
                <w:highlight w:val="none"/>
              </w:rPr>
            </w:pPr>
            <w:r>
              <w:rPr>
                <w:rFonts w:hint="eastAsia" w:ascii="宋体" w:hAnsi="宋体" w:cs="宋体"/>
                <w:color w:val="auto"/>
                <w:kern w:val="0"/>
                <w:highlight w:val="none"/>
              </w:rPr>
              <w:t>设备安全性</w:t>
            </w:r>
          </w:p>
        </w:tc>
        <w:tc>
          <w:tcPr>
            <w:tcW w:w="5520" w:type="dxa"/>
            <w:noWrap w:val="0"/>
            <w:vAlign w:val="center"/>
          </w:tcPr>
          <w:p w14:paraId="1025783D">
            <w:pPr>
              <w:pStyle w:val="18"/>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设备具有不少于50项主动防护功能，须提供具备CMA及CNAS资质的第三方检验机构出具的≥120KW的检测报告。满足得5分，否则不得分。</w:t>
            </w:r>
          </w:p>
        </w:tc>
        <w:tc>
          <w:tcPr>
            <w:tcW w:w="900" w:type="dxa"/>
            <w:noWrap w:val="0"/>
            <w:vAlign w:val="center"/>
          </w:tcPr>
          <w:p w14:paraId="005F460C">
            <w:pPr>
              <w:widowControl/>
              <w:spacing w:line="400" w:lineRule="exact"/>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0-5.0</w:t>
            </w:r>
          </w:p>
        </w:tc>
        <w:tc>
          <w:tcPr>
            <w:tcW w:w="904" w:type="dxa"/>
            <w:noWrap w:val="0"/>
            <w:vAlign w:val="center"/>
          </w:tcPr>
          <w:p w14:paraId="684837C3">
            <w:pPr>
              <w:pStyle w:val="1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客观分</w:t>
            </w:r>
          </w:p>
        </w:tc>
      </w:tr>
      <w:tr w14:paraId="0BDDE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645" w:type="dxa"/>
            <w:vMerge w:val="continue"/>
            <w:noWrap w:val="0"/>
            <w:vAlign w:val="center"/>
          </w:tcPr>
          <w:p w14:paraId="0D734855">
            <w:pPr>
              <w:pStyle w:val="18"/>
              <w:spacing w:line="360" w:lineRule="auto"/>
              <w:rPr>
                <w:color w:val="auto"/>
                <w:highlight w:val="none"/>
              </w:rPr>
            </w:pPr>
          </w:p>
        </w:tc>
        <w:tc>
          <w:tcPr>
            <w:tcW w:w="1560" w:type="dxa"/>
            <w:vMerge w:val="continue"/>
            <w:noWrap w:val="0"/>
            <w:vAlign w:val="center"/>
          </w:tcPr>
          <w:p w14:paraId="5804635D">
            <w:pPr>
              <w:pStyle w:val="18"/>
              <w:spacing w:line="360" w:lineRule="auto"/>
              <w:rPr>
                <w:color w:val="auto"/>
                <w:highlight w:val="none"/>
              </w:rPr>
            </w:pPr>
          </w:p>
        </w:tc>
        <w:tc>
          <w:tcPr>
            <w:tcW w:w="5520" w:type="dxa"/>
            <w:noWrap w:val="0"/>
            <w:vAlign w:val="center"/>
          </w:tcPr>
          <w:p w14:paraId="567E98CD">
            <w:pPr>
              <w:pStyle w:val="18"/>
              <w:spacing w:line="360" w:lineRule="auto"/>
              <w:rPr>
                <w:rFonts w:hint="eastAsia" w:ascii="宋体" w:hAnsi="宋体" w:eastAsia="宋体" w:cs="宋体"/>
                <w:bCs/>
                <w:color w:val="auto"/>
                <w:highlight w:val="none"/>
              </w:rPr>
            </w:pPr>
            <w:r>
              <w:rPr>
                <w:rFonts w:hint="eastAsia" w:ascii="宋体" w:hAnsi="宋体" w:eastAsia="宋体" w:cs="宋体"/>
                <w:bCs/>
                <w:color w:val="auto"/>
                <w:highlight w:val="none"/>
              </w:rPr>
              <w:t>所投产品具有安全防护、保护电池寿命相关报告</w:t>
            </w:r>
            <w:r>
              <w:rPr>
                <w:rFonts w:hint="eastAsia" w:ascii="宋体" w:hAnsi="宋体" w:eastAsia="宋体" w:cs="宋体"/>
                <w:bCs/>
                <w:color w:val="auto"/>
                <w:highlight w:val="none"/>
                <w:lang w:val="en-US" w:eastAsia="zh-CN"/>
              </w:rPr>
              <w:t>的</w:t>
            </w:r>
            <w:r>
              <w:rPr>
                <w:rFonts w:hint="eastAsia" w:ascii="宋体" w:hAnsi="宋体" w:eastAsia="宋体" w:cs="宋体"/>
                <w:bCs/>
                <w:color w:val="auto"/>
                <w:highlight w:val="none"/>
              </w:rPr>
              <w:t>得5分，</w:t>
            </w:r>
            <w:r>
              <w:rPr>
                <w:rFonts w:hint="eastAsia" w:ascii="宋体" w:hAnsi="宋体" w:eastAsia="宋体" w:cs="宋体"/>
                <w:bCs/>
                <w:color w:val="auto"/>
                <w:highlight w:val="none"/>
                <w:lang w:val="en-US" w:eastAsia="zh-CN"/>
              </w:rPr>
              <w:t>否则</w:t>
            </w:r>
            <w:r>
              <w:rPr>
                <w:rFonts w:hint="eastAsia" w:ascii="宋体" w:hAnsi="宋体" w:eastAsia="宋体" w:cs="宋体"/>
                <w:bCs/>
                <w:color w:val="auto"/>
                <w:highlight w:val="none"/>
              </w:rPr>
              <w:t>不得分。</w:t>
            </w:r>
            <w:r>
              <w:rPr>
                <w:rFonts w:hint="eastAsia" w:ascii="宋体" w:hAnsi="宋体" w:eastAsia="宋体" w:cs="宋体"/>
                <w:bCs/>
                <w:color w:val="auto"/>
                <w:highlight w:val="none"/>
                <w:lang w:eastAsia="zh-CN"/>
              </w:rPr>
              <w:t>（</w:t>
            </w:r>
            <w:r>
              <w:rPr>
                <w:rFonts w:hint="eastAsia" w:ascii="宋体" w:hAnsi="宋体" w:eastAsia="宋体" w:cs="宋体"/>
                <w:bCs/>
                <w:color w:val="auto"/>
                <w:highlight w:val="none"/>
              </w:rPr>
              <w:t>提供相应科技查新报告</w:t>
            </w:r>
            <w:r>
              <w:rPr>
                <w:rFonts w:hint="eastAsia" w:ascii="宋体" w:hAnsi="宋体" w:eastAsia="宋体" w:cs="宋体"/>
                <w:bCs/>
                <w:color w:val="auto"/>
                <w:highlight w:val="none"/>
                <w:lang w:val="en-US" w:eastAsia="zh-CN"/>
              </w:rPr>
              <w:t>并</w:t>
            </w:r>
            <w:r>
              <w:rPr>
                <w:rFonts w:hint="eastAsia" w:ascii="宋体" w:hAnsi="宋体" w:eastAsia="宋体" w:cs="宋体"/>
                <w:bCs/>
                <w:color w:val="auto"/>
                <w:highlight w:val="none"/>
              </w:rPr>
              <w:t>加盖</w:t>
            </w:r>
            <w:r>
              <w:rPr>
                <w:rFonts w:hint="eastAsia" w:ascii="宋体" w:hAnsi="宋体" w:eastAsia="宋体" w:cs="宋体"/>
                <w:bCs/>
                <w:color w:val="auto"/>
                <w:highlight w:val="none"/>
                <w:lang w:val="en-US" w:eastAsia="zh-CN"/>
              </w:rPr>
              <w:t>电子签</w:t>
            </w:r>
            <w:r>
              <w:rPr>
                <w:rFonts w:hint="eastAsia" w:ascii="宋体" w:hAnsi="宋体" w:eastAsia="宋体" w:cs="宋体"/>
                <w:bCs/>
                <w:color w:val="auto"/>
                <w:highlight w:val="none"/>
              </w:rPr>
              <w:t>章</w:t>
            </w:r>
            <w:r>
              <w:rPr>
                <w:rFonts w:hint="eastAsia" w:ascii="宋体" w:hAnsi="宋体" w:eastAsia="宋体" w:cs="宋体"/>
                <w:bCs/>
                <w:color w:val="auto"/>
                <w:highlight w:val="none"/>
                <w:lang w:eastAsia="zh-CN"/>
              </w:rPr>
              <w:t>）</w:t>
            </w:r>
          </w:p>
        </w:tc>
        <w:tc>
          <w:tcPr>
            <w:tcW w:w="900" w:type="dxa"/>
            <w:noWrap w:val="0"/>
            <w:vAlign w:val="center"/>
          </w:tcPr>
          <w:p w14:paraId="555B8210">
            <w:pPr>
              <w:widowControl/>
              <w:spacing w:line="400" w:lineRule="exact"/>
              <w:jc w:val="center"/>
              <w:rPr>
                <w:rFonts w:hint="eastAsia" w:ascii="宋体" w:hAnsi="宋体" w:cs="宋体"/>
                <w:color w:val="auto"/>
                <w:kern w:val="2"/>
                <w:sz w:val="21"/>
                <w:szCs w:val="24"/>
                <w:highlight w:val="none"/>
                <w:lang w:val="en-US" w:eastAsia="zh-CN" w:bidi="ar-SA"/>
              </w:rPr>
            </w:pPr>
            <w:r>
              <w:rPr>
                <w:rFonts w:hint="eastAsia" w:ascii="宋体" w:hAnsi="宋体" w:cs="宋体"/>
                <w:color w:val="auto"/>
                <w:highlight w:val="none"/>
                <w:lang w:val="en-US" w:eastAsia="zh-CN"/>
              </w:rPr>
              <w:t>0-5.0</w:t>
            </w:r>
          </w:p>
        </w:tc>
        <w:tc>
          <w:tcPr>
            <w:tcW w:w="904" w:type="dxa"/>
            <w:noWrap w:val="0"/>
            <w:vAlign w:val="center"/>
          </w:tcPr>
          <w:p w14:paraId="3ECE293B">
            <w:pPr>
              <w:pStyle w:val="18"/>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highlight w:val="none"/>
                <w:lang w:val="en-US" w:eastAsia="zh-CN"/>
              </w:rPr>
              <w:t>客观分</w:t>
            </w:r>
          </w:p>
        </w:tc>
      </w:tr>
      <w:tr w14:paraId="6C81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645" w:type="dxa"/>
            <w:noWrap w:val="0"/>
            <w:vAlign w:val="center"/>
          </w:tcPr>
          <w:p w14:paraId="0DB963B4">
            <w:pPr>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11</w:t>
            </w:r>
          </w:p>
        </w:tc>
        <w:tc>
          <w:tcPr>
            <w:tcW w:w="1560" w:type="dxa"/>
            <w:noWrap w:val="0"/>
            <w:vAlign w:val="center"/>
          </w:tcPr>
          <w:p w14:paraId="25C7E928">
            <w:pPr>
              <w:spacing w:line="276" w:lineRule="auto"/>
              <w:jc w:val="center"/>
              <w:rPr>
                <w:rFonts w:hint="eastAsia" w:ascii="宋体" w:hAnsi="宋体" w:cs="宋体"/>
                <w:color w:val="auto"/>
                <w:kern w:val="0"/>
                <w:highlight w:val="none"/>
              </w:rPr>
            </w:pPr>
            <w:r>
              <w:rPr>
                <w:rFonts w:hint="eastAsia" w:ascii="宋体" w:hAnsi="宋体" w:cs="宋体"/>
                <w:color w:val="auto"/>
                <w:kern w:val="0"/>
                <w:highlight w:val="none"/>
              </w:rPr>
              <w:t>充电机恒功率范围</w:t>
            </w:r>
          </w:p>
        </w:tc>
        <w:tc>
          <w:tcPr>
            <w:tcW w:w="5520" w:type="dxa"/>
            <w:noWrap w:val="0"/>
            <w:vAlign w:val="center"/>
          </w:tcPr>
          <w:p w14:paraId="22866A7C">
            <w:pPr>
              <w:pStyle w:val="18"/>
              <w:spacing w:line="360" w:lineRule="auto"/>
              <w:jc w:val="both"/>
              <w:rPr>
                <w:rFonts w:hint="eastAsia"/>
                <w:color w:val="auto"/>
                <w:highlight w:val="none"/>
              </w:rPr>
            </w:pPr>
            <w:r>
              <w:rPr>
                <w:rFonts w:hint="eastAsia" w:ascii="宋体" w:hAnsi="宋体" w:eastAsia="宋体" w:cs="宋体"/>
                <w:bCs/>
                <w:color w:val="auto"/>
                <w:highlight w:val="none"/>
              </w:rPr>
              <w:t>恒功率段不允许出现功率回缩。提供具备CMA及CNAS资质的</w:t>
            </w:r>
            <w:r>
              <w:rPr>
                <w:rFonts w:hint="eastAsia" w:ascii="宋体" w:hAnsi="宋体" w:eastAsia="宋体" w:cs="宋体"/>
                <w:bCs/>
                <w:color w:val="auto"/>
                <w:kern w:val="2"/>
                <w:sz w:val="21"/>
                <w:szCs w:val="21"/>
                <w:highlight w:val="none"/>
                <w:lang w:val="en-US" w:eastAsia="zh-CN" w:bidi="ar-SA"/>
              </w:rPr>
              <w:t>第三方检验机构</w:t>
            </w:r>
            <w:r>
              <w:rPr>
                <w:rFonts w:hint="eastAsia" w:ascii="宋体" w:hAnsi="宋体" w:eastAsia="宋体" w:cs="宋体"/>
                <w:bCs/>
                <w:color w:val="auto"/>
                <w:highlight w:val="none"/>
              </w:rPr>
              <w:t>出具的120KW以上试验检测报告并在报告中体现。300vdc—1000vdc得6分，300vdc-750vdc得4分，400vdc-750vdc得2分，其余得1分，未在以上区间的不得分。</w:t>
            </w:r>
          </w:p>
        </w:tc>
        <w:tc>
          <w:tcPr>
            <w:tcW w:w="900" w:type="dxa"/>
            <w:noWrap w:val="0"/>
            <w:vAlign w:val="center"/>
          </w:tcPr>
          <w:p w14:paraId="371AA0FA">
            <w:pPr>
              <w:spacing w:line="276" w:lineRule="auto"/>
              <w:jc w:val="center"/>
              <w:rPr>
                <w:rFonts w:hint="default" w:ascii="宋体" w:hAnsi="宋体" w:eastAsia="宋体" w:cs="宋体"/>
                <w:color w:val="auto"/>
                <w:highlight w:val="none"/>
                <w:lang w:val="en-US" w:eastAsia="zh-CN"/>
              </w:rPr>
            </w:pPr>
            <w:r>
              <w:rPr>
                <w:rFonts w:hint="eastAsia" w:ascii="宋体" w:hAnsi="宋体" w:cs="宋体"/>
                <w:color w:val="auto"/>
                <w:kern w:val="0"/>
                <w:highlight w:val="none"/>
                <w:lang w:val="en-US" w:eastAsia="zh-CN"/>
              </w:rPr>
              <w:t>0-6.0</w:t>
            </w:r>
          </w:p>
        </w:tc>
        <w:tc>
          <w:tcPr>
            <w:tcW w:w="904" w:type="dxa"/>
            <w:noWrap w:val="0"/>
            <w:vAlign w:val="center"/>
          </w:tcPr>
          <w:p w14:paraId="63829D25">
            <w:pPr>
              <w:pStyle w:val="18"/>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客观分</w:t>
            </w:r>
          </w:p>
        </w:tc>
      </w:tr>
      <w:tr w14:paraId="67414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645" w:type="dxa"/>
            <w:noWrap w:val="0"/>
            <w:vAlign w:val="center"/>
          </w:tcPr>
          <w:p w14:paraId="5A34334F">
            <w:pPr>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12</w:t>
            </w:r>
          </w:p>
        </w:tc>
        <w:tc>
          <w:tcPr>
            <w:tcW w:w="1560" w:type="dxa"/>
            <w:noWrap w:val="0"/>
            <w:vAlign w:val="center"/>
          </w:tcPr>
          <w:p w14:paraId="3F604DC1">
            <w:pPr>
              <w:spacing w:line="276" w:lineRule="auto"/>
              <w:jc w:val="center"/>
              <w:rPr>
                <w:rFonts w:hint="eastAsia" w:ascii="宋体" w:hAnsi="宋体" w:eastAsia="宋体" w:cs="宋体"/>
                <w:bCs/>
                <w:color w:val="auto"/>
                <w:highlight w:val="none"/>
              </w:rPr>
            </w:pPr>
            <w:r>
              <w:rPr>
                <w:rFonts w:hint="eastAsia" w:ascii="宋体" w:hAnsi="宋体" w:cs="宋体"/>
                <w:color w:val="auto"/>
                <w:kern w:val="0"/>
                <w:highlight w:val="none"/>
              </w:rPr>
              <w:t>效率（满载）</w:t>
            </w:r>
          </w:p>
        </w:tc>
        <w:tc>
          <w:tcPr>
            <w:tcW w:w="5520" w:type="dxa"/>
            <w:noWrap w:val="0"/>
            <w:vAlign w:val="center"/>
          </w:tcPr>
          <w:p w14:paraId="3E48E5F8">
            <w:pPr>
              <w:spacing w:line="360" w:lineRule="auto"/>
              <w:rPr>
                <w:rFonts w:hint="eastAsia" w:ascii="宋体" w:hAnsi="宋体" w:eastAsia="宋体" w:cs="宋体"/>
                <w:bCs/>
                <w:color w:val="auto"/>
                <w:highlight w:val="none"/>
              </w:rPr>
            </w:pPr>
            <w:r>
              <w:rPr>
                <w:rFonts w:hint="eastAsia" w:ascii="宋体" w:hAnsi="宋体" w:cs="宋体"/>
                <w:color w:val="auto"/>
                <w:kern w:val="0"/>
                <w:highlight w:val="none"/>
              </w:rPr>
              <w:t>满载工作效率≥9</w:t>
            </w:r>
            <w:r>
              <w:rPr>
                <w:rFonts w:ascii="宋体" w:hAnsi="宋体" w:cs="宋体"/>
                <w:color w:val="auto"/>
                <w:kern w:val="0"/>
                <w:highlight w:val="none"/>
              </w:rPr>
              <w:t>4</w:t>
            </w:r>
            <w:r>
              <w:rPr>
                <w:rFonts w:hint="eastAsia" w:ascii="宋体" w:hAnsi="宋体" w:cs="宋体"/>
                <w:color w:val="auto"/>
                <w:kern w:val="0"/>
                <w:highlight w:val="none"/>
              </w:rPr>
              <w:t>%，须提供具备CMA及CNAS资质的第三方检验机构出具的≥120KW的检测报告。</w:t>
            </w:r>
            <w:r>
              <w:rPr>
                <w:rFonts w:hint="eastAsia" w:ascii="宋体" w:hAnsi="宋体" w:cs="宋体"/>
                <w:color w:val="auto"/>
                <w:kern w:val="0"/>
                <w:highlight w:val="none"/>
                <w:lang w:val="en-US" w:eastAsia="zh-CN"/>
              </w:rPr>
              <w:t>否则</w:t>
            </w:r>
            <w:r>
              <w:rPr>
                <w:rFonts w:hint="eastAsia" w:ascii="宋体" w:hAnsi="宋体" w:cs="宋体"/>
                <w:color w:val="auto"/>
                <w:kern w:val="0"/>
                <w:highlight w:val="none"/>
              </w:rPr>
              <w:t>不得分。</w:t>
            </w:r>
          </w:p>
        </w:tc>
        <w:tc>
          <w:tcPr>
            <w:tcW w:w="900" w:type="dxa"/>
            <w:noWrap w:val="0"/>
            <w:vAlign w:val="center"/>
          </w:tcPr>
          <w:p w14:paraId="4D2E9687">
            <w:pPr>
              <w:widowControl/>
              <w:spacing w:line="400" w:lineRule="exact"/>
              <w:jc w:val="center"/>
              <w:rPr>
                <w:rFonts w:hint="eastAsia" w:ascii="宋体" w:hAnsi="宋体" w:cs="宋体"/>
                <w:color w:val="auto"/>
                <w:highlight w:val="none"/>
                <w:lang w:val="en-US" w:eastAsia="zh-CN"/>
              </w:rPr>
            </w:pPr>
            <w:r>
              <w:rPr>
                <w:rFonts w:hint="eastAsia" w:ascii="宋体" w:hAnsi="宋体" w:cs="宋体"/>
                <w:color w:val="auto"/>
                <w:highlight w:val="none"/>
              </w:rPr>
              <w:t>0-</w:t>
            </w:r>
            <w:r>
              <w:rPr>
                <w:rFonts w:hint="eastAsia" w:ascii="宋体" w:hAnsi="宋体" w:cs="宋体"/>
                <w:color w:val="auto"/>
                <w:highlight w:val="none"/>
                <w:lang w:val="en-US" w:eastAsia="zh-CN"/>
              </w:rPr>
              <w:t>3.0</w:t>
            </w:r>
          </w:p>
        </w:tc>
        <w:tc>
          <w:tcPr>
            <w:tcW w:w="904" w:type="dxa"/>
            <w:noWrap w:val="0"/>
            <w:vAlign w:val="center"/>
          </w:tcPr>
          <w:p w14:paraId="1F4DF7C8">
            <w:pPr>
              <w:pStyle w:val="18"/>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客观分</w:t>
            </w:r>
          </w:p>
        </w:tc>
      </w:tr>
      <w:tr w14:paraId="7FBA7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645" w:type="dxa"/>
            <w:noWrap w:val="0"/>
            <w:vAlign w:val="center"/>
          </w:tcPr>
          <w:p w14:paraId="4EE69EB0">
            <w:pPr>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13</w:t>
            </w:r>
          </w:p>
        </w:tc>
        <w:tc>
          <w:tcPr>
            <w:tcW w:w="1560" w:type="dxa"/>
            <w:noWrap w:val="0"/>
            <w:vAlign w:val="center"/>
          </w:tcPr>
          <w:p w14:paraId="021A5469">
            <w:pPr>
              <w:pStyle w:val="18"/>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直流充电机</w:t>
            </w:r>
          </w:p>
          <w:p w14:paraId="5DB83948">
            <w:pPr>
              <w:pStyle w:val="18"/>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参数</w:t>
            </w:r>
          </w:p>
        </w:tc>
        <w:tc>
          <w:tcPr>
            <w:tcW w:w="5520" w:type="dxa"/>
            <w:noWrap w:val="0"/>
            <w:vAlign w:val="center"/>
          </w:tcPr>
          <w:p w14:paraId="5BFA509D">
            <w:pPr>
              <w:pStyle w:val="18"/>
              <w:spacing w:line="360" w:lineRule="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由评标委员会根据直流充电机技术参数响应情况打分。优秀得6分、良好得3分、一般得2分，</w:t>
            </w:r>
            <w:r>
              <w:rPr>
                <w:rFonts w:hint="eastAsia" w:ascii="宋体" w:hAnsi="宋体" w:eastAsia="宋体" w:cs="宋体"/>
                <w:color w:val="auto"/>
                <w:sz w:val="21"/>
                <w:szCs w:val="21"/>
                <w:highlight w:val="none"/>
                <w:lang w:eastAsia="zh-Hans"/>
              </w:rPr>
              <w:t>不满足得0分。</w:t>
            </w:r>
          </w:p>
        </w:tc>
        <w:tc>
          <w:tcPr>
            <w:tcW w:w="900" w:type="dxa"/>
            <w:noWrap w:val="0"/>
            <w:vAlign w:val="center"/>
          </w:tcPr>
          <w:p w14:paraId="72E2B3E1">
            <w:pPr>
              <w:spacing w:line="276" w:lineRule="auto"/>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0-6.0</w:t>
            </w:r>
          </w:p>
        </w:tc>
        <w:tc>
          <w:tcPr>
            <w:tcW w:w="904" w:type="dxa"/>
            <w:noWrap w:val="0"/>
            <w:vAlign w:val="center"/>
          </w:tcPr>
          <w:p w14:paraId="5967801F">
            <w:pPr>
              <w:pStyle w:val="18"/>
              <w:jc w:val="center"/>
              <w:rPr>
                <w:rFonts w:hint="eastAsia" w:ascii="宋体" w:hAnsi="宋体" w:eastAsia="宋体" w:cs="宋体"/>
                <w:color w:val="auto"/>
                <w:highlight w:val="none"/>
                <w:lang w:val="en-US" w:eastAsia="zh-CN"/>
              </w:rPr>
            </w:pPr>
            <w:r>
              <w:rPr>
                <w:rFonts w:hint="eastAsia" w:ascii="宋体" w:hAnsi="宋体" w:eastAsia="宋体" w:cs="宋体"/>
                <w:color w:val="auto"/>
                <w:sz w:val="21"/>
                <w:szCs w:val="21"/>
                <w:highlight w:val="none"/>
                <w:lang w:val="en-US" w:eastAsia="zh-CN"/>
              </w:rPr>
              <w:t>主观分</w:t>
            </w:r>
          </w:p>
        </w:tc>
      </w:tr>
      <w:tr w14:paraId="5988A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5" w:type="dxa"/>
            <w:noWrap w:val="0"/>
            <w:vAlign w:val="center"/>
          </w:tcPr>
          <w:p w14:paraId="7218E1C2">
            <w:pPr>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14</w:t>
            </w:r>
          </w:p>
        </w:tc>
        <w:tc>
          <w:tcPr>
            <w:tcW w:w="1560" w:type="dxa"/>
            <w:noWrap w:val="0"/>
            <w:vAlign w:val="center"/>
          </w:tcPr>
          <w:p w14:paraId="61426993">
            <w:pPr>
              <w:pStyle w:val="18"/>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充电系统</w:t>
            </w:r>
          </w:p>
          <w:p w14:paraId="6B36ECF2">
            <w:pPr>
              <w:pStyle w:val="18"/>
              <w:spacing w:line="360" w:lineRule="auto"/>
              <w:jc w:val="center"/>
              <w:rPr>
                <w:rFonts w:hint="eastAsia" w:ascii="宋体" w:hAnsi="宋体" w:eastAsia="宋体" w:cs="宋体"/>
                <w:bCs/>
                <w:color w:val="auto"/>
                <w:highlight w:val="none"/>
              </w:rPr>
            </w:pPr>
            <w:r>
              <w:rPr>
                <w:rFonts w:hint="eastAsia" w:ascii="宋体" w:hAnsi="宋体" w:eastAsia="宋体" w:cs="宋体"/>
                <w:bCs/>
                <w:color w:val="auto"/>
                <w:highlight w:val="none"/>
              </w:rPr>
              <w:t>建设方案</w:t>
            </w:r>
          </w:p>
        </w:tc>
        <w:tc>
          <w:tcPr>
            <w:tcW w:w="5520" w:type="dxa"/>
            <w:noWrap w:val="0"/>
            <w:vAlign w:val="center"/>
          </w:tcPr>
          <w:p w14:paraId="0F31D820">
            <w:pPr>
              <w:pStyle w:val="18"/>
              <w:spacing w:line="360" w:lineRule="auto"/>
              <w:rPr>
                <w:rFonts w:hint="eastAsia" w:ascii="宋体" w:hAnsi="宋体" w:eastAsia="宋体" w:cs="宋体"/>
                <w:color w:val="auto"/>
                <w:sz w:val="21"/>
                <w:szCs w:val="21"/>
                <w:highlight w:val="none"/>
              </w:rPr>
            </w:pPr>
            <w:r>
              <w:rPr>
                <w:rFonts w:hint="eastAsia" w:hAnsi="宋体" w:cs="宋体"/>
                <w:bCs/>
                <w:color w:val="auto"/>
                <w:highlight w:val="none"/>
              </w:rPr>
              <w:t>根据投标人提供技术方案的科学性、合理性、可行性综合评分。</w:t>
            </w:r>
          </w:p>
        </w:tc>
        <w:tc>
          <w:tcPr>
            <w:tcW w:w="900" w:type="dxa"/>
            <w:noWrap w:val="0"/>
            <w:vAlign w:val="center"/>
          </w:tcPr>
          <w:p w14:paraId="3ADFCF1D">
            <w:pPr>
              <w:widowControl/>
              <w:spacing w:line="40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0-5.0</w:t>
            </w:r>
          </w:p>
        </w:tc>
        <w:tc>
          <w:tcPr>
            <w:tcW w:w="904" w:type="dxa"/>
            <w:noWrap w:val="0"/>
            <w:vAlign w:val="center"/>
          </w:tcPr>
          <w:p w14:paraId="6A43EA3C">
            <w:pPr>
              <w:pStyle w:val="18"/>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highlight w:val="none"/>
                <w:lang w:val="en-US" w:eastAsia="zh-CN"/>
              </w:rPr>
              <w:t>主观分</w:t>
            </w:r>
          </w:p>
        </w:tc>
      </w:tr>
      <w:tr w14:paraId="71928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645" w:type="dxa"/>
            <w:noWrap w:val="0"/>
            <w:vAlign w:val="center"/>
          </w:tcPr>
          <w:p w14:paraId="68C7A14B">
            <w:pPr>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15</w:t>
            </w:r>
          </w:p>
        </w:tc>
        <w:tc>
          <w:tcPr>
            <w:tcW w:w="1560" w:type="dxa"/>
            <w:noWrap w:val="0"/>
            <w:vAlign w:val="center"/>
          </w:tcPr>
          <w:p w14:paraId="24EF9001">
            <w:pPr>
              <w:jc w:val="center"/>
              <w:rPr>
                <w:rFonts w:hint="eastAsia" w:ascii="宋体" w:hAnsi="宋体" w:eastAsia="宋体" w:cs="宋体"/>
                <w:color w:val="auto"/>
                <w:sz w:val="21"/>
                <w:szCs w:val="21"/>
                <w:highlight w:val="none"/>
                <w:lang w:eastAsia="zh-Hans"/>
              </w:rPr>
            </w:pPr>
            <w:r>
              <w:rPr>
                <w:rFonts w:hint="eastAsia" w:ascii="宋体" w:hAnsi="宋体" w:cs="宋体"/>
                <w:bCs/>
                <w:color w:val="auto"/>
                <w:highlight w:val="none"/>
              </w:rPr>
              <w:t>质量保证方案</w:t>
            </w:r>
          </w:p>
        </w:tc>
        <w:tc>
          <w:tcPr>
            <w:tcW w:w="5520" w:type="dxa"/>
            <w:noWrap w:val="0"/>
            <w:vAlign w:val="center"/>
          </w:tcPr>
          <w:p w14:paraId="0CFC74A8">
            <w:pPr>
              <w:pStyle w:val="18"/>
              <w:spacing w:line="360" w:lineRule="auto"/>
              <w:rPr>
                <w:rFonts w:hint="eastAsia" w:hAnsi="宋体" w:cs="宋体"/>
                <w:bCs/>
                <w:color w:val="auto"/>
                <w:highlight w:val="none"/>
              </w:rPr>
            </w:pPr>
            <w:r>
              <w:rPr>
                <w:rFonts w:hint="eastAsia" w:hAnsi="宋体" w:cs="宋体"/>
                <w:bCs/>
                <w:color w:val="auto"/>
                <w:highlight w:val="none"/>
              </w:rPr>
              <w:t>根据投标人拟供产品的综合质量、安全性能、经久耐用等方面进行评审。评审结果分优秀、良好、一般三档打分，优秀得5分、良好得3分、一般得2分，未提供或提供的内容缺失或不合理的得0分。</w:t>
            </w:r>
          </w:p>
        </w:tc>
        <w:tc>
          <w:tcPr>
            <w:tcW w:w="900" w:type="dxa"/>
            <w:noWrap w:val="0"/>
            <w:vAlign w:val="center"/>
          </w:tcPr>
          <w:p w14:paraId="74342D8E">
            <w:pPr>
              <w:widowControl/>
              <w:spacing w:line="400" w:lineRule="exact"/>
              <w:jc w:val="center"/>
              <w:rPr>
                <w:rFonts w:hint="eastAsia" w:ascii="宋体" w:hAnsi="宋体" w:cs="宋体"/>
                <w:color w:val="auto"/>
                <w:highlight w:val="none"/>
                <w:lang w:val="en-US" w:eastAsia="zh-CN"/>
              </w:rPr>
            </w:pPr>
            <w:r>
              <w:rPr>
                <w:rFonts w:hint="eastAsia" w:ascii="宋体" w:hAnsi="宋体" w:cs="宋体"/>
                <w:color w:val="auto"/>
                <w:highlight w:val="none"/>
                <w:lang w:val="en-US" w:eastAsia="zh-CN"/>
              </w:rPr>
              <w:t>0-5.0</w:t>
            </w:r>
          </w:p>
        </w:tc>
        <w:tc>
          <w:tcPr>
            <w:tcW w:w="904" w:type="dxa"/>
            <w:noWrap w:val="0"/>
            <w:vAlign w:val="center"/>
          </w:tcPr>
          <w:p w14:paraId="613E69B9">
            <w:pPr>
              <w:pStyle w:val="18"/>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主观分</w:t>
            </w:r>
          </w:p>
        </w:tc>
      </w:tr>
      <w:tr w14:paraId="29669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645" w:type="dxa"/>
            <w:noWrap w:val="0"/>
            <w:vAlign w:val="center"/>
          </w:tcPr>
          <w:p w14:paraId="0337A1C9">
            <w:pPr>
              <w:widowControl/>
              <w:jc w:val="center"/>
              <w:rPr>
                <w:rFonts w:hint="default" w:ascii="宋体" w:hAnsi="宋体" w:cs="宋体"/>
                <w:color w:val="auto"/>
                <w:highlight w:val="none"/>
                <w:lang w:val="en-US" w:eastAsia="zh-CN"/>
              </w:rPr>
            </w:pPr>
            <w:r>
              <w:rPr>
                <w:rFonts w:hint="eastAsia" w:ascii="宋体" w:hAnsi="宋体" w:cs="宋体"/>
                <w:color w:val="auto"/>
                <w:highlight w:val="none"/>
                <w:lang w:val="en-US" w:eastAsia="zh-CN"/>
              </w:rPr>
              <w:t>16</w:t>
            </w:r>
          </w:p>
        </w:tc>
        <w:tc>
          <w:tcPr>
            <w:tcW w:w="1560" w:type="dxa"/>
            <w:noWrap w:val="0"/>
            <w:vAlign w:val="center"/>
          </w:tcPr>
          <w:p w14:paraId="5A9DA6D3">
            <w:pPr>
              <w:widowControl/>
              <w:spacing w:line="360" w:lineRule="exact"/>
              <w:jc w:val="center"/>
              <w:rPr>
                <w:rFonts w:hint="eastAsia" w:ascii="宋体" w:hAnsi="宋体" w:cs="宋体"/>
                <w:color w:val="auto"/>
                <w:sz w:val="21"/>
                <w:szCs w:val="21"/>
                <w:highlight w:val="none"/>
              </w:rPr>
            </w:pPr>
            <w:r>
              <w:rPr>
                <w:rFonts w:hint="eastAsia" w:ascii="宋体" w:hAnsi="宋体" w:eastAsia="宋体" w:cs="宋体"/>
                <w:color w:val="auto"/>
                <w:sz w:val="21"/>
                <w:szCs w:val="21"/>
                <w:highlight w:val="none"/>
                <w:lang w:eastAsia="zh-Hans"/>
              </w:rPr>
              <w:t>售后保障方案</w:t>
            </w:r>
          </w:p>
        </w:tc>
        <w:tc>
          <w:tcPr>
            <w:tcW w:w="5520" w:type="dxa"/>
            <w:noWrap w:val="0"/>
            <w:vAlign w:val="center"/>
          </w:tcPr>
          <w:p w14:paraId="41A2CBD1">
            <w:pPr>
              <w:pStyle w:val="18"/>
              <w:spacing w:line="360" w:lineRule="auto"/>
              <w:rPr>
                <w:rFonts w:hint="eastAsia" w:ascii="宋体" w:hAnsi="宋体" w:eastAsia="宋体" w:cs="Courier New"/>
                <w:bCs/>
                <w:color w:val="auto"/>
                <w:sz w:val="21"/>
                <w:szCs w:val="21"/>
                <w:highlight w:val="none"/>
                <w:lang w:val="en-US" w:eastAsia="zh-CN"/>
              </w:rPr>
            </w:pPr>
            <w:r>
              <w:rPr>
                <w:rFonts w:hint="eastAsia" w:hAnsi="宋体" w:cs="宋体"/>
                <w:bCs/>
                <w:color w:val="auto"/>
                <w:highlight w:val="none"/>
              </w:rPr>
              <w:t>投标人能提供完善售后服务及培训方案，对普通操作人员培训及用户技术支持，培训内容和计划不限于包括目标、课程、教材、时间、培训对象等。评标人根据投标人提供的售后服务方案文件的完整性进行评审。</w:t>
            </w:r>
          </w:p>
        </w:tc>
        <w:tc>
          <w:tcPr>
            <w:tcW w:w="900" w:type="dxa"/>
            <w:noWrap w:val="0"/>
            <w:vAlign w:val="center"/>
          </w:tcPr>
          <w:p w14:paraId="254E9D82">
            <w:pPr>
              <w:widowControl/>
              <w:spacing w:line="400" w:lineRule="exact"/>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0-5.0</w:t>
            </w:r>
          </w:p>
        </w:tc>
        <w:tc>
          <w:tcPr>
            <w:tcW w:w="904" w:type="dxa"/>
            <w:noWrap w:val="0"/>
            <w:vAlign w:val="center"/>
          </w:tcPr>
          <w:p w14:paraId="386FE5D2">
            <w:pPr>
              <w:pStyle w:val="18"/>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主观分</w:t>
            </w:r>
          </w:p>
        </w:tc>
      </w:tr>
      <w:tr w14:paraId="0B7D3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45" w:type="dxa"/>
            <w:noWrap w:val="0"/>
            <w:vAlign w:val="center"/>
          </w:tcPr>
          <w:p w14:paraId="3BC43B70">
            <w:pPr>
              <w:jc w:val="center"/>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kern w:val="0"/>
                <w:highlight w:val="none"/>
                <w:lang w:val="en-US" w:eastAsia="zh-CN"/>
              </w:rPr>
              <w:t>二</w:t>
            </w:r>
          </w:p>
        </w:tc>
        <w:tc>
          <w:tcPr>
            <w:tcW w:w="1560" w:type="dxa"/>
            <w:noWrap w:val="0"/>
            <w:vAlign w:val="center"/>
          </w:tcPr>
          <w:p w14:paraId="1D82B409">
            <w:pPr>
              <w:jc w:val="center"/>
              <w:rPr>
                <w:rFonts w:hint="eastAsia" w:ascii="宋体" w:hAnsi="宋体" w:eastAsia="宋体" w:cs="宋体"/>
                <w:bCs/>
                <w:color w:val="auto"/>
                <w:sz w:val="21"/>
                <w:szCs w:val="21"/>
                <w:highlight w:val="none"/>
                <w:lang w:val="en-US" w:eastAsia="zh-CN"/>
              </w:rPr>
            </w:pPr>
            <w:r>
              <w:rPr>
                <w:rFonts w:hint="eastAsia" w:ascii="新宋体" w:hAnsi="新宋体" w:eastAsia="新宋体"/>
                <w:color w:val="auto"/>
                <w:szCs w:val="21"/>
                <w:highlight w:val="none"/>
              </w:rPr>
              <w:t>商务报价分</w:t>
            </w:r>
          </w:p>
        </w:tc>
        <w:tc>
          <w:tcPr>
            <w:tcW w:w="5520" w:type="dxa"/>
            <w:noWrap w:val="0"/>
            <w:vAlign w:val="center"/>
          </w:tcPr>
          <w:p w14:paraId="413C8D43">
            <w:pPr>
              <w:pStyle w:val="18"/>
              <w:spacing w:line="360" w:lineRule="auto"/>
              <w:rPr>
                <w:rFonts w:hint="eastAsia" w:ascii="宋体" w:hAnsi="宋体" w:eastAsia="宋体" w:cs="Times New Roman"/>
                <w:b/>
                <w:bCs w:val="0"/>
                <w:color w:val="auto"/>
                <w:sz w:val="21"/>
                <w:szCs w:val="21"/>
                <w:highlight w:val="none"/>
                <w:lang w:val="en-US" w:eastAsia="zh-CN"/>
              </w:rPr>
            </w:pPr>
            <w:r>
              <w:rPr>
                <w:rFonts w:hint="eastAsia" w:ascii="宋体" w:hAnsi="宋体" w:eastAsia="宋体" w:cs="Times New Roman"/>
                <w:b/>
                <w:bCs w:val="0"/>
                <w:color w:val="auto"/>
                <w:sz w:val="21"/>
                <w:szCs w:val="21"/>
                <w:highlight w:val="none"/>
                <w:lang w:val="en-US" w:eastAsia="zh-CN"/>
              </w:rPr>
              <w:t>投标报价==投标总价</w:t>
            </w:r>
          </w:p>
          <w:p w14:paraId="0E78F585">
            <w:pPr>
              <w:pStyle w:val="18"/>
              <w:spacing w:line="360" w:lineRule="auto"/>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1.以满足招标文件要求且投标总价最低的投标报价为评标基准价，其商务报价得分为满分。</w:t>
            </w:r>
          </w:p>
          <w:p w14:paraId="34860A60">
            <w:pPr>
              <w:pStyle w:val="18"/>
              <w:spacing w:line="360" w:lineRule="auto"/>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2.其他投标人的商务报价分统一按照下列公式计算：</w:t>
            </w:r>
          </w:p>
          <w:p w14:paraId="13F8320E">
            <w:pPr>
              <w:pStyle w:val="18"/>
              <w:spacing w:line="360" w:lineRule="auto"/>
              <w:rPr>
                <w:rFonts w:hint="eastAsia" w:ascii="宋体" w:hAnsi="宋体" w:eastAsia="宋体" w:cs="Times New Roman"/>
                <w:bCs/>
                <w:color w:val="auto"/>
                <w:sz w:val="21"/>
                <w:szCs w:val="21"/>
                <w:highlight w:val="none"/>
                <w:lang w:val="en-US" w:eastAsia="zh-CN"/>
              </w:rPr>
            </w:pPr>
            <w:r>
              <w:rPr>
                <w:rFonts w:hint="eastAsia" w:ascii="宋体" w:hAnsi="宋体" w:eastAsia="宋体" w:cs="Times New Roman"/>
                <w:bCs/>
                <w:color w:val="auto"/>
                <w:sz w:val="21"/>
                <w:szCs w:val="21"/>
                <w:highlight w:val="none"/>
                <w:lang w:val="en-US" w:eastAsia="zh-CN"/>
              </w:rPr>
              <w:t>商务报价分＝（评标基准价／投标报价）×40，计算结果保留2位小数（第三位小数四舍五入）</w:t>
            </w:r>
          </w:p>
        </w:tc>
        <w:tc>
          <w:tcPr>
            <w:tcW w:w="900" w:type="dxa"/>
            <w:noWrap w:val="0"/>
            <w:vAlign w:val="center"/>
          </w:tcPr>
          <w:p w14:paraId="103AD70E">
            <w:pPr>
              <w:pStyle w:val="18"/>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40</w:t>
            </w:r>
          </w:p>
        </w:tc>
        <w:tc>
          <w:tcPr>
            <w:tcW w:w="904" w:type="dxa"/>
            <w:noWrap w:val="0"/>
            <w:vAlign w:val="center"/>
          </w:tcPr>
          <w:p w14:paraId="0C05DBD4">
            <w:pPr>
              <w:pStyle w:val="18"/>
              <w:jc w:val="center"/>
              <w:rPr>
                <w:rFonts w:hint="eastAsia" w:ascii="宋体" w:hAnsi="宋体" w:eastAsia="宋体" w:cs="宋体"/>
                <w:color w:val="auto"/>
                <w:highlight w:val="none"/>
                <w:lang w:val="en-US" w:eastAsia="zh-CN"/>
              </w:rPr>
            </w:pPr>
          </w:p>
        </w:tc>
      </w:tr>
      <w:tr w14:paraId="191AF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645" w:type="dxa"/>
            <w:noWrap w:val="0"/>
            <w:vAlign w:val="center"/>
          </w:tcPr>
          <w:p w14:paraId="3B52C232">
            <w:pPr>
              <w:jc w:val="center"/>
              <w:rPr>
                <w:rFonts w:hint="default" w:ascii="宋体" w:hAnsi="宋体" w:eastAsia="宋体" w:cs="宋体"/>
                <w:color w:val="auto"/>
                <w:kern w:val="0"/>
                <w:highlight w:val="none"/>
                <w:lang w:val="en-US" w:eastAsia="zh-CN"/>
              </w:rPr>
            </w:pPr>
            <w:r>
              <w:rPr>
                <w:rFonts w:hint="eastAsia" w:ascii="宋体" w:hAnsi="宋体" w:eastAsia="宋体" w:cs="宋体"/>
                <w:color w:val="auto"/>
                <w:kern w:val="0"/>
                <w:highlight w:val="none"/>
                <w:lang w:val="en-US" w:eastAsia="zh-CN"/>
              </w:rPr>
              <w:t>三</w:t>
            </w:r>
          </w:p>
        </w:tc>
        <w:tc>
          <w:tcPr>
            <w:tcW w:w="1560" w:type="dxa"/>
            <w:noWrap w:val="0"/>
            <w:vAlign w:val="center"/>
          </w:tcPr>
          <w:p w14:paraId="58072B39">
            <w:pPr>
              <w:jc w:val="center"/>
              <w:rPr>
                <w:rFonts w:hint="eastAsia" w:ascii="宋体" w:hAnsi="宋体"/>
                <w:color w:val="auto"/>
                <w:kern w:val="2"/>
                <w:sz w:val="21"/>
                <w:szCs w:val="21"/>
                <w:highlight w:val="none"/>
                <w:lang w:val="en-US" w:eastAsia="zh-CN" w:bidi="ar-SA"/>
              </w:rPr>
            </w:pPr>
            <w:r>
              <w:rPr>
                <w:rFonts w:hint="eastAsia" w:ascii="新宋体" w:hAnsi="新宋体" w:eastAsia="新宋体"/>
                <w:color w:val="auto"/>
                <w:szCs w:val="21"/>
                <w:highlight w:val="none"/>
              </w:rPr>
              <w:t>综合得分</w:t>
            </w:r>
          </w:p>
        </w:tc>
        <w:tc>
          <w:tcPr>
            <w:tcW w:w="5520" w:type="dxa"/>
            <w:noWrap w:val="0"/>
            <w:vAlign w:val="center"/>
          </w:tcPr>
          <w:p w14:paraId="49EEB222">
            <w:pPr>
              <w:rPr>
                <w:rFonts w:hint="eastAsia" w:cs="仿宋"/>
                <w:color w:val="auto"/>
                <w:kern w:val="2"/>
                <w:sz w:val="21"/>
                <w:szCs w:val="21"/>
                <w:highlight w:val="none"/>
                <w:lang w:val="en-US" w:eastAsia="zh-CN" w:bidi="ar-SA"/>
              </w:rPr>
            </w:pPr>
            <w:r>
              <w:rPr>
                <w:rFonts w:hint="eastAsia" w:ascii="新宋体" w:hAnsi="新宋体" w:eastAsia="新宋体"/>
                <w:color w:val="auto"/>
                <w:szCs w:val="21"/>
                <w:highlight w:val="none"/>
              </w:rPr>
              <w:t>投标人综合得分=技术分+商务报价分</w:t>
            </w:r>
          </w:p>
        </w:tc>
        <w:tc>
          <w:tcPr>
            <w:tcW w:w="900" w:type="dxa"/>
            <w:noWrap w:val="0"/>
            <w:vAlign w:val="center"/>
          </w:tcPr>
          <w:p w14:paraId="596C5DFF">
            <w:pPr>
              <w:pStyle w:val="18"/>
              <w:jc w:val="center"/>
              <w:rPr>
                <w:rFonts w:hint="default"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100</w:t>
            </w:r>
          </w:p>
        </w:tc>
        <w:tc>
          <w:tcPr>
            <w:tcW w:w="904" w:type="dxa"/>
            <w:noWrap w:val="0"/>
            <w:vAlign w:val="center"/>
          </w:tcPr>
          <w:p w14:paraId="6B39AAF6">
            <w:pPr>
              <w:pStyle w:val="18"/>
              <w:jc w:val="center"/>
              <w:rPr>
                <w:rFonts w:hint="eastAsia" w:ascii="宋体" w:hAnsi="宋体" w:eastAsia="宋体" w:cs="宋体"/>
                <w:color w:val="auto"/>
                <w:highlight w:val="none"/>
                <w:lang w:val="en-US" w:eastAsia="zh-CN"/>
              </w:rPr>
            </w:pPr>
          </w:p>
        </w:tc>
      </w:tr>
    </w:tbl>
    <w:p w14:paraId="2B6A4283">
      <w:pPr>
        <w:rPr>
          <w:rFonts w:hint="eastAsia" w:ascii="宋体" w:hAnsi="宋体" w:cs="宋体"/>
          <w:color w:val="auto"/>
          <w:szCs w:val="21"/>
          <w:highlight w:val="none"/>
        </w:rPr>
      </w:pPr>
    </w:p>
    <w:p w14:paraId="3A083156">
      <w:pPr>
        <w:spacing w:line="420" w:lineRule="exact"/>
        <w:ind w:firstLine="420" w:firstLineChars="200"/>
        <w:rPr>
          <w:rFonts w:hint="eastAsia" w:ascii="宋体" w:hAnsi="宋体" w:cs="宋体"/>
          <w:b/>
          <w:bCs/>
          <w:color w:val="auto"/>
          <w:szCs w:val="21"/>
          <w:highlight w:val="none"/>
        </w:rPr>
      </w:pPr>
      <w:r>
        <w:rPr>
          <w:rFonts w:hint="eastAsia" w:ascii="宋体" w:hAnsi="宋体" w:cs="宋体"/>
          <w:color w:val="auto"/>
          <w:szCs w:val="21"/>
          <w:highlight w:val="none"/>
        </w:rPr>
        <w:t>以上评分内容仅限对未打“★”条款进行评分</w:t>
      </w:r>
      <w:r>
        <w:rPr>
          <w:rFonts w:hint="eastAsia" w:ascii="宋体" w:hAnsi="宋体" w:cs="宋体"/>
          <w:b/>
          <w:bCs/>
          <w:color w:val="auto"/>
          <w:szCs w:val="21"/>
          <w:highlight w:val="none"/>
        </w:rPr>
        <w:t>。</w:t>
      </w:r>
    </w:p>
    <w:p w14:paraId="4D738FF5">
      <w:pPr>
        <w:pStyle w:val="2"/>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113" w:name="_Toc15851"/>
      <w:r>
        <w:rPr>
          <w:rFonts w:hint="eastAsia"/>
          <w:color w:val="auto"/>
          <w:sz w:val="36"/>
          <w:highlight w:val="none"/>
        </w:rPr>
        <w:t>第七章  合同主要条款</w:t>
      </w:r>
      <w:bookmarkEnd w:id="113"/>
    </w:p>
    <w:p w14:paraId="558818FB">
      <w:pPr>
        <w:widowControl/>
        <w:spacing w:line="360" w:lineRule="auto"/>
        <w:ind w:firstLine="482" w:firstLineChars="200"/>
        <w:jc w:val="center"/>
        <w:rPr>
          <w:rFonts w:ascii="Verdana" w:hAnsi="Verdana" w:cs="Arial"/>
          <w:b/>
          <w:color w:val="auto"/>
          <w:kern w:val="0"/>
          <w:sz w:val="24"/>
          <w:highlight w:val="none"/>
        </w:rPr>
      </w:pPr>
      <w:r>
        <w:rPr>
          <w:rFonts w:ascii="Verdana" w:hAnsi="Verdana" w:cs="Arial"/>
          <w:b/>
          <w:color w:val="auto"/>
          <w:kern w:val="0"/>
          <w:sz w:val="24"/>
          <w:highlight w:val="none"/>
        </w:rPr>
        <w:t>义乌市</w:t>
      </w:r>
      <w:r>
        <w:rPr>
          <w:rFonts w:hint="eastAsia" w:ascii="Verdana" w:hAnsi="Verdana" w:cs="Arial"/>
          <w:b/>
          <w:color w:val="auto"/>
          <w:kern w:val="0"/>
          <w:sz w:val="24"/>
          <w:highlight w:val="none"/>
        </w:rPr>
        <w:t>国企</w:t>
      </w:r>
      <w:r>
        <w:rPr>
          <w:rFonts w:ascii="Verdana" w:hAnsi="Verdana" w:cs="Arial"/>
          <w:b/>
          <w:color w:val="auto"/>
          <w:kern w:val="0"/>
          <w:sz w:val="24"/>
          <w:highlight w:val="none"/>
        </w:rPr>
        <w:t>采购合同（样本）</w:t>
      </w:r>
    </w:p>
    <w:p w14:paraId="7873603E">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供方：________________________________</w:t>
      </w:r>
    </w:p>
    <w:p w14:paraId="442C9B95">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需方：________________________________</w:t>
      </w:r>
    </w:p>
    <w:p w14:paraId="73B07C0C">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供、需双方根据__</w:t>
      </w:r>
      <w:r>
        <w:rPr>
          <w:rFonts w:hint="eastAsia" w:ascii="宋体" w:hAnsi="宋体" w:cs="宋体"/>
          <w:color w:val="auto"/>
          <w:kern w:val="0"/>
          <w:szCs w:val="21"/>
          <w:highlight w:val="none"/>
          <w:u w:val="single"/>
        </w:rPr>
        <w:t>_ _</w:t>
      </w:r>
      <w:r>
        <w:rPr>
          <w:rFonts w:hint="eastAsia" w:ascii="宋体" w:hAnsi="宋体" w:cs="宋体"/>
          <w:color w:val="auto"/>
          <w:kern w:val="0"/>
          <w:szCs w:val="21"/>
          <w:highlight w:val="none"/>
        </w:rPr>
        <w:t>年____月____日浙江省义乌市国企采购</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项目成交结果和投标文件的要求，依据《中华人民共和国民法典》并经双方协调一致，订立本采购合同。</w:t>
      </w:r>
    </w:p>
    <w:p w14:paraId="2FC812C9">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一、合同文件组成</w:t>
      </w:r>
    </w:p>
    <w:p w14:paraId="72686FA4">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招标文件及其补充文件、询标承诺、询疑答复、投标响应文件、双方来函。合同文件组成的所有内容是构成合同不可分割的部分，与合同具有同等法律效力。</w:t>
      </w:r>
    </w:p>
    <w:p w14:paraId="4E3F6A6C">
      <w:pPr>
        <w:keepNext w:val="0"/>
        <w:keepLines w:val="0"/>
        <w:pageBreakBefore w:val="0"/>
        <w:widowControl/>
        <w:kinsoku/>
        <w:wordWrap/>
        <w:overflowPunct/>
        <w:topLinePunct w:val="0"/>
        <w:autoSpaceDE/>
        <w:autoSpaceDN/>
        <w:bidi w:val="0"/>
        <w:adjustRightInd/>
        <w:spacing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二、合同金额</w:t>
      </w:r>
    </w:p>
    <w:p w14:paraId="38BCA6F5">
      <w:pPr>
        <w:keepNext w:val="0"/>
        <w:keepLines w:val="0"/>
        <w:pageBreakBefore w:val="0"/>
        <w:widowControl/>
        <w:kinsoku/>
        <w:wordWrap/>
        <w:overflowPunct/>
        <w:topLinePunct w:val="0"/>
        <w:autoSpaceDE/>
        <w:autoSpaceDN/>
        <w:bidi w:val="0"/>
        <w:adjustRightInd/>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合同总价中须包括___________________及合同中明示或暗示的所有一般风险、责任和义务等一切应由采购人支付的费用。</w:t>
      </w:r>
    </w:p>
    <w:tbl>
      <w:tblPr>
        <w:tblStyle w:val="37"/>
        <w:tblW w:w="0" w:type="auto"/>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3"/>
        <w:gridCol w:w="4835"/>
        <w:gridCol w:w="1741"/>
        <w:gridCol w:w="967"/>
        <w:gridCol w:w="1741"/>
      </w:tblGrid>
      <w:tr w14:paraId="6F3BA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4" w:hRule="atLeast"/>
        </w:trPr>
        <w:tc>
          <w:tcPr>
            <w:tcW w:w="813" w:type="dxa"/>
            <w:noWrap w:val="0"/>
            <w:vAlign w:val="center"/>
          </w:tcPr>
          <w:p w14:paraId="1027629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序号</w:t>
            </w:r>
          </w:p>
        </w:tc>
        <w:tc>
          <w:tcPr>
            <w:tcW w:w="4835" w:type="dxa"/>
            <w:noWrap w:val="0"/>
            <w:vAlign w:val="center"/>
          </w:tcPr>
          <w:p w14:paraId="10C4B4B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采购项目</w:t>
            </w:r>
          </w:p>
        </w:tc>
        <w:tc>
          <w:tcPr>
            <w:tcW w:w="1741" w:type="dxa"/>
            <w:noWrap w:val="0"/>
            <w:vAlign w:val="center"/>
          </w:tcPr>
          <w:p w14:paraId="497BA3A1">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投标单价（元）</w:t>
            </w:r>
          </w:p>
        </w:tc>
        <w:tc>
          <w:tcPr>
            <w:tcW w:w="967" w:type="dxa"/>
            <w:noWrap w:val="0"/>
            <w:vAlign w:val="center"/>
          </w:tcPr>
          <w:p w14:paraId="35BA0B7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数量</w:t>
            </w:r>
          </w:p>
        </w:tc>
        <w:tc>
          <w:tcPr>
            <w:tcW w:w="1741" w:type="dxa"/>
            <w:noWrap w:val="0"/>
            <w:vAlign w:val="center"/>
          </w:tcPr>
          <w:p w14:paraId="43A72565">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b/>
                <w:color w:val="auto"/>
                <w:szCs w:val="21"/>
                <w:highlight w:val="none"/>
              </w:rPr>
            </w:pPr>
            <w:r>
              <w:rPr>
                <w:rFonts w:hint="eastAsia" w:ascii="宋体" w:hAnsi="宋体" w:cs="宋体"/>
                <w:b/>
                <w:color w:val="auto"/>
                <w:szCs w:val="21"/>
                <w:highlight w:val="none"/>
              </w:rPr>
              <w:t>投标总价（元）</w:t>
            </w:r>
          </w:p>
        </w:tc>
      </w:tr>
      <w:tr w14:paraId="4A33A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813" w:type="dxa"/>
            <w:noWrap w:val="0"/>
            <w:vAlign w:val="center"/>
          </w:tcPr>
          <w:p w14:paraId="780F0154">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4835" w:type="dxa"/>
            <w:noWrap w:val="0"/>
            <w:vAlign w:val="center"/>
          </w:tcPr>
          <w:p w14:paraId="4BD71AB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1741" w:type="dxa"/>
            <w:noWrap w:val="0"/>
            <w:vAlign w:val="center"/>
          </w:tcPr>
          <w:p w14:paraId="6563D9A0">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967" w:type="dxa"/>
            <w:noWrap w:val="0"/>
            <w:vAlign w:val="center"/>
          </w:tcPr>
          <w:p w14:paraId="7E4CA6C9">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1741" w:type="dxa"/>
            <w:noWrap w:val="0"/>
            <w:vAlign w:val="top"/>
          </w:tcPr>
          <w:p w14:paraId="70152DFC">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p>
        </w:tc>
      </w:tr>
      <w:tr w14:paraId="14F34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trPr>
        <w:tc>
          <w:tcPr>
            <w:tcW w:w="813" w:type="dxa"/>
            <w:noWrap w:val="0"/>
            <w:vAlign w:val="center"/>
          </w:tcPr>
          <w:p w14:paraId="1D4B501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4835" w:type="dxa"/>
            <w:noWrap w:val="0"/>
            <w:vAlign w:val="center"/>
          </w:tcPr>
          <w:p w14:paraId="1A7C835D">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1741" w:type="dxa"/>
            <w:noWrap w:val="0"/>
            <w:vAlign w:val="top"/>
          </w:tcPr>
          <w:p w14:paraId="7628FB5A">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967" w:type="dxa"/>
            <w:noWrap w:val="0"/>
            <w:vAlign w:val="center"/>
          </w:tcPr>
          <w:p w14:paraId="152AFF1C">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p>
        </w:tc>
        <w:tc>
          <w:tcPr>
            <w:tcW w:w="1741" w:type="dxa"/>
            <w:noWrap w:val="0"/>
            <w:vAlign w:val="top"/>
          </w:tcPr>
          <w:p w14:paraId="4488FC82">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p>
        </w:tc>
      </w:tr>
      <w:tr w14:paraId="7B7AA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813" w:type="dxa"/>
            <w:noWrap w:val="0"/>
            <w:vAlign w:val="center"/>
          </w:tcPr>
          <w:p w14:paraId="4CE8E4D3">
            <w:pPr>
              <w:keepNext w:val="0"/>
              <w:keepLines w:val="0"/>
              <w:pageBreakBefore w:val="0"/>
              <w:kinsoku/>
              <w:wordWrap/>
              <w:overflowPunct/>
              <w:topLinePunct w:val="0"/>
              <w:autoSpaceDE/>
              <w:autoSpaceDN/>
              <w:bidi w:val="0"/>
              <w:adjustRightInd/>
              <w:spacing w:line="360" w:lineRule="auto"/>
              <w:jc w:val="center"/>
              <w:textAlignment w:val="auto"/>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9284" w:type="dxa"/>
            <w:gridSpan w:val="4"/>
            <w:noWrap w:val="0"/>
            <w:vAlign w:val="center"/>
          </w:tcPr>
          <w:p w14:paraId="4E75A583">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u w:val="single"/>
              </w:rPr>
            </w:pPr>
            <w:r>
              <w:rPr>
                <w:rFonts w:hint="eastAsia" w:ascii="宋体" w:hAnsi="宋体" w:cs="宋体"/>
                <w:color w:val="auto"/>
                <w:szCs w:val="21"/>
                <w:highlight w:val="none"/>
              </w:rPr>
              <w:t>￥：</w:t>
            </w:r>
            <w:r>
              <w:rPr>
                <w:rFonts w:hint="eastAsia" w:ascii="宋体" w:hAnsi="宋体" w:cs="宋体"/>
                <w:color w:val="auto"/>
                <w:szCs w:val="21"/>
                <w:highlight w:val="none"/>
                <w:u w:val="single"/>
              </w:rPr>
              <w:t xml:space="preserve">                                           </w:t>
            </w:r>
          </w:p>
          <w:p w14:paraId="7E25A3DA">
            <w:pPr>
              <w:keepNext w:val="0"/>
              <w:keepLines w:val="0"/>
              <w:pageBreakBefore w:val="0"/>
              <w:kinsoku/>
              <w:wordWrap/>
              <w:overflowPunct/>
              <w:topLinePunct w:val="0"/>
              <w:autoSpaceDE/>
              <w:autoSpaceDN/>
              <w:bidi w:val="0"/>
              <w:adjustRightInd/>
              <w:spacing w:line="360" w:lineRule="auto"/>
              <w:textAlignment w:val="auto"/>
              <w:rPr>
                <w:rFonts w:hint="eastAsia" w:ascii="宋体" w:hAnsi="宋体" w:cs="宋体"/>
                <w:color w:val="auto"/>
                <w:szCs w:val="21"/>
                <w:highlight w:val="non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tc>
      </w:tr>
    </w:tbl>
    <w:p w14:paraId="45E9CCA4">
      <w:pPr>
        <w:keepNext w:val="0"/>
        <w:keepLines w:val="0"/>
        <w:pageBreakBefore w:val="0"/>
        <w:widowControl/>
        <w:kinsoku/>
        <w:wordWrap/>
        <w:overflowPunct/>
        <w:topLinePunct w:val="0"/>
        <w:autoSpaceDE/>
        <w:autoSpaceDN/>
        <w:bidi w:val="0"/>
        <w:adjustRightInd/>
        <w:spacing w:line="360" w:lineRule="auto"/>
        <w:ind w:right="480"/>
        <w:jc w:val="righ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单位：人民币元</w:t>
      </w:r>
    </w:p>
    <w:p w14:paraId="7A717DA4">
      <w:pPr>
        <w:keepNext w:val="0"/>
        <w:keepLines w:val="0"/>
        <w:pageBreakBefore w:val="0"/>
        <w:widowControl/>
        <w:kinsoku/>
        <w:wordWrap/>
        <w:overflowPunct/>
        <w:topLinePunct w:val="0"/>
        <w:autoSpaceDE/>
        <w:autoSpaceDN/>
        <w:bidi w:val="0"/>
        <w:adjustRightInd/>
        <w:snapToGrid w:val="0"/>
        <w:spacing w:before="120" w:after="120" w:line="360" w:lineRule="auto"/>
        <w:ind w:firstLine="422" w:firstLineChars="20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三、技术资料</w:t>
      </w:r>
    </w:p>
    <w:p w14:paraId="4A04CBC7">
      <w:pPr>
        <w:keepNext w:val="0"/>
        <w:keepLines w:val="0"/>
        <w:pageBreakBefore w:val="0"/>
        <w:widowControl/>
        <w:kinsoku/>
        <w:wordWrap/>
        <w:overflowPunct/>
        <w:topLinePunct w:val="0"/>
        <w:autoSpaceDE/>
        <w:autoSpaceDN/>
        <w:bidi w:val="0"/>
        <w:adjustRightInd/>
        <w:snapToGrid w:val="0"/>
        <w:spacing w:before="120" w:after="120" w:line="360" w:lineRule="auto"/>
        <w:ind w:left="407" w:leftChars="194" w:firstLine="105" w:firstLineChars="5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1、供方应按招标文件规定的时间向需方提供使用货物的有关技术资料。</w:t>
      </w:r>
    </w:p>
    <w:p w14:paraId="47BC4147">
      <w:pPr>
        <w:keepNext w:val="0"/>
        <w:keepLines w:val="0"/>
        <w:pageBreakBefore w:val="0"/>
        <w:widowControl/>
        <w:kinsoku/>
        <w:wordWrap/>
        <w:overflowPunct/>
        <w:topLinePunct w:val="0"/>
        <w:autoSpaceDE/>
        <w:autoSpaceDN/>
        <w:bidi w:val="0"/>
        <w:adjustRightInd/>
        <w:snapToGrid w:val="0"/>
        <w:spacing w:before="120" w:after="120" w:line="360" w:lineRule="auto"/>
        <w:ind w:left="78" w:leftChars="37"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没有需方事先书面同意，供方不得将由需方提供的有关合同或任何合同条文、规格、计划、图纸、样品或资料提供给与履行本合同无关的任何其他人。即使向履行本合同有关的人员提供，也应注意保密并限于履行合同的必需范围。</w:t>
      </w:r>
    </w:p>
    <w:p w14:paraId="2558F4CC">
      <w:pPr>
        <w:keepNext w:val="0"/>
        <w:keepLines w:val="0"/>
        <w:pageBreakBefore w:val="0"/>
        <w:widowControl/>
        <w:kinsoku/>
        <w:wordWrap/>
        <w:overflowPunct/>
        <w:topLinePunct w:val="0"/>
        <w:autoSpaceDE/>
        <w:autoSpaceDN/>
        <w:bidi w:val="0"/>
        <w:adjustRightInd/>
        <w:snapToGrid w:val="0"/>
        <w:spacing w:before="120" w:after="120" w:line="360" w:lineRule="auto"/>
        <w:ind w:left="409" w:leftChars="195" w:firstLine="103" w:firstLineChars="49"/>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四、知识产权</w:t>
      </w:r>
    </w:p>
    <w:p w14:paraId="0963C1D0">
      <w:pPr>
        <w:keepNext w:val="0"/>
        <w:keepLines w:val="0"/>
        <w:pageBreakBefore w:val="0"/>
        <w:widowControl/>
        <w:kinsoku/>
        <w:wordWrap/>
        <w:overflowPunct/>
        <w:topLinePunct w:val="0"/>
        <w:autoSpaceDE/>
        <w:autoSpaceDN/>
        <w:bidi w:val="0"/>
        <w:adjustRightInd/>
        <w:snapToGrid w:val="0"/>
        <w:spacing w:before="120" w:after="120" w:line="360" w:lineRule="auto"/>
        <w:ind w:left="78" w:leftChars="37"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供方应保证所提供的货物或其任何一部分均不会侵犯任何第三方的知识产权。如供应方提供的货物或其任一部分产生知识产权纠纷的，有供应方承担相应法律责任，如该纠纷对需方产生不良影响或造成损失的，供应方应承担赔偿责任。</w:t>
      </w:r>
    </w:p>
    <w:p w14:paraId="7BA87F5B">
      <w:pPr>
        <w:keepNext w:val="0"/>
        <w:keepLines w:val="0"/>
        <w:pageBreakBefore w:val="0"/>
        <w:widowControl/>
        <w:kinsoku/>
        <w:wordWrap/>
        <w:overflowPunct/>
        <w:topLinePunct w:val="0"/>
        <w:autoSpaceDE/>
        <w:autoSpaceDN/>
        <w:bidi w:val="0"/>
        <w:adjustRightInd/>
        <w:snapToGrid w:val="0"/>
        <w:spacing w:before="120" w:after="120" w:line="360" w:lineRule="auto"/>
        <w:ind w:firstLine="413" w:firstLineChars="196"/>
        <w:jc w:val="left"/>
        <w:textAlignment w:val="auto"/>
        <w:rPr>
          <w:rFonts w:hint="eastAsia" w:ascii="宋体" w:hAnsi="宋体" w:cs="宋体"/>
          <w:color w:val="auto"/>
          <w:kern w:val="0"/>
          <w:szCs w:val="21"/>
          <w:highlight w:val="none"/>
          <w:u w:val="single"/>
        </w:rPr>
      </w:pPr>
      <w:r>
        <w:rPr>
          <w:rFonts w:hint="eastAsia" w:ascii="宋体" w:hAnsi="宋体" w:cs="宋体"/>
          <w:b/>
          <w:color w:val="auto"/>
          <w:kern w:val="0"/>
          <w:szCs w:val="21"/>
          <w:highlight w:val="none"/>
        </w:rPr>
        <w:t>五、产权担保</w:t>
      </w:r>
    </w:p>
    <w:p w14:paraId="159B0DCE">
      <w:pPr>
        <w:keepNext w:val="0"/>
        <w:keepLines w:val="0"/>
        <w:pageBreakBefore w:val="0"/>
        <w:widowControl/>
        <w:kinsoku/>
        <w:wordWrap/>
        <w:overflowPunct/>
        <w:topLinePunct w:val="0"/>
        <w:autoSpaceDE/>
        <w:autoSpaceDN/>
        <w:bidi w:val="0"/>
        <w:adjustRightInd/>
        <w:snapToGrid w:val="0"/>
        <w:spacing w:before="120" w:after="120" w:line="360" w:lineRule="auto"/>
        <w:ind w:firstLine="413"/>
        <w:jc w:val="left"/>
        <w:textAlignment w:val="auto"/>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供方保证所交付的货物的所有权完全属于供方且无任何抵押、查封等产权瑕疵。</w:t>
      </w:r>
    </w:p>
    <w:p w14:paraId="39FE719F">
      <w:pPr>
        <w:keepNext w:val="0"/>
        <w:keepLines w:val="0"/>
        <w:pageBreakBefore w:val="0"/>
        <w:widowControl/>
        <w:kinsoku/>
        <w:wordWrap/>
        <w:overflowPunct/>
        <w:topLinePunct w:val="0"/>
        <w:autoSpaceDE/>
        <w:autoSpaceDN/>
        <w:bidi w:val="0"/>
        <w:adjustRightInd/>
        <w:snapToGrid w:val="0"/>
        <w:spacing w:before="120" w:after="120" w:line="360" w:lineRule="auto"/>
        <w:ind w:firstLine="413" w:firstLineChars="196"/>
        <w:jc w:val="left"/>
        <w:textAlignment w:val="auto"/>
        <w:rPr>
          <w:rFonts w:hint="eastAsia" w:ascii="宋体" w:hAnsi="宋体" w:cs="宋体"/>
          <w:color w:val="auto"/>
          <w:kern w:val="0"/>
          <w:szCs w:val="21"/>
          <w:highlight w:val="none"/>
        </w:rPr>
      </w:pPr>
      <w:r>
        <w:rPr>
          <w:rFonts w:hint="eastAsia" w:ascii="宋体" w:hAnsi="宋体" w:cs="宋体"/>
          <w:b/>
          <w:color w:val="auto"/>
          <w:kern w:val="0"/>
          <w:szCs w:val="21"/>
          <w:highlight w:val="none"/>
        </w:rPr>
        <w:t>六、履约保证金：</w:t>
      </w:r>
    </w:p>
    <w:p w14:paraId="1F43DE8D">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七、转包或分包</w:t>
      </w:r>
    </w:p>
    <w:p w14:paraId="3C3CEEE4">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1、本合同范围的货物，应由供方直接供应，不得转让他人供应；</w:t>
      </w:r>
    </w:p>
    <w:p w14:paraId="7446A687">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2、非经需方同意，供方不得将本合同范围的货物全部或部分分包给他人供应；</w:t>
      </w:r>
    </w:p>
    <w:p w14:paraId="6093DD2A">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3、如有转让和或对货物的非法分包行为，需方中止合同并追究供方</w:t>
      </w:r>
      <w:r>
        <w:rPr>
          <w:rFonts w:hint="eastAsia" w:ascii="宋体" w:hAnsi="宋体" w:cs="宋体"/>
          <w:color w:val="auto"/>
          <w:kern w:val="0"/>
          <w:szCs w:val="21"/>
          <w:highlight w:val="none"/>
          <w:lang w:eastAsia="zh-CN"/>
        </w:rPr>
        <w:t>所造成的损失</w:t>
      </w:r>
      <w:r>
        <w:rPr>
          <w:rFonts w:hint="eastAsia" w:ascii="宋体" w:hAnsi="宋体" w:cs="宋体"/>
          <w:color w:val="auto"/>
          <w:kern w:val="0"/>
          <w:szCs w:val="21"/>
          <w:highlight w:val="none"/>
        </w:rPr>
        <w:t>。</w:t>
      </w:r>
    </w:p>
    <w:p w14:paraId="60A45255">
      <w:pPr>
        <w:keepNext w:val="0"/>
        <w:keepLines w:val="0"/>
        <w:pageBreakBefore w:val="0"/>
        <w:widowControl/>
        <w:kinsoku/>
        <w:wordWrap/>
        <w:overflowPunct/>
        <w:topLinePunct w:val="0"/>
        <w:autoSpaceDE/>
        <w:autoSpaceDN/>
        <w:bidi w:val="0"/>
        <w:adjustRightInd/>
        <w:spacing w:line="360" w:lineRule="auto"/>
        <w:ind w:firstLine="422" w:firstLineChars="20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八、售后服务</w:t>
      </w:r>
    </w:p>
    <w:p w14:paraId="0715669A">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1、售后服务要求：</w:t>
      </w:r>
    </w:p>
    <w:p w14:paraId="687AAC70">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（1）本次投标的整体设备（含配件）要求</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年（7*24小时）质保，自项目建设完成验收合格之日起计算，质保期内应免费提供产品保修服务和远程支持服务。</w:t>
      </w:r>
    </w:p>
    <w:p w14:paraId="346CCB37">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（2）质保期满后，中标方负责终身维护服务。</w:t>
      </w:r>
    </w:p>
    <w:p w14:paraId="25FF47EF">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（3）故障响应时间：设备出现故障后必须在2小时内对采购方所提出的维修要求做出响应，24小时内需安排技术人员至现场</w:t>
      </w:r>
      <w:r>
        <w:rPr>
          <w:rFonts w:hint="eastAsia" w:ascii="宋体" w:hAnsi="宋体" w:eastAsia="宋体" w:cs="宋体"/>
          <w:color w:val="auto"/>
          <w:kern w:val="0"/>
          <w:szCs w:val="21"/>
          <w:highlight w:val="none"/>
          <w:lang w:eastAsia="zh-CN"/>
        </w:rPr>
        <w:t>。</w:t>
      </w:r>
    </w:p>
    <w:p w14:paraId="0310B925">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（4）在质保期内，设备出现质量问题，中标方须在2天内无偿更换损坏的零部件，无法修复的需更换全新设备。</w:t>
      </w:r>
    </w:p>
    <w:p w14:paraId="48D48329">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（5）如未在规定时间做出响应，给招标人造成损失的，由中标方承担相关费用。</w:t>
      </w:r>
    </w:p>
    <w:p w14:paraId="438F65EE">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（6）在质保期内，更换后的故障存储介质未经拷贝并删除后，不得带离采购方现场。</w:t>
      </w:r>
    </w:p>
    <w:p w14:paraId="5EE24E3D">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（7）投标人应终身提供良好的技术支持及零部件持续供应的优惠供应。</w:t>
      </w:r>
    </w:p>
    <w:p w14:paraId="4131E763">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（8）以上售后服务事项需投标人提供书面承诺材料并加盖公章。</w:t>
      </w:r>
    </w:p>
    <w:p w14:paraId="25AB8B44">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（9）投标人承诺的其它售后服务计划措施。</w:t>
      </w:r>
    </w:p>
    <w:p w14:paraId="41739667">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2、现场指导及培训</w:t>
      </w:r>
    </w:p>
    <w:p w14:paraId="13BABEEB">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（1）根据招标人需求，提供完整系统的培训（理论、实践）使招标人今后能自行操作、维护。</w:t>
      </w:r>
    </w:p>
    <w:p w14:paraId="7F2F5B87">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（2）招标方纯电动车辆使用前期，为保障充电设备正常使用，应安排专门技术人员上门指导，直至招标方充电人员能自行安全使用。</w:t>
      </w:r>
    </w:p>
    <w:p w14:paraId="7B84C0FC">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（3）投标人应编写培训手册，本手册内容包括：充电系统操作，后台软件操作、设备日常使用相关注意事项、维修维护相关知识等内容，每台充电桩不少于1册。</w:t>
      </w:r>
    </w:p>
    <w:p w14:paraId="16105500">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（4）提供全面的技术支持和维护咨询。</w:t>
      </w:r>
    </w:p>
    <w:p w14:paraId="1D9ED174">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b/>
          <w:color w:val="auto"/>
          <w:kern w:val="0"/>
          <w:szCs w:val="21"/>
          <w:highlight w:val="none"/>
        </w:rPr>
      </w:pPr>
      <w:r>
        <w:rPr>
          <w:rFonts w:hint="eastAsia" w:ascii="宋体" w:hAnsi="宋体" w:eastAsia="宋体" w:cs="宋体"/>
          <w:color w:val="auto"/>
          <w:kern w:val="0"/>
          <w:szCs w:val="21"/>
          <w:highlight w:val="none"/>
        </w:rPr>
        <w:t>（5）投标人其它服务培训措施。</w:t>
      </w:r>
    </w:p>
    <w:p w14:paraId="27BAE6BF">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九、交货与工期要求</w:t>
      </w:r>
    </w:p>
    <w:p w14:paraId="7A8DC72F">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1、交货期：</w:t>
      </w:r>
      <w:r>
        <w:rPr>
          <w:rFonts w:hint="eastAsia" w:ascii="宋体" w:hAnsi="宋体" w:cs="宋体"/>
          <w:b/>
          <w:color w:val="auto"/>
          <w:kern w:val="0"/>
          <w:szCs w:val="21"/>
          <w:highlight w:val="none"/>
        </w:rPr>
        <w:t>_____________________</w:t>
      </w:r>
      <w:r>
        <w:rPr>
          <w:rFonts w:hint="eastAsia" w:ascii="宋体" w:hAnsi="宋体" w:cs="宋体"/>
          <w:bCs/>
          <w:color w:val="auto"/>
          <w:kern w:val="0"/>
          <w:szCs w:val="21"/>
          <w:highlight w:val="none"/>
        </w:rPr>
        <w:t xml:space="preserve"> </w:t>
      </w:r>
      <w:r>
        <w:rPr>
          <w:rFonts w:hint="eastAsia" w:ascii="宋体" w:hAnsi="宋体" w:cs="宋体"/>
          <w:b/>
          <w:color w:val="auto"/>
          <w:kern w:val="0"/>
          <w:szCs w:val="21"/>
          <w:highlight w:val="none"/>
        </w:rPr>
        <w:t>(与招标文件保持一致)</w:t>
      </w:r>
    </w:p>
    <w:p w14:paraId="67B18B71">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 xml:space="preserve">2、交货地方： </w:t>
      </w:r>
    </w:p>
    <w:p w14:paraId="474D719A">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Cs/>
          <w:color w:val="auto"/>
          <w:kern w:val="0"/>
          <w:szCs w:val="21"/>
          <w:highlight w:val="none"/>
        </w:rPr>
        <w:t>3、交货方式：</w:t>
      </w:r>
      <w:r>
        <w:rPr>
          <w:rFonts w:hint="eastAsia" w:ascii="宋体" w:hAnsi="宋体" w:cs="宋体"/>
          <w:b/>
          <w:color w:val="auto"/>
          <w:kern w:val="0"/>
          <w:szCs w:val="21"/>
          <w:highlight w:val="none"/>
        </w:rPr>
        <w:t xml:space="preserve"> </w:t>
      </w:r>
    </w:p>
    <w:p w14:paraId="2311AC8B">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4、工期要求：</w:t>
      </w:r>
    </w:p>
    <w:p w14:paraId="0411DEF6">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十、货款支付</w:t>
      </w:r>
    </w:p>
    <w:p w14:paraId="00C51DD9">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1、付款方式：_______________________(与招标文件保持一致)</w:t>
      </w:r>
    </w:p>
    <w:p w14:paraId="25571E1F">
      <w:pPr>
        <w:keepNext w:val="0"/>
        <w:keepLines w:val="0"/>
        <w:pageBreakBefore w:val="0"/>
        <w:widowControl/>
        <w:kinsoku/>
        <w:wordWrap/>
        <w:overflowPunct/>
        <w:topLinePunct w:val="0"/>
        <w:autoSpaceDE/>
        <w:autoSpaceDN/>
        <w:bidi w:val="0"/>
        <w:adjustRightInd/>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2、当采购数量与实际使用数量不一致时，供方应根据实际使用量供货，合同的最终结算金额按实际使用量乘以中标单价进行计算。</w:t>
      </w:r>
    </w:p>
    <w:p w14:paraId="40428E52">
      <w:pPr>
        <w:keepNext w:val="0"/>
        <w:keepLines w:val="0"/>
        <w:pageBreakBefore w:val="0"/>
        <w:widowControl/>
        <w:kinsoku/>
        <w:wordWrap/>
        <w:overflowPunct/>
        <w:topLinePunct w:val="0"/>
        <w:autoSpaceDE/>
        <w:autoSpaceDN/>
        <w:bidi w:val="0"/>
        <w:adjustRightInd/>
        <w:snapToGrid w:val="0"/>
        <w:spacing w:before="156" w:beforeLines="50" w:after="156" w:afterLines="5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十一、税费</w:t>
      </w:r>
    </w:p>
    <w:p w14:paraId="6DBA14F4">
      <w:pPr>
        <w:keepNext w:val="0"/>
        <w:keepLines w:val="0"/>
        <w:pageBreakBefore w:val="0"/>
        <w:widowControl/>
        <w:kinsoku/>
        <w:wordWrap/>
        <w:overflowPunct/>
        <w:topLinePunct w:val="0"/>
        <w:autoSpaceDE/>
        <w:autoSpaceDN/>
        <w:bidi w:val="0"/>
        <w:adjustRightInd/>
        <w:snapToGrid w:val="0"/>
        <w:spacing w:before="156" w:beforeLines="50" w:after="156" w:afterLines="50"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本合同执行中相关的一切税费均由供方负担。</w:t>
      </w:r>
    </w:p>
    <w:p w14:paraId="0DF8AFBE">
      <w:pPr>
        <w:keepNext w:val="0"/>
        <w:keepLines w:val="0"/>
        <w:pageBreakBefore w:val="0"/>
        <w:widowControl/>
        <w:kinsoku/>
        <w:wordWrap/>
        <w:overflowPunct/>
        <w:topLinePunct w:val="0"/>
        <w:autoSpaceDE/>
        <w:autoSpaceDN/>
        <w:bidi w:val="0"/>
        <w:adjustRightInd/>
        <w:snapToGrid w:val="0"/>
        <w:spacing w:before="120" w:after="120" w:line="360" w:lineRule="auto"/>
        <w:ind w:left="409" w:leftChars="195" w:firstLine="103" w:firstLineChars="49"/>
        <w:jc w:val="left"/>
        <w:textAlignment w:val="auto"/>
        <w:rPr>
          <w:rFonts w:hint="eastAsia" w:ascii="宋体" w:hAnsi="宋体" w:cs="宋体"/>
          <w:color w:val="auto"/>
          <w:kern w:val="0"/>
          <w:szCs w:val="21"/>
          <w:highlight w:val="none"/>
        </w:rPr>
      </w:pPr>
      <w:r>
        <w:rPr>
          <w:rFonts w:hint="eastAsia" w:ascii="宋体" w:hAnsi="宋体" w:cs="宋体"/>
          <w:b/>
          <w:color w:val="auto"/>
          <w:kern w:val="0"/>
          <w:szCs w:val="21"/>
          <w:highlight w:val="none"/>
        </w:rPr>
        <w:t>十二、质量保证</w:t>
      </w:r>
    </w:p>
    <w:p w14:paraId="1945C05D">
      <w:pPr>
        <w:keepNext w:val="0"/>
        <w:keepLines w:val="0"/>
        <w:pageBreakBefore w:val="0"/>
        <w:widowControl/>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1、供方应按招标文件规定的货物性能、技术参数要求、质量标准向需方提供未经使用的全新产品。且提供的产品也必须满足供应方在投标文件中承诺的货物性能、技术参数要求、质量标准。</w:t>
      </w:r>
    </w:p>
    <w:p w14:paraId="54C1D617">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2、供方提供的货物在质保期内因货物本身的质量问题发生故障，供方应负责免费更换。对达不到招标文件及投标文件要求者，根据实际情况，经双方协商，可按以下办法处理：</w:t>
      </w:r>
    </w:p>
    <w:p w14:paraId="27630D15">
      <w:pPr>
        <w:keepNext w:val="0"/>
        <w:keepLines w:val="0"/>
        <w:pageBreakBefore w:val="0"/>
        <w:widowControl/>
        <w:kinsoku/>
        <w:wordWrap/>
        <w:overflowPunct/>
        <w:topLinePunct w:val="0"/>
        <w:autoSpaceDE/>
        <w:autoSpaceDN/>
        <w:bidi w:val="0"/>
        <w:adjustRightInd/>
        <w:snapToGrid w:val="0"/>
        <w:spacing w:line="360" w:lineRule="auto"/>
        <w:ind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①更换：更换后的产品需满足招标文件及投标文件要求，由供方承担所发生的全部费用。</w:t>
      </w:r>
    </w:p>
    <w:p w14:paraId="0A683262">
      <w:pPr>
        <w:keepNext w:val="0"/>
        <w:keepLines w:val="0"/>
        <w:pageBreakBefore w:val="0"/>
        <w:widowControl/>
        <w:kinsoku/>
        <w:wordWrap/>
        <w:overflowPunct/>
        <w:topLinePunct w:val="0"/>
        <w:autoSpaceDE/>
        <w:autoSpaceDN/>
        <w:bidi w:val="0"/>
        <w:adjustRightInd/>
        <w:snapToGrid w:val="0"/>
        <w:spacing w:line="360" w:lineRule="auto"/>
        <w:ind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②贬值处理：由供需双方合议定价。</w:t>
      </w:r>
    </w:p>
    <w:p w14:paraId="70E9D321">
      <w:pPr>
        <w:keepNext w:val="0"/>
        <w:keepLines w:val="0"/>
        <w:pageBreakBefore w:val="0"/>
        <w:widowControl/>
        <w:kinsoku/>
        <w:wordWrap/>
        <w:overflowPunct/>
        <w:topLinePunct w:val="0"/>
        <w:autoSpaceDE/>
        <w:autoSpaceDN/>
        <w:bidi w:val="0"/>
        <w:adjustRightInd/>
        <w:snapToGrid w:val="0"/>
        <w:spacing w:line="360" w:lineRule="auto"/>
        <w:ind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③退货处理：供方应退还需方支付的合同款，同时应承担该货物的直接费用（运输、保险、检验、货款利息及银行手续费等）。</w:t>
      </w:r>
    </w:p>
    <w:p w14:paraId="0F4A4077">
      <w:pPr>
        <w:keepNext w:val="0"/>
        <w:keepLines w:val="0"/>
        <w:pageBreakBefore w:val="0"/>
        <w:widowControl/>
        <w:kinsoku/>
        <w:wordWrap/>
        <w:overflowPunct/>
        <w:topLinePunct w:val="0"/>
        <w:autoSpaceDE/>
        <w:autoSpaceDN/>
        <w:bidi w:val="0"/>
        <w:adjustRightInd/>
        <w:snapToGrid w:val="0"/>
        <w:spacing w:line="360" w:lineRule="auto"/>
        <w:ind w:firstLine="42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如需方与供方无法达成一致意见的，需方有权单方解除本合同，供方应退还需方支付的合同款，同时应承担该货物的直接费用（运输、保险、检验、货款利息及银行手续费等），此外由此产生的一切损失和费用也均由供方承担。</w:t>
      </w:r>
    </w:p>
    <w:p w14:paraId="3999CA8D">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3、如在使用过程中发生质量问题，供方在接到需方通知后在</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小时内到达需方现场。</w:t>
      </w:r>
    </w:p>
    <w:p w14:paraId="04058DDD">
      <w:pPr>
        <w:keepNext w:val="0"/>
        <w:keepLines w:val="0"/>
        <w:pageBreakBefore w:val="0"/>
        <w:widowControl/>
        <w:kinsoku/>
        <w:wordWrap/>
        <w:overflowPunct/>
        <w:topLinePunct w:val="0"/>
        <w:autoSpaceDE/>
        <w:autoSpaceDN/>
        <w:bidi w:val="0"/>
        <w:adjustRightInd/>
        <w:snapToGrid w:val="0"/>
        <w:spacing w:line="360" w:lineRule="auto"/>
        <w:ind w:firstLine="480"/>
        <w:jc w:val="left"/>
        <w:textAlignment w:val="auto"/>
        <w:rPr>
          <w:rFonts w:ascii="宋体" w:hAnsi="宋体" w:cs="宋体"/>
          <w:color w:val="auto"/>
          <w:kern w:val="0"/>
          <w:highlight w:val="none"/>
        </w:rPr>
      </w:pPr>
      <w:r>
        <w:rPr>
          <w:rFonts w:hint="eastAsia" w:ascii="宋体" w:hAnsi="宋体" w:cs="宋体"/>
          <w:color w:val="auto"/>
          <w:kern w:val="0"/>
          <w:highlight w:val="none"/>
        </w:rPr>
        <w:t>4、在质保期内，供方应对货物出现的质量及安全问题负责处理解决并承担一切费用。</w:t>
      </w:r>
    </w:p>
    <w:p w14:paraId="5031C2D1">
      <w:pPr>
        <w:keepNext w:val="0"/>
        <w:keepLines w:val="0"/>
        <w:pageBreakBefore w:val="0"/>
        <w:widowControl/>
        <w:kinsoku/>
        <w:wordWrap/>
        <w:overflowPunct/>
        <w:topLinePunct w:val="0"/>
        <w:autoSpaceDE/>
        <w:autoSpaceDN/>
        <w:bidi w:val="0"/>
        <w:adjustRightInd/>
        <w:snapToGrid w:val="0"/>
        <w:spacing w:before="60" w:after="6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十三、违约责任</w:t>
      </w:r>
    </w:p>
    <w:p w14:paraId="374ECF89">
      <w:pPr>
        <w:keepNext w:val="0"/>
        <w:keepLines w:val="0"/>
        <w:pageBreakBefore w:val="0"/>
        <w:widowControl/>
        <w:kinsoku/>
        <w:wordWrap/>
        <w:overflowPunct/>
        <w:topLinePunct w:val="0"/>
        <w:autoSpaceDE/>
        <w:autoSpaceDN/>
        <w:bidi w:val="0"/>
        <w:adjustRightInd/>
        <w:snapToGrid w:val="0"/>
        <w:spacing w:before="60" w:after="60" w:line="360" w:lineRule="auto"/>
        <w:ind w:firstLine="48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1、需方无正当理由拒收货物的，需方向供方偿付拒收货款总值的百分之____违约金。</w:t>
      </w:r>
    </w:p>
    <w:p w14:paraId="3552CE99">
      <w:pPr>
        <w:keepNext w:val="0"/>
        <w:keepLines w:val="0"/>
        <w:pageBreakBefore w:val="0"/>
        <w:widowControl/>
        <w:kinsoku/>
        <w:wordWrap/>
        <w:overflowPunct/>
        <w:topLinePunct w:val="0"/>
        <w:autoSpaceDE/>
        <w:autoSpaceDN/>
        <w:bidi w:val="0"/>
        <w:adjustRightInd/>
        <w:snapToGrid w:val="0"/>
        <w:spacing w:before="60" w:after="60" w:line="360" w:lineRule="auto"/>
        <w:ind w:firstLine="480"/>
        <w:jc w:val="left"/>
        <w:textAlignment w:val="auto"/>
        <w:rPr>
          <w:rFonts w:hint="eastAsia" w:ascii="宋体" w:hAnsi="宋体" w:cs="宋体"/>
          <w:color w:val="auto"/>
          <w:kern w:val="0"/>
          <w:highlight w:val="none"/>
        </w:rPr>
      </w:pPr>
      <w:r>
        <w:rPr>
          <w:rFonts w:hint="eastAsia" w:ascii="宋体" w:hAnsi="宋体" w:cs="宋体"/>
          <w:color w:val="auto"/>
          <w:kern w:val="0"/>
          <w:highlight w:val="none"/>
        </w:rPr>
        <w:t>2、需方无故逾期验收和办理货款支付手续的,需方应按逾期付款总额每日万分之____向供方支付违约金。</w:t>
      </w:r>
    </w:p>
    <w:p w14:paraId="00CCF8EC">
      <w:pPr>
        <w:keepNext w:val="0"/>
        <w:keepLines w:val="0"/>
        <w:pageBreakBefore w:val="0"/>
        <w:widowControl/>
        <w:kinsoku/>
        <w:wordWrap/>
        <w:overflowPunct/>
        <w:topLinePunct w:val="0"/>
        <w:autoSpaceDE/>
        <w:autoSpaceDN/>
        <w:bidi w:val="0"/>
        <w:adjustRightInd/>
        <w:snapToGrid w:val="0"/>
        <w:spacing w:before="60" w:after="60" w:line="360" w:lineRule="auto"/>
        <w:ind w:firstLine="480"/>
        <w:jc w:val="left"/>
        <w:textAlignment w:val="auto"/>
        <w:rPr>
          <w:rFonts w:ascii="宋体" w:hAnsi="宋体" w:cs="宋体"/>
          <w:color w:val="auto"/>
          <w:kern w:val="0"/>
          <w:highlight w:val="none"/>
        </w:rPr>
      </w:pPr>
      <w:r>
        <w:rPr>
          <w:rFonts w:hint="eastAsia" w:ascii="宋体" w:hAnsi="宋体" w:cs="宋体"/>
          <w:color w:val="auto"/>
          <w:kern w:val="0"/>
          <w:highlight w:val="none"/>
        </w:rPr>
        <w:t>3、供方逾期交付货物的，供方应按逾期交货总额每日千分之</w:t>
      </w:r>
      <w:r>
        <w:rPr>
          <w:rFonts w:hint="eastAsia" w:ascii="宋体" w:hAnsi="宋体" w:cs="宋体"/>
          <w:color w:val="auto"/>
          <w:kern w:val="0"/>
          <w:highlight w:val="none"/>
          <w:u w:val="single"/>
        </w:rPr>
        <w:t>五</w:t>
      </w:r>
      <w:r>
        <w:rPr>
          <w:rFonts w:hint="eastAsia" w:ascii="宋体" w:hAnsi="宋体" w:cs="宋体"/>
          <w:color w:val="auto"/>
          <w:kern w:val="0"/>
          <w:highlight w:val="none"/>
        </w:rPr>
        <w:t>向需方支付违约金，由需方从待付货款中扣除。逾期超过约定日期</w:t>
      </w:r>
      <w:r>
        <w:rPr>
          <w:rFonts w:hint="eastAsia" w:ascii="宋体" w:hAnsi="宋体" w:cs="宋体"/>
          <w:color w:val="auto"/>
          <w:kern w:val="0"/>
          <w:highlight w:val="none"/>
          <w:u w:val="single"/>
        </w:rPr>
        <w:t>7</w:t>
      </w:r>
      <w:r>
        <w:rPr>
          <w:rFonts w:hint="eastAsia" w:ascii="宋体" w:hAnsi="宋体" w:cs="宋体"/>
          <w:color w:val="auto"/>
          <w:kern w:val="0"/>
          <w:highlight w:val="none"/>
        </w:rPr>
        <w:t>个工作日不能交货的，需方可解除本合同。供方因逾期交货或因其他违约行为导致需方解除合同的，供方应向需方支付合同总值</w:t>
      </w:r>
      <w:r>
        <w:rPr>
          <w:rFonts w:hint="eastAsia" w:ascii="宋体" w:hAnsi="宋体" w:cs="宋体"/>
          <w:color w:val="auto"/>
          <w:kern w:val="0"/>
          <w:highlight w:val="none"/>
          <w:u w:val="single"/>
        </w:rPr>
        <w:t>10</w:t>
      </w:r>
      <w:r>
        <w:rPr>
          <w:rFonts w:hint="eastAsia" w:ascii="宋体" w:hAnsi="宋体" w:cs="宋体"/>
          <w:color w:val="auto"/>
          <w:kern w:val="0"/>
          <w:highlight w:val="none"/>
        </w:rPr>
        <w:t xml:space="preserve">%的违约金，如造成需方损失超过违约金的，超出部分由供方继续承担赔偿责任。 </w:t>
      </w:r>
    </w:p>
    <w:p w14:paraId="68FD9B5A">
      <w:pPr>
        <w:widowControl/>
        <w:snapToGrid w:val="0"/>
        <w:spacing w:before="60" w:after="60" w:line="400" w:lineRule="exact"/>
        <w:ind w:firstLine="480"/>
        <w:jc w:val="left"/>
        <w:rPr>
          <w:rFonts w:ascii="宋体" w:hAnsi="宋体" w:cs="宋体"/>
          <w:color w:val="auto"/>
          <w:kern w:val="0"/>
          <w:highlight w:val="none"/>
        </w:rPr>
      </w:pPr>
      <w:r>
        <w:rPr>
          <w:rFonts w:hint="eastAsia" w:ascii="宋体" w:hAnsi="宋体" w:cs="宋体"/>
          <w:color w:val="auto"/>
          <w:kern w:val="0"/>
          <w:highlight w:val="none"/>
        </w:rPr>
        <w:t>4、供方所交的货物品种、型号、规格、技术参数、质量不符合合同规定及招标文件规定标准的，需方有权拒收该货物，供方愿意更换货物但逾期交货的，按供方逾期交货处理。供方拒绝更换货物的，需方可单方面解除合同。</w:t>
      </w:r>
    </w:p>
    <w:p w14:paraId="2687CF82">
      <w:pPr>
        <w:widowControl/>
        <w:snapToGrid w:val="0"/>
        <w:spacing w:before="60" w:after="60" w:line="400" w:lineRule="exact"/>
        <w:ind w:firstLine="480"/>
        <w:jc w:val="left"/>
        <w:rPr>
          <w:rFonts w:ascii="宋体" w:hAnsi="宋体" w:cs="宋体"/>
          <w:color w:val="auto"/>
          <w:kern w:val="0"/>
          <w:highlight w:val="none"/>
        </w:rPr>
      </w:pPr>
      <w:r>
        <w:rPr>
          <w:rFonts w:hint="eastAsia" w:ascii="宋体" w:hAnsi="宋体" w:cs="宋体"/>
          <w:color w:val="auto"/>
          <w:kern w:val="0"/>
          <w:highlight w:val="none"/>
        </w:rPr>
        <w:t>5、供方原因不能按期指导安装验收完毕的，供方向需方每日偿付货款总额</w:t>
      </w:r>
      <w:r>
        <w:rPr>
          <w:rFonts w:hint="eastAsia" w:ascii="宋体" w:hAnsi="宋体" w:cs="宋体"/>
          <w:color w:val="auto"/>
          <w:kern w:val="0"/>
          <w:highlight w:val="none"/>
          <w:u w:val="single"/>
        </w:rPr>
        <w:t>5</w:t>
      </w:r>
      <w:r>
        <w:rPr>
          <w:rFonts w:hint="eastAsia" w:ascii="宋体" w:hAnsi="宋体" w:cs="宋体"/>
          <w:color w:val="auto"/>
          <w:kern w:val="0"/>
          <w:highlight w:val="none"/>
        </w:rPr>
        <w:t>‰的违约金。</w:t>
      </w:r>
    </w:p>
    <w:p w14:paraId="6F9C38B0">
      <w:pPr>
        <w:widowControl/>
        <w:snapToGrid w:val="0"/>
        <w:spacing w:before="60" w:after="60" w:line="400" w:lineRule="exact"/>
        <w:ind w:firstLine="480"/>
        <w:jc w:val="left"/>
        <w:rPr>
          <w:rFonts w:ascii="宋体" w:hAnsi="宋体" w:cs="宋体"/>
          <w:color w:val="auto"/>
          <w:kern w:val="0"/>
          <w:highlight w:val="none"/>
        </w:rPr>
      </w:pPr>
      <w:r>
        <w:rPr>
          <w:rFonts w:hint="eastAsia" w:ascii="宋体" w:hAnsi="宋体" w:cs="宋体"/>
          <w:color w:val="auto"/>
          <w:kern w:val="0"/>
          <w:highlight w:val="none"/>
        </w:rPr>
        <w:t>6、未按规定提供完整的技术资料处以货款总额千分之三的违约金。</w:t>
      </w:r>
    </w:p>
    <w:p w14:paraId="2025C884">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7、未按招标文件约定派驻相关专业的技术人员进行安装调试指导的，每发现一次处以货款总额千分之三的违约金。</w:t>
      </w:r>
    </w:p>
    <w:p w14:paraId="322DFBB9">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十四、不可抗力事件处理</w:t>
      </w:r>
    </w:p>
    <w:p w14:paraId="3177B427">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1、在合同有效期内，任何一方因不可抗力事件导致不能履行合同，则合同履行期可延长，其延长期与不可抗力影响期相同。</w:t>
      </w:r>
    </w:p>
    <w:p w14:paraId="20154F41">
      <w:pPr>
        <w:keepNext w:val="0"/>
        <w:keepLines w:val="0"/>
        <w:pageBreakBefore w:val="0"/>
        <w:widowControl/>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2、不可抗力事件发生后，应立即通知对方，并寄送有关权威机构出具的证明。</w:t>
      </w:r>
    </w:p>
    <w:p w14:paraId="1C23B9ED">
      <w:pPr>
        <w:keepNext w:val="0"/>
        <w:keepLines w:val="0"/>
        <w:pageBreakBefore w:val="0"/>
        <w:widowControl/>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3、不可抗力事件延续</w:t>
      </w:r>
      <w:r>
        <w:rPr>
          <w:rFonts w:hint="eastAsia" w:ascii="宋体" w:hAnsi="宋体" w:cs="宋体"/>
          <w:color w:val="auto"/>
          <w:szCs w:val="21"/>
          <w:highlight w:val="none"/>
          <w:u w:val="none"/>
        </w:rPr>
        <w:t>_____</w:t>
      </w:r>
      <w:r>
        <w:rPr>
          <w:rFonts w:hint="eastAsia" w:ascii="宋体" w:hAnsi="宋体" w:cs="宋体"/>
          <w:color w:val="auto"/>
          <w:kern w:val="0"/>
          <w:szCs w:val="21"/>
          <w:highlight w:val="none"/>
        </w:rPr>
        <w:t>天以上，双方应通过友好协商，确定是否继续履行合同。</w:t>
      </w:r>
    </w:p>
    <w:p w14:paraId="43706DFC">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十五、诉讼</w:t>
      </w:r>
    </w:p>
    <w:p w14:paraId="0AAE90D0">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本合同项目所在地为义乌市，本合同发生争议产生的诉讼，可向项目所在地有管辖权的法院提起诉讼。</w:t>
      </w:r>
    </w:p>
    <w:p w14:paraId="24799367">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六、合同双方确认，本合同及合同约定的其它文件组成部分中的各项约定都是通过法定招标过程形成的合法成果，如果中标单位的投标文件与招标文件要求不一致的，履约时应以有利于采购人的条款执行。如果不一致条款不是合同双方真实意思的表示，对合同双方不形成任何合同或法律约束力。合同双方也不存在且也不会签订任何背离合同实质性内容的其他协议或合同。如果存在或签订背离本合同实质性内容的其他协议或合同，也不是合同双方真实意思的表示，对合同双方不构成任何合同或法律约束力。</w:t>
      </w:r>
    </w:p>
    <w:p w14:paraId="5CF44B0F">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b/>
          <w:color w:val="auto"/>
          <w:kern w:val="0"/>
          <w:szCs w:val="21"/>
          <w:highlight w:val="none"/>
        </w:rPr>
      </w:pPr>
      <w:r>
        <w:rPr>
          <w:rFonts w:hint="eastAsia" w:ascii="宋体" w:hAnsi="宋体" w:cs="宋体"/>
          <w:b/>
          <w:color w:val="auto"/>
          <w:kern w:val="0"/>
          <w:szCs w:val="21"/>
          <w:highlight w:val="none"/>
        </w:rPr>
        <w:t>十七、合同生效及其它</w:t>
      </w:r>
    </w:p>
    <w:p w14:paraId="46FF5F84">
      <w:pPr>
        <w:keepNext w:val="0"/>
        <w:keepLines w:val="0"/>
        <w:pageBreakBefore w:val="0"/>
        <w:widowControl/>
        <w:kinsoku/>
        <w:wordWrap/>
        <w:overflowPunct/>
        <w:topLinePunct w:val="0"/>
        <w:autoSpaceDE/>
        <w:autoSpaceDN/>
        <w:bidi w:val="0"/>
        <w:adjustRightInd/>
        <w:snapToGrid w:val="0"/>
        <w:spacing w:before="120" w:after="120" w:line="360" w:lineRule="auto"/>
        <w:ind w:firstLine="480"/>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1、合同经双方法定代表人或授权代表签字并加盖单位公章后生效。</w:t>
      </w:r>
    </w:p>
    <w:p w14:paraId="7D8958DD">
      <w:pPr>
        <w:keepNext w:val="0"/>
        <w:keepLines w:val="0"/>
        <w:pageBreakBefore w:val="0"/>
        <w:widowControl/>
        <w:kinsoku/>
        <w:wordWrap/>
        <w:overflowPunct/>
        <w:topLinePunct w:val="0"/>
        <w:autoSpaceDE/>
        <w:autoSpaceDN/>
        <w:bidi w:val="0"/>
        <w:adjustRightInd/>
        <w:snapToGrid w:val="0"/>
        <w:spacing w:before="120" w:after="120" w:line="360" w:lineRule="auto"/>
        <w:ind w:left="479" w:leftChars="228"/>
        <w:jc w:val="left"/>
        <w:textAlignment w:val="auto"/>
        <w:rPr>
          <w:rFonts w:hint="eastAsia" w:ascii="宋体" w:hAnsi="宋体" w:cs="宋体"/>
          <w:color w:val="auto"/>
          <w:kern w:val="0"/>
          <w:szCs w:val="21"/>
          <w:highlight w:val="none"/>
        </w:rPr>
      </w:pPr>
      <w:r>
        <w:rPr>
          <w:rFonts w:hint="eastAsia" w:ascii="宋体" w:hAnsi="宋体" w:cs="宋体"/>
          <w:color w:val="auto"/>
          <w:kern w:val="0"/>
          <w:szCs w:val="21"/>
          <w:highlight w:val="none"/>
        </w:rPr>
        <w:t>2、本合同未尽事宜，遵照《民法典》有关条文执行。</w:t>
      </w:r>
    </w:p>
    <w:p w14:paraId="3DAC2D91">
      <w:pPr>
        <w:widowControl/>
        <w:spacing w:line="340" w:lineRule="exact"/>
        <w:ind w:firstLine="48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十八、本合同一式____份，供需双方各执_</w:t>
      </w:r>
      <w:r>
        <w:rPr>
          <w:rFonts w:hint="eastAsia" w:ascii="宋体" w:hAnsi="宋体" w:cs="宋体"/>
          <w:b/>
          <w:bCs/>
          <w:color w:val="auto"/>
          <w:kern w:val="0"/>
          <w:szCs w:val="21"/>
          <w:highlight w:val="none"/>
          <w:lang w:val="en-US" w:eastAsia="zh-CN"/>
        </w:rPr>
        <w:t xml:space="preserve"> </w:t>
      </w:r>
      <w:r>
        <w:rPr>
          <w:rFonts w:hint="eastAsia" w:ascii="宋体" w:hAnsi="宋体" w:cs="宋体"/>
          <w:b/>
          <w:bCs/>
          <w:color w:val="auto"/>
          <w:kern w:val="0"/>
          <w:szCs w:val="21"/>
          <w:highlight w:val="none"/>
        </w:rPr>
        <w:t>___份，义乌产权交易所有限公司执一份，均具同等效力。</w:t>
      </w:r>
    </w:p>
    <w:p w14:paraId="43CE66EE">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供    方：________________________  需    方：________________________</w:t>
      </w:r>
    </w:p>
    <w:p w14:paraId="70994872">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地    址：________________________  地    址：________________________</w:t>
      </w:r>
    </w:p>
    <w:p w14:paraId="432EFB45">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法定代表人：______________________  法定代表人：______________________</w:t>
      </w:r>
    </w:p>
    <w:p w14:paraId="17FCD8BE">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授权代表：________________________  授权代表：________________________</w:t>
      </w:r>
    </w:p>
    <w:p w14:paraId="3FEFF9EC">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电    话：________________________  电    话：________________________</w:t>
      </w:r>
    </w:p>
    <w:p w14:paraId="6D59BA90">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 xml:space="preserve">户名称：________________________  </w:t>
      </w: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户名称：________________________</w:t>
      </w:r>
    </w:p>
    <w:p w14:paraId="03C3B0B1">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开户银行：________________________  开户银行：________________________</w:t>
      </w:r>
    </w:p>
    <w:p w14:paraId="0D7CA56B">
      <w:pPr>
        <w:widowControl/>
        <w:spacing w:line="340" w:lineRule="exact"/>
        <w:ind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 xml:space="preserve">    号：________________________  </w:t>
      </w:r>
      <w:r>
        <w:rPr>
          <w:rFonts w:hint="eastAsia" w:ascii="宋体" w:hAnsi="宋体" w:cs="宋体"/>
          <w:color w:val="auto"/>
          <w:kern w:val="0"/>
          <w:szCs w:val="21"/>
          <w:highlight w:val="none"/>
          <w:lang w:eastAsia="zh-CN"/>
        </w:rPr>
        <w:t>账</w:t>
      </w:r>
      <w:r>
        <w:rPr>
          <w:rFonts w:hint="eastAsia" w:ascii="宋体" w:hAnsi="宋体" w:cs="宋体"/>
          <w:color w:val="auto"/>
          <w:kern w:val="0"/>
          <w:szCs w:val="21"/>
          <w:highlight w:val="none"/>
        </w:rPr>
        <w:t xml:space="preserve">    号：________________________</w:t>
      </w:r>
    </w:p>
    <w:p w14:paraId="308300D4">
      <w:pPr>
        <w:widowControl/>
        <w:spacing w:line="360" w:lineRule="auto"/>
        <w:ind w:firstLine="210" w:firstLineChars="1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签约时间：________________________  签约地点：________________________</w:t>
      </w:r>
    </w:p>
    <w:p w14:paraId="548C1693">
      <w:pPr>
        <w:widowControl/>
        <w:spacing w:line="370" w:lineRule="exact"/>
        <w:ind w:firstLine="210" w:firstLineChars="100"/>
        <w:jc w:val="left"/>
        <w:rPr>
          <w:rFonts w:hint="eastAsia" w:ascii="宋体" w:hAnsi="宋体" w:cs="宋体"/>
          <w:color w:val="auto"/>
          <w:kern w:val="0"/>
          <w:szCs w:val="21"/>
          <w:highlight w:val="none"/>
        </w:rPr>
      </w:pPr>
    </w:p>
    <w:p w14:paraId="380CCBDE">
      <w:pPr>
        <w:widowControl/>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5A0A5B6F">
      <w:pPr>
        <w:widowControl/>
        <w:spacing w:line="360" w:lineRule="auto"/>
        <w:ind w:firstLine="210" w:firstLineChars="100"/>
        <w:jc w:val="left"/>
        <w:rPr>
          <w:rFonts w:hint="eastAsia" w:ascii="宋体" w:hAnsi="宋体" w:cs="宋体"/>
          <w:color w:val="auto"/>
          <w:kern w:val="0"/>
          <w:szCs w:val="21"/>
          <w:highlight w:val="none"/>
        </w:rPr>
      </w:pPr>
    </w:p>
    <w:p w14:paraId="4ECAF839">
      <w:pPr>
        <w:widowControl/>
        <w:spacing w:line="360" w:lineRule="auto"/>
        <w:ind w:firstLine="210" w:firstLineChars="100"/>
        <w:jc w:val="left"/>
        <w:rPr>
          <w:rFonts w:hint="eastAsia" w:ascii="宋体" w:hAnsi="宋体" w:cs="宋体"/>
          <w:color w:val="auto"/>
          <w:kern w:val="0"/>
          <w:szCs w:val="21"/>
          <w:highlight w:val="none"/>
        </w:rPr>
      </w:pPr>
    </w:p>
    <w:p w14:paraId="2F7C1640">
      <w:pPr>
        <w:pStyle w:val="2"/>
        <w:tabs>
          <w:tab w:val="left" w:pos="360"/>
        </w:tabs>
        <w:spacing w:after="200" w:line="240" w:lineRule="auto"/>
        <w:jc w:val="center"/>
        <w:rPr>
          <w:rFonts w:hint="eastAsia"/>
          <w:color w:val="auto"/>
          <w:sz w:val="36"/>
          <w:highlight w:val="none"/>
        </w:rPr>
      </w:pPr>
      <w:r>
        <w:rPr>
          <w:rFonts w:hint="eastAsia"/>
          <w:color w:val="auto"/>
          <w:sz w:val="36"/>
          <w:highlight w:val="none"/>
        </w:rPr>
        <w:br w:type="page"/>
      </w:r>
      <w:bookmarkStart w:id="114" w:name="_Toc15228"/>
      <w:r>
        <w:rPr>
          <w:rFonts w:hint="eastAsia"/>
          <w:color w:val="auto"/>
          <w:sz w:val="36"/>
          <w:highlight w:val="none"/>
        </w:rPr>
        <w:t>第八章  投标文件部分格式</w:t>
      </w:r>
      <w:bookmarkEnd w:id="114"/>
    </w:p>
    <w:p w14:paraId="3F7F2D67">
      <w:pPr>
        <w:pStyle w:val="3"/>
        <w:spacing w:before="120" w:after="120" w:line="360" w:lineRule="auto"/>
        <w:rPr>
          <w:rFonts w:hint="eastAsia" w:ascii="宋体" w:hAnsi="宋体" w:eastAsia="宋体" w:cs="宋体"/>
          <w:color w:val="auto"/>
          <w:sz w:val="21"/>
          <w:szCs w:val="21"/>
          <w:highlight w:val="none"/>
        </w:rPr>
      </w:pPr>
      <w:bookmarkStart w:id="115" w:name="_Toc23182"/>
      <w:r>
        <w:rPr>
          <w:rFonts w:hint="eastAsia" w:ascii="宋体" w:hAnsi="宋体" w:eastAsia="宋体" w:cs="宋体"/>
          <w:color w:val="auto"/>
          <w:sz w:val="21"/>
          <w:szCs w:val="21"/>
          <w:highlight w:val="none"/>
        </w:rPr>
        <w:t>一、资格响应文件、商务技术响应文件部分格式</w:t>
      </w:r>
      <w:bookmarkEnd w:id="115"/>
    </w:p>
    <w:p w14:paraId="7DAC2E12">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1.法定代表人授权书和被授权人身份证复印件［适用于非法定代表人参加投标的,说明：法定代表人以营业执照载明的人员为准］</w:t>
      </w:r>
    </w:p>
    <w:p w14:paraId="693F754F">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2.义乌市国企采购项目投标承诺书</w:t>
      </w:r>
    </w:p>
    <w:p w14:paraId="34C1352E">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3.货物简要说明一览表</w:t>
      </w:r>
    </w:p>
    <w:p w14:paraId="1D68E37C">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4.规范偏离表</w:t>
      </w:r>
    </w:p>
    <w:p w14:paraId="72E15B16">
      <w:pPr>
        <w:tabs>
          <w:tab w:val="left" w:pos="105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5.产品质量保证承诺书和售后服务承诺书</w:t>
      </w:r>
    </w:p>
    <w:p w14:paraId="1EF40FBA">
      <w:pPr>
        <w:tabs>
          <w:tab w:val="left" w:pos="1050"/>
        </w:tabs>
        <w:spacing w:line="520" w:lineRule="exact"/>
        <w:ind w:left="528"/>
        <w:rPr>
          <w:rFonts w:hint="eastAsia" w:ascii="宋体" w:hAnsi="宋体" w:cs="宋体"/>
          <w:color w:val="auto"/>
          <w:szCs w:val="21"/>
          <w:highlight w:val="none"/>
        </w:rPr>
      </w:pPr>
    </w:p>
    <w:p w14:paraId="4D11BF1B">
      <w:pPr>
        <w:tabs>
          <w:tab w:val="left" w:pos="1050"/>
        </w:tabs>
        <w:spacing w:line="520" w:lineRule="exact"/>
        <w:ind w:left="528"/>
        <w:rPr>
          <w:rFonts w:hint="eastAsia" w:ascii="宋体" w:hAnsi="宋体" w:cs="宋体"/>
          <w:color w:val="auto"/>
          <w:szCs w:val="21"/>
          <w:highlight w:val="none"/>
        </w:rPr>
      </w:pPr>
    </w:p>
    <w:p w14:paraId="5E042C92">
      <w:pPr>
        <w:pStyle w:val="3"/>
        <w:spacing w:before="120" w:after="120" w:line="360" w:lineRule="auto"/>
        <w:rPr>
          <w:rFonts w:hint="eastAsia" w:ascii="宋体" w:hAnsi="宋体" w:eastAsia="宋体" w:cs="宋体"/>
          <w:color w:val="auto"/>
          <w:sz w:val="21"/>
          <w:szCs w:val="21"/>
          <w:highlight w:val="none"/>
        </w:rPr>
      </w:pPr>
      <w:bookmarkStart w:id="116" w:name="_Toc10616"/>
      <w:r>
        <w:rPr>
          <w:rFonts w:hint="eastAsia" w:ascii="宋体" w:hAnsi="宋体" w:eastAsia="宋体" w:cs="宋体"/>
          <w:color w:val="auto"/>
          <w:sz w:val="21"/>
          <w:szCs w:val="21"/>
          <w:highlight w:val="none"/>
        </w:rPr>
        <w:t>二、报价响应文件部分格式</w:t>
      </w:r>
      <w:bookmarkEnd w:id="116"/>
    </w:p>
    <w:p w14:paraId="24B29DD5">
      <w:pPr>
        <w:tabs>
          <w:tab w:val="left" w:pos="1080"/>
        </w:tabs>
        <w:spacing w:line="520" w:lineRule="exact"/>
        <w:ind w:left="528"/>
        <w:rPr>
          <w:rFonts w:hint="eastAsia" w:ascii="宋体" w:hAnsi="宋体" w:cs="宋体"/>
          <w:color w:val="auto"/>
          <w:szCs w:val="21"/>
          <w:highlight w:val="none"/>
        </w:rPr>
      </w:pPr>
      <w:r>
        <w:rPr>
          <w:rFonts w:hint="eastAsia" w:ascii="宋体" w:hAnsi="宋体" w:cs="宋体"/>
          <w:color w:val="auto"/>
          <w:szCs w:val="21"/>
          <w:highlight w:val="none"/>
        </w:rPr>
        <w:t>1.开标一览表格式</w:t>
      </w:r>
    </w:p>
    <w:p w14:paraId="3F1B801E">
      <w:pPr>
        <w:spacing w:line="340" w:lineRule="exact"/>
        <w:rPr>
          <w:rFonts w:hint="eastAsia" w:ascii="宋体" w:hAnsi="宋体" w:cs="宋体"/>
          <w:color w:val="auto"/>
          <w:szCs w:val="21"/>
          <w:highlight w:val="none"/>
        </w:rPr>
      </w:pPr>
    </w:p>
    <w:p w14:paraId="5715C067">
      <w:pPr>
        <w:spacing w:line="340" w:lineRule="exact"/>
        <w:rPr>
          <w:rFonts w:hint="eastAsia" w:ascii="宋体" w:hAnsi="宋体" w:cs="宋体"/>
          <w:color w:val="auto"/>
          <w:szCs w:val="21"/>
          <w:highlight w:val="none"/>
        </w:rPr>
      </w:pPr>
    </w:p>
    <w:p w14:paraId="16F8FA0E">
      <w:pPr>
        <w:pStyle w:val="3"/>
        <w:spacing w:before="120" w:after="120" w:line="360" w:lineRule="auto"/>
        <w:rPr>
          <w:rFonts w:hint="eastAsia" w:ascii="宋体" w:hAnsi="宋体" w:eastAsia="宋体" w:cs="宋体"/>
          <w:color w:val="auto"/>
          <w:sz w:val="21"/>
          <w:szCs w:val="21"/>
          <w:highlight w:val="none"/>
        </w:rPr>
      </w:pPr>
      <w:bookmarkStart w:id="117" w:name="_Toc7696"/>
      <w:r>
        <w:rPr>
          <w:rFonts w:hint="eastAsia" w:ascii="宋体" w:hAnsi="宋体" w:eastAsia="宋体" w:cs="宋体"/>
          <w:color w:val="auto"/>
          <w:sz w:val="21"/>
          <w:szCs w:val="21"/>
          <w:highlight w:val="none"/>
        </w:rPr>
        <w:t>三、质疑函范本</w:t>
      </w:r>
      <w:bookmarkEnd w:id="117"/>
    </w:p>
    <w:p w14:paraId="06CC4D91">
      <w:pPr>
        <w:spacing w:line="340" w:lineRule="exact"/>
        <w:rPr>
          <w:rFonts w:hint="eastAsia" w:ascii="宋体" w:hAnsi="宋体" w:cs="宋体"/>
          <w:color w:val="auto"/>
          <w:szCs w:val="21"/>
          <w:highlight w:val="none"/>
        </w:rPr>
      </w:pPr>
    </w:p>
    <w:p w14:paraId="3FF48F24">
      <w:pPr>
        <w:spacing w:line="340" w:lineRule="exact"/>
        <w:rPr>
          <w:rFonts w:hint="eastAsia" w:ascii="宋体" w:hAnsi="宋体" w:cs="宋体"/>
          <w:color w:val="auto"/>
          <w:szCs w:val="21"/>
          <w:highlight w:val="none"/>
        </w:rPr>
      </w:pPr>
    </w:p>
    <w:p w14:paraId="3D833206">
      <w:pPr>
        <w:spacing w:line="340" w:lineRule="exact"/>
        <w:rPr>
          <w:rFonts w:ascii="宋体" w:cs="宋体"/>
          <w:color w:val="auto"/>
          <w:sz w:val="24"/>
          <w:highlight w:val="none"/>
        </w:rPr>
      </w:pPr>
    </w:p>
    <w:p w14:paraId="7DA38825">
      <w:pPr>
        <w:spacing w:line="340" w:lineRule="exact"/>
        <w:rPr>
          <w:rFonts w:ascii="宋体" w:cs="宋体"/>
          <w:color w:val="auto"/>
          <w:sz w:val="24"/>
          <w:highlight w:val="none"/>
        </w:rPr>
      </w:pPr>
    </w:p>
    <w:p w14:paraId="4C826472">
      <w:pPr>
        <w:spacing w:line="340" w:lineRule="exact"/>
        <w:rPr>
          <w:rFonts w:ascii="宋体" w:cs="宋体"/>
          <w:color w:val="auto"/>
          <w:sz w:val="24"/>
          <w:highlight w:val="none"/>
        </w:rPr>
      </w:pPr>
    </w:p>
    <w:p w14:paraId="098FC096">
      <w:pPr>
        <w:spacing w:line="340" w:lineRule="exact"/>
        <w:rPr>
          <w:rFonts w:ascii="宋体" w:cs="宋体"/>
          <w:color w:val="auto"/>
          <w:sz w:val="24"/>
          <w:highlight w:val="none"/>
        </w:rPr>
      </w:pPr>
    </w:p>
    <w:p w14:paraId="686EF51C">
      <w:pPr>
        <w:spacing w:line="340" w:lineRule="exact"/>
        <w:rPr>
          <w:rFonts w:ascii="宋体" w:cs="宋体"/>
          <w:color w:val="auto"/>
          <w:sz w:val="24"/>
          <w:highlight w:val="none"/>
        </w:rPr>
      </w:pPr>
    </w:p>
    <w:p w14:paraId="781D5634">
      <w:pPr>
        <w:spacing w:line="340" w:lineRule="exact"/>
        <w:rPr>
          <w:rFonts w:ascii="宋体" w:cs="宋体"/>
          <w:color w:val="auto"/>
          <w:sz w:val="24"/>
          <w:highlight w:val="none"/>
        </w:rPr>
      </w:pPr>
    </w:p>
    <w:p w14:paraId="2E57DB8B">
      <w:pPr>
        <w:spacing w:line="340" w:lineRule="exact"/>
        <w:rPr>
          <w:rFonts w:ascii="宋体" w:cs="宋体"/>
          <w:color w:val="auto"/>
          <w:sz w:val="24"/>
          <w:highlight w:val="none"/>
        </w:rPr>
      </w:pPr>
    </w:p>
    <w:p w14:paraId="571FFA79">
      <w:pPr>
        <w:spacing w:line="340" w:lineRule="exact"/>
        <w:rPr>
          <w:rFonts w:ascii="宋体" w:cs="宋体"/>
          <w:color w:val="auto"/>
          <w:sz w:val="24"/>
          <w:highlight w:val="none"/>
        </w:rPr>
      </w:pPr>
    </w:p>
    <w:p w14:paraId="19266D23">
      <w:pPr>
        <w:spacing w:line="340" w:lineRule="exact"/>
        <w:rPr>
          <w:rFonts w:ascii="宋体" w:cs="宋体"/>
          <w:color w:val="auto"/>
          <w:sz w:val="24"/>
          <w:highlight w:val="none"/>
        </w:rPr>
      </w:pPr>
    </w:p>
    <w:p w14:paraId="3C477D28">
      <w:pPr>
        <w:spacing w:line="340" w:lineRule="exact"/>
        <w:rPr>
          <w:rFonts w:ascii="宋体" w:cs="宋体"/>
          <w:color w:val="auto"/>
          <w:sz w:val="24"/>
          <w:highlight w:val="none"/>
        </w:rPr>
      </w:pPr>
    </w:p>
    <w:p w14:paraId="24A8768C">
      <w:pPr>
        <w:pStyle w:val="3"/>
        <w:spacing w:before="120" w:after="120" w:line="360" w:lineRule="auto"/>
        <w:rPr>
          <w:rFonts w:hint="eastAsia" w:ascii="宋体" w:hAnsi="宋体" w:eastAsia="宋体" w:cs="宋体"/>
          <w:color w:val="auto"/>
          <w:sz w:val="21"/>
          <w:szCs w:val="21"/>
          <w:highlight w:val="none"/>
        </w:rPr>
      </w:pPr>
    </w:p>
    <w:p w14:paraId="4BD327E8">
      <w:pPr>
        <w:rPr>
          <w:rFonts w:hint="eastAsia" w:ascii="宋体" w:hAnsi="宋体"/>
          <w:color w:val="auto"/>
          <w:sz w:val="52"/>
          <w:highlight w:val="none"/>
          <w:u w:val="single"/>
        </w:rPr>
      </w:pPr>
      <w:r>
        <w:rPr>
          <w:rFonts w:hint="eastAsia" w:ascii="宋体" w:hAnsi="宋体"/>
          <w:b/>
          <w:bCs/>
          <w:color w:val="auto"/>
          <w:sz w:val="28"/>
          <w:highlight w:val="none"/>
        </w:rPr>
        <w:br w:type="page"/>
      </w:r>
      <w:r>
        <w:rPr>
          <w:rFonts w:hint="eastAsia" w:ascii="宋体" w:hAnsi="宋体"/>
          <w:b/>
          <w:bCs/>
          <w:color w:val="auto"/>
          <w:sz w:val="28"/>
          <w:highlight w:val="none"/>
        </w:rPr>
        <w:t>封面格式</w:t>
      </w:r>
    </w:p>
    <w:p w14:paraId="47E69898">
      <w:pPr>
        <w:jc w:val="right"/>
        <w:rPr>
          <w:rFonts w:hint="eastAsia" w:ascii="宋体" w:hAnsi="宋体"/>
          <w:b/>
          <w:color w:val="auto"/>
          <w:sz w:val="30"/>
          <w:szCs w:val="30"/>
          <w:highlight w:val="none"/>
        </w:rPr>
      </w:pPr>
      <w:r>
        <w:rPr>
          <w:rFonts w:hint="eastAsia" w:ascii="宋体" w:hAnsi="宋体"/>
          <w:b/>
          <w:color w:val="auto"/>
          <w:sz w:val="30"/>
          <w:szCs w:val="30"/>
          <w:highlight w:val="none"/>
        </w:rPr>
        <w:t>正本（副本）</w:t>
      </w:r>
    </w:p>
    <w:p w14:paraId="1CF70A6E">
      <w:pPr>
        <w:jc w:val="center"/>
        <w:rPr>
          <w:rFonts w:hint="eastAsia" w:ascii="宋体" w:hAnsi="宋体"/>
          <w:color w:val="auto"/>
          <w:sz w:val="24"/>
          <w:highlight w:val="none"/>
          <w:u w:val="single"/>
        </w:rPr>
      </w:pPr>
    </w:p>
    <w:p w14:paraId="3617F391">
      <w:pPr>
        <w:jc w:val="center"/>
        <w:rPr>
          <w:rFonts w:hint="eastAsia" w:ascii="宋体" w:hAnsi="宋体"/>
          <w:color w:val="auto"/>
          <w:sz w:val="24"/>
          <w:highlight w:val="none"/>
          <w:u w:val="single"/>
        </w:rPr>
      </w:pPr>
    </w:p>
    <w:p w14:paraId="53F0C717">
      <w:pPr>
        <w:jc w:val="center"/>
        <w:rPr>
          <w:rFonts w:ascii="宋体" w:hAnsi="宋体"/>
          <w:color w:val="auto"/>
          <w:sz w:val="52"/>
          <w:highlight w:val="none"/>
        </w:rPr>
      </w:pPr>
      <w:r>
        <w:rPr>
          <w:rFonts w:hint="eastAsia" w:ascii="宋体" w:hAnsi="宋体"/>
          <w:color w:val="auto"/>
          <w:sz w:val="52"/>
          <w:highlight w:val="none"/>
          <w:u w:val="single"/>
        </w:rPr>
        <w:t xml:space="preserve">                        </w:t>
      </w:r>
      <w:r>
        <w:rPr>
          <w:rFonts w:hint="eastAsia" w:ascii="宋体" w:hAnsi="宋体"/>
          <w:color w:val="auto"/>
          <w:sz w:val="52"/>
          <w:highlight w:val="none"/>
        </w:rPr>
        <w:t>项目</w:t>
      </w:r>
    </w:p>
    <w:p w14:paraId="3E69E784">
      <w:pPr>
        <w:rPr>
          <w:rFonts w:hint="eastAsia" w:ascii="宋体" w:hAnsi="宋体"/>
          <w:color w:val="auto"/>
          <w:sz w:val="52"/>
          <w:highlight w:val="none"/>
        </w:rPr>
      </w:pPr>
    </w:p>
    <w:p w14:paraId="5F92C1A7">
      <w:pPr>
        <w:jc w:val="center"/>
        <w:rPr>
          <w:rFonts w:hint="eastAsia" w:ascii="宋体" w:hAnsi="宋体"/>
          <w:b/>
          <w:bCs/>
          <w:color w:val="auto"/>
          <w:sz w:val="72"/>
          <w:highlight w:val="none"/>
        </w:rPr>
      </w:pPr>
      <w:r>
        <w:rPr>
          <w:rFonts w:hint="eastAsia" w:ascii="宋体" w:hAnsi="宋体"/>
          <w:b/>
          <w:bCs/>
          <w:color w:val="auto"/>
          <w:sz w:val="72"/>
          <w:highlight w:val="none"/>
        </w:rPr>
        <w:t>投标文件</w:t>
      </w:r>
    </w:p>
    <w:p w14:paraId="4C38F31D">
      <w:pPr>
        <w:jc w:val="center"/>
        <w:rPr>
          <w:rFonts w:hint="eastAsia" w:ascii="宋体" w:hAnsi="宋体"/>
          <w:b/>
          <w:bCs/>
          <w:color w:val="auto"/>
          <w:sz w:val="28"/>
          <w:highlight w:val="none"/>
        </w:rPr>
      </w:pPr>
      <w:r>
        <w:rPr>
          <w:rFonts w:hint="eastAsia" w:ascii="宋体" w:hAnsi="宋体"/>
          <w:b/>
          <w:bCs/>
          <w:color w:val="auto"/>
          <w:sz w:val="28"/>
          <w:highlight w:val="none"/>
        </w:rPr>
        <w:t>（采购编号）</w:t>
      </w:r>
    </w:p>
    <w:p w14:paraId="2A26E071">
      <w:pPr>
        <w:jc w:val="center"/>
        <w:rPr>
          <w:rFonts w:hint="eastAsia" w:ascii="宋体" w:hAnsi="宋体"/>
          <w:b/>
          <w:bCs/>
          <w:color w:val="auto"/>
          <w:sz w:val="28"/>
          <w:highlight w:val="none"/>
        </w:rPr>
      </w:pPr>
    </w:p>
    <w:p w14:paraId="435E2828">
      <w:pPr>
        <w:jc w:val="center"/>
        <w:rPr>
          <w:rFonts w:hint="eastAsia" w:ascii="宋体" w:hAnsi="宋体"/>
          <w:b/>
          <w:bCs/>
          <w:color w:val="auto"/>
          <w:sz w:val="28"/>
          <w:highlight w:val="none"/>
        </w:rPr>
      </w:pPr>
    </w:p>
    <w:p w14:paraId="57EF810E">
      <w:pPr>
        <w:jc w:val="center"/>
        <w:rPr>
          <w:rFonts w:hint="eastAsia" w:ascii="宋体" w:hAnsi="宋体"/>
          <w:b/>
          <w:bCs/>
          <w:color w:val="auto"/>
          <w:sz w:val="28"/>
          <w:highlight w:val="none"/>
        </w:rPr>
      </w:pPr>
    </w:p>
    <w:p w14:paraId="5089BEB3">
      <w:pPr>
        <w:jc w:val="center"/>
        <w:rPr>
          <w:rFonts w:hint="eastAsia" w:ascii="宋体" w:hAnsi="宋体"/>
          <w:b/>
          <w:bCs/>
          <w:color w:val="auto"/>
          <w:sz w:val="28"/>
          <w:highlight w:val="none"/>
        </w:rPr>
      </w:pPr>
    </w:p>
    <w:p w14:paraId="3EA8905E">
      <w:pPr>
        <w:rPr>
          <w:rFonts w:hint="eastAsia" w:ascii="宋体" w:hAnsi="宋体"/>
          <w:b/>
          <w:bCs/>
          <w:color w:val="auto"/>
          <w:sz w:val="28"/>
          <w:highlight w:val="none"/>
        </w:rPr>
      </w:pPr>
    </w:p>
    <w:p w14:paraId="4BD755F7">
      <w:pPr>
        <w:jc w:val="center"/>
        <w:rPr>
          <w:rFonts w:hint="eastAsia" w:ascii="宋体" w:hAnsi="宋体"/>
          <w:b/>
          <w:bCs/>
          <w:color w:val="auto"/>
          <w:sz w:val="28"/>
          <w:highlight w:val="none"/>
        </w:rPr>
      </w:pPr>
    </w:p>
    <w:p w14:paraId="6EB1F220">
      <w:pPr>
        <w:spacing w:line="900" w:lineRule="exact"/>
        <w:ind w:firstLine="320" w:firstLineChars="100"/>
        <w:rPr>
          <w:rFonts w:hint="eastAsia" w:ascii="宋体" w:hAnsi="宋体"/>
          <w:color w:val="auto"/>
          <w:sz w:val="32"/>
          <w:highlight w:val="none"/>
          <w:u w:val="single"/>
        </w:rPr>
      </w:pPr>
      <w:r>
        <w:rPr>
          <w:rFonts w:hint="eastAsia" w:ascii="宋体" w:hAnsi="宋体"/>
          <w:color w:val="auto"/>
          <w:sz w:val="32"/>
          <w:highlight w:val="none"/>
        </w:rPr>
        <w:t>投标文件内容：</w:t>
      </w:r>
      <w:r>
        <w:rPr>
          <w:rFonts w:hint="eastAsia" w:ascii="宋体" w:hAnsi="宋体"/>
          <w:color w:val="auto"/>
          <w:sz w:val="32"/>
          <w:highlight w:val="none"/>
          <w:u w:val="single"/>
        </w:rPr>
        <w:t xml:space="preserve">           （资格、商务技术或报价响应文件）    </w:t>
      </w:r>
    </w:p>
    <w:p w14:paraId="215203CC">
      <w:pPr>
        <w:spacing w:line="900" w:lineRule="exact"/>
        <w:ind w:firstLine="313" w:firstLineChars="98"/>
        <w:rPr>
          <w:rFonts w:hint="eastAsia" w:ascii="宋体" w:hAnsi="宋体"/>
          <w:color w:val="auto"/>
          <w:sz w:val="32"/>
          <w:highlight w:val="none"/>
          <w:u w:val="single"/>
        </w:rPr>
      </w:pPr>
      <w:r>
        <w:rPr>
          <w:rFonts w:hint="eastAsia" w:ascii="宋体" w:hAnsi="宋体"/>
          <w:color w:val="auto"/>
          <w:sz w:val="32"/>
          <w:highlight w:val="none"/>
        </w:rPr>
        <w:t>投   标   人：</w:t>
      </w:r>
      <w:r>
        <w:rPr>
          <w:rFonts w:hint="eastAsia" w:ascii="宋体" w:hAnsi="宋体"/>
          <w:color w:val="auto"/>
          <w:sz w:val="32"/>
          <w:highlight w:val="none"/>
          <w:u w:val="single"/>
        </w:rPr>
        <w:t xml:space="preserve">                              （电子签章）  </w:t>
      </w:r>
    </w:p>
    <w:p w14:paraId="04B34BDD">
      <w:pPr>
        <w:spacing w:line="900" w:lineRule="exact"/>
        <w:ind w:left="-4" w:leftChars="-2" w:firstLine="320" w:firstLineChars="100"/>
        <w:rPr>
          <w:rFonts w:hint="eastAsia" w:ascii="宋体" w:hAnsi="宋体"/>
          <w:color w:val="auto"/>
          <w:sz w:val="32"/>
          <w:highlight w:val="none"/>
          <w:u w:val="single"/>
        </w:rPr>
      </w:pPr>
      <w:r>
        <w:rPr>
          <w:rFonts w:hint="eastAsia" w:ascii="宋体" w:hAnsi="宋体"/>
          <w:color w:val="auto"/>
          <w:sz w:val="32"/>
          <w:highlight w:val="none"/>
        </w:rPr>
        <w:t>法定代表人或其委托代理人：</w:t>
      </w:r>
      <w:r>
        <w:rPr>
          <w:rFonts w:hint="eastAsia" w:ascii="宋体" w:hAnsi="宋体"/>
          <w:color w:val="auto"/>
          <w:sz w:val="32"/>
          <w:highlight w:val="none"/>
          <w:u w:val="single"/>
        </w:rPr>
        <w:t xml:space="preserve">                （签字或盖章） </w:t>
      </w:r>
    </w:p>
    <w:p w14:paraId="1D6E8B87">
      <w:pPr>
        <w:spacing w:line="900" w:lineRule="exact"/>
        <w:ind w:firstLine="160" w:firstLineChars="50"/>
        <w:rPr>
          <w:rFonts w:hint="eastAsia" w:ascii="宋体" w:hAnsi="宋体"/>
          <w:color w:val="auto"/>
          <w:sz w:val="32"/>
          <w:highlight w:val="none"/>
        </w:rPr>
      </w:pPr>
      <w:r>
        <w:rPr>
          <w:rFonts w:hint="eastAsia" w:ascii="宋体" w:hAnsi="宋体"/>
          <w:color w:val="auto"/>
          <w:sz w:val="32"/>
          <w:highlight w:val="none"/>
        </w:rPr>
        <w:t xml:space="preserve"> 日 期：</w:t>
      </w:r>
      <w:r>
        <w:rPr>
          <w:rFonts w:hint="eastAsia" w:ascii="宋体" w:hAnsi="宋体"/>
          <w:color w:val="auto"/>
          <w:sz w:val="32"/>
          <w:highlight w:val="none"/>
          <w:u w:val="single"/>
        </w:rPr>
        <w:t xml:space="preserve">            </w:t>
      </w:r>
      <w:r>
        <w:rPr>
          <w:rFonts w:hint="eastAsia" w:ascii="宋体" w:hAnsi="宋体"/>
          <w:color w:val="auto"/>
          <w:sz w:val="32"/>
          <w:highlight w:val="none"/>
        </w:rPr>
        <w:t>年</w:t>
      </w:r>
      <w:r>
        <w:rPr>
          <w:rFonts w:hint="eastAsia" w:ascii="宋体" w:hAnsi="宋体"/>
          <w:color w:val="auto"/>
          <w:sz w:val="32"/>
          <w:highlight w:val="none"/>
          <w:u w:val="single"/>
        </w:rPr>
        <w:t xml:space="preserve">            </w:t>
      </w:r>
      <w:r>
        <w:rPr>
          <w:rFonts w:hint="eastAsia" w:ascii="宋体" w:hAnsi="宋体"/>
          <w:color w:val="auto"/>
          <w:sz w:val="32"/>
          <w:highlight w:val="none"/>
        </w:rPr>
        <w:t>月</w:t>
      </w:r>
      <w:r>
        <w:rPr>
          <w:rFonts w:hint="eastAsia" w:ascii="宋体" w:hAnsi="宋体"/>
          <w:color w:val="auto"/>
          <w:sz w:val="32"/>
          <w:highlight w:val="none"/>
          <w:u w:val="single"/>
        </w:rPr>
        <w:t xml:space="preserve">               </w:t>
      </w:r>
      <w:r>
        <w:rPr>
          <w:rFonts w:hint="eastAsia" w:ascii="宋体" w:hAnsi="宋体"/>
          <w:color w:val="auto"/>
          <w:sz w:val="32"/>
          <w:highlight w:val="none"/>
        </w:rPr>
        <w:t>日</w:t>
      </w:r>
    </w:p>
    <w:p w14:paraId="650C5336">
      <w:pPr>
        <w:rPr>
          <w:rFonts w:hint="eastAsia"/>
          <w:b/>
          <w:bCs/>
          <w:color w:val="auto"/>
          <w:sz w:val="36"/>
          <w:highlight w:val="none"/>
        </w:rPr>
      </w:pPr>
    </w:p>
    <w:p w14:paraId="553C6A12">
      <w:pP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br w:type="page"/>
      </w:r>
    </w:p>
    <w:p w14:paraId="36E6E62E">
      <w:pPr>
        <w:spacing w:line="480" w:lineRule="auto"/>
        <w:jc w:val="center"/>
        <w:rPr>
          <w:rFonts w:hint="eastAsia" w:ascii="宋体" w:hAnsi="宋体" w:cs="宋体"/>
          <w:b/>
          <w:bCs/>
          <w:color w:val="auto"/>
          <w:sz w:val="36"/>
          <w:szCs w:val="36"/>
          <w:highlight w:val="none"/>
        </w:rPr>
      </w:pPr>
      <w:r>
        <w:rPr>
          <w:rFonts w:hint="eastAsia" w:ascii="宋体" w:hAnsi="宋体" w:cs="宋体"/>
          <w:b/>
          <w:bCs/>
          <w:color w:val="auto"/>
          <w:sz w:val="36"/>
          <w:szCs w:val="36"/>
          <w:highlight w:val="none"/>
        </w:rPr>
        <w:t>法定代表人授权书（格式）</w:t>
      </w:r>
    </w:p>
    <w:p w14:paraId="50B37527">
      <w:pPr>
        <w:spacing w:line="480" w:lineRule="auto"/>
        <w:jc w:val="center"/>
        <w:rPr>
          <w:rFonts w:hint="eastAsia" w:ascii="宋体" w:hAnsi="宋体" w:cs="宋体"/>
          <w:b/>
          <w:color w:val="auto"/>
          <w:sz w:val="48"/>
          <w:highlight w:val="none"/>
        </w:rPr>
      </w:pPr>
    </w:p>
    <w:p w14:paraId="2B7C85D5">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44960D71">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日    期：</w:t>
      </w:r>
      <w:r>
        <w:rPr>
          <w:rFonts w:hint="eastAsia" w:ascii="宋体" w:hAnsi="宋体" w:cs="宋体"/>
          <w:color w:val="auto"/>
          <w:sz w:val="24"/>
          <w:highlight w:val="none"/>
          <w:u w:val="single"/>
        </w:rPr>
        <w:t xml:space="preserve">               </w:t>
      </w:r>
    </w:p>
    <w:p w14:paraId="3D39F6C3">
      <w:pPr>
        <w:spacing w:line="360" w:lineRule="auto"/>
        <w:rPr>
          <w:rFonts w:hint="eastAsia" w:ascii="宋体" w:hAnsi="宋体" w:cs="宋体"/>
          <w:color w:val="auto"/>
          <w:sz w:val="24"/>
          <w:highlight w:val="none"/>
          <w:u w:val="singl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采购人名称）                </w:t>
      </w:r>
    </w:p>
    <w:p w14:paraId="3D602F54">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招标代理机构名称）         </w:t>
      </w:r>
      <w:r>
        <w:rPr>
          <w:rFonts w:hint="eastAsia" w:ascii="宋体" w:hAnsi="宋体" w:cs="宋体"/>
          <w:color w:val="auto"/>
          <w:sz w:val="24"/>
          <w:highlight w:val="none"/>
        </w:rPr>
        <w:t xml:space="preserve">    </w:t>
      </w:r>
    </w:p>
    <w:p w14:paraId="4A6BD143">
      <w:pPr>
        <w:spacing w:line="360" w:lineRule="auto"/>
        <w:ind w:firstLine="480" w:firstLineChars="200"/>
        <w:jc w:val="left"/>
        <w:rPr>
          <w:rFonts w:hint="eastAsia" w:ascii="宋体" w:hAnsi="宋体" w:cs="宋体"/>
          <w:color w:val="auto"/>
          <w:sz w:val="24"/>
          <w:highlight w:val="none"/>
          <w:u w:val="single"/>
        </w:rPr>
      </w:pPr>
      <w:r>
        <w:rPr>
          <w:rFonts w:hint="eastAsia" w:ascii="宋体" w:hAnsi="宋体" w:cs="宋体"/>
          <w:color w:val="auto"/>
          <w:sz w:val="24"/>
          <w:highlight w:val="none"/>
        </w:rPr>
        <w:t>注册于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（注册地址）的</w:t>
      </w:r>
      <w:r>
        <w:rPr>
          <w:rFonts w:hint="eastAsia" w:ascii="宋体" w:hAnsi="宋体" w:cs="宋体"/>
          <w:color w:val="auto"/>
          <w:sz w:val="24"/>
          <w:highlight w:val="none"/>
          <w:u w:val="single"/>
        </w:rPr>
        <w:t xml:space="preserve">                          </w:t>
      </w:r>
    </w:p>
    <w:p w14:paraId="49102DED">
      <w:pPr>
        <w:spacing w:line="360" w:lineRule="auto"/>
        <w:jc w:val="left"/>
        <w:rPr>
          <w:rFonts w:hint="eastAsia"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（投标人名称），系中华人民共和国合法企业；本人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授权人姓名）  系该公司的法定代表人（或负责人）。现特授权本单位的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w:t>
      </w:r>
      <w:r>
        <w:rPr>
          <w:rFonts w:hint="eastAsia" w:ascii="宋体" w:hAnsi="宋体" w:cs="宋体"/>
          <w:color w:val="auto"/>
          <w:sz w:val="24"/>
          <w:highlight w:val="none"/>
          <w:u w:val="single"/>
        </w:rPr>
        <w:t>身份证号码：         ）</w:t>
      </w:r>
      <w:r>
        <w:rPr>
          <w:rFonts w:hint="eastAsia" w:ascii="宋体" w:hAnsi="宋体" w:cs="宋体"/>
          <w:color w:val="auto"/>
          <w:sz w:val="24"/>
          <w:highlight w:val="none"/>
        </w:rPr>
        <w:t>为我公司合法代理人，全权代表我公司办理就</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项目的投标、开标、签约等具体工作，并签署全部有关的文件、协议及合同。</w:t>
      </w:r>
    </w:p>
    <w:p w14:paraId="3908C5BB">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我公司对被授权人的签名负全部责任。</w:t>
      </w:r>
    </w:p>
    <w:p w14:paraId="330A60E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在撤销授权的书面通知以前，本授权书一直有效。被授权人签署的所有文件（在授权书有效期内签署的）不因授权的撤销而失效。被授权人无转委托。特此声明。</w:t>
      </w:r>
    </w:p>
    <w:p w14:paraId="1B30EF07">
      <w:pPr>
        <w:spacing w:line="360" w:lineRule="auto"/>
        <w:rPr>
          <w:rFonts w:hint="eastAsia" w:ascii="宋体" w:hAnsi="宋体" w:cs="宋体"/>
          <w:color w:val="auto"/>
          <w:sz w:val="24"/>
          <w:highlight w:val="none"/>
        </w:rPr>
      </w:pPr>
      <w:r>
        <w:rPr>
          <w:rFonts w:hint="eastAsia" w:ascii="宋体" w:hAnsi="宋体" w:cs="宋体"/>
          <w:color w:val="auto"/>
          <w:sz w:val="24"/>
          <w:highlight w:val="none"/>
        </w:rPr>
        <w:t>被授权人身份证复印件：</w:t>
      </w:r>
    </w:p>
    <w:p w14:paraId="4C296319">
      <w:pPr>
        <w:spacing w:line="360" w:lineRule="auto"/>
        <w:rPr>
          <w:rFonts w:hint="eastAsia" w:ascii="宋体" w:hAnsi="宋体" w:cs="宋体"/>
          <w:color w:val="auto"/>
          <w:sz w:val="24"/>
          <w:highlight w:val="none"/>
        </w:rPr>
      </w:pPr>
    </w:p>
    <w:p w14:paraId="5B54382C">
      <w:pPr>
        <w:spacing w:line="360" w:lineRule="auto"/>
        <w:rPr>
          <w:rFonts w:hint="eastAsia" w:ascii="宋体" w:hAnsi="宋体" w:cs="宋体"/>
          <w:color w:val="auto"/>
          <w:sz w:val="24"/>
          <w:highlight w:val="none"/>
        </w:rPr>
      </w:pPr>
    </w:p>
    <w:p w14:paraId="66D5E5DF">
      <w:pPr>
        <w:spacing w:line="360" w:lineRule="auto"/>
        <w:rPr>
          <w:rFonts w:hint="eastAsia" w:ascii="宋体" w:hAnsi="宋体" w:cs="宋体"/>
          <w:color w:val="auto"/>
          <w:sz w:val="24"/>
          <w:highlight w:val="none"/>
        </w:rPr>
      </w:pPr>
    </w:p>
    <w:p w14:paraId="4C41EFF9">
      <w:pPr>
        <w:spacing w:line="800" w:lineRule="exact"/>
        <w:rPr>
          <w:rFonts w:hint="eastAsia" w:ascii="宋体" w:hAnsi="宋体" w:cs="宋体"/>
          <w:color w:val="auto"/>
          <w:sz w:val="24"/>
          <w:highlight w:val="none"/>
        </w:rPr>
      </w:pPr>
      <w:r>
        <w:rPr>
          <w:rFonts w:hint="eastAsia" w:ascii="宋体" w:hAnsi="宋体" w:cs="宋体"/>
          <w:color w:val="auto"/>
          <w:sz w:val="24"/>
          <w:highlight w:val="none"/>
        </w:rPr>
        <w:t>投标人（盖电子签章）：</w:t>
      </w:r>
    </w:p>
    <w:p w14:paraId="29A987E8">
      <w:pPr>
        <w:spacing w:line="800" w:lineRule="exact"/>
        <w:rPr>
          <w:rFonts w:hint="eastAsia" w:ascii="宋体" w:hAnsi="宋体" w:cs="宋体"/>
          <w:color w:val="auto"/>
          <w:sz w:val="24"/>
          <w:highlight w:val="none"/>
          <w:u w:val="single"/>
        </w:rPr>
      </w:pPr>
      <w:r>
        <w:rPr>
          <w:rFonts w:hint="eastAsia" w:ascii="宋体" w:hAnsi="宋体" w:cs="宋体"/>
          <w:color w:val="auto"/>
          <w:sz w:val="24"/>
          <w:highlight w:val="none"/>
        </w:rPr>
        <w:t>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职        务：</w:t>
      </w:r>
      <w:r>
        <w:rPr>
          <w:rFonts w:hint="eastAsia" w:ascii="宋体" w:hAnsi="宋体" w:cs="宋体"/>
          <w:color w:val="auto"/>
          <w:sz w:val="24"/>
          <w:highlight w:val="none"/>
          <w:u w:val="single"/>
        </w:rPr>
        <w:t xml:space="preserve">                </w:t>
      </w:r>
    </w:p>
    <w:p w14:paraId="595D113B">
      <w:pPr>
        <w:spacing w:line="800" w:lineRule="exact"/>
        <w:rPr>
          <w:rFonts w:hint="eastAsia" w:ascii="宋体" w:hAnsi="宋体" w:cs="宋体"/>
          <w:color w:val="auto"/>
          <w:sz w:val="24"/>
          <w:highlight w:val="none"/>
        </w:rPr>
      </w:pPr>
      <w:r>
        <w:rPr>
          <w:rFonts w:hint="eastAsia" w:ascii="宋体" w:hAnsi="宋体" w:cs="宋体"/>
          <w:color w:val="auto"/>
          <w:sz w:val="24"/>
          <w:highlight w:val="none"/>
        </w:rPr>
        <w:t>被授权人签名：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p w14:paraId="6B0A5D29">
      <w:pPr>
        <w:spacing w:line="360" w:lineRule="auto"/>
        <w:rPr>
          <w:rFonts w:hint="eastAsia" w:ascii="宋体" w:hAnsi="宋体" w:cs="宋体"/>
          <w:color w:val="auto"/>
          <w:sz w:val="24"/>
          <w:highlight w:val="none"/>
        </w:rPr>
      </w:pPr>
    </w:p>
    <w:p w14:paraId="2CBA6FF8">
      <w:pPr>
        <w:spacing w:line="360" w:lineRule="auto"/>
        <w:rPr>
          <w:rFonts w:hint="eastAsia" w:ascii="宋体" w:hAnsi="宋体" w:cs="宋体"/>
          <w:color w:val="auto"/>
          <w:sz w:val="24"/>
          <w:highlight w:val="none"/>
        </w:rPr>
      </w:pPr>
      <w:r>
        <w:rPr>
          <w:rFonts w:hint="eastAsia" w:ascii="宋体" w:hAnsi="宋体" w:cs="宋体"/>
          <w:color w:val="auto"/>
          <w:sz w:val="24"/>
          <w:highlight w:val="none"/>
        </w:rPr>
        <w:t>注：该表格适用于非法定代表人作为投标方代表参加投标的。</w:t>
      </w:r>
    </w:p>
    <w:p w14:paraId="04678523">
      <w:pPr>
        <w:jc w:val="center"/>
        <w:rPr>
          <w:rFonts w:hint="eastAsia" w:ascii="宋体" w:hAnsi="宋体" w:cs="宋体"/>
          <w:b/>
          <w:bCs/>
          <w:color w:val="auto"/>
          <w:sz w:val="36"/>
          <w:highlight w:val="none"/>
        </w:rPr>
      </w:pPr>
    </w:p>
    <w:p w14:paraId="5143652D">
      <w:pPr>
        <w:spacing w:line="360" w:lineRule="auto"/>
        <w:jc w:val="center"/>
        <w:outlineLvl w:val="2"/>
        <w:rPr>
          <w:rFonts w:ascii="宋体" w:hAnsi="宋体" w:cs="宋体"/>
          <w:b/>
          <w:color w:val="auto"/>
          <w:sz w:val="32"/>
          <w:szCs w:val="32"/>
          <w:highlight w:val="none"/>
        </w:rPr>
      </w:pPr>
      <w:r>
        <w:rPr>
          <w:rFonts w:hint="eastAsia" w:ascii="宋体" w:hAnsi="宋体" w:cs="宋体"/>
          <w:b/>
          <w:bCs/>
          <w:color w:val="auto"/>
          <w:sz w:val="36"/>
          <w:szCs w:val="36"/>
          <w:highlight w:val="none"/>
        </w:rPr>
        <w:br w:type="page"/>
      </w:r>
      <w:r>
        <w:rPr>
          <w:rFonts w:hint="eastAsia" w:ascii="宋体" w:hAnsi="宋体" w:cs="宋体"/>
          <w:b/>
          <w:color w:val="auto"/>
          <w:sz w:val="32"/>
          <w:szCs w:val="32"/>
          <w:highlight w:val="none"/>
        </w:rPr>
        <w:t>义乌市国企采购项目投标承诺书</w:t>
      </w:r>
    </w:p>
    <w:p w14:paraId="3B6C9EB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我单位已认真阅读了本项目的招标公告、招标文件、技术要求、图纸、招标补充（答疑）文件及相关资料，对其全部内容和要求有实质性了解，并对这些内容表示理解且无任何异议，接受其全部内容及要求，承诺本单位的投标文件已经完全响应并符合其全部条件和要求，愿意参加投标并愿意中标；</w:t>
      </w:r>
    </w:p>
    <w:p w14:paraId="34EF1D62">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2.自愿接受义乌市财政局（以下简称市财政局）的管理，并严格遵守市财政局制定的招投标管理制度、规范和纪律。</w:t>
      </w:r>
    </w:p>
    <w:p w14:paraId="4F92814A">
      <w:pPr>
        <w:pStyle w:val="18"/>
        <w:spacing w:line="360" w:lineRule="exact"/>
        <w:ind w:firstLine="464" w:firstLineChars="200"/>
        <w:rPr>
          <w:rFonts w:hint="eastAsia" w:hAnsi="宋体" w:cs="宋体"/>
          <w:color w:val="auto"/>
          <w:w w:val="97"/>
          <w:sz w:val="24"/>
          <w:szCs w:val="24"/>
          <w:highlight w:val="none"/>
        </w:rPr>
      </w:pPr>
      <w:r>
        <w:rPr>
          <w:rFonts w:hint="eastAsia" w:hAnsi="宋体" w:cs="宋体"/>
          <w:color w:val="auto"/>
          <w:w w:val="97"/>
          <w:sz w:val="24"/>
          <w:szCs w:val="24"/>
          <w:highlight w:val="none"/>
        </w:rPr>
        <w:t>3.我单位承诺参与本次投标的资格符合《义乌市国有企业采购管理办法（试行）》的规定，并承诺近三年内，在经营活动中没有重大违法记录，承诺财务状况良好，并已依法按时缴纳税收和社会保障资金。我单位承诺具备履行本项目合同所必需的设备和专业技术能力。</w:t>
      </w:r>
    </w:p>
    <w:p w14:paraId="5C38CBD8">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4.积极主动配合市财政局的调查。及时、如实、全面地回答市财政局提出的问题，并在调查笔录中签字确认。如拒绝签字确认的，则视为我单位及有关工作人员认可调查笔录中的全部内容，并对最终的调查结果无任何异议，且自愿放弃一切救济途径。</w:t>
      </w:r>
    </w:p>
    <w:p w14:paraId="1FACDF83">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5.不转让、出借、涂改、伪造资质（资格）证书或者以其他方式允许其他单位（个人）以我单位（本人）名义承接业务。</w:t>
      </w:r>
    </w:p>
    <w:p w14:paraId="1A9F3AEC">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6.不与采购人或者其他投标人相互串通投标，围标，不以行贿等不正当手段谋取中标。</w:t>
      </w:r>
    </w:p>
    <w:p w14:paraId="7CB785DE">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7.在备案、招标、投标、报名、开标、评标、询标、中标、签订合同、合同备案等招投标预备和进行的全过程中提供的资料均真实、有效，不弄虚作假。</w:t>
      </w:r>
    </w:p>
    <w:p w14:paraId="16CF870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8.我方已详细审核全部招标文件，包括修改文件(如果有的话)，及有关附件，我方同意放弃提出含糊不清或误解的权力。 </w:t>
      </w:r>
    </w:p>
    <w:p w14:paraId="67E822A9">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9.投标文件中未明确的内容按招标文件执行。</w:t>
      </w:r>
    </w:p>
    <w:p w14:paraId="003BA7F3">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10.我方同意所递交的投标文件在招标期内有效，在此期间内我方有可能中标，我方将受此约束。</w:t>
      </w:r>
    </w:p>
    <w:p w14:paraId="2E0B8173">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11.我方相信贵方的招标结果是公正、合法的，无论我方中标还是落标，我方将接受这一结果。 </w:t>
      </w:r>
    </w:p>
    <w:p w14:paraId="57839CB8">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12.一旦我方中标，我方将严格依照招标文件中的相关规定与招标方签订合同。</w:t>
      </w:r>
    </w:p>
    <w:p w14:paraId="27FC448D">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13.不低于企业成本价投标，不恶意过高报价，不扰乱招投标的正常秩序。</w:t>
      </w:r>
    </w:p>
    <w:p w14:paraId="5C924430">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14.严格遵守开标会议纪律，不在开标会场吵闹、滋事，服从工作人员指挥。</w:t>
      </w:r>
    </w:p>
    <w:p w14:paraId="76EE88D4">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15.按照法律法规和本项目招标文件规定的程序和方式进行异议和投诉，不越级投诉，不无理投诉。如捏造事实、伪造材料或者以非法手段取得证明材料进行投诉，给他人造成损失的，依法承担赔偿责任。</w:t>
      </w:r>
    </w:p>
    <w:p w14:paraId="72F53097">
      <w:pPr>
        <w:pStyle w:val="18"/>
        <w:spacing w:line="360" w:lineRule="exact"/>
        <w:ind w:firstLine="480" w:firstLineChars="200"/>
        <w:rPr>
          <w:rFonts w:hint="eastAsia" w:hAnsi="宋体" w:cs="宋体"/>
          <w:color w:val="auto"/>
          <w:sz w:val="24"/>
          <w:szCs w:val="24"/>
          <w:highlight w:val="none"/>
        </w:rPr>
      </w:pPr>
      <w:r>
        <w:rPr>
          <w:rFonts w:hint="eastAsia" w:hAnsi="宋体" w:cs="宋体"/>
          <w:color w:val="auto"/>
          <w:sz w:val="24"/>
          <w:szCs w:val="24"/>
          <w:highlight w:val="none"/>
        </w:rPr>
        <w:t>上述承诺事项已认真逐项核对，均表达我单位真实意见，愿承担任何责任。若有任何弄虚作假内容或未遵守上述约定的，经查实后，愿意放弃投标及中标资格。如我单位违反上述承诺事项，无条件接受义乌市财政局或相关监管部门作出的任何管理和处理决定，并自愿承担一切不利的后果。</w:t>
      </w:r>
    </w:p>
    <w:p w14:paraId="60260ADE">
      <w:pPr>
        <w:rPr>
          <w:rFonts w:hint="eastAsia"/>
          <w:color w:val="auto"/>
          <w:szCs w:val="20"/>
          <w:highlight w:val="none"/>
        </w:rPr>
      </w:pPr>
    </w:p>
    <w:p w14:paraId="6425A314">
      <w:pPr>
        <w:pStyle w:val="18"/>
        <w:spacing w:line="380" w:lineRule="exact"/>
        <w:rPr>
          <w:rFonts w:hint="eastAsia" w:hAnsi="宋体" w:cs="宋体"/>
          <w:color w:val="auto"/>
          <w:sz w:val="24"/>
          <w:szCs w:val="24"/>
          <w:highlight w:val="none"/>
        </w:rPr>
      </w:pPr>
      <w:r>
        <w:rPr>
          <w:rFonts w:hint="eastAsia" w:hAnsi="宋体" w:cs="宋体"/>
          <w:color w:val="auto"/>
          <w:sz w:val="24"/>
          <w:szCs w:val="24"/>
          <w:highlight w:val="none"/>
        </w:rPr>
        <w:t>投标人（电子签章）：法定代表人或其授权的委托代理人（签字或盖章）：   年   月   日</w:t>
      </w:r>
    </w:p>
    <w:p w14:paraId="633D880B">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货物简要说明一览表</w:t>
      </w:r>
    </w:p>
    <w:p w14:paraId="365040FD">
      <w:pPr>
        <w:spacing w:before="156" w:beforeLines="50" w:after="156" w:afterLines="50"/>
        <w:rPr>
          <w:rFonts w:ascii="宋体" w:hAnsi="宋体" w:cs="宋体"/>
          <w:color w:val="auto"/>
          <w:sz w:val="24"/>
          <w:highlight w:val="none"/>
        </w:rPr>
      </w:pPr>
      <w:r>
        <w:rPr>
          <w:rFonts w:hint="eastAsia" w:ascii="宋体" w:hAnsi="宋体" w:cs="宋体"/>
          <w:color w:val="auto"/>
          <w:sz w:val="24"/>
          <w:highlight w:val="none"/>
        </w:rPr>
        <w:t xml:space="preserve">投标方名称（盖电子签章）：___________________        </w:t>
      </w:r>
      <w:r>
        <w:rPr>
          <w:rFonts w:hint="eastAsia" w:ascii="宋体" w:hAnsi="宋体" w:cs="宋体"/>
          <w:bCs/>
          <w:color w:val="auto"/>
          <w:sz w:val="24"/>
          <w:highlight w:val="none"/>
        </w:rPr>
        <w:t>采购</w:t>
      </w:r>
      <w:r>
        <w:rPr>
          <w:rFonts w:hint="eastAsia" w:ascii="宋体" w:hAnsi="宋体" w:cs="宋体"/>
          <w:color w:val="auto"/>
          <w:sz w:val="24"/>
          <w:highlight w:val="none"/>
        </w:rPr>
        <w:t>编号：_____________</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260"/>
        <w:gridCol w:w="855"/>
        <w:gridCol w:w="2745"/>
        <w:gridCol w:w="825"/>
        <w:gridCol w:w="2955"/>
      </w:tblGrid>
      <w:tr w14:paraId="376E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299FBE6">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260" w:type="dxa"/>
            <w:noWrap w:val="0"/>
            <w:vAlign w:val="top"/>
          </w:tcPr>
          <w:p w14:paraId="3B531D6C">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产品名称</w:t>
            </w:r>
          </w:p>
        </w:tc>
        <w:tc>
          <w:tcPr>
            <w:tcW w:w="855" w:type="dxa"/>
            <w:noWrap w:val="0"/>
            <w:vAlign w:val="center"/>
          </w:tcPr>
          <w:p w14:paraId="2A7EB533">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产地</w:t>
            </w:r>
          </w:p>
        </w:tc>
        <w:tc>
          <w:tcPr>
            <w:tcW w:w="2745" w:type="dxa"/>
            <w:noWrap w:val="0"/>
            <w:vAlign w:val="center"/>
          </w:tcPr>
          <w:p w14:paraId="6E516966">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型号规格及技术参数</w:t>
            </w:r>
          </w:p>
        </w:tc>
        <w:tc>
          <w:tcPr>
            <w:tcW w:w="825" w:type="dxa"/>
            <w:noWrap w:val="0"/>
            <w:vAlign w:val="center"/>
          </w:tcPr>
          <w:p w14:paraId="49AA89C2">
            <w:pPr>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2955" w:type="dxa"/>
            <w:noWrap w:val="0"/>
            <w:vAlign w:val="center"/>
          </w:tcPr>
          <w:p w14:paraId="3287BB65">
            <w:pPr>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性能说明及其他</w:t>
            </w:r>
          </w:p>
        </w:tc>
      </w:tr>
      <w:tr w14:paraId="7FE95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4A63DB1">
            <w:pPr>
              <w:spacing w:line="360" w:lineRule="auto"/>
              <w:jc w:val="center"/>
              <w:rPr>
                <w:rFonts w:ascii="宋体" w:hAnsi="宋体" w:eastAsia="宋体" w:cs="宋体"/>
                <w:b/>
                <w:bCs/>
                <w:color w:val="auto"/>
                <w:sz w:val="24"/>
                <w:highlight w:val="none"/>
              </w:rPr>
            </w:pPr>
          </w:p>
        </w:tc>
        <w:tc>
          <w:tcPr>
            <w:tcW w:w="1260" w:type="dxa"/>
            <w:noWrap w:val="0"/>
            <w:vAlign w:val="top"/>
          </w:tcPr>
          <w:p w14:paraId="589B1102">
            <w:pPr>
              <w:spacing w:line="360" w:lineRule="auto"/>
              <w:jc w:val="center"/>
              <w:rPr>
                <w:rFonts w:ascii="宋体" w:hAnsi="宋体" w:eastAsia="宋体" w:cs="宋体"/>
                <w:b/>
                <w:bCs/>
                <w:color w:val="auto"/>
                <w:sz w:val="24"/>
                <w:highlight w:val="none"/>
              </w:rPr>
            </w:pPr>
          </w:p>
        </w:tc>
        <w:tc>
          <w:tcPr>
            <w:tcW w:w="855" w:type="dxa"/>
            <w:noWrap w:val="0"/>
            <w:vAlign w:val="center"/>
          </w:tcPr>
          <w:p w14:paraId="2E49418F">
            <w:pPr>
              <w:spacing w:line="360" w:lineRule="auto"/>
              <w:jc w:val="center"/>
              <w:rPr>
                <w:rFonts w:ascii="宋体" w:hAnsi="宋体" w:eastAsia="宋体" w:cs="宋体"/>
                <w:b/>
                <w:bCs/>
                <w:color w:val="auto"/>
                <w:sz w:val="24"/>
                <w:highlight w:val="none"/>
              </w:rPr>
            </w:pPr>
          </w:p>
        </w:tc>
        <w:tc>
          <w:tcPr>
            <w:tcW w:w="2745" w:type="dxa"/>
            <w:noWrap w:val="0"/>
            <w:vAlign w:val="center"/>
          </w:tcPr>
          <w:p w14:paraId="154BD4C1">
            <w:pPr>
              <w:spacing w:line="360" w:lineRule="auto"/>
              <w:jc w:val="center"/>
              <w:rPr>
                <w:rFonts w:ascii="宋体" w:hAnsi="宋体" w:eastAsia="宋体" w:cs="宋体"/>
                <w:b/>
                <w:bCs/>
                <w:color w:val="auto"/>
                <w:sz w:val="24"/>
                <w:highlight w:val="none"/>
              </w:rPr>
            </w:pPr>
          </w:p>
        </w:tc>
        <w:tc>
          <w:tcPr>
            <w:tcW w:w="825" w:type="dxa"/>
            <w:noWrap w:val="0"/>
            <w:vAlign w:val="center"/>
          </w:tcPr>
          <w:p w14:paraId="7254BF7A">
            <w:pPr>
              <w:spacing w:line="360" w:lineRule="auto"/>
              <w:jc w:val="center"/>
              <w:rPr>
                <w:rFonts w:ascii="宋体" w:hAnsi="宋体" w:eastAsia="宋体" w:cs="宋体"/>
                <w:b/>
                <w:bCs/>
                <w:color w:val="auto"/>
                <w:sz w:val="24"/>
                <w:highlight w:val="none"/>
              </w:rPr>
            </w:pPr>
          </w:p>
        </w:tc>
        <w:tc>
          <w:tcPr>
            <w:tcW w:w="2955" w:type="dxa"/>
            <w:noWrap w:val="0"/>
            <w:vAlign w:val="top"/>
          </w:tcPr>
          <w:p w14:paraId="39E22E51">
            <w:pPr>
              <w:rPr>
                <w:rFonts w:ascii="宋体" w:hAnsi="宋体" w:eastAsia="宋体" w:cs="宋体"/>
                <w:color w:val="auto"/>
                <w:sz w:val="24"/>
                <w:highlight w:val="none"/>
              </w:rPr>
            </w:pPr>
          </w:p>
        </w:tc>
      </w:tr>
      <w:tr w14:paraId="705C0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26568AA">
            <w:pPr>
              <w:spacing w:line="360" w:lineRule="auto"/>
              <w:jc w:val="center"/>
              <w:rPr>
                <w:rFonts w:ascii="宋体" w:hAnsi="宋体" w:eastAsia="宋体" w:cs="宋体"/>
                <w:b/>
                <w:bCs/>
                <w:color w:val="auto"/>
                <w:sz w:val="24"/>
                <w:highlight w:val="none"/>
              </w:rPr>
            </w:pPr>
          </w:p>
        </w:tc>
        <w:tc>
          <w:tcPr>
            <w:tcW w:w="1260" w:type="dxa"/>
            <w:noWrap w:val="0"/>
            <w:vAlign w:val="top"/>
          </w:tcPr>
          <w:p w14:paraId="31D03D1D">
            <w:pPr>
              <w:spacing w:line="360" w:lineRule="auto"/>
              <w:jc w:val="center"/>
              <w:rPr>
                <w:rFonts w:ascii="宋体" w:hAnsi="宋体" w:eastAsia="宋体" w:cs="宋体"/>
                <w:b/>
                <w:bCs/>
                <w:color w:val="auto"/>
                <w:sz w:val="24"/>
                <w:highlight w:val="none"/>
              </w:rPr>
            </w:pPr>
          </w:p>
        </w:tc>
        <w:tc>
          <w:tcPr>
            <w:tcW w:w="855" w:type="dxa"/>
            <w:noWrap w:val="0"/>
            <w:vAlign w:val="center"/>
          </w:tcPr>
          <w:p w14:paraId="3C595BA6">
            <w:pPr>
              <w:spacing w:line="360" w:lineRule="auto"/>
              <w:jc w:val="center"/>
              <w:rPr>
                <w:rFonts w:ascii="宋体" w:hAnsi="宋体" w:eastAsia="宋体" w:cs="宋体"/>
                <w:b/>
                <w:bCs/>
                <w:color w:val="auto"/>
                <w:sz w:val="24"/>
                <w:highlight w:val="none"/>
              </w:rPr>
            </w:pPr>
          </w:p>
        </w:tc>
        <w:tc>
          <w:tcPr>
            <w:tcW w:w="2745" w:type="dxa"/>
            <w:noWrap w:val="0"/>
            <w:vAlign w:val="center"/>
          </w:tcPr>
          <w:p w14:paraId="74FA11F0">
            <w:pPr>
              <w:spacing w:line="360" w:lineRule="auto"/>
              <w:jc w:val="center"/>
              <w:rPr>
                <w:rFonts w:ascii="宋体" w:hAnsi="宋体" w:eastAsia="宋体" w:cs="宋体"/>
                <w:b/>
                <w:bCs/>
                <w:color w:val="auto"/>
                <w:sz w:val="24"/>
                <w:highlight w:val="none"/>
              </w:rPr>
            </w:pPr>
          </w:p>
        </w:tc>
        <w:tc>
          <w:tcPr>
            <w:tcW w:w="825" w:type="dxa"/>
            <w:noWrap w:val="0"/>
            <w:vAlign w:val="center"/>
          </w:tcPr>
          <w:p w14:paraId="33C70DC1">
            <w:pPr>
              <w:spacing w:line="360" w:lineRule="auto"/>
              <w:jc w:val="center"/>
              <w:rPr>
                <w:rFonts w:ascii="宋体" w:hAnsi="宋体" w:eastAsia="宋体" w:cs="宋体"/>
                <w:b/>
                <w:bCs/>
                <w:color w:val="auto"/>
                <w:sz w:val="24"/>
                <w:highlight w:val="none"/>
              </w:rPr>
            </w:pPr>
          </w:p>
        </w:tc>
        <w:tc>
          <w:tcPr>
            <w:tcW w:w="2955" w:type="dxa"/>
            <w:noWrap w:val="0"/>
            <w:vAlign w:val="top"/>
          </w:tcPr>
          <w:p w14:paraId="5BD62338">
            <w:pPr>
              <w:rPr>
                <w:rFonts w:ascii="宋体" w:hAnsi="宋体" w:eastAsia="宋体" w:cs="宋体"/>
                <w:color w:val="auto"/>
                <w:sz w:val="24"/>
                <w:highlight w:val="none"/>
              </w:rPr>
            </w:pPr>
          </w:p>
        </w:tc>
      </w:tr>
      <w:tr w14:paraId="68EBB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EA41241">
            <w:pPr>
              <w:spacing w:line="360" w:lineRule="auto"/>
              <w:jc w:val="center"/>
              <w:rPr>
                <w:rFonts w:ascii="宋体" w:hAnsi="宋体" w:eastAsia="宋体" w:cs="宋体"/>
                <w:b/>
                <w:bCs/>
                <w:color w:val="auto"/>
                <w:sz w:val="24"/>
                <w:highlight w:val="none"/>
              </w:rPr>
            </w:pPr>
          </w:p>
        </w:tc>
        <w:tc>
          <w:tcPr>
            <w:tcW w:w="1260" w:type="dxa"/>
            <w:noWrap w:val="0"/>
            <w:vAlign w:val="top"/>
          </w:tcPr>
          <w:p w14:paraId="1031AD89">
            <w:pPr>
              <w:spacing w:line="360" w:lineRule="auto"/>
              <w:jc w:val="center"/>
              <w:rPr>
                <w:rFonts w:ascii="宋体" w:hAnsi="宋体" w:eastAsia="宋体" w:cs="宋体"/>
                <w:b/>
                <w:bCs/>
                <w:color w:val="auto"/>
                <w:sz w:val="24"/>
                <w:highlight w:val="none"/>
              </w:rPr>
            </w:pPr>
          </w:p>
        </w:tc>
        <w:tc>
          <w:tcPr>
            <w:tcW w:w="855" w:type="dxa"/>
            <w:noWrap w:val="0"/>
            <w:vAlign w:val="center"/>
          </w:tcPr>
          <w:p w14:paraId="0134F228">
            <w:pPr>
              <w:spacing w:line="360" w:lineRule="auto"/>
              <w:jc w:val="center"/>
              <w:rPr>
                <w:rFonts w:ascii="宋体" w:hAnsi="宋体" w:eastAsia="宋体" w:cs="宋体"/>
                <w:b/>
                <w:bCs/>
                <w:color w:val="auto"/>
                <w:sz w:val="24"/>
                <w:highlight w:val="none"/>
              </w:rPr>
            </w:pPr>
          </w:p>
        </w:tc>
        <w:tc>
          <w:tcPr>
            <w:tcW w:w="2745" w:type="dxa"/>
            <w:noWrap w:val="0"/>
            <w:vAlign w:val="center"/>
          </w:tcPr>
          <w:p w14:paraId="4B26665C">
            <w:pPr>
              <w:spacing w:line="360" w:lineRule="auto"/>
              <w:jc w:val="center"/>
              <w:rPr>
                <w:rFonts w:ascii="宋体" w:hAnsi="宋体" w:eastAsia="宋体" w:cs="宋体"/>
                <w:b/>
                <w:bCs/>
                <w:color w:val="auto"/>
                <w:sz w:val="24"/>
                <w:highlight w:val="none"/>
              </w:rPr>
            </w:pPr>
          </w:p>
        </w:tc>
        <w:tc>
          <w:tcPr>
            <w:tcW w:w="825" w:type="dxa"/>
            <w:noWrap w:val="0"/>
            <w:vAlign w:val="center"/>
          </w:tcPr>
          <w:p w14:paraId="4999C88C">
            <w:pPr>
              <w:spacing w:line="360" w:lineRule="auto"/>
              <w:jc w:val="center"/>
              <w:rPr>
                <w:rFonts w:ascii="宋体" w:hAnsi="宋体" w:eastAsia="宋体" w:cs="宋体"/>
                <w:b/>
                <w:bCs/>
                <w:color w:val="auto"/>
                <w:sz w:val="24"/>
                <w:highlight w:val="none"/>
              </w:rPr>
            </w:pPr>
          </w:p>
        </w:tc>
        <w:tc>
          <w:tcPr>
            <w:tcW w:w="2955" w:type="dxa"/>
            <w:noWrap w:val="0"/>
            <w:vAlign w:val="top"/>
          </w:tcPr>
          <w:p w14:paraId="2589E47A">
            <w:pPr>
              <w:rPr>
                <w:rFonts w:ascii="宋体" w:hAnsi="宋体" w:eastAsia="宋体" w:cs="宋体"/>
                <w:color w:val="auto"/>
                <w:sz w:val="24"/>
                <w:highlight w:val="none"/>
              </w:rPr>
            </w:pPr>
          </w:p>
        </w:tc>
      </w:tr>
      <w:tr w14:paraId="558C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77EB3A4">
            <w:pPr>
              <w:spacing w:line="360" w:lineRule="auto"/>
              <w:jc w:val="center"/>
              <w:rPr>
                <w:rFonts w:ascii="宋体" w:hAnsi="宋体" w:eastAsia="宋体" w:cs="宋体"/>
                <w:b/>
                <w:bCs/>
                <w:color w:val="auto"/>
                <w:sz w:val="24"/>
                <w:highlight w:val="none"/>
              </w:rPr>
            </w:pPr>
          </w:p>
        </w:tc>
        <w:tc>
          <w:tcPr>
            <w:tcW w:w="1260" w:type="dxa"/>
            <w:noWrap w:val="0"/>
            <w:vAlign w:val="top"/>
          </w:tcPr>
          <w:p w14:paraId="62341ADD">
            <w:pPr>
              <w:spacing w:line="360" w:lineRule="auto"/>
              <w:jc w:val="center"/>
              <w:rPr>
                <w:rFonts w:ascii="宋体" w:hAnsi="宋体" w:eastAsia="宋体" w:cs="宋体"/>
                <w:b/>
                <w:bCs/>
                <w:color w:val="auto"/>
                <w:sz w:val="24"/>
                <w:highlight w:val="none"/>
              </w:rPr>
            </w:pPr>
          </w:p>
        </w:tc>
        <w:tc>
          <w:tcPr>
            <w:tcW w:w="855" w:type="dxa"/>
            <w:noWrap w:val="0"/>
            <w:vAlign w:val="center"/>
          </w:tcPr>
          <w:p w14:paraId="08F9EEA9">
            <w:pPr>
              <w:spacing w:line="360" w:lineRule="auto"/>
              <w:jc w:val="center"/>
              <w:rPr>
                <w:rFonts w:ascii="宋体" w:hAnsi="宋体" w:eastAsia="宋体" w:cs="宋体"/>
                <w:b/>
                <w:bCs/>
                <w:color w:val="auto"/>
                <w:sz w:val="24"/>
                <w:highlight w:val="none"/>
              </w:rPr>
            </w:pPr>
          </w:p>
        </w:tc>
        <w:tc>
          <w:tcPr>
            <w:tcW w:w="2745" w:type="dxa"/>
            <w:noWrap w:val="0"/>
            <w:vAlign w:val="center"/>
          </w:tcPr>
          <w:p w14:paraId="55ADDE46">
            <w:pPr>
              <w:spacing w:line="360" w:lineRule="auto"/>
              <w:jc w:val="center"/>
              <w:rPr>
                <w:rFonts w:ascii="宋体" w:hAnsi="宋体" w:eastAsia="宋体" w:cs="宋体"/>
                <w:b/>
                <w:bCs/>
                <w:color w:val="auto"/>
                <w:sz w:val="24"/>
                <w:highlight w:val="none"/>
              </w:rPr>
            </w:pPr>
          </w:p>
        </w:tc>
        <w:tc>
          <w:tcPr>
            <w:tcW w:w="825" w:type="dxa"/>
            <w:noWrap w:val="0"/>
            <w:vAlign w:val="center"/>
          </w:tcPr>
          <w:p w14:paraId="2CA83C6E">
            <w:pPr>
              <w:spacing w:line="360" w:lineRule="auto"/>
              <w:jc w:val="center"/>
              <w:rPr>
                <w:rFonts w:ascii="宋体" w:hAnsi="宋体" w:eastAsia="宋体" w:cs="宋体"/>
                <w:b/>
                <w:bCs/>
                <w:color w:val="auto"/>
                <w:sz w:val="24"/>
                <w:highlight w:val="none"/>
              </w:rPr>
            </w:pPr>
          </w:p>
        </w:tc>
        <w:tc>
          <w:tcPr>
            <w:tcW w:w="2955" w:type="dxa"/>
            <w:noWrap w:val="0"/>
            <w:vAlign w:val="top"/>
          </w:tcPr>
          <w:p w14:paraId="4B89C512">
            <w:pPr>
              <w:rPr>
                <w:rFonts w:ascii="宋体" w:hAnsi="宋体" w:eastAsia="宋体" w:cs="宋体"/>
                <w:color w:val="auto"/>
                <w:sz w:val="24"/>
                <w:highlight w:val="none"/>
              </w:rPr>
            </w:pPr>
          </w:p>
        </w:tc>
      </w:tr>
      <w:tr w14:paraId="62569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9055932">
            <w:pPr>
              <w:spacing w:line="360" w:lineRule="auto"/>
              <w:jc w:val="center"/>
              <w:rPr>
                <w:rFonts w:ascii="宋体" w:hAnsi="宋体" w:eastAsia="宋体" w:cs="宋体"/>
                <w:b/>
                <w:bCs/>
                <w:color w:val="auto"/>
                <w:sz w:val="24"/>
                <w:highlight w:val="none"/>
              </w:rPr>
            </w:pPr>
          </w:p>
        </w:tc>
        <w:tc>
          <w:tcPr>
            <w:tcW w:w="1260" w:type="dxa"/>
            <w:noWrap w:val="0"/>
            <w:vAlign w:val="top"/>
          </w:tcPr>
          <w:p w14:paraId="02A61A93">
            <w:pPr>
              <w:spacing w:line="360" w:lineRule="auto"/>
              <w:jc w:val="center"/>
              <w:rPr>
                <w:rFonts w:ascii="宋体" w:hAnsi="宋体" w:eastAsia="宋体" w:cs="宋体"/>
                <w:b/>
                <w:bCs/>
                <w:color w:val="auto"/>
                <w:sz w:val="24"/>
                <w:highlight w:val="none"/>
              </w:rPr>
            </w:pPr>
          </w:p>
        </w:tc>
        <w:tc>
          <w:tcPr>
            <w:tcW w:w="855" w:type="dxa"/>
            <w:noWrap w:val="0"/>
            <w:vAlign w:val="center"/>
          </w:tcPr>
          <w:p w14:paraId="3B9FBD0E">
            <w:pPr>
              <w:spacing w:line="360" w:lineRule="auto"/>
              <w:jc w:val="center"/>
              <w:rPr>
                <w:rFonts w:ascii="宋体" w:hAnsi="宋体" w:eastAsia="宋体" w:cs="宋体"/>
                <w:b/>
                <w:bCs/>
                <w:color w:val="auto"/>
                <w:sz w:val="24"/>
                <w:highlight w:val="none"/>
              </w:rPr>
            </w:pPr>
          </w:p>
        </w:tc>
        <w:tc>
          <w:tcPr>
            <w:tcW w:w="2745" w:type="dxa"/>
            <w:noWrap w:val="0"/>
            <w:vAlign w:val="center"/>
          </w:tcPr>
          <w:p w14:paraId="122C2EB7">
            <w:pPr>
              <w:spacing w:line="360" w:lineRule="auto"/>
              <w:jc w:val="center"/>
              <w:rPr>
                <w:rFonts w:ascii="宋体" w:hAnsi="宋体" w:eastAsia="宋体" w:cs="宋体"/>
                <w:b/>
                <w:bCs/>
                <w:color w:val="auto"/>
                <w:sz w:val="24"/>
                <w:highlight w:val="none"/>
              </w:rPr>
            </w:pPr>
          </w:p>
        </w:tc>
        <w:tc>
          <w:tcPr>
            <w:tcW w:w="825" w:type="dxa"/>
            <w:noWrap w:val="0"/>
            <w:vAlign w:val="center"/>
          </w:tcPr>
          <w:p w14:paraId="31235D8F">
            <w:pPr>
              <w:spacing w:line="360" w:lineRule="auto"/>
              <w:jc w:val="center"/>
              <w:rPr>
                <w:rFonts w:ascii="宋体" w:hAnsi="宋体" w:eastAsia="宋体" w:cs="宋体"/>
                <w:b/>
                <w:bCs/>
                <w:color w:val="auto"/>
                <w:sz w:val="24"/>
                <w:highlight w:val="none"/>
              </w:rPr>
            </w:pPr>
          </w:p>
        </w:tc>
        <w:tc>
          <w:tcPr>
            <w:tcW w:w="2955" w:type="dxa"/>
            <w:noWrap w:val="0"/>
            <w:vAlign w:val="top"/>
          </w:tcPr>
          <w:p w14:paraId="1F3D57C5">
            <w:pPr>
              <w:rPr>
                <w:rFonts w:ascii="宋体" w:hAnsi="宋体" w:eastAsia="宋体" w:cs="宋体"/>
                <w:color w:val="auto"/>
                <w:sz w:val="24"/>
                <w:highlight w:val="none"/>
              </w:rPr>
            </w:pPr>
          </w:p>
        </w:tc>
      </w:tr>
      <w:tr w14:paraId="7968A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37975B5D">
            <w:pPr>
              <w:spacing w:line="360" w:lineRule="auto"/>
              <w:jc w:val="center"/>
              <w:rPr>
                <w:rFonts w:ascii="宋体" w:hAnsi="宋体" w:eastAsia="宋体" w:cs="宋体"/>
                <w:b/>
                <w:bCs/>
                <w:color w:val="auto"/>
                <w:sz w:val="24"/>
                <w:highlight w:val="none"/>
              </w:rPr>
            </w:pPr>
          </w:p>
        </w:tc>
        <w:tc>
          <w:tcPr>
            <w:tcW w:w="1260" w:type="dxa"/>
            <w:noWrap w:val="0"/>
            <w:vAlign w:val="top"/>
          </w:tcPr>
          <w:p w14:paraId="76A1648B">
            <w:pPr>
              <w:spacing w:line="360" w:lineRule="auto"/>
              <w:jc w:val="center"/>
              <w:rPr>
                <w:rFonts w:ascii="宋体" w:hAnsi="宋体" w:eastAsia="宋体" w:cs="宋体"/>
                <w:b/>
                <w:bCs/>
                <w:color w:val="auto"/>
                <w:sz w:val="24"/>
                <w:highlight w:val="none"/>
              </w:rPr>
            </w:pPr>
          </w:p>
        </w:tc>
        <w:tc>
          <w:tcPr>
            <w:tcW w:w="855" w:type="dxa"/>
            <w:noWrap w:val="0"/>
            <w:vAlign w:val="center"/>
          </w:tcPr>
          <w:p w14:paraId="59C76CCF">
            <w:pPr>
              <w:spacing w:line="360" w:lineRule="auto"/>
              <w:jc w:val="center"/>
              <w:rPr>
                <w:rFonts w:ascii="宋体" w:hAnsi="宋体" w:eastAsia="宋体" w:cs="宋体"/>
                <w:b/>
                <w:bCs/>
                <w:color w:val="auto"/>
                <w:sz w:val="24"/>
                <w:highlight w:val="none"/>
              </w:rPr>
            </w:pPr>
          </w:p>
        </w:tc>
        <w:tc>
          <w:tcPr>
            <w:tcW w:w="2745" w:type="dxa"/>
            <w:noWrap w:val="0"/>
            <w:vAlign w:val="center"/>
          </w:tcPr>
          <w:p w14:paraId="5EA45EDA">
            <w:pPr>
              <w:spacing w:line="360" w:lineRule="auto"/>
              <w:jc w:val="center"/>
              <w:rPr>
                <w:rFonts w:ascii="宋体" w:hAnsi="宋体" w:eastAsia="宋体" w:cs="宋体"/>
                <w:b/>
                <w:bCs/>
                <w:color w:val="auto"/>
                <w:sz w:val="24"/>
                <w:highlight w:val="none"/>
              </w:rPr>
            </w:pPr>
          </w:p>
        </w:tc>
        <w:tc>
          <w:tcPr>
            <w:tcW w:w="825" w:type="dxa"/>
            <w:noWrap w:val="0"/>
            <w:vAlign w:val="center"/>
          </w:tcPr>
          <w:p w14:paraId="6EC4AED1">
            <w:pPr>
              <w:spacing w:line="360" w:lineRule="auto"/>
              <w:jc w:val="center"/>
              <w:rPr>
                <w:rFonts w:ascii="宋体" w:hAnsi="宋体" w:eastAsia="宋体" w:cs="宋体"/>
                <w:b/>
                <w:bCs/>
                <w:color w:val="auto"/>
                <w:sz w:val="24"/>
                <w:highlight w:val="none"/>
              </w:rPr>
            </w:pPr>
          </w:p>
        </w:tc>
        <w:tc>
          <w:tcPr>
            <w:tcW w:w="2955" w:type="dxa"/>
            <w:noWrap w:val="0"/>
            <w:vAlign w:val="top"/>
          </w:tcPr>
          <w:p w14:paraId="0DD718A3">
            <w:pPr>
              <w:rPr>
                <w:rFonts w:ascii="宋体" w:hAnsi="宋体" w:eastAsia="宋体" w:cs="宋体"/>
                <w:color w:val="auto"/>
                <w:sz w:val="24"/>
                <w:highlight w:val="none"/>
              </w:rPr>
            </w:pPr>
          </w:p>
        </w:tc>
      </w:tr>
      <w:tr w14:paraId="6ACDA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42B19CD">
            <w:pPr>
              <w:spacing w:line="360" w:lineRule="auto"/>
              <w:jc w:val="center"/>
              <w:rPr>
                <w:rFonts w:ascii="宋体" w:hAnsi="宋体" w:eastAsia="宋体" w:cs="宋体"/>
                <w:b/>
                <w:bCs/>
                <w:color w:val="auto"/>
                <w:sz w:val="24"/>
                <w:highlight w:val="none"/>
              </w:rPr>
            </w:pPr>
          </w:p>
        </w:tc>
        <w:tc>
          <w:tcPr>
            <w:tcW w:w="1260" w:type="dxa"/>
            <w:noWrap w:val="0"/>
            <w:vAlign w:val="top"/>
          </w:tcPr>
          <w:p w14:paraId="6A9C6B10">
            <w:pPr>
              <w:spacing w:line="360" w:lineRule="auto"/>
              <w:jc w:val="center"/>
              <w:rPr>
                <w:rFonts w:ascii="宋体" w:hAnsi="宋体" w:eastAsia="宋体" w:cs="宋体"/>
                <w:b/>
                <w:bCs/>
                <w:color w:val="auto"/>
                <w:sz w:val="24"/>
                <w:highlight w:val="none"/>
              </w:rPr>
            </w:pPr>
          </w:p>
        </w:tc>
        <w:tc>
          <w:tcPr>
            <w:tcW w:w="855" w:type="dxa"/>
            <w:noWrap w:val="0"/>
            <w:vAlign w:val="center"/>
          </w:tcPr>
          <w:p w14:paraId="7DBFF122">
            <w:pPr>
              <w:spacing w:line="360" w:lineRule="auto"/>
              <w:jc w:val="center"/>
              <w:rPr>
                <w:rFonts w:ascii="宋体" w:hAnsi="宋体" w:eastAsia="宋体" w:cs="宋体"/>
                <w:b/>
                <w:bCs/>
                <w:color w:val="auto"/>
                <w:sz w:val="24"/>
                <w:highlight w:val="none"/>
              </w:rPr>
            </w:pPr>
          </w:p>
        </w:tc>
        <w:tc>
          <w:tcPr>
            <w:tcW w:w="2745" w:type="dxa"/>
            <w:noWrap w:val="0"/>
            <w:vAlign w:val="center"/>
          </w:tcPr>
          <w:p w14:paraId="4984B032">
            <w:pPr>
              <w:spacing w:line="360" w:lineRule="auto"/>
              <w:jc w:val="center"/>
              <w:rPr>
                <w:rFonts w:ascii="宋体" w:hAnsi="宋体" w:eastAsia="宋体" w:cs="宋体"/>
                <w:b/>
                <w:bCs/>
                <w:color w:val="auto"/>
                <w:sz w:val="24"/>
                <w:highlight w:val="none"/>
              </w:rPr>
            </w:pPr>
          </w:p>
        </w:tc>
        <w:tc>
          <w:tcPr>
            <w:tcW w:w="825" w:type="dxa"/>
            <w:noWrap w:val="0"/>
            <w:vAlign w:val="center"/>
          </w:tcPr>
          <w:p w14:paraId="683A038F">
            <w:pPr>
              <w:spacing w:line="360" w:lineRule="auto"/>
              <w:jc w:val="center"/>
              <w:rPr>
                <w:rFonts w:ascii="宋体" w:hAnsi="宋体" w:eastAsia="宋体" w:cs="宋体"/>
                <w:b/>
                <w:bCs/>
                <w:color w:val="auto"/>
                <w:sz w:val="24"/>
                <w:highlight w:val="none"/>
              </w:rPr>
            </w:pPr>
          </w:p>
        </w:tc>
        <w:tc>
          <w:tcPr>
            <w:tcW w:w="2955" w:type="dxa"/>
            <w:noWrap w:val="0"/>
            <w:vAlign w:val="top"/>
          </w:tcPr>
          <w:p w14:paraId="28E7B918">
            <w:pPr>
              <w:rPr>
                <w:rFonts w:ascii="宋体" w:hAnsi="宋体" w:eastAsia="宋体" w:cs="宋体"/>
                <w:color w:val="auto"/>
                <w:sz w:val="24"/>
                <w:highlight w:val="none"/>
              </w:rPr>
            </w:pPr>
          </w:p>
        </w:tc>
      </w:tr>
      <w:tr w14:paraId="5DCE2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6665301">
            <w:pPr>
              <w:spacing w:line="360" w:lineRule="auto"/>
              <w:jc w:val="center"/>
              <w:rPr>
                <w:rFonts w:ascii="宋体" w:hAnsi="宋体" w:eastAsia="宋体" w:cs="宋体"/>
                <w:b/>
                <w:bCs/>
                <w:color w:val="auto"/>
                <w:sz w:val="24"/>
                <w:highlight w:val="none"/>
              </w:rPr>
            </w:pPr>
          </w:p>
        </w:tc>
        <w:tc>
          <w:tcPr>
            <w:tcW w:w="1260" w:type="dxa"/>
            <w:noWrap w:val="0"/>
            <w:vAlign w:val="top"/>
          </w:tcPr>
          <w:p w14:paraId="6D1D72C9">
            <w:pPr>
              <w:spacing w:line="360" w:lineRule="auto"/>
              <w:jc w:val="center"/>
              <w:rPr>
                <w:rFonts w:ascii="宋体" w:hAnsi="宋体" w:eastAsia="宋体" w:cs="宋体"/>
                <w:b/>
                <w:bCs/>
                <w:color w:val="auto"/>
                <w:sz w:val="24"/>
                <w:highlight w:val="none"/>
              </w:rPr>
            </w:pPr>
          </w:p>
        </w:tc>
        <w:tc>
          <w:tcPr>
            <w:tcW w:w="855" w:type="dxa"/>
            <w:noWrap w:val="0"/>
            <w:vAlign w:val="center"/>
          </w:tcPr>
          <w:p w14:paraId="6E071EE1">
            <w:pPr>
              <w:spacing w:line="360" w:lineRule="auto"/>
              <w:jc w:val="center"/>
              <w:rPr>
                <w:rFonts w:ascii="宋体" w:hAnsi="宋体" w:eastAsia="宋体" w:cs="宋体"/>
                <w:b/>
                <w:bCs/>
                <w:color w:val="auto"/>
                <w:sz w:val="24"/>
                <w:highlight w:val="none"/>
              </w:rPr>
            </w:pPr>
          </w:p>
        </w:tc>
        <w:tc>
          <w:tcPr>
            <w:tcW w:w="2745" w:type="dxa"/>
            <w:noWrap w:val="0"/>
            <w:vAlign w:val="center"/>
          </w:tcPr>
          <w:p w14:paraId="109D83C5">
            <w:pPr>
              <w:spacing w:line="360" w:lineRule="auto"/>
              <w:jc w:val="center"/>
              <w:rPr>
                <w:rFonts w:ascii="宋体" w:hAnsi="宋体" w:eastAsia="宋体" w:cs="宋体"/>
                <w:b/>
                <w:bCs/>
                <w:color w:val="auto"/>
                <w:sz w:val="24"/>
                <w:highlight w:val="none"/>
              </w:rPr>
            </w:pPr>
          </w:p>
        </w:tc>
        <w:tc>
          <w:tcPr>
            <w:tcW w:w="825" w:type="dxa"/>
            <w:noWrap w:val="0"/>
            <w:vAlign w:val="center"/>
          </w:tcPr>
          <w:p w14:paraId="33344863">
            <w:pPr>
              <w:spacing w:line="360" w:lineRule="auto"/>
              <w:jc w:val="center"/>
              <w:rPr>
                <w:rFonts w:ascii="宋体" w:hAnsi="宋体" w:eastAsia="宋体" w:cs="宋体"/>
                <w:b/>
                <w:bCs/>
                <w:color w:val="auto"/>
                <w:sz w:val="24"/>
                <w:highlight w:val="none"/>
              </w:rPr>
            </w:pPr>
          </w:p>
        </w:tc>
        <w:tc>
          <w:tcPr>
            <w:tcW w:w="2955" w:type="dxa"/>
            <w:noWrap w:val="0"/>
            <w:vAlign w:val="top"/>
          </w:tcPr>
          <w:p w14:paraId="1737D3D5">
            <w:pPr>
              <w:rPr>
                <w:rFonts w:ascii="宋体" w:hAnsi="宋体" w:eastAsia="宋体" w:cs="宋体"/>
                <w:color w:val="auto"/>
                <w:sz w:val="24"/>
                <w:highlight w:val="none"/>
              </w:rPr>
            </w:pPr>
          </w:p>
        </w:tc>
      </w:tr>
      <w:tr w14:paraId="50C56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16F5261">
            <w:pPr>
              <w:spacing w:line="360" w:lineRule="auto"/>
              <w:jc w:val="center"/>
              <w:rPr>
                <w:rFonts w:ascii="宋体" w:hAnsi="宋体" w:eastAsia="宋体" w:cs="宋体"/>
                <w:b/>
                <w:bCs/>
                <w:color w:val="auto"/>
                <w:sz w:val="24"/>
                <w:highlight w:val="none"/>
              </w:rPr>
            </w:pPr>
          </w:p>
        </w:tc>
        <w:tc>
          <w:tcPr>
            <w:tcW w:w="1260" w:type="dxa"/>
            <w:noWrap w:val="0"/>
            <w:vAlign w:val="top"/>
          </w:tcPr>
          <w:p w14:paraId="428FF9CF">
            <w:pPr>
              <w:spacing w:line="360" w:lineRule="auto"/>
              <w:jc w:val="center"/>
              <w:rPr>
                <w:rFonts w:ascii="宋体" w:hAnsi="宋体" w:eastAsia="宋体" w:cs="宋体"/>
                <w:b/>
                <w:bCs/>
                <w:color w:val="auto"/>
                <w:sz w:val="24"/>
                <w:highlight w:val="none"/>
              </w:rPr>
            </w:pPr>
          </w:p>
        </w:tc>
        <w:tc>
          <w:tcPr>
            <w:tcW w:w="855" w:type="dxa"/>
            <w:noWrap w:val="0"/>
            <w:vAlign w:val="center"/>
          </w:tcPr>
          <w:p w14:paraId="0264CA53">
            <w:pPr>
              <w:spacing w:line="360" w:lineRule="auto"/>
              <w:jc w:val="center"/>
              <w:rPr>
                <w:rFonts w:ascii="宋体" w:hAnsi="宋体" w:eastAsia="宋体" w:cs="宋体"/>
                <w:b/>
                <w:bCs/>
                <w:color w:val="auto"/>
                <w:sz w:val="24"/>
                <w:highlight w:val="none"/>
              </w:rPr>
            </w:pPr>
          </w:p>
        </w:tc>
        <w:tc>
          <w:tcPr>
            <w:tcW w:w="2745" w:type="dxa"/>
            <w:noWrap w:val="0"/>
            <w:vAlign w:val="center"/>
          </w:tcPr>
          <w:p w14:paraId="01B34658">
            <w:pPr>
              <w:spacing w:line="360" w:lineRule="auto"/>
              <w:jc w:val="center"/>
              <w:rPr>
                <w:rFonts w:ascii="宋体" w:hAnsi="宋体" w:eastAsia="宋体" w:cs="宋体"/>
                <w:b/>
                <w:bCs/>
                <w:color w:val="auto"/>
                <w:sz w:val="24"/>
                <w:highlight w:val="none"/>
              </w:rPr>
            </w:pPr>
          </w:p>
        </w:tc>
        <w:tc>
          <w:tcPr>
            <w:tcW w:w="825" w:type="dxa"/>
            <w:noWrap w:val="0"/>
            <w:vAlign w:val="center"/>
          </w:tcPr>
          <w:p w14:paraId="2645873A">
            <w:pPr>
              <w:spacing w:line="360" w:lineRule="auto"/>
              <w:jc w:val="center"/>
              <w:rPr>
                <w:rFonts w:ascii="宋体" w:hAnsi="宋体" w:eastAsia="宋体" w:cs="宋体"/>
                <w:b/>
                <w:bCs/>
                <w:color w:val="auto"/>
                <w:sz w:val="24"/>
                <w:highlight w:val="none"/>
              </w:rPr>
            </w:pPr>
          </w:p>
        </w:tc>
        <w:tc>
          <w:tcPr>
            <w:tcW w:w="2955" w:type="dxa"/>
            <w:noWrap w:val="0"/>
            <w:vAlign w:val="top"/>
          </w:tcPr>
          <w:p w14:paraId="1ECCB499">
            <w:pPr>
              <w:rPr>
                <w:rFonts w:ascii="宋体" w:hAnsi="宋体" w:eastAsia="宋体" w:cs="宋体"/>
                <w:color w:val="auto"/>
                <w:sz w:val="24"/>
                <w:highlight w:val="none"/>
              </w:rPr>
            </w:pPr>
          </w:p>
        </w:tc>
      </w:tr>
      <w:tr w14:paraId="38EA4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0142FCD8">
            <w:pPr>
              <w:spacing w:line="360" w:lineRule="auto"/>
              <w:jc w:val="center"/>
              <w:rPr>
                <w:rFonts w:ascii="宋体" w:hAnsi="宋体" w:eastAsia="宋体" w:cs="宋体"/>
                <w:b/>
                <w:bCs/>
                <w:color w:val="auto"/>
                <w:sz w:val="24"/>
                <w:highlight w:val="none"/>
              </w:rPr>
            </w:pPr>
          </w:p>
        </w:tc>
        <w:tc>
          <w:tcPr>
            <w:tcW w:w="1260" w:type="dxa"/>
            <w:noWrap w:val="0"/>
            <w:vAlign w:val="top"/>
          </w:tcPr>
          <w:p w14:paraId="5EF999DE">
            <w:pPr>
              <w:spacing w:line="360" w:lineRule="auto"/>
              <w:jc w:val="center"/>
              <w:rPr>
                <w:rFonts w:ascii="宋体" w:hAnsi="宋体" w:eastAsia="宋体" w:cs="宋体"/>
                <w:b/>
                <w:bCs/>
                <w:color w:val="auto"/>
                <w:sz w:val="24"/>
                <w:highlight w:val="none"/>
              </w:rPr>
            </w:pPr>
          </w:p>
        </w:tc>
        <w:tc>
          <w:tcPr>
            <w:tcW w:w="855" w:type="dxa"/>
            <w:noWrap w:val="0"/>
            <w:vAlign w:val="center"/>
          </w:tcPr>
          <w:p w14:paraId="4758AA67">
            <w:pPr>
              <w:spacing w:line="360" w:lineRule="auto"/>
              <w:jc w:val="center"/>
              <w:rPr>
                <w:rFonts w:ascii="宋体" w:hAnsi="宋体" w:eastAsia="宋体" w:cs="宋体"/>
                <w:b/>
                <w:bCs/>
                <w:color w:val="auto"/>
                <w:sz w:val="24"/>
                <w:highlight w:val="none"/>
              </w:rPr>
            </w:pPr>
          </w:p>
        </w:tc>
        <w:tc>
          <w:tcPr>
            <w:tcW w:w="2745" w:type="dxa"/>
            <w:noWrap w:val="0"/>
            <w:vAlign w:val="center"/>
          </w:tcPr>
          <w:p w14:paraId="068562C2">
            <w:pPr>
              <w:spacing w:line="360" w:lineRule="auto"/>
              <w:jc w:val="center"/>
              <w:rPr>
                <w:rFonts w:ascii="宋体" w:hAnsi="宋体" w:eastAsia="宋体" w:cs="宋体"/>
                <w:b/>
                <w:bCs/>
                <w:color w:val="auto"/>
                <w:sz w:val="24"/>
                <w:highlight w:val="none"/>
              </w:rPr>
            </w:pPr>
          </w:p>
        </w:tc>
        <w:tc>
          <w:tcPr>
            <w:tcW w:w="825" w:type="dxa"/>
            <w:noWrap w:val="0"/>
            <w:vAlign w:val="center"/>
          </w:tcPr>
          <w:p w14:paraId="48BB6CDE">
            <w:pPr>
              <w:spacing w:line="360" w:lineRule="auto"/>
              <w:jc w:val="center"/>
              <w:rPr>
                <w:rFonts w:ascii="宋体" w:hAnsi="宋体" w:eastAsia="宋体" w:cs="宋体"/>
                <w:b/>
                <w:bCs/>
                <w:color w:val="auto"/>
                <w:sz w:val="24"/>
                <w:highlight w:val="none"/>
              </w:rPr>
            </w:pPr>
          </w:p>
        </w:tc>
        <w:tc>
          <w:tcPr>
            <w:tcW w:w="2955" w:type="dxa"/>
            <w:noWrap w:val="0"/>
            <w:vAlign w:val="top"/>
          </w:tcPr>
          <w:p w14:paraId="41ED49E7">
            <w:pPr>
              <w:rPr>
                <w:rFonts w:ascii="宋体" w:hAnsi="宋体" w:eastAsia="宋体" w:cs="宋体"/>
                <w:color w:val="auto"/>
                <w:sz w:val="24"/>
                <w:highlight w:val="none"/>
              </w:rPr>
            </w:pPr>
          </w:p>
        </w:tc>
      </w:tr>
      <w:tr w14:paraId="0D7AD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6E11F821">
            <w:pPr>
              <w:spacing w:line="360" w:lineRule="auto"/>
              <w:jc w:val="center"/>
              <w:rPr>
                <w:rFonts w:ascii="宋体" w:hAnsi="宋体" w:eastAsia="宋体" w:cs="宋体"/>
                <w:b/>
                <w:bCs/>
                <w:color w:val="auto"/>
                <w:sz w:val="24"/>
                <w:highlight w:val="none"/>
              </w:rPr>
            </w:pPr>
          </w:p>
        </w:tc>
        <w:tc>
          <w:tcPr>
            <w:tcW w:w="1260" w:type="dxa"/>
            <w:noWrap w:val="0"/>
            <w:vAlign w:val="top"/>
          </w:tcPr>
          <w:p w14:paraId="32223E62">
            <w:pPr>
              <w:spacing w:line="360" w:lineRule="auto"/>
              <w:jc w:val="center"/>
              <w:rPr>
                <w:rFonts w:ascii="宋体" w:hAnsi="宋体" w:eastAsia="宋体" w:cs="宋体"/>
                <w:b/>
                <w:bCs/>
                <w:color w:val="auto"/>
                <w:sz w:val="24"/>
                <w:highlight w:val="none"/>
              </w:rPr>
            </w:pPr>
          </w:p>
        </w:tc>
        <w:tc>
          <w:tcPr>
            <w:tcW w:w="855" w:type="dxa"/>
            <w:noWrap w:val="0"/>
            <w:vAlign w:val="center"/>
          </w:tcPr>
          <w:p w14:paraId="2B6287A3">
            <w:pPr>
              <w:spacing w:line="360" w:lineRule="auto"/>
              <w:jc w:val="center"/>
              <w:rPr>
                <w:rFonts w:ascii="宋体" w:hAnsi="宋体" w:eastAsia="宋体" w:cs="宋体"/>
                <w:b/>
                <w:bCs/>
                <w:color w:val="auto"/>
                <w:sz w:val="24"/>
                <w:highlight w:val="none"/>
              </w:rPr>
            </w:pPr>
          </w:p>
        </w:tc>
        <w:tc>
          <w:tcPr>
            <w:tcW w:w="2745" w:type="dxa"/>
            <w:noWrap w:val="0"/>
            <w:vAlign w:val="center"/>
          </w:tcPr>
          <w:p w14:paraId="0CE278B3">
            <w:pPr>
              <w:spacing w:line="360" w:lineRule="auto"/>
              <w:jc w:val="center"/>
              <w:rPr>
                <w:rFonts w:ascii="宋体" w:hAnsi="宋体" w:eastAsia="宋体" w:cs="宋体"/>
                <w:b/>
                <w:bCs/>
                <w:color w:val="auto"/>
                <w:sz w:val="24"/>
                <w:highlight w:val="none"/>
              </w:rPr>
            </w:pPr>
          </w:p>
        </w:tc>
        <w:tc>
          <w:tcPr>
            <w:tcW w:w="825" w:type="dxa"/>
            <w:noWrap w:val="0"/>
            <w:vAlign w:val="center"/>
          </w:tcPr>
          <w:p w14:paraId="6BC46208">
            <w:pPr>
              <w:spacing w:line="360" w:lineRule="auto"/>
              <w:jc w:val="center"/>
              <w:rPr>
                <w:rFonts w:ascii="宋体" w:hAnsi="宋体" w:eastAsia="宋体" w:cs="宋体"/>
                <w:b/>
                <w:bCs/>
                <w:color w:val="auto"/>
                <w:sz w:val="24"/>
                <w:highlight w:val="none"/>
              </w:rPr>
            </w:pPr>
          </w:p>
        </w:tc>
        <w:tc>
          <w:tcPr>
            <w:tcW w:w="2955" w:type="dxa"/>
            <w:noWrap w:val="0"/>
            <w:vAlign w:val="top"/>
          </w:tcPr>
          <w:p w14:paraId="2A776941">
            <w:pPr>
              <w:rPr>
                <w:rFonts w:ascii="宋体" w:hAnsi="宋体" w:eastAsia="宋体" w:cs="宋体"/>
                <w:color w:val="auto"/>
                <w:sz w:val="24"/>
                <w:highlight w:val="none"/>
              </w:rPr>
            </w:pPr>
          </w:p>
        </w:tc>
      </w:tr>
      <w:tr w14:paraId="1CC58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0492679">
            <w:pPr>
              <w:spacing w:line="360" w:lineRule="auto"/>
              <w:jc w:val="center"/>
              <w:rPr>
                <w:rFonts w:ascii="宋体" w:hAnsi="宋体" w:eastAsia="宋体" w:cs="宋体"/>
                <w:b/>
                <w:bCs/>
                <w:color w:val="auto"/>
                <w:sz w:val="24"/>
                <w:highlight w:val="none"/>
              </w:rPr>
            </w:pPr>
          </w:p>
        </w:tc>
        <w:tc>
          <w:tcPr>
            <w:tcW w:w="1260" w:type="dxa"/>
            <w:noWrap w:val="0"/>
            <w:vAlign w:val="top"/>
          </w:tcPr>
          <w:p w14:paraId="57134944">
            <w:pPr>
              <w:spacing w:line="360" w:lineRule="auto"/>
              <w:jc w:val="center"/>
              <w:rPr>
                <w:rFonts w:ascii="宋体" w:hAnsi="宋体" w:eastAsia="宋体" w:cs="宋体"/>
                <w:b/>
                <w:bCs/>
                <w:color w:val="auto"/>
                <w:sz w:val="24"/>
                <w:highlight w:val="none"/>
              </w:rPr>
            </w:pPr>
          </w:p>
        </w:tc>
        <w:tc>
          <w:tcPr>
            <w:tcW w:w="855" w:type="dxa"/>
            <w:noWrap w:val="0"/>
            <w:vAlign w:val="center"/>
          </w:tcPr>
          <w:p w14:paraId="31A56E8E">
            <w:pPr>
              <w:spacing w:line="360" w:lineRule="auto"/>
              <w:jc w:val="center"/>
              <w:rPr>
                <w:rFonts w:ascii="宋体" w:hAnsi="宋体" w:eastAsia="宋体" w:cs="宋体"/>
                <w:b/>
                <w:bCs/>
                <w:color w:val="auto"/>
                <w:sz w:val="24"/>
                <w:highlight w:val="none"/>
              </w:rPr>
            </w:pPr>
          </w:p>
        </w:tc>
        <w:tc>
          <w:tcPr>
            <w:tcW w:w="2745" w:type="dxa"/>
            <w:noWrap w:val="0"/>
            <w:vAlign w:val="center"/>
          </w:tcPr>
          <w:p w14:paraId="4AA714E8">
            <w:pPr>
              <w:spacing w:line="360" w:lineRule="auto"/>
              <w:jc w:val="center"/>
              <w:rPr>
                <w:rFonts w:ascii="宋体" w:hAnsi="宋体" w:eastAsia="宋体" w:cs="宋体"/>
                <w:b/>
                <w:bCs/>
                <w:color w:val="auto"/>
                <w:sz w:val="24"/>
                <w:highlight w:val="none"/>
              </w:rPr>
            </w:pPr>
          </w:p>
        </w:tc>
        <w:tc>
          <w:tcPr>
            <w:tcW w:w="825" w:type="dxa"/>
            <w:noWrap w:val="0"/>
            <w:vAlign w:val="center"/>
          </w:tcPr>
          <w:p w14:paraId="5591CAF7">
            <w:pPr>
              <w:spacing w:line="360" w:lineRule="auto"/>
              <w:jc w:val="center"/>
              <w:rPr>
                <w:rFonts w:ascii="宋体" w:hAnsi="宋体" w:eastAsia="宋体" w:cs="宋体"/>
                <w:b/>
                <w:bCs/>
                <w:color w:val="auto"/>
                <w:sz w:val="24"/>
                <w:highlight w:val="none"/>
              </w:rPr>
            </w:pPr>
          </w:p>
        </w:tc>
        <w:tc>
          <w:tcPr>
            <w:tcW w:w="2955" w:type="dxa"/>
            <w:noWrap w:val="0"/>
            <w:vAlign w:val="top"/>
          </w:tcPr>
          <w:p w14:paraId="3B43A31B">
            <w:pPr>
              <w:rPr>
                <w:rFonts w:ascii="宋体" w:hAnsi="宋体" w:eastAsia="宋体" w:cs="宋体"/>
                <w:color w:val="auto"/>
                <w:sz w:val="24"/>
                <w:highlight w:val="none"/>
              </w:rPr>
            </w:pPr>
          </w:p>
        </w:tc>
      </w:tr>
      <w:tr w14:paraId="5BFD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9FD25B2">
            <w:pPr>
              <w:spacing w:line="360" w:lineRule="auto"/>
              <w:jc w:val="center"/>
              <w:rPr>
                <w:rFonts w:ascii="宋体" w:hAnsi="宋体" w:eastAsia="宋体" w:cs="宋体"/>
                <w:b/>
                <w:bCs/>
                <w:color w:val="auto"/>
                <w:sz w:val="24"/>
                <w:highlight w:val="none"/>
              </w:rPr>
            </w:pPr>
          </w:p>
        </w:tc>
        <w:tc>
          <w:tcPr>
            <w:tcW w:w="1260" w:type="dxa"/>
            <w:noWrap w:val="0"/>
            <w:vAlign w:val="top"/>
          </w:tcPr>
          <w:p w14:paraId="48A7E80F">
            <w:pPr>
              <w:spacing w:line="360" w:lineRule="auto"/>
              <w:jc w:val="center"/>
              <w:rPr>
                <w:rFonts w:ascii="宋体" w:hAnsi="宋体" w:eastAsia="宋体" w:cs="宋体"/>
                <w:b/>
                <w:bCs/>
                <w:color w:val="auto"/>
                <w:sz w:val="24"/>
                <w:highlight w:val="none"/>
              </w:rPr>
            </w:pPr>
          </w:p>
        </w:tc>
        <w:tc>
          <w:tcPr>
            <w:tcW w:w="855" w:type="dxa"/>
            <w:noWrap w:val="0"/>
            <w:vAlign w:val="center"/>
          </w:tcPr>
          <w:p w14:paraId="1FE07700">
            <w:pPr>
              <w:spacing w:line="360" w:lineRule="auto"/>
              <w:jc w:val="center"/>
              <w:rPr>
                <w:rFonts w:ascii="宋体" w:hAnsi="宋体" w:eastAsia="宋体" w:cs="宋体"/>
                <w:b/>
                <w:bCs/>
                <w:color w:val="auto"/>
                <w:sz w:val="24"/>
                <w:highlight w:val="none"/>
              </w:rPr>
            </w:pPr>
          </w:p>
        </w:tc>
        <w:tc>
          <w:tcPr>
            <w:tcW w:w="2745" w:type="dxa"/>
            <w:noWrap w:val="0"/>
            <w:vAlign w:val="center"/>
          </w:tcPr>
          <w:p w14:paraId="442B78C9">
            <w:pPr>
              <w:spacing w:line="360" w:lineRule="auto"/>
              <w:jc w:val="center"/>
              <w:rPr>
                <w:rFonts w:ascii="宋体" w:hAnsi="宋体" w:eastAsia="宋体" w:cs="宋体"/>
                <w:b/>
                <w:bCs/>
                <w:color w:val="auto"/>
                <w:sz w:val="24"/>
                <w:highlight w:val="none"/>
              </w:rPr>
            </w:pPr>
          </w:p>
        </w:tc>
        <w:tc>
          <w:tcPr>
            <w:tcW w:w="825" w:type="dxa"/>
            <w:noWrap w:val="0"/>
            <w:vAlign w:val="center"/>
          </w:tcPr>
          <w:p w14:paraId="6D5AE572">
            <w:pPr>
              <w:spacing w:line="360" w:lineRule="auto"/>
              <w:jc w:val="center"/>
              <w:rPr>
                <w:rFonts w:ascii="宋体" w:hAnsi="宋体" w:eastAsia="宋体" w:cs="宋体"/>
                <w:b/>
                <w:bCs/>
                <w:color w:val="auto"/>
                <w:sz w:val="24"/>
                <w:highlight w:val="none"/>
              </w:rPr>
            </w:pPr>
          </w:p>
        </w:tc>
        <w:tc>
          <w:tcPr>
            <w:tcW w:w="2955" w:type="dxa"/>
            <w:noWrap w:val="0"/>
            <w:vAlign w:val="top"/>
          </w:tcPr>
          <w:p w14:paraId="1F21F038">
            <w:pPr>
              <w:rPr>
                <w:rFonts w:ascii="宋体" w:hAnsi="宋体" w:eastAsia="宋体" w:cs="宋体"/>
                <w:color w:val="auto"/>
                <w:sz w:val="24"/>
                <w:highlight w:val="none"/>
              </w:rPr>
            </w:pPr>
          </w:p>
        </w:tc>
      </w:tr>
      <w:tr w14:paraId="62832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0081337">
            <w:pPr>
              <w:spacing w:line="360" w:lineRule="auto"/>
              <w:jc w:val="center"/>
              <w:rPr>
                <w:rFonts w:ascii="宋体" w:hAnsi="宋体" w:eastAsia="宋体" w:cs="宋体"/>
                <w:b/>
                <w:bCs/>
                <w:color w:val="auto"/>
                <w:sz w:val="24"/>
                <w:highlight w:val="none"/>
              </w:rPr>
            </w:pPr>
          </w:p>
        </w:tc>
        <w:tc>
          <w:tcPr>
            <w:tcW w:w="1260" w:type="dxa"/>
            <w:noWrap w:val="0"/>
            <w:vAlign w:val="top"/>
          </w:tcPr>
          <w:p w14:paraId="3E20CFF1">
            <w:pPr>
              <w:spacing w:line="360" w:lineRule="auto"/>
              <w:jc w:val="center"/>
              <w:rPr>
                <w:rFonts w:ascii="宋体" w:hAnsi="宋体" w:eastAsia="宋体" w:cs="宋体"/>
                <w:b/>
                <w:bCs/>
                <w:color w:val="auto"/>
                <w:sz w:val="24"/>
                <w:highlight w:val="none"/>
              </w:rPr>
            </w:pPr>
          </w:p>
        </w:tc>
        <w:tc>
          <w:tcPr>
            <w:tcW w:w="855" w:type="dxa"/>
            <w:noWrap w:val="0"/>
            <w:vAlign w:val="center"/>
          </w:tcPr>
          <w:p w14:paraId="53E1F51B">
            <w:pPr>
              <w:spacing w:line="360" w:lineRule="auto"/>
              <w:jc w:val="center"/>
              <w:rPr>
                <w:rFonts w:ascii="宋体" w:hAnsi="宋体" w:eastAsia="宋体" w:cs="宋体"/>
                <w:b/>
                <w:bCs/>
                <w:color w:val="auto"/>
                <w:sz w:val="24"/>
                <w:highlight w:val="none"/>
              </w:rPr>
            </w:pPr>
          </w:p>
        </w:tc>
        <w:tc>
          <w:tcPr>
            <w:tcW w:w="2745" w:type="dxa"/>
            <w:noWrap w:val="0"/>
            <w:vAlign w:val="center"/>
          </w:tcPr>
          <w:p w14:paraId="4969BC18">
            <w:pPr>
              <w:spacing w:line="360" w:lineRule="auto"/>
              <w:jc w:val="center"/>
              <w:rPr>
                <w:rFonts w:ascii="宋体" w:hAnsi="宋体" w:eastAsia="宋体" w:cs="宋体"/>
                <w:b/>
                <w:bCs/>
                <w:color w:val="auto"/>
                <w:sz w:val="24"/>
                <w:highlight w:val="none"/>
              </w:rPr>
            </w:pPr>
          </w:p>
        </w:tc>
        <w:tc>
          <w:tcPr>
            <w:tcW w:w="825" w:type="dxa"/>
            <w:noWrap w:val="0"/>
            <w:vAlign w:val="center"/>
          </w:tcPr>
          <w:p w14:paraId="50098F04">
            <w:pPr>
              <w:spacing w:line="360" w:lineRule="auto"/>
              <w:jc w:val="center"/>
              <w:rPr>
                <w:rFonts w:ascii="宋体" w:hAnsi="宋体" w:eastAsia="宋体" w:cs="宋体"/>
                <w:b/>
                <w:bCs/>
                <w:color w:val="auto"/>
                <w:sz w:val="24"/>
                <w:highlight w:val="none"/>
              </w:rPr>
            </w:pPr>
          </w:p>
        </w:tc>
        <w:tc>
          <w:tcPr>
            <w:tcW w:w="2955" w:type="dxa"/>
            <w:noWrap w:val="0"/>
            <w:vAlign w:val="top"/>
          </w:tcPr>
          <w:p w14:paraId="6F622573">
            <w:pPr>
              <w:rPr>
                <w:rFonts w:ascii="宋体" w:hAnsi="宋体" w:eastAsia="宋体" w:cs="宋体"/>
                <w:color w:val="auto"/>
                <w:sz w:val="24"/>
                <w:highlight w:val="none"/>
              </w:rPr>
            </w:pPr>
          </w:p>
        </w:tc>
      </w:tr>
      <w:tr w14:paraId="69DC5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5012ECF0">
            <w:pPr>
              <w:spacing w:line="360" w:lineRule="auto"/>
              <w:jc w:val="center"/>
              <w:rPr>
                <w:rFonts w:ascii="宋体" w:hAnsi="宋体" w:eastAsia="宋体" w:cs="宋体"/>
                <w:b/>
                <w:bCs/>
                <w:color w:val="auto"/>
                <w:sz w:val="24"/>
                <w:highlight w:val="none"/>
              </w:rPr>
            </w:pPr>
          </w:p>
        </w:tc>
        <w:tc>
          <w:tcPr>
            <w:tcW w:w="1260" w:type="dxa"/>
            <w:noWrap w:val="0"/>
            <w:vAlign w:val="top"/>
          </w:tcPr>
          <w:p w14:paraId="22181943">
            <w:pPr>
              <w:spacing w:line="360" w:lineRule="auto"/>
              <w:jc w:val="center"/>
              <w:rPr>
                <w:rFonts w:ascii="宋体" w:hAnsi="宋体" w:eastAsia="宋体" w:cs="宋体"/>
                <w:b/>
                <w:bCs/>
                <w:color w:val="auto"/>
                <w:sz w:val="24"/>
                <w:highlight w:val="none"/>
              </w:rPr>
            </w:pPr>
          </w:p>
        </w:tc>
        <w:tc>
          <w:tcPr>
            <w:tcW w:w="855" w:type="dxa"/>
            <w:noWrap w:val="0"/>
            <w:vAlign w:val="center"/>
          </w:tcPr>
          <w:p w14:paraId="1904B973">
            <w:pPr>
              <w:spacing w:line="360" w:lineRule="auto"/>
              <w:jc w:val="center"/>
              <w:rPr>
                <w:rFonts w:ascii="宋体" w:hAnsi="宋体" w:eastAsia="宋体" w:cs="宋体"/>
                <w:b/>
                <w:bCs/>
                <w:color w:val="auto"/>
                <w:sz w:val="24"/>
                <w:highlight w:val="none"/>
              </w:rPr>
            </w:pPr>
          </w:p>
        </w:tc>
        <w:tc>
          <w:tcPr>
            <w:tcW w:w="2745" w:type="dxa"/>
            <w:noWrap w:val="0"/>
            <w:vAlign w:val="center"/>
          </w:tcPr>
          <w:p w14:paraId="35B86B4B">
            <w:pPr>
              <w:spacing w:line="360" w:lineRule="auto"/>
              <w:jc w:val="center"/>
              <w:rPr>
                <w:rFonts w:ascii="宋体" w:hAnsi="宋体" w:eastAsia="宋体" w:cs="宋体"/>
                <w:b/>
                <w:bCs/>
                <w:color w:val="auto"/>
                <w:sz w:val="24"/>
                <w:highlight w:val="none"/>
              </w:rPr>
            </w:pPr>
          </w:p>
        </w:tc>
        <w:tc>
          <w:tcPr>
            <w:tcW w:w="825" w:type="dxa"/>
            <w:noWrap w:val="0"/>
            <w:vAlign w:val="center"/>
          </w:tcPr>
          <w:p w14:paraId="0574607D">
            <w:pPr>
              <w:spacing w:line="360" w:lineRule="auto"/>
              <w:jc w:val="center"/>
              <w:rPr>
                <w:rFonts w:ascii="宋体" w:hAnsi="宋体" w:eastAsia="宋体" w:cs="宋体"/>
                <w:b/>
                <w:bCs/>
                <w:color w:val="auto"/>
                <w:sz w:val="24"/>
                <w:highlight w:val="none"/>
              </w:rPr>
            </w:pPr>
          </w:p>
        </w:tc>
        <w:tc>
          <w:tcPr>
            <w:tcW w:w="2955" w:type="dxa"/>
            <w:noWrap w:val="0"/>
            <w:vAlign w:val="top"/>
          </w:tcPr>
          <w:p w14:paraId="39FE733D">
            <w:pPr>
              <w:rPr>
                <w:rFonts w:ascii="宋体" w:hAnsi="宋体" w:eastAsia="宋体" w:cs="宋体"/>
                <w:color w:val="auto"/>
                <w:sz w:val="24"/>
                <w:highlight w:val="none"/>
              </w:rPr>
            </w:pPr>
          </w:p>
        </w:tc>
      </w:tr>
      <w:tr w14:paraId="3DBE5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4C47850B">
            <w:pPr>
              <w:spacing w:line="360" w:lineRule="auto"/>
              <w:jc w:val="center"/>
              <w:rPr>
                <w:rFonts w:ascii="宋体" w:hAnsi="宋体" w:eastAsia="宋体" w:cs="宋体"/>
                <w:b/>
                <w:bCs/>
                <w:color w:val="auto"/>
                <w:sz w:val="24"/>
                <w:highlight w:val="none"/>
              </w:rPr>
            </w:pPr>
          </w:p>
        </w:tc>
        <w:tc>
          <w:tcPr>
            <w:tcW w:w="1260" w:type="dxa"/>
            <w:noWrap w:val="0"/>
            <w:vAlign w:val="top"/>
          </w:tcPr>
          <w:p w14:paraId="2FF0B10A">
            <w:pPr>
              <w:spacing w:line="360" w:lineRule="auto"/>
              <w:jc w:val="center"/>
              <w:rPr>
                <w:rFonts w:ascii="宋体" w:hAnsi="宋体" w:eastAsia="宋体" w:cs="宋体"/>
                <w:b/>
                <w:bCs/>
                <w:color w:val="auto"/>
                <w:sz w:val="24"/>
                <w:highlight w:val="none"/>
              </w:rPr>
            </w:pPr>
          </w:p>
        </w:tc>
        <w:tc>
          <w:tcPr>
            <w:tcW w:w="855" w:type="dxa"/>
            <w:noWrap w:val="0"/>
            <w:vAlign w:val="center"/>
          </w:tcPr>
          <w:p w14:paraId="3FB2B18B">
            <w:pPr>
              <w:spacing w:line="360" w:lineRule="auto"/>
              <w:jc w:val="center"/>
              <w:rPr>
                <w:rFonts w:ascii="宋体" w:hAnsi="宋体" w:eastAsia="宋体" w:cs="宋体"/>
                <w:b/>
                <w:bCs/>
                <w:color w:val="auto"/>
                <w:sz w:val="24"/>
                <w:highlight w:val="none"/>
              </w:rPr>
            </w:pPr>
          </w:p>
        </w:tc>
        <w:tc>
          <w:tcPr>
            <w:tcW w:w="2745" w:type="dxa"/>
            <w:noWrap w:val="0"/>
            <w:vAlign w:val="center"/>
          </w:tcPr>
          <w:p w14:paraId="7164B888">
            <w:pPr>
              <w:spacing w:line="360" w:lineRule="auto"/>
              <w:jc w:val="center"/>
              <w:rPr>
                <w:rFonts w:ascii="宋体" w:hAnsi="宋体" w:eastAsia="宋体" w:cs="宋体"/>
                <w:b/>
                <w:bCs/>
                <w:color w:val="auto"/>
                <w:sz w:val="24"/>
                <w:highlight w:val="none"/>
              </w:rPr>
            </w:pPr>
          </w:p>
        </w:tc>
        <w:tc>
          <w:tcPr>
            <w:tcW w:w="825" w:type="dxa"/>
            <w:noWrap w:val="0"/>
            <w:vAlign w:val="center"/>
          </w:tcPr>
          <w:p w14:paraId="2C0CFF9D">
            <w:pPr>
              <w:spacing w:line="360" w:lineRule="auto"/>
              <w:jc w:val="center"/>
              <w:rPr>
                <w:rFonts w:ascii="宋体" w:hAnsi="宋体" w:eastAsia="宋体" w:cs="宋体"/>
                <w:b/>
                <w:bCs/>
                <w:color w:val="auto"/>
                <w:sz w:val="24"/>
                <w:highlight w:val="none"/>
              </w:rPr>
            </w:pPr>
          </w:p>
        </w:tc>
        <w:tc>
          <w:tcPr>
            <w:tcW w:w="2955" w:type="dxa"/>
            <w:noWrap w:val="0"/>
            <w:vAlign w:val="top"/>
          </w:tcPr>
          <w:p w14:paraId="4F69679F">
            <w:pPr>
              <w:rPr>
                <w:rFonts w:ascii="宋体" w:hAnsi="宋体" w:eastAsia="宋体" w:cs="宋体"/>
                <w:color w:val="auto"/>
                <w:sz w:val="24"/>
                <w:highlight w:val="none"/>
              </w:rPr>
            </w:pPr>
          </w:p>
        </w:tc>
      </w:tr>
      <w:tr w14:paraId="0BE37F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7A13089D">
            <w:pPr>
              <w:spacing w:line="360" w:lineRule="auto"/>
              <w:jc w:val="center"/>
              <w:rPr>
                <w:rFonts w:ascii="宋体" w:hAnsi="宋体" w:eastAsia="宋体" w:cs="宋体"/>
                <w:b/>
                <w:bCs/>
                <w:color w:val="auto"/>
                <w:sz w:val="24"/>
                <w:highlight w:val="none"/>
              </w:rPr>
            </w:pPr>
          </w:p>
        </w:tc>
        <w:tc>
          <w:tcPr>
            <w:tcW w:w="1260" w:type="dxa"/>
            <w:noWrap w:val="0"/>
            <w:vAlign w:val="top"/>
          </w:tcPr>
          <w:p w14:paraId="59B0DBA9">
            <w:pPr>
              <w:spacing w:line="360" w:lineRule="auto"/>
              <w:jc w:val="center"/>
              <w:rPr>
                <w:rFonts w:ascii="宋体" w:hAnsi="宋体" w:eastAsia="宋体" w:cs="宋体"/>
                <w:b/>
                <w:bCs/>
                <w:color w:val="auto"/>
                <w:sz w:val="24"/>
                <w:highlight w:val="none"/>
              </w:rPr>
            </w:pPr>
          </w:p>
        </w:tc>
        <w:tc>
          <w:tcPr>
            <w:tcW w:w="855" w:type="dxa"/>
            <w:noWrap w:val="0"/>
            <w:vAlign w:val="center"/>
          </w:tcPr>
          <w:p w14:paraId="581F9271">
            <w:pPr>
              <w:spacing w:line="360" w:lineRule="auto"/>
              <w:jc w:val="center"/>
              <w:rPr>
                <w:rFonts w:ascii="宋体" w:hAnsi="宋体" w:eastAsia="宋体" w:cs="宋体"/>
                <w:b/>
                <w:bCs/>
                <w:color w:val="auto"/>
                <w:sz w:val="24"/>
                <w:highlight w:val="none"/>
              </w:rPr>
            </w:pPr>
          </w:p>
        </w:tc>
        <w:tc>
          <w:tcPr>
            <w:tcW w:w="2745" w:type="dxa"/>
            <w:noWrap w:val="0"/>
            <w:vAlign w:val="center"/>
          </w:tcPr>
          <w:p w14:paraId="6B19B4F4">
            <w:pPr>
              <w:spacing w:line="360" w:lineRule="auto"/>
              <w:jc w:val="center"/>
              <w:rPr>
                <w:rFonts w:ascii="宋体" w:hAnsi="宋体" w:eastAsia="宋体" w:cs="宋体"/>
                <w:b/>
                <w:bCs/>
                <w:color w:val="auto"/>
                <w:sz w:val="24"/>
                <w:highlight w:val="none"/>
              </w:rPr>
            </w:pPr>
          </w:p>
        </w:tc>
        <w:tc>
          <w:tcPr>
            <w:tcW w:w="825" w:type="dxa"/>
            <w:noWrap w:val="0"/>
            <w:vAlign w:val="center"/>
          </w:tcPr>
          <w:p w14:paraId="388A1558">
            <w:pPr>
              <w:spacing w:line="360" w:lineRule="auto"/>
              <w:jc w:val="center"/>
              <w:rPr>
                <w:rFonts w:ascii="宋体" w:hAnsi="宋体" w:eastAsia="宋体" w:cs="宋体"/>
                <w:b/>
                <w:bCs/>
                <w:color w:val="auto"/>
                <w:sz w:val="24"/>
                <w:highlight w:val="none"/>
              </w:rPr>
            </w:pPr>
          </w:p>
        </w:tc>
        <w:tc>
          <w:tcPr>
            <w:tcW w:w="2955" w:type="dxa"/>
            <w:noWrap w:val="0"/>
            <w:vAlign w:val="top"/>
          </w:tcPr>
          <w:p w14:paraId="0B19D8F1">
            <w:pPr>
              <w:rPr>
                <w:rFonts w:ascii="宋体" w:hAnsi="宋体" w:eastAsia="宋体" w:cs="宋体"/>
                <w:color w:val="auto"/>
                <w:sz w:val="24"/>
                <w:highlight w:val="none"/>
              </w:rPr>
            </w:pPr>
          </w:p>
        </w:tc>
      </w:tr>
      <w:tr w14:paraId="207E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900" w:type="dxa"/>
            <w:noWrap w:val="0"/>
            <w:vAlign w:val="center"/>
          </w:tcPr>
          <w:p w14:paraId="2162EAFC">
            <w:pPr>
              <w:spacing w:line="360" w:lineRule="auto"/>
              <w:jc w:val="center"/>
              <w:rPr>
                <w:rFonts w:ascii="宋体" w:hAnsi="宋体" w:eastAsia="宋体" w:cs="宋体"/>
                <w:b/>
                <w:bCs/>
                <w:color w:val="auto"/>
                <w:sz w:val="24"/>
                <w:highlight w:val="none"/>
              </w:rPr>
            </w:pPr>
          </w:p>
        </w:tc>
        <w:tc>
          <w:tcPr>
            <w:tcW w:w="1260" w:type="dxa"/>
            <w:noWrap w:val="0"/>
            <w:vAlign w:val="top"/>
          </w:tcPr>
          <w:p w14:paraId="2DE93B4B">
            <w:pPr>
              <w:spacing w:line="360" w:lineRule="auto"/>
              <w:jc w:val="center"/>
              <w:rPr>
                <w:rFonts w:ascii="宋体" w:hAnsi="宋体" w:eastAsia="宋体" w:cs="宋体"/>
                <w:b/>
                <w:bCs/>
                <w:color w:val="auto"/>
                <w:sz w:val="24"/>
                <w:highlight w:val="none"/>
              </w:rPr>
            </w:pPr>
          </w:p>
        </w:tc>
        <w:tc>
          <w:tcPr>
            <w:tcW w:w="855" w:type="dxa"/>
            <w:noWrap w:val="0"/>
            <w:vAlign w:val="center"/>
          </w:tcPr>
          <w:p w14:paraId="678CCF94">
            <w:pPr>
              <w:spacing w:line="360" w:lineRule="auto"/>
              <w:jc w:val="center"/>
              <w:rPr>
                <w:rFonts w:ascii="宋体" w:hAnsi="宋体" w:eastAsia="宋体" w:cs="宋体"/>
                <w:b/>
                <w:bCs/>
                <w:color w:val="auto"/>
                <w:sz w:val="24"/>
                <w:highlight w:val="none"/>
              </w:rPr>
            </w:pPr>
          </w:p>
        </w:tc>
        <w:tc>
          <w:tcPr>
            <w:tcW w:w="2745" w:type="dxa"/>
            <w:noWrap w:val="0"/>
            <w:vAlign w:val="center"/>
          </w:tcPr>
          <w:p w14:paraId="174AF2DF">
            <w:pPr>
              <w:spacing w:line="360" w:lineRule="auto"/>
              <w:jc w:val="center"/>
              <w:rPr>
                <w:rFonts w:ascii="宋体" w:hAnsi="宋体" w:eastAsia="宋体" w:cs="宋体"/>
                <w:b/>
                <w:bCs/>
                <w:color w:val="auto"/>
                <w:sz w:val="24"/>
                <w:highlight w:val="none"/>
              </w:rPr>
            </w:pPr>
          </w:p>
        </w:tc>
        <w:tc>
          <w:tcPr>
            <w:tcW w:w="825" w:type="dxa"/>
            <w:noWrap w:val="0"/>
            <w:vAlign w:val="center"/>
          </w:tcPr>
          <w:p w14:paraId="17F3CD40">
            <w:pPr>
              <w:spacing w:line="360" w:lineRule="auto"/>
              <w:jc w:val="center"/>
              <w:rPr>
                <w:rFonts w:ascii="宋体" w:hAnsi="宋体" w:eastAsia="宋体" w:cs="宋体"/>
                <w:b/>
                <w:bCs/>
                <w:color w:val="auto"/>
                <w:sz w:val="24"/>
                <w:highlight w:val="none"/>
              </w:rPr>
            </w:pPr>
          </w:p>
        </w:tc>
        <w:tc>
          <w:tcPr>
            <w:tcW w:w="2955" w:type="dxa"/>
            <w:noWrap w:val="0"/>
            <w:vAlign w:val="top"/>
          </w:tcPr>
          <w:p w14:paraId="455D739C">
            <w:pPr>
              <w:rPr>
                <w:rFonts w:ascii="宋体" w:hAnsi="宋体" w:eastAsia="宋体" w:cs="宋体"/>
                <w:color w:val="auto"/>
                <w:sz w:val="24"/>
                <w:highlight w:val="none"/>
              </w:rPr>
            </w:pPr>
          </w:p>
        </w:tc>
      </w:tr>
    </w:tbl>
    <w:p w14:paraId="415B7AD0">
      <w:pPr>
        <w:pStyle w:val="18"/>
        <w:spacing w:line="400" w:lineRule="atLeast"/>
        <w:rPr>
          <w:rFonts w:hAnsi="宋体" w:cs="宋体"/>
          <w:color w:val="auto"/>
          <w:sz w:val="24"/>
          <w:highlight w:val="none"/>
        </w:rPr>
      </w:pPr>
      <w:r>
        <w:rPr>
          <w:rFonts w:hint="eastAsia" w:hAnsi="宋体" w:cs="宋体"/>
          <w:color w:val="auto"/>
          <w:sz w:val="24"/>
          <w:highlight w:val="none"/>
        </w:rPr>
        <w:t>投标方代表签字：____________________        职  务：____________</w:t>
      </w:r>
    </w:p>
    <w:p w14:paraId="76153312">
      <w:pPr>
        <w:spacing w:line="360" w:lineRule="auto"/>
        <w:rPr>
          <w:rFonts w:ascii="宋体" w:hAnsi="宋体" w:cs="宋体"/>
          <w:color w:val="auto"/>
          <w:sz w:val="24"/>
          <w:highlight w:val="none"/>
        </w:rPr>
      </w:pPr>
      <w:r>
        <w:rPr>
          <w:rFonts w:hint="eastAsia" w:ascii="宋体" w:hAnsi="宋体" w:cs="宋体"/>
          <w:color w:val="auto"/>
          <w:sz w:val="24"/>
          <w:highlight w:val="none"/>
        </w:rPr>
        <w:t>日  期：________________</w:t>
      </w:r>
    </w:p>
    <w:p w14:paraId="5A6633FD">
      <w:pPr>
        <w:spacing w:line="360" w:lineRule="auto"/>
        <w:rPr>
          <w:rFonts w:hint="eastAsia" w:ascii="宋体" w:hAnsi="宋体" w:cs="宋体"/>
          <w:color w:val="auto"/>
          <w:sz w:val="24"/>
          <w:highlight w:val="none"/>
        </w:rPr>
      </w:pPr>
    </w:p>
    <w:p w14:paraId="39100DB9">
      <w:pPr>
        <w:spacing w:line="360" w:lineRule="auto"/>
        <w:rPr>
          <w:rFonts w:ascii="宋体" w:hAnsi="宋体" w:cs="宋体"/>
          <w:color w:val="auto"/>
          <w:highlight w:val="none"/>
        </w:rPr>
      </w:pPr>
      <w:r>
        <w:rPr>
          <w:rFonts w:hint="eastAsia" w:ascii="宋体" w:hAnsi="宋体" w:cs="宋体"/>
          <w:color w:val="auto"/>
          <w:sz w:val="24"/>
          <w:highlight w:val="none"/>
        </w:rPr>
        <w:t>备注：</w:t>
      </w:r>
      <w:r>
        <w:rPr>
          <w:rFonts w:hint="eastAsia" w:ascii="宋体" w:hAnsi="宋体" w:cs="宋体"/>
          <w:b/>
          <w:bCs/>
          <w:color w:val="auto"/>
          <w:highlight w:val="none"/>
        </w:rPr>
        <w:t xml:space="preserve"> </w:t>
      </w:r>
      <w:r>
        <w:rPr>
          <w:rFonts w:hint="eastAsia" w:ascii="宋体" w:hAnsi="宋体" w:cs="宋体"/>
          <w:color w:val="auto"/>
          <w:highlight w:val="none"/>
        </w:rPr>
        <w:t>1.该表根据前面《招标货物一览表》中所列明货物清单，按每项货物详细填写。</w:t>
      </w:r>
    </w:p>
    <w:p w14:paraId="2621160C">
      <w:pPr>
        <w:spacing w:line="360" w:lineRule="auto"/>
        <w:ind w:firstLine="840" w:firstLineChars="400"/>
        <w:rPr>
          <w:rFonts w:ascii="宋体" w:hAnsi="宋体" w:cs="宋体"/>
          <w:color w:val="auto"/>
          <w:highlight w:val="none"/>
        </w:rPr>
      </w:pPr>
      <w:r>
        <w:rPr>
          <w:rFonts w:hint="eastAsia" w:ascii="宋体" w:hAnsi="宋体" w:cs="宋体"/>
          <w:color w:val="auto"/>
          <w:highlight w:val="none"/>
        </w:rPr>
        <w:t>2.“规格及技术参数”栏中填写所投货物化学成分、物理性能参数等技术参数。</w:t>
      </w:r>
    </w:p>
    <w:p w14:paraId="1B9AEBBA">
      <w:pPr>
        <w:spacing w:line="360" w:lineRule="auto"/>
        <w:ind w:firstLine="840" w:firstLineChars="400"/>
        <w:rPr>
          <w:rFonts w:hint="eastAsia" w:ascii="宋体"/>
          <w:b/>
          <w:bCs/>
          <w:color w:val="auto"/>
          <w:sz w:val="44"/>
          <w:szCs w:val="44"/>
          <w:highlight w:val="none"/>
        </w:rPr>
      </w:pPr>
      <w:r>
        <w:rPr>
          <w:rFonts w:hint="eastAsia" w:ascii="宋体" w:hAnsi="宋体" w:cs="宋体"/>
          <w:color w:val="auto"/>
          <w:highlight w:val="none"/>
        </w:rPr>
        <w:t>3.此表可在不改变格式的情况下自行制作。</w:t>
      </w:r>
    </w:p>
    <w:p w14:paraId="4A3A4D3E">
      <w:pPr>
        <w:spacing w:line="360" w:lineRule="auto"/>
        <w:rPr>
          <w:rFonts w:hint="eastAsia" w:ascii="宋体" w:hAnsi="宋体"/>
          <w:b/>
          <w:bCs/>
          <w:color w:val="auto"/>
          <w:sz w:val="36"/>
          <w:szCs w:val="36"/>
          <w:highlight w:val="none"/>
        </w:rPr>
      </w:pPr>
    </w:p>
    <w:p w14:paraId="6AFEE293">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400F3699">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售后服务承诺书</w:t>
      </w:r>
    </w:p>
    <w:p w14:paraId="11728BB8">
      <w:pPr>
        <w:spacing w:line="360" w:lineRule="auto"/>
        <w:rPr>
          <w:rFonts w:ascii="宋体"/>
          <w:color w:val="auto"/>
          <w:sz w:val="24"/>
          <w:highlight w:val="none"/>
        </w:rPr>
      </w:pPr>
    </w:p>
    <w:p w14:paraId="3EF6A2E4">
      <w:pPr>
        <w:spacing w:line="360" w:lineRule="auto"/>
        <w:rPr>
          <w:rFonts w:ascii="宋体"/>
          <w:color w:val="auto"/>
          <w:sz w:val="24"/>
          <w:highlight w:val="none"/>
        </w:rPr>
      </w:pPr>
      <w:r>
        <w:rPr>
          <w:rFonts w:ascii="宋体"/>
          <w:color w:val="auto"/>
          <w:sz w:val="24"/>
          <w:highlight w:val="none"/>
        </w:rPr>
        <w:t>1</w:t>
      </w:r>
      <w:r>
        <w:rPr>
          <w:rFonts w:hint="eastAsia" w:ascii="宋体"/>
          <w:color w:val="auto"/>
          <w:sz w:val="24"/>
          <w:highlight w:val="none"/>
        </w:rPr>
        <w:t>.保修年限、范围、保修条件</w:t>
      </w:r>
    </w:p>
    <w:p w14:paraId="0D6BF263">
      <w:pPr>
        <w:spacing w:line="360" w:lineRule="auto"/>
        <w:rPr>
          <w:rFonts w:ascii="宋体"/>
          <w:color w:val="auto"/>
          <w:sz w:val="24"/>
          <w:highlight w:val="none"/>
        </w:rPr>
      </w:pPr>
    </w:p>
    <w:p w14:paraId="611C0A89">
      <w:pPr>
        <w:spacing w:line="360" w:lineRule="auto"/>
        <w:rPr>
          <w:rFonts w:ascii="宋体"/>
          <w:color w:val="auto"/>
          <w:sz w:val="24"/>
          <w:highlight w:val="none"/>
        </w:rPr>
      </w:pPr>
    </w:p>
    <w:p w14:paraId="794E18B7">
      <w:pPr>
        <w:spacing w:line="360" w:lineRule="auto"/>
        <w:rPr>
          <w:rFonts w:ascii="宋体"/>
          <w:color w:val="auto"/>
          <w:sz w:val="24"/>
          <w:highlight w:val="none"/>
        </w:rPr>
      </w:pPr>
    </w:p>
    <w:p w14:paraId="09760992">
      <w:pPr>
        <w:spacing w:line="360" w:lineRule="auto"/>
        <w:rPr>
          <w:rFonts w:ascii="宋体"/>
          <w:color w:val="auto"/>
          <w:sz w:val="24"/>
          <w:highlight w:val="none"/>
        </w:rPr>
      </w:pPr>
      <w:r>
        <w:rPr>
          <w:rFonts w:hint="eastAsia" w:ascii="宋体"/>
          <w:color w:val="auto"/>
          <w:sz w:val="24"/>
          <w:highlight w:val="none"/>
        </w:rPr>
        <w:t>2.解决问题、排除故障的速度</w:t>
      </w:r>
    </w:p>
    <w:p w14:paraId="4026DF39">
      <w:pPr>
        <w:spacing w:line="360" w:lineRule="auto"/>
        <w:rPr>
          <w:rFonts w:ascii="宋体"/>
          <w:color w:val="auto"/>
          <w:sz w:val="24"/>
          <w:highlight w:val="none"/>
        </w:rPr>
      </w:pPr>
    </w:p>
    <w:p w14:paraId="4BBF555B">
      <w:pPr>
        <w:spacing w:line="360" w:lineRule="auto"/>
        <w:rPr>
          <w:rFonts w:ascii="宋体"/>
          <w:color w:val="auto"/>
          <w:sz w:val="24"/>
          <w:highlight w:val="none"/>
        </w:rPr>
      </w:pPr>
    </w:p>
    <w:p w14:paraId="50F9BC4E">
      <w:pPr>
        <w:spacing w:line="360" w:lineRule="auto"/>
        <w:rPr>
          <w:rFonts w:ascii="宋体"/>
          <w:color w:val="auto"/>
          <w:sz w:val="24"/>
          <w:highlight w:val="none"/>
        </w:rPr>
      </w:pPr>
    </w:p>
    <w:p w14:paraId="05F4793E">
      <w:pPr>
        <w:spacing w:line="360" w:lineRule="auto"/>
        <w:rPr>
          <w:rFonts w:ascii="宋体"/>
          <w:color w:val="auto"/>
          <w:sz w:val="24"/>
          <w:highlight w:val="none"/>
        </w:rPr>
      </w:pPr>
      <w:r>
        <w:rPr>
          <w:rFonts w:hint="eastAsia" w:ascii="宋体"/>
          <w:color w:val="auto"/>
          <w:sz w:val="24"/>
          <w:highlight w:val="none"/>
        </w:rPr>
        <w:t>3.设备使用的培训、指导</w:t>
      </w:r>
    </w:p>
    <w:p w14:paraId="11277ECD">
      <w:pPr>
        <w:spacing w:line="360" w:lineRule="auto"/>
        <w:rPr>
          <w:rFonts w:ascii="宋体"/>
          <w:color w:val="auto"/>
          <w:sz w:val="24"/>
          <w:highlight w:val="none"/>
        </w:rPr>
      </w:pPr>
    </w:p>
    <w:p w14:paraId="125348D3">
      <w:pPr>
        <w:spacing w:line="360" w:lineRule="auto"/>
        <w:rPr>
          <w:rFonts w:ascii="宋体"/>
          <w:color w:val="auto"/>
          <w:sz w:val="24"/>
          <w:highlight w:val="none"/>
        </w:rPr>
      </w:pPr>
    </w:p>
    <w:p w14:paraId="7F284D05">
      <w:pPr>
        <w:spacing w:line="360" w:lineRule="auto"/>
        <w:rPr>
          <w:rFonts w:ascii="宋体"/>
          <w:color w:val="auto"/>
          <w:sz w:val="24"/>
          <w:highlight w:val="none"/>
        </w:rPr>
      </w:pPr>
    </w:p>
    <w:p w14:paraId="49288CA7">
      <w:pPr>
        <w:spacing w:line="360" w:lineRule="auto"/>
        <w:rPr>
          <w:rFonts w:ascii="宋体"/>
          <w:color w:val="auto"/>
          <w:sz w:val="24"/>
          <w:highlight w:val="none"/>
        </w:rPr>
      </w:pPr>
      <w:r>
        <w:rPr>
          <w:rFonts w:hint="eastAsia" w:ascii="宋体"/>
          <w:color w:val="auto"/>
          <w:sz w:val="24"/>
          <w:highlight w:val="none"/>
        </w:rPr>
        <w:t>4.售后服务方面的其他承诺（安装、定期巡检等）</w:t>
      </w:r>
    </w:p>
    <w:p w14:paraId="1E177636">
      <w:pPr>
        <w:spacing w:line="360" w:lineRule="auto"/>
        <w:rPr>
          <w:rFonts w:ascii="宋体"/>
          <w:color w:val="auto"/>
          <w:sz w:val="24"/>
          <w:highlight w:val="none"/>
        </w:rPr>
      </w:pPr>
    </w:p>
    <w:p w14:paraId="4B704CAC">
      <w:pPr>
        <w:spacing w:line="360" w:lineRule="auto"/>
        <w:rPr>
          <w:rFonts w:ascii="宋体"/>
          <w:color w:val="auto"/>
          <w:sz w:val="24"/>
          <w:highlight w:val="none"/>
        </w:rPr>
      </w:pPr>
    </w:p>
    <w:p w14:paraId="53B87086">
      <w:pPr>
        <w:spacing w:line="360" w:lineRule="auto"/>
        <w:rPr>
          <w:rFonts w:ascii="宋体"/>
          <w:color w:val="auto"/>
          <w:sz w:val="24"/>
          <w:highlight w:val="none"/>
        </w:rPr>
      </w:pPr>
    </w:p>
    <w:p w14:paraId="29C0C96D">
      <w:pPr>
        <w:spacing w:line="360" w:lineRule="auto"/>
        <w:rPr>
          <w:rFonts w:ascii="宋体"/>
          <w:color w:val="auto"/>
          <w:sz w:val="24"/>
          <w:highlight w:val="none"/>
        </w:rPr>
      </w:pPr>
      <w:r>
        <w:rPr>
          <w:rFonts w:hint="eastAsia" w:ascii="宋体"/>
          <w:color w:val="auto"/>
          <w:sz w:val="24"/>
          <w:highlight w:val="none"/>
        </w:rPr>
        <w:t>5.售后服务联系方式（联系人、联系电话、维修点等）</w:t>
      </w:r>
    </w:p>
    <w:p w14:paraId="5239E394">
      <w:pPr>
        <w:spacing w:line="360" w:lineRule="auto"/>
        <w:rPr>
          <w:rFonts w:ascii="宋体"/>
          <w:color w:val="auto"/>
          <w:sz w:val="24"/>
          <w:highlight w:val="none"/>
        </w:rPr>
      </w:pPr>
    </w:p>
    <w:p w14:paraId="02190516">
      <w:pPr>
        <w:spacing w:line="360" w:lineRule="auto"/>
        <w:rPr>
          <w:rFonts w:ascii="宋体"/>
          <w:color w:val="auto"/>
          <w:sz w:val="24"/>
          <w:highlight w:val="none"/>
        </w:rPr>
      </w:pPr>
    </w:p>
    <w:p w14:paraId="5FC12602">
      <w:pPr>
        <w:spacing w:line="360" w:lineRule="auto"/>
        <w:rPr>
          <w:rFonts w:ascii="宋体"/>
          <w:color w:val="auto"/>
          <w:sz w:val="24"/>
          <w:highlight w:val="none"/>
        </w:rPr>
      </w:pPr>
    </w:p>
    <w:p w14:paraId="635B9E7C">
      <w:pPr>
        <w:spacing w:line="360" w:lineRule="auto"/>
        <w:rPr>
          <w:rFonts w:ascii="宋体"/>
          <w:color w:val="auto"/>
          <w:sz w:val="24"/>
          <w:highlight w:val="none"/>
        </w:rPr>
      </w:pPr>
      <w:r>
        <w:rPr>
          <w:rFonts w:hint="eastAsia" w:ascii="宋体"/>
          <w:color w:val="auto"/>
          <w:sz w:val="24"/>
          <w:highlight w:val="none"/>
        </w:rPr>
        <w:t>6.其他优惠条件</w:t>
      </w:r>
    </w:p>
    <w:p w14:paraId="0A07EAC3">
      <w:pPr>
        <w:spacing w:line="360" w:lineRule="auto"/>
        <w:rPr>
          <w:rFonts w:ascii="宋体"/>
          <w:color w:val="auto"/>
          <w:sz w:val="24"/>
          <w:highlight w:val="none"/>
        </w:rPr>
      </w:pPr>
    </w:p>
    <w:p w14:paraId="04687B3D">
      <w:pPr>
        <w:spacing w:line="360" w:lineRule="auto"/>
        <w:rPr>
          <w:rFonts w:ascii="宋体"/>
          <w:color w:val="auto"/>
          <w:sz w:val="24"/>
          <w:highlight w:val="none"/>
        </w:rPr>
      </w:pPr>
    </w:p>
    <w:p w14:paraId="06C3B720">
      <w:pPr>
        <w:spacing w:line="360" w:lineRule="auto"/>
        <w:rPr>
          <w:rFonts w:ascii="宋体"/>
          <w:color w:val="auto"/>
          <w:sz w:val="24"/>
          <w:highlight w:val="none"/>
        </w:rPr>
      </w:pPr>
      <w:r>
        <w:rPr>
          <w:rFonts w:ascii="宋体"/>
          <w:color w:val="auto"/>
          <w:sz w:val="24"/>
          <w:highlight w:val="none"/>
        </w:rPr>
        <w:t xml:space="preserve">                       </w:t>
      </w:r>
    </w:p>
    <w:p w14:paraId="1BCB4171">
      <w:pPr>
        <w:spacing w:line="360" w:lineRule="auto"/>
        <w:rPr>
          <w:rFonts w:ascii="宋体"/>
          <w:color w:val="auto"/>
          <w:sz w:val="24"/>
          <w:highlight w:val="none"/>
        </w:rPr>
      </w:pPr>
    </w:p>
    <w:p w14:paraId="34751344">
      <w:pPr>
        <w:spacing w:line="360" w:lineRule="auto"/>
        <w:jc w:val="center"/>
        <w:rPr>
          <w:rFonts w:ascii="宋体"/>
          <w:color w:val="auto"/>
          <w:sz w:val="24"/>
          <w:highlight w:val="none"/>
          <w:u w:val="single"/>
        </w:rPr>
      </w:pPr>
      <w:r>
        <w:rPr>
          <w:rFonts w:hint="eastAsia" w:ascii="宋体"/>
          <w:color w:val="auto"/>
          <w:sz w:val="24"/>
          <w:highlight w:val="none"/>
        </w:rPr>
        <w:t>企业名称（盖电子签章）：</w:t>
      </w:r>
      <w:r>
        <w:rPr>
          <w:rFonts w:ascii="宋体"/>
          <w:color w:val="auto"/>
          <w:sz w:val="24"/>
          <w:highlight w:val="none"/>
          <w:u w:val="single"/>
        </w:rPr>
        <w:t xml:space="preserve">                           </w:t>
      </w:r>
    </w:p>
    <w:p w14:paraId="3CDEFA39">
      <w:pPr>
        <w:spacing w:line="360" w:lineRule="auto"/>
        <w:jc w:val="center"/>
        <w:rPr>
          <w:rFonts w:ascii="宋体"/>
          <w:color w:val="auto"/>
          <w:sz w:val="24"/>
          <w:highlight w:val="none"/>
        </w:rPr>
      </w:pPr>
      <w:r>
        <w:rPr>
          <w:rFonts w:hint="eastAsia" w:ascii="宋体"/>
          <w:color w:val="auto"/>
          <w:sz w:val="24"/>
          <w:highlight w:val="none"/>
        </w:rPr>
        <w:t>签字代表</w:t>
      </w:r>
      <w:r>
        <w:rPr>
          <w:rFonts w:ascii="宋体"/>
          <w:color w:val="auto"/>
          <w:sz w:val="24"/>
          <w:highlight w:val="none"/>
        </w:rPr>
        <w:t xml:space="preserve">  </w:t>
      </w:r>
      <w:r>
        <w:rPr>
          <w:rFonts w:hint="eastAsia" w:ascii="宋体"/>
          <w:color w:val="auto"/>
          <w:sz w:val="24"/>
          <w:highlight w:val="none"/>
        </w:rPr>
        <w:t>：</w:t>
      </w:r>
      <w:r>
        <w:rPr>
          <w:rFonts w:ascii="宋体"/>
          <w:color w:val="auto"/>
          <w:sz w:val="24"/>
          <w:highlight w:val="none"/>
          <w:u w:val="single"/>
        </w:rPr>
        <w:t xml:space="preserve">                            </w:t>
      </w:r>
      <w:r>
        <w:rPr>
          <w:rFonts w:ascii="宋体"/>
          <w:color w:val="auto"/>
          <w:sz w:val="24"/>
          <w:highlight w:val="none"/>
        </w:rPr>
        <w:t xml:space="preserve">           </w:t>
      </w:r>
    </w:p>
    <w:p w14:paraId="367C1D3E">
      <w:pPr>
        <w:spacing w:line="360" w:lineRule="auto"/>
        <w:jc w:val="right"/>
        <w:rPr>
          <w:rFonts w:ascii="宋体"/>
          <w:color w:val="auto"/>
          <w:sz w:val="24"/>
          <w:highlight w:val="none"/>
        </w:rPr>
      </w:pPr>
      <w:r>
        <w:rPr>
          <w:rFonts w:hint="eastAsia" w:ascii="宋体"/>
          <w:color w:val="auto"/>
          <w:sz w:val="24"/>
          <w:highlight w:val="none"/>
        </w:rPr>
        <w:t>年</w:t>
      </w:r>
      <w:r>
        <w:rPr>
          <w:rFonts w:ascii="宋体"/>
          <w:color w:val="auto"/>
          <w:sz w:val="24"/>
          <w:highlight w:val="none"/>
        </w:rPr>
        <w:t xml:space="preserve">      </w:t>
      </w:r>
      <w:r>
        <w:rPr>
          <w:rFonts w:hint="eastAsia" w:ascii="宋体"/>
          <w:color w:val="auto"/>
          <w:sz w:val="24"/>
          <w:highlight w:val="none"/>
        </w:rPr>
        <w:t>月</w:t>
      </w:r>
      <w:r>
        <w:rPr>
          <w:rFonts w:ascii="宋体"/>
          <w:color w:val="auto"/>
          <w:sz w:val="24"/>
          <w:highlight w:val="none"/>
        </w:rPr>
        <w:t xml:space="preserve">      </w:t>
      </w:r>
      <w:r>
        <w:rPr>
          <w:rFonts w:hint="eastAsia" w:ascii="宋体"/>
          <w:color w:val="auto"/>
          <w:sz w:val="24"/>
          <w:highlight w:val="none"/>
        </w:rPr>
        <w:t>日</w:t>
      </w:r>
    </w:p>
    <w:p w14:paraId="3D54835A">
      <w:pPr>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lang w:val="en-US" w:eastAsia="zh-CN"/>
        </w:rPr>
        <w:t>产</w:t>
      </w:r>
      <w:r>
        <w:rPr>
          <w:rFonts w:hint="eastAsia" w:ascii="宋体" w:hAnsi="宋体" w:cs="宋体"/>
          <w:b/>
          <w:color w:val="auto"/>
          <w:sz w:val="36"/>
          <w:szCs w:val="36"/>
          <w:highlight w:val="none"/>
        </w:rPr>
        <w:t>品质量保证承诺书</w:t>
      </w:r>
    </w:p>
    <w:p w14:paraId="64E5608C">
      <w:pPr>
        <w:spacing w:line="360" w:lineRule="auto"/>
        <w:rPr>
          <w:rFonts w:ascii="宋体" w:hAnsi="宋体"/>
          <w:b/>
          <w:color w:val="auto"/>
          <w:sz w:val="24"/>
          <w:highlight w:val="none"/>
        </w:rPr>
      </w:pPr>
      <w:r>
        <w:rPr>
          <w:rFonts w:hint="eastAsia" w:ascii="宋体" w:hAnsi="宋体"/>
          <w:b/>
          <w:color w:val="auto"/>
          <w:sz w:val="24"/>
          <w:highlight w:val="none"/>
        </w:rPr>
        <w:t xml:space="preserve"> </w:t>
      </w:r>
    </w:p>
    <w:p w14:paraId="766A38B3">
      <w:pPr>
        <w:pStyle w:val="32"/>
        <w:snapToGrid w:val="0"/>
        <w:spacing w:line="360" w:lineRule="auto"/>
        <w:rPr>
          <w:color w:val="auto"/>
          <w:szCs w:val="18"/>
          <w:highlight w:val="none"/>
        </w:rPr>
      </w:pPr>
      <w:r>
        <w:rPr>
          <w:rFonts w:hint="eastAsia"/>
          <w:b/>
          <w:color w:val="auto"/>
          <w:highlight w:val="none"/>
        </w:rPr>
        <w:t xml:space="preserve">    </w:t>
      </w:r>
      <w:r>
        <w:rPr>
          <w:color w:val="auto"/>
          <w:szCs w:val="18"/>
          <w:highlight w:val="none"/>
        </w:rPr>
        <w:t>根据贵方为</w:t>
      </w:r>
      <w:r>
        <w:rPr>
          <w:rFonts w:hint="eastAsia"/>
          <w:color w:val="auto"/>
          <w:szCs w:val="18"/>
          <w:highlight w:val="none"/>
          <w:u w:val="single"/>
        </w:rPr>
        <w:t xml:space="preserve">      </w:t>
      </w:r>
      <w:r>
        <w:rPr>
          <w:color w:val="auto"/>
          <w:szCs w:val="18"/>
          <w:highlight w:val="none"/>
        </w:rPr>
        <w:t>年</w:t>
      </w:r>
      <w:r>
        <w:rPr>
          <w:rFonts w:hint="eastAsia"/>
          <w:color w:val="auto"/>
          <w:szCs w:val="18"/>
          <w:highlight w:val="none"/>
        </w:rPr>
        <w:t xml:space="preserve"> </w:t>
      </w:r>
      <w:r>
        <w:rPr>
          <w:rFonts w:hint="eastAsia"/>
          <w:color w:val="auto"/>
          <w:szCs w:val="18"/>
          <w:highlight w:val="none"/>
          <w:u w:val="single"/>
        </w:rPr>
        <w:t xml:space="preserve">   </w:t>
      </w:r>
      <w:r>
        <w:rPr>
          <w:color w:val="auto"/>
          <w:szCs w:val="18"/>
          <w:highlight w:val="none"/>
        </w:rPr>
        <w:t>月</w:t>
      </w:r>
      <w:r>
        <w:rPr>
          <w:rFonts w:hint="eastAsia"/>
          <w:color w:val="auto"/>
          <w:szCs w:val="18"/>
          <w:highlight w:val="none"/>
          <w:u w:val="single"/>
        </w:rPr>
        <w:t xml:space="preserve">   </w:t>
      </w:r>
      <w:r>
        <w:rPr>
          <w:rFonts w:hint="eastAsia"/>
          <w:color w:val="auto"/>
          <w:szCs w:val="18"/>
          <w:highlight w:val="none"/>
        </w:rPr>
        <w:t>日</w:t>
      </w:r>
      <w:r>
        <w:rPr>
          <w:rFonts w:hint="eastAsia"/>
          <w:color w:val="auto"/>
          <w:szCs w:val="18"/>
          <w:highlight w:val="none"/>
          <w:u w:val="single"/>
        </w:rPr>
        <w:t xml:space="preserve">          </w:t>
      </w:r>
      <w:r>
        <w:rPr>
          <w:color w:val="auto"/>
          <w:szCs w:val="18"/>
          <w:highlight w:val="none"/>
        </w:rPr>
        <w:t>（</w:t>
      </w:r>
      <w:r>
        <w:rPr>
          <w:rFonts w:hint="eastAsia"/>
          <w:color w:val="auto"/>
          <w:szCs w:val="18"/>
          <w:highlight w:val="none"/>
        </w:rPr>
        <w:t>采购</w:t>
      </w:r>
      <w:r>
        <w:rPr>
          <w:color w:val="auto"/>
          <w:szCs w:val="18"/>
          <w:highlight w:val="none"/>
        </w:rPr>
        <w:t>编号）招标项目的投标邀请，我</w:t>
      </w:r>
      <w:r>
        <w:rPr>
          <w:rFonts w:hint="eastAsia"/>
          <w:color w:val="auto"/>
          <w:szCs w:val="18"/>
          <w:highlight w:val="none"/>
        </w:rPr>
        <w:t>方</w:t>
      </w:r>
      <w:r>
        <w:rPr>
          <w:color w:val="auto"/>
          <w:szCs w:val="18"/>
          <w:highlight w:val="none"/>
        </w:rPr>
        <w:t>对该项目做出如下</w:t>
      </w:r>
      <w:r>
        <w:rPr>
          <w:rFonts w:hint="eastAsia"/>
          <w:color w:val="auto"/>
          <w:szCs w:val="18"/>
          <w:highlight w:val="none"/>
        </w:rPr>
        <w:t>产品质量</w:t>
      </w:r>
      <w:r>
        <w:rPr>
          <w:color w:val="auto"/>
          <w:szCs w:val="18"/>
          <w:highlight w:val="none"/>
        </w:rPr>
        <w:t>承诺：</w:t>
      </w:r>
    </w:p>
    <w:p w14:paraId="0EB79EDD">
      <w:pPr>
        <w:numPr>
          <w:ilvl w:val="0"/>
          <w:numId w:val="6"/>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技术规范及相关产品标准：</w:t>
      </w:r>
    </w:p>
    <w:p w14:paraId="3BF50310">
      <w:pPr>
        <w:spacing w:line="360" w:lineRule="auto"/>
        <w:rPr>
          <w:rFonts w:ascii="宋体" w:hAnsi="宋体"/>
          <w:bCs/>
          <w:color w:val="auto"/>
          <w:sz w:val="24"/>
          <w:highlight w:val="none"/>
        </w:rPr>
      </w:pPr>
    </w:p>
    <w:p w14:paraId="365646FF">
      <w:pPr>
        <w:spacing w:line="360" w:lineRule="auto"/>
        <w:rPr>
          <w:rFonts w:ascii="宋体" w:hAnsi="宋体"/>
          <w:bCs/>
          <w:color w:val="auto"/>
          <w:sz w:val="24"/>
          <w:highlight w:val="none"/>
        </w:rPr>
      </w:pPr>
    </w:p>
    <w:p w14:paraId="20F3318E">
      <w:pPr>
        <w:numPr>
          <w:ilvl w:val="0"/>
          <w:numId w:val="6"/>
        </w:numPr>
        <w:tabs>
          <w:tab w:val="left" w:pos="840"/>
          <w:tab w:val="clear" w:pos="786"/>
        </w:tabs>
        <w:spacing w:line="360" w:lineRule="auto"/>
        <w:ind w:left="840"/>
        <w:rPr>
          <w:color w:val="auto"/>
          <w:sz w:val="24"/>
          <w:szCs w:val="18"/>
          <w:highlight w:val="none"/>
        </w:rPr>
      </w:pPr>
      <w:r>
        <w:rPr>
          <w:color w:val="auto"/>
          <w:sz w:val="24"/>
          <w:szCs w:val="18"/>
          <w:highlight w:val="none"/>
        </w:rPr>
        <w:t>产品都属于厂家原装正品产品</w:t>
      </w:r>
      <w:r>
        <w:rPr>
          <w:rFonts w:hint="eastAsia"/>
          <w:color w:val="auto"/>
          <w:sz w:val="24"/>
          <w:szCs w:val="18"/>
          <w:highlight w:val="none"/>
        </w:rPr>
        <w:t>：</w:t>
      </w:r>
    </w:p>
    <w:p w14:paraId="09B7C5A6">
      <w:pPr>
        <w:spacing w:line="360" w:lineRule="auto"/>
        <w:rPr>
          <w:rFonts w:ascii="宋体" w:hAnsi="宋体"/>
          <w:bCs/>
          <w:color w:val="auto"/>
          <w:sz w:val="24"/>
          <w:highlight w:val="none"/>
        </w:rPr>
      </w:pPr>
    </w:p>
    <w:p w14:paraId="2B928FAE">
      <w:pPr>
        <w:spacing w:line="360" w:lineRule="auto"/>
        <w:rPr>
          <w:rFonts w:ascii="宋体" w:hAnsi="宋体"/>
          <w:bCs/>
          <w:color w:val="auto"/>
          <w:sz w:val="24"/>
          <w:highlight w:val="none"/>
        </w:rPr>
      </w:pPr>
    </w:p>
    <w:p w14:paraId="457AD321">
      <w:pPr>
        <w:spacing w:line="360" w:lineRule="auto"/>
        <w:rPr>
          <w:rFonts w:ascii="宋体" w:hAnsi="宋体"/>
          <w:bCs/>
          <w:color w:val="auto"/>
          <w:sz w:val="24"/>
          <w:highlight w:val="none"/>
        </w:rPr>
      </w:pPr>
    </w:p>
    <w:p w14:paraId="575478DA">
      <w:pPr>
        <w:numPr>
          <w:ilvl w:val="0"/>
          <w:numId w:val="6"/>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产品“三包”内容：</w:t>
      </w:r>
    </w:p>
    <w:p w14:paraId="1ED04EBC">
      <w:pPr>
        <w:spacing w:line="360" w:lineRule="auto"/>
        <w:rPr>
          <w:rFonts w:ascii="宋体" w:hAnsi="宋体"/>
          <w:bCs/>
          <w:color w:val="auto"/>
          <w:sz w:val="24"/>
          <w:highlight w:val="none"/>
        </w:rPr>
      </w:pPr>
    </w:p>
    <w:p w14:paraId="258B135E">
      <w:pPr>
        <w:spacing w:line="360" w:lineRule="auto"/>
        <w:rPr>
          <w:rFonts w:ascii="宋体" w:hAnsi="宋体"/>
          <w:bCs/>
          <w:color w:val="auto"/>
          <w:sz w:val="24"/>
          <w:highlight w:val="none"/>
        </w:rPr>
      </w:pPr>
    </w:p>
    <w:p w14:paraId="341D63EF">
      <w:pPr>
        <w:spacing w:line="360" w:lineRule="auto"/>
        <w:rPr>
          <w:rFonts w:ascii="宋体" w:hAnsi="宋体"/>
          <w:bCs/>
          <w:color w:val="auto"/>
          <w:sz w:val="24"/>
          <w:highlight w:val="none"/>
        </w:rPr>
      </w:pPr>
    </w:p>
    <w:p w14:paraId="42A4CA53">
      <w:pPr>
        <w:numPr>
          <w:ilvl w:val="0"/>
          <w:numId w:val="6"/>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质量问题的处理：</w:t>
      </w:r>
    </w:p>
    <w:p w14:paraId="1EBE5B25">
      <w:pPr>
        <w:spacing w:line="360" w:lineRule="auto"/>
        <w:rPr>
          <w:rFonts w:ascii="宋体" w:hAnsi="宋体"/>
          <w:bCs/>
          <w:color w:val="auto"/>
          <w:sz w:val="24"/>
          <w:highlight w:val="none"/>
        </w:rPr>
      </w:pPr>
    </w:p>
    <w:p w14:paraId="730536B2">
      <w:pPr>
        <w:spacing w:line="360" w:lineRule="auto"/>
        <w:rPr>
          <w:rFonts w:ascii="宋体" w:hAnsi="宋体"/>
          <w:bCs/>
          <w:color w:val="auto"/>
          <w:sz w:val="24"/>
          <w:highlight w:val="none"/>
        </w:rPr>
      </w:pPr>
    </w:p>
    <w:p w14:paraId="453D8121">
      <w:pPr>
        <w:spacing w:line="360" w:lineRule="auto"/>
        <w:rPr>
          <w:rFonts w:ascii="宋体" w:hAnsi="宋体"/>
          <w:bCs/>
          <w:color w:val="auto"/>
          <w:sz w:val="24"/>
          <w:highlight w:val="none"/>
        </w:rPr>
      </w:pPr>
    </w:p>
    <w:p w14:paraId="253FBBBB">
      <w:pPr>
        <w:numPr>
          <w:ilvl w:val="0"/>
          <w:numId w:val="6"/>
        </w:numPr>
        <w:tabs>
          <w:tab w:val="left" w:pos="840"/>
          <w:tab w:val="clear" w:pos="786"/>
        </w:tabs>
        <w:spacing w:line="360" w:lineRule="auto"/>
        <w:ind w:left="840"/>
        <w:rPr>
          <w:rFonts w:ascii="宋体" w:hAnsi="宋体"/>
          <w:bCs/>
          <w:color w:val="auto"/>
          <w:sz w:val="24"/>
          <w:highlight w:val="none"/>
        </w:rPr>
      </w:pPr>
      <w:r>
        <w:rPr>
          <w:rFonts w:hint="eastAsia" w:ascii="宋体" w:hAnsi="宋体"/>
          <w:bCs/>
          <w:color w:val="auto"/>
          <w:sz w:val="24"/>
          <w:highlight w:val="none"/>
        </w:rPr>
        <w:t>质量投诉的处理：</w:t>
      </w:r>
    </w:p>
    <w:p w14:paraId="791B0027">
      <w:pPr>
        <w:spacing w:line="360" w:lineRule="auto"/>
        <w:jc w:val="center"/>
        <w:rPr>
          <w:rFonts w:ascii="宋体" w:hAnsi="宋体"/>
          <w:b/>
          <w:color w:val="auto"/>
          <w:sz w:val="24"/>
          <w:highlight w:val="none"/>
        </w:rPr>
      </w:pPr>
    </w:p>
    <w:p w14:paraId="01BA783B">
      <w:pPr>
        <w:spacing w:line="360" w:lineRule="auto"/>
        <w:jc w:val="center"/>
        <w:rPr>
          <w:rFonts w:ascii="宋体" w:hAnsi="宋体"/>
          <w:b/>
          <w:color w:val="auto"/>
          <w:sz w:val="24"/>
          <w:highlight w:val="none"/>
        </w:rPr>
      </w:pPr>
    </w:p>
    <w:p w14:paraId="31D3D9A7">
      <w:pPr>
        <w:spacing w:line="360" w:lineRule="auto"/>
        <w:rPr>
          <w:rFonts w:ascii="宋体" w:hAnsi="宋体"/>
          <w:bCs/>
          <w:color w:val="auto"/>
          <w:sz w:val="24"/>
          <w:highlight w:val="none"/>
        </w:rPr>
      </w:pPr>
      <w:r>
        <w:rPr>
          <w:rFonts w:hint="eastAsia" w:ascii="宋体" w:hAnsi="宋体"/>
          <w:bCs/>
          <w:color w:val="auto"/>
          <w:sz w:val="24"/>
          <w:highlight w:val="none"/>
        </w:rPr>
        <w:t xml:space="preserve">    6、其它：</w:t>
      </w:r>
    </w:p>
    <w:p w14:paraId="3E25D783">
      <w:pPr>
        <w:spacing w:line="360" w:lineRule="auto"/>
        <w:jc w:val="center"/>
        <w:rPr>
          <w:rFonts w:ascii="宋体" w:hAnsi="宋体"/>
          <w:b/>
          <w:color w:val="auto"/>
          <w:sz w:val="24"/>
          <w:highlight w:val="none"/>
        </w:rPr>
      </w:pPr>
    </w:p>
    <w:p w14:paraId="5FBDCFFE">
      <w:pPr>
        <w:spacing w:line="360" w:lineRule="auto"/>
        <w:jc w:val="center"/>
        <w:rPr>
          <w:rFonts w:ascii="宋体" w:hAnsi="宋体"/>
          <w:b/>
          <w:color w:val="auto"/>
          <w:sz w:val="24"/>
          <w:highlight w:val="none"/>
        </w:rPr>
      </w:pPr>
    </w:p>
    <w:p w14:paraId="7FC9A330">
      <w:pPr>
        <w:spacing w:line="360" w:lineRule="auto"/>
        <w:jc w:val="center"/>
        <w:rPr>
          <w:rFonts w:ascii="宋体" w:hAnsi="宋体"/>
          <w:b/>
          <w:color w:val="auto"/>
          <w:sz w:val="24"/>
          <w:highlight w:val="none"/>
        </w:rPr>
      </w:pPr>
    </w:p>
    <w:p w14:paraId="1CB82082">
      <w:pPr>
        <w:spacing w:line="360" w:lineRule="auto"/>
        <w:jc w:val="right"/>
        <w:rPr>
          <w:rFonts w:ascii="宋体" w:hAnsi="宋体"/>
          <w:b/>
          <w:color w:val="auto"/>
          <w:sz w:val="24"/>
          <w:highlight w:val="none"/>
        </w:rPr>
      </w:pPr>
      <w:r>
        <w:rPr>
          <w:rFonts w:hint="eastAsia" w:ascii="宋体" w:hAnsi="宋体"/>
          <w:b/>
          <w:color w:val="auto"/>
          <w:sz w:val="24"/>
          <w:highlight w:val="none"/>
        </w:rPr>
        <w:t>企业名称（盖电子签章）：________________________</w:t>
      </w:r>
    </w:p>
    <w:p w14:paraId="5D7CD696">
      <w:pPr>
        <w:spacing w:line="360" w:lineRule="auto"/>
        <w:jc w:val="right"/>
        <w:rPr>
          <w:rFonts w:hint="eastAsia" w:ascii="宋体" w:hAnsi="宋体"/>
          <w:b/>
          <w:color w:val="auto"/>
          <w:sz w:val="24"/>
          <w:highlight w:val="none"/>
        </w:rPr>
      </w:pPr>
      <w:r>
        <w:rPr>
          <w:rFonts w:hint="eastAsia" w:ascii="宋体" w:hAnsi="宋体"/>
          <w:b/>
          <w:color w:val="auto"/>
          <w:sz w:val="24"/>
          <w:highlight w:val="none"/>
        </w:rPr>
        <w:t>签字代表：________________________</w:t>
      </w:r>
    </w:p>
    <w:p w14:paraId="2485BA64">
      <w:pPr>
        <w:spacing w:line="360" w:lineRule="auto"/>
        <w:jc w:val="right"/>
        <w:rPr>
          <w:b/>
          <w:bCs/>
          <w:color w:val="auto"/>
          <w:sz w:val="36"/>
          <w:highlight w:val="none"/>
        </w:rPr>
      </w:pPr>
      <w:r>
        <w:rPr>
          <w:rFonts w:hint="eastAsia" w:hAnsi="宋体"/>
          <w:b/>
          <w:color w:val="auto"/>
          <w:sz w:val="24"/>
          <w:highlight w:val="none"/>
        </w:rPr>
        <w:t>年        月        日</w:t>
      </w:r>
    </w:p>
    <w:p w14:paraId="101B9239">
      <w:pPr>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p>
    <w:p w14:paraId="6B92CB4E">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t>规范偏离表</w:t>
      </w:r>
    </w:p>
    <w:p w14:paraId="7B184D2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招标编号：</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2101"/>
        <w:gridCol w:w="1665"/>
        <w:gridCol w:w="2190"/>
        <w:gridCol w:w="2085"/>
      </w:tblGrid>
      <w:tr w14:paraId="1FFE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01324B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2101" w:type="dxa"/>
            <w:tcBorders>
              <w:top w:val="single" w:color="auto" w:sz="4" w:space="0"/>
              <w:left w:val="single" w:color="auto" w:sz="4" w:space="0"/>
              <w:bottom w:val="single" w:color="auto" w:sz="4" w:space="0"/>
              <w:right w:val="single" w:color="auto" w:sz="4" w:space="0"/>
            </w:tcBorders>
            <w:noWrap w:val="0"/>
            <w:vAlign w:val="center"/>
          </w:tcPr>
          <w:p w14:paraId="7D6E9CA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内  容</w:t>
            </w:r>
          </w:p>
        </w:tc>
        <w:tc>
          <w:tcPr>
            <w:tcW w:w="1665" w:type="dxa"/>
            <w:tcBorders>
              <w:top w:val="single" w:color="auto" w:sz="4" w:space="0"/>
              <w:left w:val="single" w:color="auto" w:sz="4" w:space="0"/>
              <w:bottom w:val="single" w:color="auto" w:sz="4" w:space="0"/>
              <w:right w:val="single" w:color="auto" w:sz="4" w:space="0"/>
            </w:tcBorders>
            <w:noWrap w:val="0"/>
            <w:vAlign w:val="center"/>
          </w:tcPr>
          <w:p w14:paraId="73731C80">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招标文件</w:t>
            </w:r>
          </w:p>
          <w:p w14:paraId="36B71EF9">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规范要求</w:t>
            </w:r>
          </w:p>
        </w:tc>
        <w:tc>
          <w:tcPr>
            <w:tcW w:w="2190" w:type="dxa"/>
            <w:tcBorders>
              <w:top w:val="single" w:color="auto" w:sz="4" w:space="0"/>
              <w:left w:val="single" w:color="auto" w:sz="4" w:space="0"/>
              <w:bottom w:val="single" w:color="auto" w:sz="4" w:space="0"/>
              <w:right w:val="single" w:color="auto" w:sz="4" w:space="0"/>
            </w:tcBorders>
            <w:noWrap w:val="0"/>
            <w:vAlign w:val="center"/>
          </w:tcPr>
          <w:p w14:paraId="42D2F6F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投标文件</w:t>
            </w:r>
          </w:p>
          <w:p w14:paraId="4E066F7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对应规范</w:t>
            </w:r>
          </w:p>
        </w:tc>
        <w:tc>
          <w:tcPr>
            <w:tcW w:w="2085" w:type="dxa"/>
            <w:tcBorders>
              <w:top w:val="single" w:color="auto" w:sz="4" w:space="0"/>
              <w:left w:val="single" w:color="auto" w:sz="4" w:space="0"/>
              <w:bottom w:val="single" w:color="auto" w:sz="4" w:space="0"/>
              <w:right w:val="single" w:color="auto" w:sz="4" w:space="0"/>
            </w:tcBorders>
            <w:noWrap w:val="0"/>
            <w:vAlign w:val="center"/>
          </w:tcPr>
          <w:p w14:paraId="51550F9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偏离情况</w:t>
            </w:r>
          </w:p>
          <w:p w14:paraId="0425DD3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详细说明</w:t>
            </w:r>
          </w:p>
        </w:tc>
      </w:tr>
      <w:tr w14:paraId="68338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105586E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1E0D04F">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94C8F8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FD73FD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3A8EC58">
            <w:pPr>
              <w:spacing w:line="360" w:lineRule="auto"/>
              <w:rPr>
                <w:rFonts w:hint="eastAsia" w:ascii="宋体" w:hAnsi="宋体" w:eastAsia="宋体" w:cs="宋体"/>
                <w:color w:val="auto"/>
                <w:sz w:val="24"/>
                <w:highlight w:val="none"/>
              </w:rPr>
            </w:pPr>
          </w:p>
        </w:tc>
      </w:tr>
      <w:tr w14:paraId="2274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40C12A70">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DE06D4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0CC60C9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D5290D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B931D1C">
            <w:pPr>
              <w:spacing w:line="360" w:lineRule="auto"/>
              <w:rPr>
                <w:rFonts w:hint="eastAsia" w:ascii="宋体" w:hAnsi="宋体" w:eastAsia="宋体" w:cs="宋体"/>
                <w:color w:val="auto"/>
                <w:sz w:val="24"/>
                <w:highlight w:val="none"/>
              </w:rPr>
            </w:pPr>
          </w:p>
        </w:tc>
      </w:tr>
      <w:tr w14:paraId="25EC6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669ED07">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2FBB62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48C184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1386258">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F9943ED">
            <w:pPr>
              <w:spacing w:line="360" w:lineRule="auto"/>
              <w:rPr>
                <w:rFonts w:hint="eastAsia" w:ascii="宋体" w:hAnsi="宋体" w:eastAsia="宋体" w:cs="宋体"/>
                <w:color w:val="auto"/>
                <w:sz w:val="24"/>
                <w:highlight w:val="none"/>
              </w:rPr>
            </w:pPr>
          </w:p>
        </w:tc>
      </w:tr>
      <w:tr w14:paraId="6DED3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91B7EE1">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C5F4E5A">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2E85900E">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7D98839E">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2B4D7BAE">
            <w:pPr>
              <w:spacing w:line="360" w:lineRule="auto"/>
              <w:rPr>
                <w:rFonts w:hint="eastAsia" w:ascii="宋体" w:hAnsi="宋体" w:eastAsia="宋体" w:cs="宋体"/>
                <w:color w:val="auto"/>
                <w:sz w:val="24"/>
                <w:highlight w:val="none"/>
              </w:rPr>
            </w:pPr>
          </w:p>
        </w:tc>
      </w:tr>
      <w:tr w14:paraId="65F6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51083EA">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7AC0FD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36063B8">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EFB817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A6E8BA2">
            <w:pPr>
              <w:spacing w:line="360" w:lineRule="auto"/>
              <w:rPr>
                <w:rFonts w:hint="eastAsia" w:ascii="宋体" w:hAnsi="宋体" w:eastAsia="宋体" w:cs="宋体"/>
                <w:color w:val="auto"/>
                <w:sz w:val="24"/>
                <w:highlight w:val="none"/>
              </w:rPr>
            </w:pPr>
          </w:p>
        </w:tc>
      </w:tr>
      <w:tr w14:paraId="5FDD9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E53AA44">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F227A4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539AD20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4690BE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7904A7A4">
            <w:pPr>
              <w:spacing w:line="360" w:lineRule="auto"/>
              <w:rPr>
                <w:rFonts w:hint="eastAsia" w:ascii="宋体" w:hAnsi="宋体" w:eastAsia="宋体" w:cs="宋体"/>
                <w:color w:val="auto"/>
                <w:sz w:val="24"/>
                <w:highlight w:val="none"/>
              </w:rPr>
            </w:pPr>
          </w:p>
        </w:tc>
      </w:tr>
      <w:tr w14:paraId="3FF31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2F895A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13CB8BB1">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D497D2A">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236D3C2">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0775699">
            <w:pPr>
              <w:spacing w:line="360" w:lineRule="auto"/>
              <w:rPr>
                <w:rFonts w:hint="eastAsia" w:ascii="宋体" w:hAnsi="宋体" w:eastAsia="宋体" w:cs="宋体"/>
                <w:color w:val="auto"/>
                <w:sz w:val="24"/>
                <w:highlight w:val="none"/>
              </w:rPr>
            </w:pPr>
          </w:p>
        </w:tc>
      </w:tr>
      <w:tr w14:paraId="5A98B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680C34E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9371FB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30FC8B5">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2BB39DD">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3D7D81F">
            <w:pPr>
              <w:spacing w:line="360" w:lineRule="auto"/>
              <w:rPr>
                <w:rFonts w:hint="eastAsia" w:ascii="宋体" w:hAnsi="宋体" w:eastAsia="宋体" w:cs="宋体"/>
                <w:color w:val="auto"/>
                <w:sz w:val="24"/>
                <w:highlight w:val="none"/>
              </w:rPr>
            </w:pPr>
          </w:p>
        </w:tc>
      </w:tr>
      <w:tr w14:paraId="48AFE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0B28CEE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6B2EF37">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882999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58BC2307">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5D7CA442">
            <w:pPr>
              <w:spacing w:line="360" w:lineRule="auto"/>
              <w:rPr>
                <w:rFonts w:hint="eastAsia" w:ascii="宋体" w:hAnsi="宋体" w:eastAsia="宋体" w:cs="宋体"/>
                <w:color w:val="auto"/>
                <w:sz w:val="24"/>
                <w:highlight w:val="none"/>
              </w:rPr>
            </w:pPr>
          </w:p>
        </w:tc>
      </w:tr>
      <w:tr w14:paraId="36562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top"/>
          </w:tcPr>
          <w:p w14:paraId="792808F3">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133E343">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EFD6757">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047CBFD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23C4CE6">
            <w:pPr>
              <w:spacing w:line="360" w:lineRule="auto"/>
              <w:rPr>
                <w:rFonts w:hint="eastAsia" w:ascii="宋体" w:hAnsi="宋体" w:eastAsia="宋体" w:cs="宋体"/>
                <w:color w:val="auto"/>
                <w:sz w:val="24"/>
                <w:highlight w:val="none"/>
              </w:rPr>
            </w:pPr>
          </w:p>
        </w:tc>
      </w:tr>
      <w:tr w14:paraId="19437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174676F6">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4CA81CA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78F18B19">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1E9339F1">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6E9B638E">
            <w:pPr>
              <w:spacing w:line="360" w:lineRule="auto"/>
              <w:rPr>
                <w:rFonts w:hint="eastAsia" w:ascii="宋体" w:hAnsi="宋体" w:eastAsia="宋体" w:cs="宋体"/>
                <w:color w:val="auto"/>
                <w:sz w:val="24"/>
                <w:highlight w:val="none"/>
              </w:rPr>
            </w:pPr>
          </w:p>
        </w:tc>
      </w:tr>
      <w:tr w14:paraId="1C6D2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705807DD">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30F9F220">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1ADF11CB">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49CD956C">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3149C0B3">
            <w:pPr>
              <w:spacing w:line="360" w:lineRule="auto"/>
              <w:rPr>
                <w:rFonts w:hint="eastAsia" w:ascii="宋体" w:hAnsi="宋体" w:eastAsia="宋体" w:cs="宋体"/>
                <w:color w:val="auto"/>
                <w:sz w:val="24"/>
                <w:highlight w:val="none"/>
              </w:rPr>
            </w:pPr>
          </w:p>
        </w:tc>
      </w:tr>
      <w:tr w14:paraId="33015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5A0050F8">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09D5EB45">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3629657B">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3C45F965">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0C96815C">
            <w:pPr>
              <w:spacing w:line="360" w:lineRule="auto"/>
              <w:rPr>
                <w:rFonts w:hint="eastAsia" w:ascii="宋体" w:hAnsi="宋体" w:eastAsia="宋体" w:cs="宋体"/>
                <w:color w:val="auto"/>
                <w:sz w:val="24"/>
                <w:highlight w:val="none"/>
              </w:rPr>
            </w:pPr>
          </w:p>
        </w:tc>
      </w:tr>
      <w:tr w14:paraId="2B26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 w:hRule="atLeast"/>
          <w:jc w:val="center"/>
        </w:trPr>
        <w:tc>
          <w:tcPr>
            <w:tcW w:w="1064" w:type="dxa"/>
            <w:tcBorders>
              <w:top w:val="single" w:color="auto" w:sz="4" w:space="0"/>
              <w:left w:val="single" w:color="auto" w:sz="4" w:space="0"/>
              <w:bottom w:val="single" w:color="auto" w:sz="4" w:space="0"/>
              <w:right w:val="single" w:color="auto" w:sz="4" w:space="0"/>
            </w:tcBorders>
            <w:noWrap w:val="0"/>
            <w:vAlign w:val="center"/>
          </w:tcPr>
          <w:p w14:paraId="3DD1A6EE">
            <w:pPr>
              <w:spacing w:line="360" w:lineRule="auto"/>
              <w:rPr>
                <w:rFonts w:hint="eastAsia" w:ascii="宋体" w:hAnsi="宋体" w:eastAsia="宋体" w:cs="宋体"/>
                <w:color w:val="auto"/>
                <w:sz w:val="24"/>
                <w:highlight w:val="none"/>
              </w:rPr>
            </w:pPr>
          </w:p>
        </w:tc>
        <w:tc>
          <w:tcPr>
            <w:tcW w:w="2101" w:type="dxa"/>
            <w:tcBorders>
              <w:top w:val="single" w:color="auto" w:sz="4" w:space="0"/>
              <w:left w:val="single" w:color="auto" w:sz="4" w:space="0"/>
              <w:bottom w:val="single" w:color="auto" w:sz="4" w:space="0"/>
              <w:right w:val="single" w:color="auto" w:sz="4" w:space="0"/>
            </w:tcBorders>
            <w:noWrap w:val="0"/>
            <w:vAlign w:val="top"/>
          </w:tcPr>
          <w:p w14:paraId="51F77646">
            <w:pPr>
              <w:spacing w:line="360" w:lineRule="auto"/>
              <w:rPr>
                <w:rFonts w:hint="eastAsia" w:ascii="宋体" w:hAnsi="宋体" w:eastAsia="宋体" w:cs="宋体"/>
                <w:color w:val="auto"/>
                <w:sz w:val="24"/>
                <w:highlight w:val="none"/>
              </w:rPr>
            </w:pPr>
          </w:p>
        </w:tc>
        <w:tc>
          <w:tcPr>
            <w:tcW w:w="1665" w:type="dxa"/>
            <w:tcBorders>
              <w:top w:val="single" w:color="auto" w:sz="4" w:space="0"/>
              <w:left w:val="single" w:color="auto" w:sz="4" w:space="0"/>
              <w:bottom w:val="single" w:color="auto" w:sz="4" w:space="0"/>
              <w:right w:val="single" w:color="auto" w:sz="4" w:space="0"/>
            </w:tcBorders>
            <w:noWrap w:val="0"/>
            <w:vAlign w:val="top"/>
          </w:tcPr>
          <w:p w14:paraId="648D2A6F">
            <w:pPr>
              <w:spacing w:line="360" w:lineRule="auto"/>
              <w:rPr>
                <w:rFonts w:hint="eastAsia" w:ascii="宋体" w:hAnsi="宋体" w:eastAsia="宋体" w:cs="宋体"/>
                <w:color w:val="auto"/>
                <w:sz w:val="24"/>
                <w:highlight w:val="none"/>
              </w:rPr>
            </w:pPr>
          </w:p>
        </w:tc>
        <w:tc>
          <w:tcPr>
            <w:tcW w:w="2190" w:type="dxa"/>
            <w:tcBorders>
              <w:top w:val="single" w:color="auto" w:sz="4" w:space="0"/>
              <w:left w:val="single" w:color="auto" w:sz="4" w:space="0"/>
              <w:bottom w:val="single" w:color="auto" w:sz="4" w:space="0"/>
              <w:right w:val="single" w:color="auto" w:sz="4" w:space="0"/>
            </w:tcBorders>
            <w:noWrap w:val="0"/>
            <w:vAlign w:val="top"/>
          </w:tcPr>
          <w:p w14:paraId="60027196">
            <w:pPr>
              <w:spacing w:line="360" w:lineRule="auto"/>
              <w:rPr>
                <w:rFonts w:hint="eastAsia" w:ascii="宋体" w:hAnsi="宋体" w:eastAsia="宋体" w:cs="宋体"/>
                <w:color w:val="auto"/>
                <w:sz w:val="24"/>
                <w:highlight w:val="none"/>
              </w:rPr>
            </w:pPr>
          </w:p>
        </w:tc>
        <w:tc>
          <w:tcPr>
            <w:tcW w:w="2085" w:type="dxa"/>
            <w:tcBorders>
              <w:top w:val="single" w:color="auto" w:sz="4" w:space="0"/>
              <w:left w:val="single" w:color="auto" w:sz="4" w:space="0"/>
              <w:bottom w:val="single" w:color="auto" w:sz="4" w:space="0"/>
              <w:right w:val="single" w:color="auto" w:sz="4" w:space="0"/>
            </w:tcBorders>
            <w:noWrap w:val="0"/>
            <w:vAlign w:val="top"/>
          </w:tcPr>
          <w:p w14:paraId="426C2E66">
            <w:pPr>
              <w:spacing w:line="360" w:lineRule="auto"/>
              <w:rPr>
                <w:rFonts w:hint="eastAsia" w:ascii="宋体" w:hAnsi="宋体" w:eastAsia="宋体" w:cs="宋体"/>
                <w:color w:val="auto"/>
                <w:sz w:val="24"/>
                <w:highlight w:val="none"/>
              </w:rPr>
            </w:pPr>
          </w:p>
        </w:tc>
      </w:tr>
    </w:tbl>
    <w:p w14:paraId="72C217B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投标人名称（盖电子签章）：                      </w:t>
      </w:r>
    </w:p>
    <w:p w14:paraId="4E3EA049">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法定代表人（或负责人）或其授权的委托代理人签字：                   </w:t>
      </w:r>
    </w:p>
    <w:p w14:paraId="5555ADB7">
      <w:pPr>
        <w:spacing w:line="360" w:lineRule="auto"/>
        <w:rPr>
          <w:rFonts w:hint="eastAsia" w:ascii="宋体" w:hAnsi="宋体" w:cs="宋体"/>
          <w:color w:val="auto"/>
          <w:sz w:val="24"/>
          <w:highlight w:val="none"/>
        </w:rPr>
      </w:pPr>
      <w:r>
        <w:rPr>
          <w:rFonts w:hint="eastAsia" w:ascii="宋体" w:hAnsi="宋体" w:cs="宋体"/>
          <w:color w:val="auto"/>
          <w:sz w:val="24"/>
          <w:highlight w:val="none"/>
        </w:rPr>
        <w:t>日 期：      年    月      日</w:t>
      </w:r>
    </w:p>
    <w:p w14:paraId="3608C740">
      <w:pPr>
        <w:spacing w:line="360" w:lineRule="auto"/>
        <w:rPr>
          <w:rFonts w:hint="eastAsia" w:ascii="宋体" w:hAnsi="宋体" w:cs="宋体"/>
          <w:color w:val="auto"/>
          <w:sz w:val="24"/>
          <w:highlight w:val="none"/>
        </w:rPr>
      </w:pPr>
    </w:p>
    <w:p w14:paraId="3622AC5F">
      <w:pPr>
        <w:spacing w:line="360" w:lineRule="auto"/>
        <w:rPr>
          <w:rFonts w:hint="eastAsia" w:ascii="宋体" w:hAnsi="宋体" w:cs="宋体"/>
          <w:color w:val="auto"/>
          <w:sz w:val="24"/>
          <w:highlight w:val="none"/>
        </w:rPr>
      </w:pPr>
      <w:r>
        <w:rPr>
          <w:rFonts w:hint="eastAsia" w:ascii="宋体" w:hAnsi="宋体" w:cs="宋体"/>
          <w:color w:val="auto"/>
          <w:sz w:val="24"/>
          <w:highlight w:val="none"/>
        </w:rPr>
        <w:t>备注：1.投标方应仔细对第三章招标货物清单及项目要求进行逐条分析，对于投标内容与招标文件内容有不一致的条款，则须在上表中列明并详细填写。</w:t>
      </w:r>
    </w:p>
    <w:p w14:paraId="3CA1DB4C">
      <w:pPr>
        <w:spacing w:line="360" w:lineRule="auto"/>
        <w:rPr>
          <w:rFonts w:hint="eastAsia" w:ascii="宋体" w:hAnsi="宋体" w:cs="宋体"/>
          <w:color w:val="auto"/>
          <w:sz w:val="24"/>
          <w:highlight w:val="none"/>
        </w:rPr>
      </w:pPr>
      <w:r>
        <w:rPr>
          <w:rFonts w:hint="eastAsia" w:ascii="宋体" w:hAnsi="宋体" w:cs="宋体"/>
          <w:color w:val="auto"/>
          <w:sz w:val="24"/>
          <w:highlight w:val="none"/>
        </w:rPr>
        <w:t>2.如招标文件内容与投标文件内容都一致的，则本表可以在相关的签字、盖章后，不需要填写其他内容或在“偏离情况详细说明”栏内只填写一个无字。</w:t>
      </w:r>
    </w:p>
    <w:p w14:paraId="01986156">
      <w:pPr>
        <w:spacing w:line="360" w:lineRule="auto"/>
        <w:rPr>
          <w:rFonts w:hint="eastAsia" w:ascii="宋体" w:hAnsi="宋体" w:cs="宋体"/>
          <w:color w:val="auto"/>
          <w:sz w:val="24"/>
          <w:highlight w:val="none"/>
        </w:rPr>
      </w:pPr>
      <w:r>
        <w:rPr>
          <w:rFonts w:hint="eastAsia" w:ascii="宋体" w:hAnsi="宋体" w:cs="宋体"/>
          <w:color w:val="auto"/>
          <w:sz w:val="24"/>
          <w:highlight w:val="none"/>
        </w:rPr>
        <w:t>3.此表在不改变表式内容的情况下可自行制作</w:t>
      </w:r>
    </w:p>
    <w:p w14:paraId="24E11078">
      <w:pPr>
        <w:pStyle w:val="18"/>
        <w:spacing w:line="360" w:lineRule="auto"/>
        <w:jc w:val="right"/>
        <w:rPr>
          <w:rFonts w:hint="eastAsia" w:hAnsi="宋体"/>
          <w:b/>
          <w:color w:val="auto"/>
          <w:sz w:val="24"/>
          <w:highlight w:val="none"/>
        </w:rPr>
      </w:pPr>
    </w:p>
    <w:p w14:paraId="4EDADE5E">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开标一览表</w:t>
      </w:r>
    </w:p>
    <w:p w14:paraId="5005102D">
      <w:pPr>
        <w:rPr>
          <w:rFonts w:hint="eastAsia" w:ascii="宋体" w:hAnsi="宋体" w:cs="宋体"/>
          <w:color w:val="auto"/>
          <w:szCs w:val="21"/>
          <w:highlight w:val="none"/>
          <w:u w:val="single"/>
        </w:rPr>
      </w:pPr>
      <w:r>
        <w:rPr>
          <w:rFonts w:hint="eastAsia" w:ascii="仿宋_GB2312" w:eastAsia="仿宋_GB2312"/>
          <w:color w:val="auto"/>
          <w:sz w:val="24"/>
          <w:highlight w:val="none"/>
        </w:rPr>
        <w:t xml:space="preserve">                                          </w:t>
      </w:r>
    </w:p>
    <w:p w14:paraId="63327820">
      <w:pPr>
        <w:spacing w:line="480" w:lineRule="exact"/>
        <w:ind w:firstLine="210" w:firstLineChars="100"/>
        <w:rPr>
          <w:rFonts w:ascii="宋体" w:hAnsi="宋体"/>
          <w:color w:val="auto"/>
          <w:szCs w:val="21"/>
          <w:highlight w:val="none"/>
        </w:rPr>
      </w:pPr>
      <w:r>
        <w:rPr>
          <w:rFonts w:hint="eastAsia" w:ascii="宋体" w:hAnsi="宋体"/>
          <w:color w:val="auto"/>
          <w:szCs w:val="21"/>
          <w:highlight w:val="none"/>
        </w:rPr>
        <w:t>投标人名称（电子签章）：</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p w14:paraId="5BBBFCDE">
      <w:pPr>
        <w:spacing w:line="480" w:lineRule="exact"/>
        <w:ind w:firstLine="210" w:firstLineChars="100"/>
        <w:rPr>
          <w:rFonts w:ascii="宋体" w:hAnsi="宋体"/>
          <w:color w:val="auto"/>
          <w:szCs w:val="21"/>
          <w:highlight w:val="none"/>
          <w:u w:val="single"/>
        </w:rPr>
      </w:pPr>
      <w:r>
        <w:rPr>
          <w:rFonts w:hint="eastAsia" w:ascii="宋体" w:hAnsi="宋体"/>
          <w:color w:val="auto"/>
          <w:szCs w:val="21"/>
          <w:highlight w:val="none"/>
        </w:rPr>
        <w:t>招标编号：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tbl>
      <w:tblPr>
        <w:tblStyle w:val="3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9"/>
        <w:gridCol w:w="1829"/>
        <w:gridCol w:w="2438"/>
        <w:gridCol w:w="1365"/>
        <w:gridCol w:w="1515"/>
        <w:gridCol w:w="1518"/>
      </w:tblGrid>
      <w:tr w14:paraId="09DEC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228D8E5">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829" w:type="dxa"/>
            <w:noWrap w:val="0"/>
            <w:vAlign w:val="center"/>
          </w:tcPr>
          <w:p w14:paraId="2DEB6822">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名称</w:t>
            </w:r>
          </w:p>
        </w:tc>
        <w:tc>
          <w:tcPr>
            <w:tcW w:w="2438" w:type="dxa"/>
            <w:noWrap w:val="0"/>
            <w:vAlign w:val="center"/>
          </w:tcPr>
          <w:p w14:paraId="4F4A2249">
            <w:pPr>
              <w:spacing w:line="480" w:lineRule="exact"/>
              <w:jc w:val="center"/>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品牌及规格型号</w:t>
            </w:r>
          </w:p>
        </w:tc>
        <w:tc>
          <w:tcPr>
            <w:tcW w:w="1365" w:type="dxa"/>
            <w:noWrap w:val="0"/>
            <w:vAlign w:val="center"/>
          </w:tcPr>
          <w:p w14:paraId="6C9A7149">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515" w:type="dxa"/>
            <w:noWrap w:val="0"/>
            <w:vAlign w:val="center"/>
          </w:tcPr>
          <w:p w14:paraId="03FC53C6">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单价（元）</w:t>
            </w:r>
          </w:p>
        </w:tc>
        <w:tc>
          <w:tcPr>
            <w:tcW w:w="1518" w:type="dxa"/>
            <w:noWrap w:val="0"/>
            <w:vAlign w:val="center"/>
          </w:tcPr>
          <w:p w14:paraId="04162B7D">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总价（元）</w:t>
            </w:r>
          </w:p>
        </w:tc>
      </w:tr>
      <w:tr w14:paraId="24FD4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27A6FC3E">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1</w:t>
            </w:r>
          </w:p>
        </w:tc>
        <w:tc>
          <w:tcPr>
            <w:tcW w:w="1829" w:type="dxa"/>
            <w:noWrap w:val="0"/>
            <w:vAlign w:val="center"/>
          </w:tcPr>
          <w:p w14:paraId="57D421FE">
            <w:pPr>
              <w:jc w:val="left"/>
              <w:rPr>
                <w:rFonts w:hint="eastAsia" w:ascii="宋体" w:hAnsi="宋体" w:cs="宋体"/>
                <w:color w:val="auto"/>
                <w:szCs w:val="21"/>
                <w:highlight w:val="none"/>
              </w:rPr>
            </w:pPr>
          </w:p>
        </w:tc>
        <w:tc>
          <w:tcPr>
            <w:tcW w:w="2438" w:type="dxa"/>
            <w:noWrap w:val="0"/>
            <w:vAlign w:val="center"/>
          </w:tcPr>
          <w:p w14:paraId="1B45E862">
            <w:pPr>
              <w:jc w:val="left"/>
              <w:rPr>
                <w:rFonts w:hint="eastAsia" w:ascii="宋体" w:hAnsi="宋体" w:cs="宋体"/>
                <w:color w:val="auto"/>
                <w:szCs w:val="21"/>
                <w:highlight w:val="none"/>
              </w:rPr>
            </w:pPr>
          </w:p>
        </w:tc>
        <w:tc>
          <w:tcPr>
            <w:tcW w:w="1365" w:type="dxa"/>
            <w:noWrap w:val="0"/>
            <w:vAlign w:val="center"/>
          </w:tcPr>
          <w:p w14:paraId="571B0CE7">
            <w:pPr>
              <w:spacing w:line="480" w:lineRule="exact"/>
              <w:jc w:val="center"/>
              <w:rPr>
                <w:rFonts w:hint="eastAsia" w:ascii="宋体" w:hAnsi="宋体" w:cs="宋体"/>
                <w:color w:val="auto"/>
                <w:szCs w:val="21"/>
                <w:highlight w:val="none"/>
              </w:rPr>
            </w:pPr>
          </w:p>
        </w:tc>
        <w:tc>
          <w:tcPr>
            <w:tcW w:w="1515" w:type="dxa"/>
            <w:noWrap w:val="0"/>
            <w:vAlign w:val="center"/>
          </w:tcPr>
          <w:p w14:paraId="66825D9F">
            <w:pPr>
              <w:spacing w:line="480" w:lineRule="exact"/>
              <w:jc w:val="center"/>
              <w:rPr>
                <w:rFonts w:hint="eastAsia" w:ascii="宋体" w:hAnsi="宋体" w:cs="宋体"/>
                <w:color w:val="auto"/>
                <w:szCs w:val="21"/>
                <w:highlight w:val="none"/>
              </w:rPr>
            </w:pPr>
          </w:p>
        </w:tc>
        <w:tc>
          <w:tcPr>
            <w:tcW w:w="1518" w:type="dxa"/>
            <w:noWrap w:val="0"/>
            <w:vAlign w:val="center"/>
          </w:tcPr>
          <w:p w14:paraId="6B853CE9">
            <w:pPr>
              <w:spacing w:line="480" w:lineRule="exact"/>
              <w:jc w:val="center"/>
              <w:rPr>
                <w:rFonts w:hint="eastAsia" w:ascii="宋体" w:hAnsi="宋体" w:cs="宋体"/>
                <w:color w:val="auto"/>
                <w:szCs w:val="21"/>
                <w:highlight w:val="none"/>
              </w:rPr>
            </w:pPr>
          </w:p>
        </w:tc>
      </w:tr>
      <w:tr w14:paraId="5F8AF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05C0F215">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2</w:t>
            </w:r>
          </w:p>
        </w:tc>
        <w:tc>
          <w:tcPr>
            <w:tcW w:w="1829" w:type="dxa"/>
            <w:noWrap w:val="0"/>
            <w:vAlign w:val="center"/>
          </w:tcPr>
          <w:p w14:paraId="77C2F1B1">
            <w:pPr>
              <w:jc w:val="left"/>
              <w:rPr>
                <w:rFonts w:hint="eastAsia" w:ascii="宋体" w:hAnsi="宋体" w:cs="宋体"/>
                <w:color w:val="auto"/>
                <w:szCs w:val="21"/>
                <w:highlight w:val="none"/>
              </w:rPr>
            </w:pPr>
          </w:p>
        </w:tc>
        <w:tc>
          <w:tcPr>
            <w:tcW w:w="2438" w:type="dxa"/>
            <w:noWrap w:val="0"/>
            <w:vAlign w:val="center"/>
          </w:tcPr>
          <w:p w14:paraId="452D3D18">
            <w:pPr>
              <w:jc w:val="left"/>
              <w:rPr>
                <w:rFonts w:hint="eastAsia" w:ascii="宋体" w:hAnsi="宋体" w:cs="宋体"/>
                <w:color w:val="auto"/>
                <w:szCs w:val="21"/>
                <w:highlight w:val="none"/>
              </w:rPr>
            </w:pPr>
          </w:p>
        </w:tc>
        <w:tc>
          <w:tcPr>
            <w:tcW w:w="1365" w:type="dxa"/>
            <w:noWrap w:val="0"/>
            <w:vAlign w:val="center"/>
          </w:tcPr>
          <w:p w14:paraId="67BFB31E">
            <w:pPr>
              <w:spacing w:line="480" w:lineRule="exact"/>
              <w:jc w:val="center"/>
              <w:rPr>
                <w:rFonts w:hint="eastAsia" w:ascii="宋体" w:hAnsi="宋体" w:cs="宋体"/>
                <w:color w:val="auto"/>
                <w:szCs w:val="21"/>
                <w:highlight w:val="none"/>
              </w:rPr>
            </w:pPr>
          </w:p>
        </w:tc>
        <w:tc>
          <w:tcPr>
            <w:tcW w:w="1515" w:type="dxa"/>
            <w:noWrap w:val="0"/>
            <w:vAlign w:val="center"/>
          </w:tcPr>
          <w:p w14:paraId="45C4FB71">
            <w:pPr>
              <w:spacing w:line="480" w:lineRule="exact"/>
              <w:jc w:val="center"/>
              <w:rPr>
                <w:rFonts w:hint="eastAsia" w:ascii="宋体" w:hAnsi="宋体" w:cs="宋体"/>
                <w:color w:val="auto"/>
                <w:szCs w:val="21"/>
                <w:highlight w:val="none"/>
              </w:rPr>
            </w:pPr>
          </w:p>
        </w:tc>
        <w:tc>
          <w:tcPr>
            <w:tcW w:w="1518" w:type="dxa"/>
            <w:noWrap w:val="0"/>
            <w:vAlign w:val="center"/>
          </w:tcPr>
          <w:p w14:paraId="5C1AAEA6">
            <w:pPr>
              <w:spacing w:line="480" w:lineRule="exact"/>
              <w:jc w:val="center"/>
              <w:rPr>
                <w:rFonts w:hint="eastAsia" w:ascii="宋体" w:hAnsi="宋体" w:cs="宋体"/>
                <w:color w:val="auto"/>
                <w:szCs w:val="21"/>
                <w:highlight w:val="none"/>
              </w:rPr>
            </w:pPr>
          </w:p>
        </w:tc>
      </w:tr>
      <w:tr w14:paraId="0225C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01558FCE">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3</w:t>
            </w:r>
          </w:p>
        </w:tc>
        <w:tc>
          <w:tcPr>
            <w:tcW w:w="1829" w:type="dxa"/>
            <w:noWrap w:val="0"/>
            <w:vAlign w:val="center"/>
          </w:tcPr>
          <w:p w14:paraId="6ADE8042">
            <w:pPr>
              <w:jc w:val="left"/>
              <w:rPr>
                <w:rFonts w:hint="eastAsia" w:ascii="宋体" w:hAnsi="宋体" w:cs="宋体"/>
                <w:color w:val="auto"/>
                <w:szCs w:val="21"/>
                <w:highlight w:val="none"/>
              </w:rPr>
            </w:pPr>
          </w:p>
        </w:tc>
        <w:tc>
          <w:tcPr>
            <w:tcW w:w="2438" w:type="dxa"/>
            <w:noWrap w:val="0"/>
            <w:vAlign w:val="center"/>
          </w:tcPr>
          <w:p w14:paraId="2F4737DA">
            <w:pPr>
              <w:jc w:val="left"/>
              <w:rPr>
                <w:rFonts w:hint="eastAsia" w:ascii="宋体" w:hAnsi="宋体" w:cs="宋体"/>
                <w:color w:val="auto"/>
                <w:szCs w:val="21"/>
                <w:highlight w:val="none"/>
              </w:rPr>
            </w:pPr>
          </w:p>
        </w:tc>
        <w:tc>
          <w:tcPr>
            <w:tcW w:w="1365" w:type="dxa"/>
            <w:noWrap w:val="0"/>
            <w:vAlign w:val="center"/>
          </w:tcPr>
          <w:p w14:paraId="3C380920">
            <w:pPr>
              <w:spacing w:line="480" w:lineRule="exact"/>
              <w:jc w:val="center"/>
              <w:rPr>
                <w:rFonts w:hint="eastAsia" w:ascii="宋体" w:hAnsi="宋体" w:cs="宋体"/>
                <w:color w:val="auto"/>
                <w:szCs w:val="21"/>
                <w:highlight w:val="none"/>
              </w:rPr>
            </w:pPr>
          </w:p>
        </w:tc>
        <w:tc>
          <w:tcPr>
            <w:tcW w:w="1515" w:type="dxa"/>
            <w:noWrap w:val="0"/>
            <w:vAlign w:val="center"/>
          </w:tcPr>
          <w:p w14:paraId="65160AF9">
            <w:pPr>
              <w:spacing w:line="480" w:lineRule="exact"/>
              <w:jc w:val="center"/>
              <w:rPr>
                <w:rFonts w:hint="eastAsia" w:ascii="宋体" w:hAnsi="宋体" w:cs="宋体"/>
                <w:color w:val="auto"/>
                <w:szCs w:val="21"/>
                <w:highlight w:val="none"/>
              </w:rPr>
            </w:pPr>
          </w:p>
        </w:tc>
        <w:tc>
          <w:tcPr>
            <w:tcW w:w="1518" w:type="dxa"/>
            <w:noWrap w:val="0"/>
            <w:vAlign w:val="center"/>
          </w:tcPr>
          <w:p w14:paraId="42196427">
            <w:pPr>
              <w:spacing w:line="480" w:lineRule="exact"/>
              <w:jc w:val="center"/>
              <w:rPr>
                <w:rFonts w:hint="eastAsia" w:ascii="宋体" w:hAnsi="宋体" w:cs="宋体"/>
                <w:color w:val="auto"/>
                <w:szCs w:val="21"/>
                <w:highlight w:val="none"/>
              </w:rPr>
            </w:pPr>
          </w:p>
        </w:tc>
      </w:tr>
      <w:tr w14:paraId="24C8E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156459BD">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4</w:t>
            </w:r>
          </w:p>
        </w:tc>
        <w:tc>
          <w:tcPr>
            <w:tcW w:w="1829" w:type="dxa"/>
            <w:noWrap w:val="0"/>
            <w:vAlign w:val="center"/>
          </w:tcPr>
          <w:p w14:paraId="74F7136D">
            <w:pPr>
              <w:jc w:val="left"/>
              <w:rPr>
                <w:rFonts w:hint="eastAsia" w:ascii="宋体" w:hAnsi="宋体" w:cs="宋体"/>
                <w:color w:val="auto"/>
                <w:szCs w:val="21"/>
                <w:highlight w:val="none"/>
              </w:rPr>
            </w:pPr>
          </w:p>
        </w:tc>
        <w:tc>
          <w:tcPr>
            <w:tcW w:w="2438" w:type="dxa"/>
            <w:noWrap w:val="0"/>
            <w:vAlign w:val="center"/>
          </w:tcPr>
          <w:p w14:paraId="2E4A7E61">
            <w:pPr>
              <w:jc w:val="left"/>
              <w:rPr>
                <w:rFonts w:hint="eastAsia" w:ascii="宋体" w:hAnsi="宋体" w:cs="宋体"/>
                <w:color w:val="auto"/>
                <w:szCs w:val="21"/>
                <w:highlight w:val="none"/>
              </w:rPr>
            </w:pPr>
          </w:p>
        </w:tc>
        <w:tc>
          <w:tcPr>
            <w:tcW w:w="1365" w:type="dxa"/>
            <w:noWrap w:val="0"/>
            <w:vAlign w:val="center"/>
          </w:tcPr>
          <w:p w14:paraId="1322B210">
            <w:pPr>
              <w:spacing w:line="480" w:lineRule="exact"/>
              <w:jc w:val="center"/>
              <w:rPr>
                <w:rFonts w:hint="eastAsia" w:ascii="宋体" w:hAnsi="宋体" w:cs="宋体"/>
                <w:color w:val="auto"/>
                <w:szCs w:val="21"/>
                <w:highlight w:val="none"/>
              </w:rPr>
            </w:pPr>
          </w:p>
        </w:tc>
        <w:tc>
          <w:tcPr>
            <w:tcW w:w="1515" w:type="dxa"/>
            <w:noWrap w:val="0"/>
            <w:vAlign w:val="center"/>
          </w:tcPr>
          <w:p w14:paraId="2C0DA3B1">
            <w:pPr>
              <w:spacing w:line="480" w:lineRule="exact"/>
              <w:jc w:val="center"/>
              <w:rPr>
                <w:rFonts w:hint="eastAsia" w:ascii="宋体" w:hAnsi="宋体" w:cs="宋体"/>
                <w:color w:val="auto"/>
                <w:szCs w:val="21"/>
                <w:highlight w:val="none"/>
              </w:rPr>
            </w:pPr>
          </w:p>
        </w:tc>
        <w:tc>
          <w:tcPr>
            <w:tcW w:w="1518" w:type="dxa"/>
            <w:noWrap w:val="0"/>
            <w:vAlign w:val="center"/>
          </w:tcPr>
          <w:p w14:paraId="72A18164">
            <w:pPr>
              <w:spacing w:line="480" w:lineRule="exact"/>
              <w:jc w:val="center"/>
              <w:rPr>
                <w:rFonts w:hint="eastAsia" w:ascii="宋体" w:hAnsi="宋体" w:cs="宋体"/>
                <w:color w:val="auto"/>
                <w:szCs w:val="21"/>
                <w:highlight w:val="none"/>
              </w:rPr>
            </w:pPr>
          </w:p>
        </w:tc>
      </w:tr>
      <w:tr w14:paraId="4316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07C621A3">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5</w:t>
            </w:r>
          </w:p>
        </w:tc>
        <w:tc>
          <w:tcPr>
            <w:tcW w:w="1829" w:type="dxa"/>
            <w:noWrap w:val="0"/>
            <w:vAlign w:val="center"/>
          </w:tcPr>
          <w:p w14:paraId="6F35735C">
            <w:pPr>
              <w:jc w:val="left"/>
              <w:rPr>
                <w:rFonts w:hint="eastAsia" w:ascii="宋体" w:hAnsi="宋体" w:cs="宋体"/>
                <w:color w:val="auto"/>
                <w:szCs w:val="21"/>
                <w:highlight w:val="none"/>
              </w:rPr>
            </w:pPr>
          </w:p>
        </w:tc>
        <w:tc>
          <w:tcPr>
            <w:tcW w:w="2438" w:type="dxa"/>
            <w:noWrap w:val="0"/>
            <w:vAlign w:val="center"/>
          </w:tcPr>
          <w:p w14:paraId="1210A498">
            <w:pPr>
              <w:jc w:val="left"/>
              <w:rPr>
                <w:rFonts w:hint="eastAsia" w:ascii="宋体" w:hAnsi="宋体" w:cs="宋体"/>
                <w:color w:val="auto"/>
                <w:szCs w:val="21"/>
                <w:highlight w:val="none"/>
              </w:rPr>
            </w:pPr>
          </w:p>
        </w:tc>
        <w:tc>
          <w:tcPr>
            <w:tcW w:w="1365" w:type="dxa"/>
            <w:noWrap w:val="0"/>
            <w:vAlign w:val="center"/>
          </w:tcPr>
          <w:p w14:paraId="52DA24ED">
            <w:pPr>
              <w:spacing w:line="480" w:lineRule="exact"/>
              <w:jc w:val="center"/>
              <w:rPr>
                <w:rFonts w:hint="eastAsia" w:ascii="宋体" w:hAnsi="宋体" w:cs="宋体"/>
                <w:color w:val="auto"/>
                <w:szCs w:val="21"/>
                <w:highlight w:val="none"/>
              </w:rPr>
            </w:pPr>
          </w:p>
        </w:tc>
        <w:tc>
          <w:tcPr>
            <w:tcW w:w="1515" w:type="dxa"/>
            <w:noWrap w:val="0"/>
            <w:vAlign w:val="center"/>
          </w:tcPr>
          <w:p w14:paraId="0081BEA9">
            <w:pPr>
              <w:spacing w:line="480" w:lineRule="exact"/>
              <w:jc w:val="center"/>
              <w:rPr>
                <w:rFonts w:hint="eastAsia" w:ascii="宋体" w:hAnsi="宋体" w:cs="宋体"/>
                <w:color w:val="auto"/>
                <w:szCs w:val="21"/>
                <w:highlight w:val="none"/>
              </w:rPr>
            </w:pPr>
          </w:p>
        </w:tc>
        <w:tc>
          <w:tcPr>
            <w:tcW w:w="1518" w:type="dxa"/>
            <w:noWrap w:val="0"/>
            <w:vAlign w:val="center"/>
          </w:tcPr>
          <w:p w14:paraId="1C346C1F">
            <w:pPr>
              <w:spacing w:line="480" w:lineRule="exact"/>
              <w:jc w:val="center"/>
              <w:rPr>
                <w:rFonts w:hint="eastAsia" w:ascii="宋体" w:hAnsi="宋体" w:cs="宋体"/>
                <w:color w:val="auto"/>
                <w:szCs w:val="21"/>
                <w:highlight w:val="none"/>
              </w:rPr>
            </w:pPr>
          </w:p>
        </w:tc>
      </w:tr>
      <w:tr w14:paraId="01E2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54D710F2">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6</w:t>
            </w:r>
          </w:p>
        </w:tc>
        <w:tc>
          <w:tcPr>
            <w:tcW w:w="1829" w:type="dxa"/>
            <w:noWrap w:val="0"/>
            <w:vAlign w:val="center"/>
          </w:tcPr>
          <w:p w14:paraId="5EC52AD0">
            <w:pPr>
              <w:jc w:val="left"/>
              <w:rPr>
                <w:rFonts w:hint="eastAsia" w:ascii="宋体" w:hAnsi="宋体" w:cs="宋体"/>
                <w:color w:val="auto"/>
                <w:szCs w:val="21"/>
                <w:highlight w:val="none"/>
              </w:rPr>
            </w:pPr>
          </w:p>
        </w:tc>
        <w:tc>
          <w:tcPr>
            <w:tcW w:w="2438" w:type="dxa"/>
            <w:noWrap w:val="0"/>
            <w:vAlign w:val="center"/>
          </w:tcPr>
          <w:p w14:paraId="39F31122">
            <w:pPr>
              <w:jc w:val="left"/>
              <w:rPr>
                <w:rFonts w:hint="eastAsia" w:ascii="宋体" w:hAnsi="宋体" w:cs="宋体"/>
                <w:color w:val="auto"/>
                <w:szCs w:val="21"/>
                <w:highlight w:val="none"/>
              </w:rPr>
            </w:pPr>
          </w:p>
        </w:tc>
        <w:tc>
          <w:tcPr>
            <w:tcW w:w="1365" w:type="dxa"/>
            <w:noWrap w:val="0"/>
            <w:vAlign w:val="center"/>
          </w:tcPr>
          <w:p w14:paraId="175C18D9">
            <w:pPr>
              <w:spacing w:line="480" w:lineRule="exact"/>
              <w:jc w:val="center"/>
              <w:rPr>
                <w:rFonts w:hint="eastAsia" w:ascii="宋体" w:hAnsi="宋体" w:cs="宋体"/>
                <w:color w:val="auto"/>
                <w:szCs w:val="21"/>
                <w:highlight w:val="none"/>
              </w:rPr>
            </w:pPr>
          </w:p>
        </w:tc>
        <w:tc>
          <w:tcPr>
            <w:tcW w:w="1515" w:type="dxa"/>
            <w:noWrap w:val="0"/>
            <w:vAlign w:val="center"/>
          </w:tcPr>
          <w:p w14:paraId="2E2E2BC8">
            <w:pPr>
              <w:spacing w:line="480" w:lineRule="exact"/>
              <w:jc w:val="center"/>
              <w:rPr>
                <w:rFonts w:hint="eastAsia" w:ascii="宋体" w:hAnsi="宋体" w:cs="宋体"/>
                <w:color w:val="auto"/>
                <w:szCs w:val="21"/>
                <w:highlight w:val="none"/>
              </w:rPr>
            </w:pPr>
          </w:p>
        </w:tc>
        <w:tc>
          <w:tcPr>
            <w:tcW w:w="1518" w:type="dxa"/>
            <w:noWrap w:val="0"/>
            <w:vAlign w:val="center"/>
          </w:tcPr>
          <w:p w14:paraId="4D034C25">
            <w:pPr>
              <w:spacing w:line="480" w:lineRule="exact"/>
              <w:jc w:val="center"/>
              <w:rPr>
                <w:rFonts w:hint="eastAsia" w:ascii="宋体" w:hAnsi="宋体" w:cs="宋体"/>
                <w:color w:val="auto"/>
                <w:szCs w:val="21"/>
                <w:highlight w:val="none"/>
              </w:rPr>
            </w:pPr>
          </w:p>
        </w:tc>
      </w:tr>
      <w:tr w14:paraId="593EB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799" w:type="dxa"/>
            <w:noWrap w:val="0"/>
            <w:vAlign w:val="center"/>
          </w:tcPr>
          <w:p w14:paraId="3D451AF5">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7</w:t>
            </w:r>
          </w:p>
        </w:tc>
        <w:tc>
          <w:tcPr>
            <w:tcW w:w="1829" w:type="dxa"/>
            <w:noWrap w:val="0"/>
            <w:vAlign w:val="top"/>
          </w:tcPr>
          <w:p w14:paraId="6226E3BE">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w:t>
            </w:r>
          </w:p>
        </w:tc>
        <w:tc>
          <w:tcPr>
            <w:tcW w:w="2438" w:type="dxa"/>
            <w:noWrap w:val="0"/>
            <w:vAlign w:val="top"/>
          </w:tcPr>
          <w:p w14:paraId="4B087B93">
            <w:pPr>
              <w:spacing w:line="480" w:lineRule="exact"/>
              <w:rPr>
                <w:rFonts w:hint="eastAsia" w:ascii="宋体" w:hAnsi="宋体" w:cs="宋体"/>
                <w:color w:val="auto"/>
                <w:szCs w:val="21"/>
                <w:highlight w:val="none"/>
              </w:rPr>
            </w:pPr>
          </w:p>
        </w:tc>
        <w:tc>
          <w:tcPr>
            <w:tcW w:w="1365" w:type="dxa"/>
            <w:noWrap w:val="0"/>
            <w:vAlign w:val="center"/>
          </w:tcPr>
          <w:p w14:paraId="7464F99C">
            <w:pPr>
              <w:spacing w:line="480" w:lineRule="exact"/>
              <w:jc w:val="center"/>
              <w:rPr>
                <w:rFonts w:hint="eastAsia" w:ascii="宋体" w:hAnsi="宋体" w:cs="宋体"/>
                <w:color w:val="auto"/>
                <w:szCs w:val="21"/>
                <w:highlight w:val="none"/>
              </w:rPr>
            </w:pPr>
          </w:p>
        </w:tc>
        <w:tc>
          <w:tcPr>
            <w:tcW w:w="1515" w:type="dxa"/>
            <w:noWrap w:val="0"/>
            <w:vAlign w:val="center"/>
          </w:tcPr>
          <w:p w14:paraId="7B28F44F">
            <w:pPr>
              <w:spacing w:line="480" w:lineRule="exact"/>
              <w:jc w:val="center"/>
              <w:rPr>
                <w:rFonts w:hint="eastAsia" w:ascii="宋体" w:hAnsi="宋体" w:cs="宋体"/>
                <w:color w:val="auto"/>
                <w:szCs w:val="21"/>
                <w:highlight w:val="none"/>
              </w:rPr>
            </w:pPr>
          </w:p>
        </w:tc>
        <w:tc>
          <w:tcPr>
            <w:tcW w:w="1518" w:type="dxa"/>
            <w:noWrap w:val="0"/>
            <w:vAlign w:val="center"/>
          </w:tcPr>
          <w:p w14:paraId="3B4E97B4">
            <w:pPr>
              <w:spacing w:line="480" w:lineRule="exact"/>
              <w:jc w:val="center"/>
              <w:rPr>
                <w:rFonts w:hint="eastAsia" w:ascii="宋体" w:hAnsi="宋体" w:cs="宋体"/>
                <w:color w:val="auto"/>
                <w:szCs w:val="21"/>
                <w:highlight w:val="none"/>
              </w:rPr>
            </w:pPr>
          </w:p>
        </w:tc>
      </w:tr>
      <w:tr w14:paraId="62260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70" w:hRule="atLeast"/>
        </w:trPr>
        <w:tc>
          <w:tcPr>
            <w:tcW w:w="799" w:type="dxa"/>
            <w:noWrap w:val="0"/>
            <w:vAlign w:val="top"/>
          </w:tcPr>
          <w:p w14:paraId="25F48AA3">
            <w:pPr>
              <w:spacing w:line="480" w:lineRule="exact"/>
              <w:jc w:val="center"/>
              <w:rPr>
                <w:rFonts w:hint="eastAsia" w:ascii="宋体" w:hAnsi="宋体" w:cs="宋体"/>
                <w:color w:val="auto"/>
                <w:szCs w:val="21"/>
                <w:highlight w:val="none"/>
              </w:rPr>
            </w:pPr>
          </w:p>
          <w:p w14:paraId="675E2629">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8</w:t>
            </w:r>
          </w:p>
        </w:tc>
        <w:tc>
          <w:tcPr>
            <w:tcW w:w="1829" w:type="dxa"/>
            <w:noWrap w:val="0"/>
            <w:vAlign w:val="top"/>
          </w:tcPr>
          <w:p w14:paraId="2D45659C">
            <w:pPr>
              <w:spacing w:line="480" w:lineRule="exact"/>
              <w:jc w:val="center"/>
              <w:rPr>
                <w:rFonts w:hint="eastAsia" w:ascii="宋体" w:hAnsi="宋体" w:cs="宋体"/>
                <w:color w:val="auto"/>
                <w:szCs w:val="21"/>
                <w:highlight w:val="none"/>
              </w:rPr>
            </w:pPr>
          </w:p>
          <w:p w14:paraId="47A60F6F">
            <w:pPr>
              <w:spacing w:line="480" w:lineRule="exact"/>
              <w:jc w:val="center"/>
              <w:rPr>
                <w:rFonts w:hint="eastAsia" w:ascii="宋体" w:hAnsi="宋体" w:cs="宋体"/>
                <w:color w:val="auto"/>
                <w:szCs w:val="21"/>
                <w:highlight w:val="none"/>
              </w:rPr>
            </w:pPr>
            <w:r>
              <w:rPr>
                <w:rFonts w:hint="eastAsia" w:ascii="宋体" w:hAnsi="宋体" w:cs="宋体"/>
                <w:color w:val="auto"/>
                <w:szCs w:val="21"/>
                <w:highlight w:val="none"/>
              </w:rPr>
              <w:t>合计</w:t>
            </w:r>
          </w:p>
        </w:tc>
        <w:tc>
          <w:tcPr>
            <w:tcW w:w="6836" w:type="dxa"/>
            <w:gridSpan w:val="4"/>
            <w:noWrap w:val="0"/>
            <w:vAlign w:val="top"/>
          </w:tcPr>
          <w:p w14:paraId="69A97C55">
            <w:pPr>
              <w:spacing w:line="480" w:lineRule="exact"/>
              <w:rPr>
                <w:rFonts w:hint="eastAsia" w:ascii="宋体" w:hAnsi="宋体" w:cs="宋体"/>
                <w:color w:val="auto"/>
                <w:szCs w:val="21"/>
                <w:highlight w:val="none"/>
              </w:rPr>
            </w:pPr>
          </w:p>
          <w:p w14:paraId="45A5618D">
            <w:pPr>
              <w:spacing w:line="480" w:lineRule="exact"/>
              <w:rPr>
                <w:rFonts w:hint="eastAsia" w:ascii="宋体" w:hAnsi="宋体" w:cs="宋体"/>
                <w:color w:val="auto"/>
                <w:szCs w:val="21"/>
                <w:highlight w:val="none"/>
                <w:u w:val="single"/>
              </w:rPr>
            </w:pPr>
            <w:r>
              <w:rPr>
                <w:rFonts w:hint="eastAsia" w:ascii="宋体" w:hAnsi="宋体" w:cs="宋体"/>
                <w:color w:val="auto"/>
                <w:szCs w:val="21"/>
                <w:highlight w:val="none"/>
              </w:rPr>
              <w:t>大写：</w:t>
            </w:r>
            <w:r>
              <w:rPr>
                <w:rFonts w:hint="eastAsia" w:ascii="宋体" w:hAnsi="宋体" w:cs="宋体"/>
                <w:color w:val="auto"/>
                <w:szCs w:val="21"/>
                <w:highlight w:val="none"/>
                <w:u w:val="single"/>
              </w:rPr>
              <w:t xml:space="preserve">                                  。</w:t>
            </w:r>
          </w:p>
          <w:p w14:paraId="12E38564">
            <w:pPr>
              <w:spacing w:line="480" w:lineRule="exact"/>
              <w:rPr>
                <w:rFonts w:hint="eastAsia" w:ascii="宋体" w:hAnsi="宋体" w:cs="宋体"/>
                <w:color w:val="auto"/>
                <w:szCs w:val="21"/>
                <w:highlight w:val="none"/>
              </w:rPr>
            </w:pPr>
            <w:r>
              <w:rPr>
                <w:rFonts w:hint="eastAsia" w:ascii="宋体" w:hAnsi="宋体" w:cs="宋体"/>
                <w:color w:val="auto"/>
                <w:szCs w:val="21"/>
                <w:highlight w:val="none"/>
              </w:rPr>
              <w:t>（小写：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tc>
      </w:tr>
    </w:tbl>
    <w:p w14:paraId="54109106">
      <w:pPr>
        <w:spacing w:line="480" w:lineRule="exact"/>
        <w:rPr>
          <w:rFonts w:ascii="宋体" w:hAnsi="宋体"/>
          <w:color w:val="auto"/>
          <w:szCs w:val="21"/>
          <w:highlight w:val="none"/>
        </w:rPr>
      </w:pPr>
      <w:r>
        <w:rPr>
          <w:rFonts w:hint="eastAsia" w:ascii="宋体" w:hAnsi="宋体"/>
          <w:color w:val="auto"/>
          <w:szCs w:val="21"/>
          <w:highlight w:val="none"/>
        </w:rPr>
        <w:t xml:space="preserve">全权代表签字：                   </w:t>
      </w:r>
    </w:p>
    <w:p w14:paraId="61ADB0C0">
      <w:pPr>
        <w:spacing w:line="480" w:lineRule="exact"/>
        <w:rPr>
          <w:rFonts w:ascii="宋体" w:hAnsi="宋体"/>
          <w:color w:val="auto"/>
          <w:szCs w:val="21"/>
          <w:highlight w:val="none"/>
        </w:rPr>
      </w:pPr>
      <w:r>
        <w:rPr>
          <w:rFonts w:hint="eastAsia" w:ascii="宋体" w:hAnsi="宋体"/>
          <w:color w:val="auto"/>
          <w:szCs w:val="21"/>
          <w:highlight w:val="none"/>
        </w:rPr>
        <w:t xml:space="preserve">日 期：           </w:t>
      </w:r>
    </w:p>
    <w:p w14:paraId="56B6EC3B">
      <w:pPr>
        <w:spacing w:line="480" w:lineRule="exact"/>
        <w:ind w:left="420" w:hanging="420" w:hangingChars="200"/>
        <w:rPr>
          <w:rFonts w:ascii="宋体" w:hAnsi="宋体"/>
          <w:color w:val="auto"/>
          <w:szCs w:val="21"/>
          <w:highlight w:val="none"/>
        </w:rPr>
      </w:pPr>
      <w:r>
        <w:rPr>
          <w:rFonts w:hint="eastAsia" w:ascii="宋体" w:hAnsi="宋体"/>
          <w:color w:val="auto"/>
          <w:szCs w:val="21"/>
          <w:highlight w:val="none"/>
        </w:rPr>
        <w:t>注：</w:t>
      </w:r>
    </w:p>
    <w:p w14:paraId="171E5648">
      <w:pPr>
        <w:rPr>
          <w:rFonts w:hint="eastAsia" w:ascii="宋体" w:hAnsi="宋体"/>
          <w:color w:val="auto"/>
          <w:szCs w:val="21"/>
          <w:highlight w:val="none"/>
        </w:rPr>
      </w:pPr>
      <w:r>
        <w:rPr>
          <w:rFonts w:hint="eastAsia" w:ascii="宋体" w:hAnsi="宋体"/>
          <w:color w:val="auto"/>
          <w:szCs w:val="21"/>
          <w:highlight w:val="none"/>
        </w:rPr>
        <w:t>1.投标人应根据国家的有关规定和实际情况并结合企业的实际情况进行投标报价。投标报价为投标人所能承受的最低、最终一次性报价。</w:t>
      </w:r>
    </w:p>
    <w:p w14:paraId="6C37E7D7">
      <w:pPr>
        <w:spacing w:line="480" w:lineRule="exact"/>
        <w:rPr>
          <w:rFonts w:hint="eastAsia" w:ascii="仿宋" w:hAnsi="仿宋" w:eastAsia="仿宋"/>
          <w:b/>
          <w:color w:val="auto"/>
          <w:szCs w:val="21"/>
          <w:highlight w:val="none"/>
        </w:rPr>
      </w:pPr>
      <w:r>
        <w:rPr>
          <w:rFonts w:hint="eastAsia" w:ascii="宋体" w:hAnsi="宋体"/>
          <w:color w:val="auto"/>
          <w:szCs w:val="21"/>
          <w:highlight w:val="none"/>
        </w:rPr>
        <w:t>2.此表在不改变表式内容的情况下，可自行制作</w:t>
      </w:r>
      <w:r>
        <w:rPr>
          <w:rFonts w:hint="eastAsia" w:ascii="宋体" w:hAnsi="宋体"/>
          <w:color w:val="auto"/>
          <w:szCs w:val="21"/>
          <w:highlight w:val="none"/>
          <w:lang w:eastAsia="zh-CN"/>
        </w:rPr>
        <w:t>。</w:t>
      </w:r>
      <w:r>
        <w:rPr>
          <w:rFonts w:hint="eastAsia" w:ascii="仿宋" w:hAnsi="仿宋" w:eastAsia="仿宋"/>
          <w:b/>
          <w:color w:val="auto"/>
          <w:szCs w:val="21"/>
          <w:highlight w:val="none"/>
        </w:rPr>
        <w:t xml:space="preserve"> </w:t>
      </w:r>
    </w:p>
    <w:p w14:paraId="25FDDC7C">
      <w:pPr>
        <w:spacing w:line="360" w:lineRule="auto"/>
        <w:jc w:val="center"/>
        <w:outlineLvl w:val="2"/>
        <w:rPr>
          <w:rFonts w:hint="eastAsia" w:ascii="宋体" w:hAnsi="宋体" w:cs="宋体"/>
          <w:b/>
          <w:color w:val="auto"/>
          <w:sz w:val="36"/>
          <w:szCs w:val="36"/>
          <w:highlight w:val="none"/>
        </w:rPr>
      </w:pPr>
      <w:r>
        <w:rPr>
          <w:rFonts w:hint="eastAsia" w:ascii="宋体" w:hAnsi="宋体" w:cs="宋体"/>
          <w:b/>
          <w:color w:val="auto"/>
          <w:sz w:val="36"/>
          <w:szCs w:val="36"/>
          <w:highlight w:val="none"/>
        </w:rPr>
        <w:br w:type="page"/>
      </w:r>
      <w:r>
        <w:rPr>
          <w:rFonts w:hint="eastAsia" w:ascii="宋体" w:hAnsi="宋体" w:cs="宋体"/>
          <w:b/>
          <w:color w:val="auto"/>
          <w:sz w:val="36"/>
          <w:szCs w:val="36"/>
          <w:highlight w:val="none"/>
        </w:rPr>
        <w:t>质 疑 函 范 本（供参考）</w:t>
      </w:r>
    </w:p>
    <w:p w14:paraId="0BD0E08D">
      <w:pPr>
        <w:adjustRightInd w:val="0"/>
        <w:snapToGrid w:val="0"/>
        <w:spacing w:before="312" w:beforeLines="100" w:line="360" w:lineRule="auto"/>
        <w:rPr>
          <w:rFonts w:ascii="宋体" w:hAnsi="宋体" w:cs="宋体"/>
          <w:bCs/>
          <w:color w:val="auto"/>
          <w:highlight w:val="none"/>
        </w:rPr>
      </w:pPr>
      <w:r>
        <w:rPr>
          <w:rFonts w:hint="eastAsia" w:ascii="宋体" w:hAnsi="宋体" w:cs="宋体"/>
          <w:bCs/>
          <w:color w:val="auto"/>
          <w:highlight w:val="none"/>
        </w:rPr>
        <w:t>一、质疑供应商基本信息</w:t>
      </w:r>
    </w:p>
    <w:p w14:paraId="2EA13DDA">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质疑供应商：</w:t>
      </w:r>
    </w:p>
    <w:p w14:paraId="38D8ADBB">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地址：邮编：</w:t>
      </w:r>
    </w:p>
    <w:p w14:paraId="08B3DB5F">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联系人：联系电话：</w:t>
      </w:r>
    </w:p>
    <w:p w14:paraId="1BD1FFB7">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授权代表：</w:t>
      </w:r>
    </w:p>
    <w:p w14:paraId="09A1AA9B">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联系电话：</w:t>
      </w:r>
    </w:p>
    <w:p w14:paraId="1BF40AA7">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地址： 邮编：</w:t>
      </w:r>
    </w:p>
    <w:p w14:paraId="5A818A6C">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二、质疑项目基本情况</w:t>
      </w:r>
    </w:p>
    <w:p w14:paraId="716D85E2">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质疑项目的名称：</w:t>
      </w:r>
    </w:p>
    <w:p w14:paraId="6EF6EE56">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质疑项目的编号：包号（如有请填写）：</w:t>
      </w:r>
    </w:p>
    <w:p w14:paraId="6FEC4B25">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采购人名称：</w:t>
      </w:r>
    </w:p>
    <w:p w14:paraId="4F074563">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采购文件获取日期：</w:t>
      </w:r>
    </w:p>
    <w:p w14:paraId="45D03E16">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三、质疑事项具体内容</w:t>
      </w:r>
    </w:p>
    <w:p w14:paraId="1E0796A4">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质疑事项1：</w:t>
      </w:r>
    </w:p>
    <w:p w14:paraId="3F42E830">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事实依据：</w:t>
      </w:r>
    </w:p>
    <w:p w14:paraId="7642C2C1">
      <w:pPr>
        <w:adjustRightInd w:val="0"/>
        <w:snapToGrid w:val="0"/>
        <w:spacing w:line="360" w:lineRule="auto"/>
        <w:rPr>
          <w:rFonts w:ascii="宋体" w:hAnsi="宋体" w:cs="宋体"/>
          <w:color w:val="auto"/>
          <w:highlight w:val="none"/>
        </w:rPr>
      </w:pPr>
    </w:p>
    <w:p w14:paraId="2E5A115D">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法律依据：</w:t>
      </w:r>
    </w:p>
    <w:p w14:paraId="6EFDCD5E">
      <w:pPr>
        <w:adjustRightInd w:val="0"/>
        <w:snapToGrid w:val="0"/>
        <w:spacing w:line="360" w:lineRule="auto"/>
        <w:rPr>
          <w:rFonts w:ascii="宋体" w:hAnsi="宋体" w:cs="宋体"/>
          <w:color w:val="auto"/>
          <w:highlight w:val="none"/>
          <w:u w:val="dotted"/>
        </w:rPr>
      </w:pPr>
    </w:p>
    <w:p w14:paraId="5282E00C">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质疑事项2</w:t>
      </w:r>
    </w:p>
    <w:p w14:paraId="79435084">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w:t>
      </w:r>
    </w:p>
    <w:p w14:paraId="154F9101">
      <w:pPr>
        <w:adjustRightInd w:val="0"/>
        <w:snapToGrid w:val="0"/>
        <w:spacing w:line="360" w:lineRule="auto"/>
        <w:rPr>
          <w:rFonts w:ascii="宋体" w:hAnsi="宋体" w:cs="宋体"/>
          <w:bCs/>
          <w:color w:val="auto"/>
          <w:highlight w:val="none"/>
        </w:rPr>
      </w:pPr>
      <w:r>
        <w:rPr>
          <w:rFonts w:hint="eastAsia" w:ascii="宋体" w:hAnsi="宋体" w:cs="宋体"/>
          <w:bCs/>
          <w:color w:val="auto"/>
          <w:highlight w:val="none"/>
        </w:rPr>
        <w:t>四、与质疑事项相关的质疑请求</w:t>
      </w:r>
    </w:p>
    <w:p w14:paraId="4A14C578">
      <w:pPr>
        <w:adjustRightInd w:val="0"/>
        <w:snapToGrid w:val="0"/>
        <w:spacing w:line="360" w:lineRule="auto"/>
        <w:rPr>
          <w:rFonts w:ascii="宋体" w:hAnsi="宋体" w:cs="宋体"/>
          <w:color w:val="auto"/>
          <w:highlight w:val="none"/>
          <w:u w:val="dotted"/>
        </w:rPr>
      </w:pPr>
      <w:r>
        <w:rPr>
          <w:rFonts w:hint="eastAsia" w:ascii="宋体" w:hAnsi="宋体" w:cs="宋体"/>
          <w:color w:val="auto"/>
          <w:highlight w:val="none"/>
        </w:rPr>
        <w:t>请求：</w:t>
      </w:r>
    </w:p>
    <w:p w14:paraId="2162618C">
      <w:pPr>
        <w:spacing w:line="360" w:lineRule="auto"/>
        <w:rPr>
          <w:rFonts w:ascii="宋体" w:hAnsi="宋体" w:cs="宋体"/>
          <w:color w:val="auto"/>
          <w:highlight w:val="none"/>
        </w:rPr>
      </w:pPr>
      <w:r>
        <w:rPr>
          <w:rFonts w:hint="eastAsia" w:ascii="宋体" w:hAnsi="宋体" w:cs="宋体"/>
          <w:color w:val="auto"/>
          <w:highlight w:val="none"/>
        </w:rPr>
        <w:t xml:space="preserve">签字（签章）：                   公章：                      </w:t>
      </w:r>
    </w:p>
    <w:p w14:paraId="21CD8292">
      <w:pPr>
        <w:spacing w:line="360" w:lineRule="auto"/>
        <w:rPr>
          <w:rFonts w:ascii="宋体" w:hAnsi="宋体" w:cs="宋体"/>
          <w:color w:val="auto"/>
          <w:highlight w:val="none"/>
        </w:rPr>
      </w:pPr>
      <w:r>
        <w:rPr>
          <w:rFonts w:hint="eastAsia" w:ascii="宋体" w:hAnsi="宋体" w:cs="宋体"/>
          <w:color w:val="auto"/>
          <w:highlight w:val="none"/>
        </w:rPr>
        <w:t xml:space="preserve">日期：    </w:t>
      </w:r>
    </w:p>
    <w:p w14:paraId="7DD60315">
      <w:pPr>
        <w:spacing w:line="360" w:lineRule="auto"/>
        <w:rPr>
          <w:rFonts w:ascii="宋体" w:hAnsi="宋体" w:cs="宋体"/>
          <w:color w:val="auto"/>
          <w:highlight w:val="none"/>
        </w:rPr>
      </w:pPr>
    </w:p>
    <w:p w14:paraId="6B230B77">
      <w:pPr>
        <w:spacing w:line="360" w:lineRule="auto"/>
        <w:rPr>
          <w:rFonts w:ascii="宋体" w:hAnsi="宋体" w:cs="宋体"/>
          <w:b/>
          <w:color w:val="auto"/>
          <w:highlight w:val="none"/>
        </w:rPr>
      </w:pPr>
      <w:r>
        <w:rPr>
          <w:rFonts w:hint="eastAsia" w:ascii="宋体" w:hAnsi="宋体" w:cs="宋体"/>
          <w:b/>
          <w:color w:val="auto"/>
          <w:highlight w:val="none"/>
        </w:rPr>
        <w:t>质疑函制作说明：</w:t>
      </w:r>
    </w:p>
    <w:p w14:paraId="227D4304">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1.供应商提出质疑时，应提交质疑函和必要的证明材料。</w:t>
      </w:r>
    </w:p>
    <w:p w14:paraId="2A2807BB">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2.质疑供应商若委托代理人进行质疑的，质疑函应按要求列明“授权代表”的有关内容，并在附件中提交由质疑</w:t>
      </w:r>
      <w:r>
        <w:rPr>
          <w:rFonts w:hint="eastAsia" w:ascii="宋体" w:hAnsi="宋体" w:cs="宋体"/>
          <w:color w:val="auto"/>
          <w:kern w:val="0"/>
          <w:highlight w:val="none"/>
        </w:rPr>
        <w:t>供应商签署的授权委托书。授权委托书应载明代理人的姓名或者名称、代理事项、具体权限、期限和相关事项。</w:t>
      </w:r>
    </w:p>
    <w:p w14:paraId="148199FE">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3.质疑供应商若对项目的某一分包进行质疑，质疑函中应列明具体分包号。</w:t>
      </w:r>
    </w:p>
    <w:p w14:paraId="393F69D8">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4.质疑函的质疑事项应具体、明确，并有必要的事实依据和法律依据。</w:t>
      </w:r>
    </w:p>
    <w:p w14:paraId="04F7B5E7">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5.质疑函的质疑请求应与质疑事项相关。</w:t>
      </w:r>
    </w:p>
    <w:p w14:paraId="39549039">
      <w:pPr>
        <w:widowControl/>
        <w:spacing w:line="360" w:lineRule="auto"/>
        <w:ind w:firstLine="420" w:firstLineChars="200"/>
        <w:jc w:val="left"/>
        <w:rPr>
          <w:rFonts w:ascii="宋体" w:hAnsi="宋体" w:cs="宋体"/>
          <w:color w:val="auto"/>
          <w:highlight w:val="none"/>
        </w:rPr>
      </w:pPr>
      <w:r>
        <w:rPr>
          <w:rFonts w:hint="eastAsia" w:ascii="宋体" w:hAnsi="宋体" w:cs="宋体"/>
          <w:color w:val="auto"/>
          <w:highlight w:val="none"/>
        </w:rPr>
        <w:t>6.质疑供应商为自然人的，质疑函应由本人签字；质疑供应商为法人或者其他组织的，质疑函应由法定代表人、主要负责人，或者其授权代表签字或者盖章，并加盖公章。</w:t>
      </w:r>
    </w:p>
    <w:p w14:paraId="012408AD">
      <w:pPr>
        <w:pStyle w:val="67"/>
        <w:rPr>
          <w:color w:val="auto"/>
          <w:highlight w:val="none"/>
        </w:rPr>
      </w:pPr>
    </w:p>
    <w:p w14:paraId="63DB0971">
      <w:pPr>
        <w:pStyle w:val="18"/>
        <w:spacing w:line="460" w:lineRule="exact"/>
        <w:rPr>
          <w:rFonts w:cs="Times New Roman"/>
          <w:color w:val="auto"/>
          <w:highlight w:val="none"/>
        </w:rPr>
      </w:pPr>
    </w:p>
    <w:p w14:paraId="01153DCC">
      <w:pPr>
        <w:rPr>
          <w:color w:val="auto"/>
          <w:highlight w:val="none"/>
        </w:rPr>
      </w:pPr>
    </w:p>
    <w:p w14:paraId="5CDA23BE">
      <w:pPr>
        <w:rPr>
          <w:color w:val="auto"/>
          <w:highlight w:val="none"/>
        </w:rPr>
      </w:pPr>
    </w:p>
    <w:p w14:paraId="23C05B90">
      <w:pPr>
        <w:pStyle w:val="2"/>
        <w:rPr>
          <w:color w:val="auto"/>
          <w:highlight w:val="none"/>
        </w:rPr>
      </w:pPr>
    </w:p>
    <w:p w14:paraId="7F4ECD47">
      <w:pPr>
        <w:rPr>
          <w:color w:val="auto"/>
          <w:highlight w:val="none"/>
        </w:rPr>
      </w:pPr>
    </w:p>
    <w:p w14:paraId="2CEAC73A">
      <w:pPr>
        <w:jc w:val="center"/>
        <w:rPr>
          <w:rFonts w:hint="eastAsia" w:ascii="宋体" w:hAnsi="宋体"/>
          <w:b/>
          <w:color w:val="auto"/>
          <w:sz w:val="36"/>
          <w:szCs w:val="36"/>
          <w:highlight w:val="none"/>
        </w:rPr>
      </w:pPr>
    </w:p>
    <w:p w14:paraId="28D8C08E">
      <w:pPr>
        <w:jc w:val="center"/>
        <w:rPr>
          <w:rFonts w:hint="eastAsia" w:ascii="宋体" w:hAnsi="宋体"/>
          <w:b/>
          <w:color w:val="auto"/>
          <w:sz w:val="36"/>
          <w:szCs w:val="36"/>
          <w:highlight w:val="none"/>
        </w:rPr>
      </w:pPr>
    </w:p>
    <w:p w14:paraId="2B7B0C29">
      <w:pPr>
        <w:jc w:val="center"/>
        <w:rPr>
          <w:rFonts w:hint="eastAsia" w:ascii="宋体" w:hAnsi="宋体"/>
          <w:b/>
          <w:color w:val="auto"/>
          <w:sz w:val="36"/>
          <w:szCs w:val="36"/>
          <w:highlight w:val="none"/>
        </w:rPr>
      </w:pPr>
    </w:p>
    <w:p w14:paraId="25B228CD">
      <w:pPr>
        <w:jc w:val="center"/>
        <w:rPr>
          <w:rFonts w:hint="eastAsia" w:ascii="宋体" w:hAnsi="宋体"/>
          <w:b/>
          <w:color w:val="auto"/>
          <w:sz w:val="36"/>
          <w:szCs w:val="36"/>
          <w:highlight w:val="none"/>
        </w:rPr>
      </w:pPr>
    </w:p>
    <w:p w14:paraId="232E376E">
      <w:pPr>
        <w:jc w:val="center"/>
        <w:rPr>
          <w:rFonts w:hint="eastAsia" w:ascii="宋体" w:hAnsi="宋体"/>
          <w:b/>
          <w:color w:val="auto"/>
          <w:sz w:val="36"/>
          <w:szCs w:val="36"/>
          <w:highlight w:val="none"/>
        </w:rPr>
      </w:pPr>
    </w:p>
    <w:p w14:paraId="1C1EAE7F">
      <w:pPr>
        <w:jc w:val="center"/>
        <w:rPr>
          <w:rFonts w:hint="eastAsia" w:ascii="宋体" w:hAnsi="宋体"/>
          <w:b/>
          <w:color w:val="auto"/>
          <w:sz w:val="36"/>
          <w:szCs w:val="36"/>
          <w:highlight w:val="none"/>
        </w:rPr>
      </w:pPr>
    </w:p>
    <w:p w14:paraId="019C5FA7">
      <w:pPr>
        <w:jc w:val="center"/>
        <w:rPr>
          <w:rFonts w:hint="eastAsia" w:ascii="宋体" w:hAnsi="宋体"/>
          <w:b/>
          <w:color w:val="auto"/>
          <w:sz w:val="36"/>
          <w:szCs w:val="36"/>
          <w:highlight w:val="none"/>
        </w:rPr>
      </w:pPr>
    </w:p>
    <w:p w14:paraId="73D572CD">
      <w:pPr>
        <w:jc w:val="center"/>
        <w:rPr>
          <w:rFonts w:hint="eastAsia" w:ascii="宋体" w:hAnsi="宋体"/>
          <w:b/>
          <w:color w:val="auto"/>
          <w:sz w:val="36"/>
          <w:szCs w:val="36"/>
          <w:highlight w:val="none"/>
        </w:rPr>
      </w:pPr>
    </w:p>
    <w:p w14:paraId="42239206">
      <w:pPr>
        <w:jc w:val="center"/>
        <w:rPr>
          <w:rFonts w:hint="eastAsia" w:ascii="宋体" w:hAnsi="宋体"/>
          <w:b/>
          <w:color w:val="auto"/>
          <w:sz w:val="36"/>
          <w:szCs w:val="36"/>
          <w:highlight w:val="none"/>
        </w:rPr>
      </w:pPr>
    </w:p>
    <w:p w14:paraId="6C055B29">
      <w:pPr>
        <w:jc w:val="center"/>
        <w:rPr>
          <w:rFonts w:hint="eastAsia" w:ascii="宋体" w:hAnsi="宋体"/>
          <w:b/>
          <w:color w:val="auto"/>
          <w:sz w:val="36"/>
          <w:szCs w:val="36"/>
          <w:highlight w:val="none"/>
        </w:rPr>
      </w:pPr>
    </w:p>
    <w:p w14:paraId="0EBDCD73">
      <w:pPr>
        <w:rPr>
          <w:color w:val="auto"/>
          <w:highlight w:val="none"/>
        </w:rPr>
      </w:pPr>
    </w:p>
    <w:p w14:paraId="1708FA29">
      <w:pPr>
        <w:rPr>
          <w:color w:val="auto"/>
          <w:highlight w:val="none"/>
        </w:rPr>
      </w:pPr>
    </w:p>
    <w:p w14:paraId="1289267E">
      <w:pPr>
        <w:rPr>
          <w:color w:val="auto"/>
          <w:highlight w:val="none"/>
        </w:rPr>
      </w:pPr>
    </w:p>
    <w:p w14:paraId="21EE097A">
      <w:pPr>
        <w:spacing w:line="460" w:lineRule="exact"/>
        <w:ind w:firstLine="420" w:firstLineChars="200"/>
        <w:rPr>
          <w:rFonts w:ascii="宋体" w:cs="宋体"/>
          <w:color w:val="auto"/>
          <w:szCs w:val="21"/>
          <w:highlight w:val="none"/>
        </w:rPr>
      </w:pPr>
    </w:p>
    <w:bookmarkEnd w:id="107"/>
    <w:bookmarkEnd w:id="108"/>
    <w:bookmarkEnd w:id="109"/>
    <w:bookmarkEnd w:id="110"/>
    <w:bookmarkEnd w:id="111"/>
    <w:bookmarkEnd w:id="112"/>
    <w:p w14:paraId="0F0CD8A8">
      <w:pPr>
        <w:spacing w:line="460" w:lineRule="exact"/>
        <w:ind w:firstLine="480" w:firstLineChars="200"/>
        <w:rPr>
          <w:rFonts w:hint="eastAsia" w:ascii="宋体" w:hAnsi="Courier New"/>
          <w:color w:val="auto"/>
          <w:kern w:val="0"/>
          <w:sz w:val="24"/>
          <w:highlight w:val="none"/>
        </w:rPr>
      </w:pPr>
    </w:p>
    <w:p w14:paraId="507DAEFC">
      <w:pPr>
        <w:spacing w:line="460" w:lineRule="exact"/>
        <w:ind w:firstLine="480" w:firstLineChars="200"/>
        <w:rPr>
          <w:rFonts w:hint="eastAsia" w:ascii="宋体" w:hAnsi="Courier New"/>
          <w:color w:val="auto"/>
          <w:kern w:val="0"/>
          <w:sz w:val="24"/>
          <w:highlight w:val="none"/>
        </w:rPr>
      </w:pPr>
    </w:p>
    <w:p w14:paraId="54D7F6B9">
      <w:pPr>
        <w:rPr>
          <w:color w:val="auto"/>
          <w:highlight w:val="none"/>
        </w:rPr>
      </w:pPr>
    </w:p>
    <w:sectPr>
      <w:footerReference r:id="rId6" w:type="first"/>
      <w:headerReference r:id="rId4" w:type="default"/>
      <w:footerReference r:id="rId5" w:type="default"/>
      <w:pgSz w:w="11906" w:h="16838"/>
      <w:pgMar w:top="1246" w:right="1134" w:bottom="1440" w:left="1418"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等线 Light">
    <w:panose1 w:val="02010600030101010101"/>
    <w:charset w:val="86"/>
    <w:family w:val="auto"/>
    <w:pitch w:val="default"/>
    <w:sig w:usb0="A00002BF" w:usb1="38CF7CFA" w:usb2="00000016" w:usb3="00000000" w:csb0="0004000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1F5AE">
    <w:pPr>
      <w:pStyle w:val="2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934D0B">
                          <w:pPr>
                            <w:pStyle w:val="22"/>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A934D0B">
                    <w:pPr>
                      <w:pStyle w:val="2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62BE1">
    <w:pPr>
      <w:pStyle w:val="22"/>
      <w:tabs>
        <w:tab w:val="center" w:pos="4153"/>
        <w:tab w:val="right" w:pos="8306"/>
        <w:tab w:val="clear" w:pos="4140"/>
        <w:tab w:val="clear" w:pos="8300"/>
      </w:tabs>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0DFFA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730DFFA9">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r>
      <w:rPr>
        <w:rFonts w:hint="eastAsia"/>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35B2">
    <w:pPr>
      <w:pStyle w:val="22"/>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95968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33959683">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F9684">
    <w:pPr>
      <w:pStyle w:val="23"/>
      <w:tabs>
        <w:tab w:val="center" w:pos="4153"/>
        <w:tab w:val="right" w:pos="8306"/>
        <w:tab w:val="clear" w:pos="4140"/>
        <w:tab w:val="clear" w:pos="8300"/>
      </w:tabs>
      <w:ind w:firstLine="90" w:firstLineChars="50"/>
      <w:jc w:val="both"/>
    </w:pPr>
    <w:r>
      <w:rPr>
        <w:rFonts w:hint="eastAsia" w:eastAsia="PMingLiU"/>
        <w:lang w:eastAsia="zh-TW"/>
      </w:rPr>
      <w:t>　</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877DA6"/>
    <w:multiLevelType w:val="singleLevel"/>
    <w:tmpl w:val="85877DA6"/>
    <w:lvl w:ilvl="0" w:tentative="0">
      <w:start w:val="3"/>
      <w:numFmt w:val="chineseCounting"/>
      <w:suff w:val="nothing"/>
      <w:lvlText w:val="%1、"/>
      <w:lvlJc w:val="left"/>
      <w:rPr>
        <w:rFonts w:hint="eastAsia"/>
      </w:rPr>
    </w:lvl>
  </w:abstractNum>
  <w:abstractNum w:abstractNumId="1">
    <w:nsid w:val="E2752CBB"/>
    <w:multiLevelType w:val="singleLevel"/>
    <w:tmpl w:val="E2752CBB"/>
    <w:lvl w:ilvl="0" w:tentative="0">
      <w:start w:val="4"/>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lvlText w:val="%1、"/>
      <w:lvlJc w:val="left"/>
      <w:pPr>
        <w:tabs>
          <w:tab w:val="left" w:pos="786"/>
        </w:tabs>
        <w:ind w:left="786" w:hanging="360"/>
      </w:pPr>
      <w:rPr>
        <w:rFonts w:hint="eastAsia"/>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3">
    <w:nsid w:val="00000004"/>
    <w:multiLevelType w:val="multilevel"/>
    <w:tmpl w:val="00000004"/>
    <w:lvl w:ilvl="0" w:tentative="0">
      <w:start w:val="4"/>
      <w:numFmt w:val="japaneseCounting"/>
      <w:pStyle w:val="11"/>
      <w:lvlText w:val="第%1章"/>
      <w:lvlJc w:val="left"/>
      <w:pPr>
        <w:tabs>
          <w:tab w:val="left" w:pos="1455"/>
        </w:tabs>
        <w:ind w:left="1455" w:hanging="1455"/>
      </w:pPr>
      <w:rPr>
        <w:rFonts w:hint="default" w:hAnsi="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0000006"/>
    <w:multiLevelType w:val="multilevel"/>
    <w:tmpl w:val="00000006"/>
    <w:lvl w:ilvl="0" w:tentative="0">
      <w:start w:val="1"/>
      <w:numFmt w:val="chineseCountingThousand"/>
      <w:suff w:val="nothing"/>
      <w:lvlText w:val="第%1章"/>
      <w:lvlJc w:val="left"/>
      <w:pPr>
        <w:ind w:left="210" w:firstLine="0"/>
      </w:pPr>
    </w:lvl>
    <w:lvl w:ilvl="1" w:tentative="0">
      <w:start w:val="1"/>
      <w:numFmt w:val="none"/>
      <w:suff w:val="nothing"/>
      <w:lvlText w:val=""/>
      <w:lvlJc w:val="left"/>
      <w:pPr>
        <w:ind w:left="0" w:firstLine="0"/>
      </w:pPr>
    </w:lvl>
    <w:lvl w:ilvl="2" w:tentative="0">
      <w:start w:val="1"/>
      <w:numFmt w:val="none"/>
      <w:pStyle w:val="4"/>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pStyle w:val="6"/>
      <w:suff w:val="nothing"/>
      <w:lvlText w:val=""/>
      <w:lvlJc w:val="left"/>
      <w:pPr>
        <w:ind w:left="0" w:firstLine="0"/>
      </w:pPr>
    </w:lvl>
    <w:lvl w:ilvl="5" w:tentative="0">
      <w:start w:val="1"/>
      <w:numFmt w:val="none"/>
      <w:pStyle w:val="7"/>
      <w:suff w:val="nothing"/>
      <w:lvlText w:val=""/>
      <w:lvlJc w:val="left"/>
      <w:pPr>
        <w:ind w:left="0" w:firstLine="0"/>
      </w:pPr>
    </w:lvl>
    <w:lvl w:ilvl="6" w:tentative="0">
      <w:start w:val="1"/>
      <w:numFmt w:val="none"/>
      <w:pStyle w:val="8"/>
      <w:suff w:val="nothing"/>
      <w:lvlText w:val=""/>
      <w:lvlJc w:val="left"/>
      <w:pPr>
        <w:ind w:left="0" w:firstLine="0"/>
      </w:pPr>
    </w:lvl>
    <w:lvl w:ilvl="7" w:tentative="0">
      <w:start w:val="1"/>
      <w:numFmt w:val="none"/>
      <w:pStyle w:val="9"/>
      <w:suff w:val="nothing"/>
      <w:lvlText w:val=""/>
      <w:lvlJc w:val="left"/>
      <w:pPr>
        <w:ind w:left="0" w:firstLine="0"/>
      </w:pPr>
    </w:lvl>
    <w:lvl w:ilvl="8" w:tentative="0">
      <w:start w:val="1"/>
      <w:numFmt w:val="none"/>
      <w:pStyle w:val="10"/>
      <w:suff w:val="nothing"/>
      <w:lvlText w:val=""/>
      <w:lvlJc w:val="left"/>
      <w:pPr>
        <w:ind w:left="0" w:firstLine="0"/>
      </w:pPr>
    </w:lvl>
  </w:abstractNum>
  <w:abstractNum w:abstractNumId="5">
    <w:nsid w:val="3FEFDBF1"/>
    <w:multiLevelType w:val="singleLevel"/>
    <w:tmpl w:val="3FEFDBF1"/>
    <w:lvl w:ilvl="0" w:tentative="0">
      <w:start w:val="1"/>
      <w:numFmt w:val="decimal"/>
      <w:lvlText w:val="%1."/>
      <w:lvlJc w:val="left"/>
      <w:pPr>
        <w:tabs>
          <w:tab w:val="left" w:pos="312"/>
        </w:tabs>
      </w:pPr>
    </w:lvl>
  </w:abstractNum>
  <w:num w:numId="1">
    <w:abstractNumId w:val="4"/>
  </w:num>
  <w:num w:numId="2">
    <w:abstractNumId w:val="3"/>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A5YjRlYjM5YTM4NDMxYWZiZmY3YTg2OTIyMGQ5MjgifQ=="/>
  </w:docVars>
  <w:rsids>
    <w:rsidRoot w:val="00172A27"/>
    <w:rsid w:val="00003500"/>
    <w:rsid w:val="000036B1"/>
    <w:rsid w:val="00004783"/>
    <w:rsid w:val="00004B2C"/>
    <w:rsid w:val="000105BB"/>
    <w:rsid w:val="0001067D"/>
    <w:rsid w:val="00011392"/>
    <w:rsid w:val="000165B9"/>
    <w:rsid w:val="00023741"/>
    <w:rsid w:val="00032B60"/>
    <w:rsid w:val="00036E93"/>
    <w:rsid w:val="000372EE"/>
    <w:rsid w:val="000443E6"/>
    <w:rsid w:val="00044457"/>
    <w:rsid w:val="00050C0D"/>
    <w:rsid w:val="000510D3"/>
    <w:rsid w:val="00052B22"/>
    <w:rsid w:val="00053E69"/>
    <w:rsid w:val="00062DFF"/>
    <w:rsid w:val="00065DC9"/>
    <w:rsid w:val="000732A8"/>
    <w:rsid w:val="000739BD"/>
    <w:rsid w:val="00074F6D"/>
    <w:rsid w:val="0007677A"/>
    <w:rsid w:val="000845AF"/>
    <w:rsid w:val="0009215F"/>
    <w:rsid w:val="000947DA"/>
    <w:rsid w:val="000A3F07"/>
    <w:rsid w:val="000A63AC"/>
    <w:rsid w:val="000A6894"/>
    <w:rsid w:val="000B019A"/>
    <w:rsid w:val="000B0C0D"/>
    <w:rsid w:val="000B14B6"/>
    <w:rsid w:val="000B3C5F"/>
    <w:rsid w:val="000B4975"/>
    <w:rsid w:val="000B49EF"/>
    <w:rsid w:val="000B5546"/>
    <w:rsid w:val="000C14D2"/>
    <w:rsid w:val="000D0C09"/>
    <w:rsid w:val="000D1232"/>
    <w:rsid w:val="000D2F75"/>
    <w:rsid w:val="000D4B39"/>
    <w:rsid w:val="000D4B53"/>
    <w:rsid w:val="000D67AA"/>
    <w:rsid w:val="000E0D29"/>
    <w:rsid w:val="000E344A"/>
    <w:rsid w:val="000F386C"/>
    <w:rsid w:val="00106F56"/>
    <w:rsid w:val="001072E8"/>
    <w:rsid w:val="001075D4"/>
    <w:rsid w:val="00107E77"/>
    <w:rsid w:val="001133F6"/>
    <w:rsid w:val="001172EF"/>
    <w:rsid w:val="00133F83"/>
    <w:rsid w:val="00134620"/>
    <w:rsid w:val="001365CB"/>
    <w:rsid w:val="00137B4D"/>
    <w:rsid w:val="00140ED2"/>
    <w:rsid w:val="001444D5"/>
    <w:rsid w:val="0015006B"/>
    <w:rsid w:val="00151659"/>
    <w:rsid w:val="00152E5A"/>
    <w:rsid w:val="00155D6C"/>
    <w:rsid w:val="001567CE"/>
    <w:rsid w:val="00156C49"/>
    <w:rsid w:val="00157253"/>
    <w:rsid w:val="00165311"/>
    <w:rsid w:val="00167E62"/>
    <w:rsid w:val="00175E75"/>
    <w:rsid w:val="0017760F"/>
    <w:rsid w:val="00181DDD"/>
    <w:rsid w:val="001871A9"/>
    <w:rsid w:val="00193F26"/>
    <w:rsid w:val="001A2FC7"/>
    <w:rsid w:val="001A50FF"/>
    <w:rsid w:val="001B0384"/>
    <w:rsid w:val="001B344C"/>
    <w:rsid w:val="001B3F82"/>
    <w:rsid w:val="001B3FF3"/>
    <w:rsid w:val="001B4597"/>
    <w:rsid w:val="001B46E6"/>
    <w:rsid w:val="001B63A4"/>
    <w:rsid w:val="001B7446"/>
    <w:rsid w:val="001C183E"/>
    <w:rsid w:val="001C5B91"/>
    <w:rsid w:val="001C772E"/>
    <w:rsid w:val="001D0CCF"/>
    <w:rsid w:val="001D5022"/>
    <w:rsid w:val="001D6FB5"/>
    <w:rsid w:val="001F5569"/>
    <w:rsid w:val="001F629C"/>
    <w:rsid w:val="00203D37"/>
    <w:rsid w:val="0020613C"/>
    <w:rsid w:val="00207A04"/>
    <w:rsid w:val="00207FA5"/>
    <w:rsid w:val="00210A6A"/>
    <w:rsid w:val="002126B6"/>
    <w:rsid w:val="0022119E"/>
    <w:rsid w:val="00224D79"/>
    <w:rsid w:val="002270E9"/>
    <w:rsid w:val="0023142B"/>
    <w:rsid w:val="00233C02"/>
    <w:rsid w:val="00242ED7"/>
    <w:rsid w:val="00245AAB"/>
    <w:rsid w:val="00246C30"/>
    <w:rsid w:val="002472D2"/>
    <w:rsid w:val="00251A6B"/>
    <w:rsid w:val="00256A72"/>
    <w:rsid w:val="00263701"/>
    <w:rsid w:val="00266FDD"/>
    <w:rsid w:val="00271124"/>
    <w:rsid w:val="00271BB8"/>
    <w:rsid w:val="002732A0"/>
    <w:rsid w:val="002740AF"/>
    <w:rsid w:val="0027667D"/>
    <w:rsid w:val="0027668D"/>
    <w:rsid w:val="00285D09"/>
    <w:rsid w:val="002862E1"/>
    <w:rsid w:val="00292231"/>
    <w:rsid w:val="002947A9"/>
    <w:rsid w:val="00295091"/>
    <w:rsid w:val="0029671B"/>
    <w:rsid w:val="002A00CA"/>
    <w:rsid w:val="002A3A57"/>
    <w:rsid w:val="002B3162"/>
    <w:rsid w:val="002D4A46"/>
    <w:rsid w:val="002D5E12"/>
    <w:rsid w:val="002E6238"/>
    <w:rsid w:val="002F1CF0"/>
    <w:rsid w:val="002F21DC"/>
    <w:rsid w:val="002F26F6"/>
    <w:rsid w:val="00304750"/>
    <w:rsid w:val="00304883"/>
    <w:rsid w:val="00304CE2"/>
    <w:rsid w:val="00312ED4"/>
    <w:rsid w:val="0031403E"/>
    <w:rsid w:val="00315163"/>
    <w:rsid w:val="00315F55"/>
    <w:rsid w:val="003353BF"/>
    <w:rsid w:val="0034388B"/>
    <w:rsid w:val="00347265"/>
    <w:rsid w:val="00353582"/>
    <w:rsid w:val="00360832"/>
    <w:rsid w:val="00360C7B"/>
    <w:rsid w:val="00361878"/>
    <w:rsid w:val="0036405A"/>
    <w:rsid w:val="00364866"/>
    <w:rsid w:val="003706E2"/>
    <w:rsid w:val="00371413"/>
    <w:rsid w:val="00376CB2"/>
    <w:rsid w:val="00377018"/>
    <w:rsid w:val="00386E8F"/>
    <w:rsid w:val="003874A1"/>
    <w:rsid w:val="00391908"/>
    <w:rsid w:val="00393824"/>
    <w:rsid w:val="00395FE0"/>
    <w:rsid w:val="003A29A8"/>
    <w:rsid w:val="003A4F61"/>
    <w:rsid w:val="003A60E3"/>
    <w:rsid w:val="003A66D8"/>
    <w:rsid w:val="003B0C4D"/>
    <w:rsid w:val="003B17C5"/>
    <w:rsid w:val="003B2756"/>
    <w:rsid w:val="003B4C34"/>
    <w:rsid w:val="003C507D"/>
    <w:rsid w:val="003E5C69"/>
    <w:rsid w:val="003E7A34"/>
    <w:rsid w:val="003F1805"/>
    <w:rsid w:val="003F2839"/>
    <w:rsid w:val="003F4135"/>
    <w:rsid w:val="00401846"/>
    <w:rsid w:val="00406C51"/>
    <w:rsid w:val="004130D9"/>
    <w:rsid w:val="00414FB6"/>
    <w:rsid w:val="00415BE9"/>
    <w:rsid w:val="00420EF7"/>
    <w:rsid w:val="00421B0B"/>
    <w:rsid w:val="00425CA6"/>
    <w:rsid w:val="004332F0"/>
    <w:rsid w:val="00442184"/>
    <w:rsid w:val="00445E8D"/>
    <w:rsid w:val="004564D9"/>
    <w:rsid w:val="004616F6"/>
    <w:rsid w:val="004662A4"/>
    <w:rsid w:val="00466F20"/>
    <w:rsid w:val="0047153A"/>
    <w:rsid w:val="004859BA"/>
    <w:rsid w:val="0049073F"/>
    <w:rsid w:val="00491EB5"/>
    <w:rsid w:val="004956BD"/>
    <w:rsid w:val="0049743E"/>
    <w:rsid w:val="004A08F1"/>
    <w:rsid w:val="004B2597"/>
    <w:rsid w:val="004B4041"/>
    <w:rsid w:val="004B50AE"/>
    <w:rsid w:val="004C0102"/>
    <w:rsid w:val="004C0719"/>
    <w:rsid w:val="004C5012"/>
    <w:rsid w:val="004C5840"/>
    <w:rsid w:val="004C7FC4"/>
    <w:rsid w:val="004D0A67"/>
    <w:rsid w:val="004E4054"/>
    <w:rsid w:val="004E73B7"/>
    <w:rsid w:val="004F21E7"/>
    <w:rsid w:val="004F372D"/>
    <w:rsid w:val="004F4C1D"/>
    <w:rsid w:val="00502F31"/>
    <w:rsid w:val="00503992"/>
    <w:rsid w:val="00503B4C"/>
    <w:rsid w:val="005049A2"/>
    <w:rsid w:val="00505431"/>
    <w:rsid w:val="0050795E"/>
    <w:rsid w:val="00511565"/>
    <w:rsid w:val="0051396A"/>
    <w:rsid w:val="00516073"/>
    <w:rsid w:val="00517C89"/>
    <w:rsid w:val="00524FBA"/>
    <w:rsid w:val="00526B56"/>
    <w:rsid w:val="00533411"/>
    <w:rsid w:val="005466E2"/>
    <w:rsid w:val="00546845"/>
    <w:rsid w:val="00557EB9"/>
    <w:rsid w:val="0056233D"/>
    <w:rsid w:val="005644E4"/>
    <w:rsid w:val="00567A1B"/>
    <w:rsid w:val="00584926"/>
    <w:rsid w:val="00591E04"/>
    <w:rsid w:val="005A0FAD"/>
    <w:rsid w:val="005A7C8B"/>
    <w:rsid w:val="005B4B40"/>
    <w:rsid w:val="005B4EB0"/>
    <w:rsid w:val="005B5690"/>
    <w:rsid w:val="005C0B53"/>
    <w:rsid w:val="005C2BFC"/>
    <w:rsid w:val="005C49CC"/>
    <w:rsid w:val="005C6942"/>
    <w:rsid w:val="005D0710"/>
    <w:rsid w:val="005D2825"/>
    <w:rsid w:val="005E3DF9"/>
    <w:rsid w:val="005E5939"/>
    <w:rsid w:val="005F08BB"/>
    <w:rsid w:val="005F0AA4"/>
    <w:rsid w:val="005F1305"/>
    <w:rsid w:val="005F2B9B"/>
    <w:rsid w:val="005F6309"/>
    <w:rsid w:val="005F6F1C"/>
    <w:rsid w:val="005F6FCD"/>
    <w:rsid w:val="00601E3A"/>
    <w:rsid w:val="00607381"/>
    <w:rsid w:val="006073EC"/>
    <w:rsid w:val="00617A7A"/>
    <w:rsid w:val="00620DA7"/>
    <w:rsid w:val="00622B29"/>
    <w:rsid w:val="00622C61"/>
    <w:rsid w:val="0063172C"/>
    <w:rsid w:val="00635D77"/>
    <w:rsid w:val="00641EC1"/>
    <w:rsid w:val="006427E2"/>
    <w:rsid w:val="00654646"/>
    <w:rsid w:val="00656F05"/>
    <w:rsid w:val="00670B0E"/>
    <w:rsid w:val="0067395D"/>
    <w:rsid w:val="00675198"/>
    <w:rsid w:val="006762BD"/>
    <w:rsid w:val="00680B00"/>
    <w:rsid w:val="006829FE"/>
    <w:rsid w:val="0068743F"/>
    <w:rsid w:val="006A2149"/>
    <w:rsid w:val="006A7C1D"/>
    <w:rsid w:val="006B2C9E"/>
    <w:rsid w:val="006B639F"/>
    <w:rsid w:val="006B7FC9"/>
    <w:rsid w:val="006C0F26"/>
    <w:rsid w:val="006C23A2"/>
    <w:rsid w:val="006C5D85"/>
    <w:rsid w:val="006C6A66"/>
    <w:rsid w:val="006D0D49"/>
    <w:rsid w:val="006D4AC5"/>
    <w:rsid w:val="006D5248"/>
    <w:rsid w:val="006D572F"/>
    <w:rsid w:val="006D6E51"/>
    <w:rsid w:val="006E6D04"/>
    <w:rsid w:val="00701CC3"/>
    <w:rsid w:val="00702224"/>
    <w:rsid w:val="00705C5C"/>
    <w:rsid w:val="00705DCF"/>
    <w:rsid w:val="0071434C"/>
    <w:rsid w:val="00734AB5"/>
    <w:rsid w:val="007508BE"/>
    <w:rsid w:val="0075476C"/>
    <w:rsid w:val="00755970"/>
    <w:rsid w:val="00757273"/>
    <w:rsid w:val="007605DB"/>
    <w:rsid w:val="0076594B"/>
    <w:rsid w:val="00780BEF"/>
    <w:rsid w:val="00781A5C"/>
    <w:rsid w:val="007839BC"/>
    <w:rsid w:val="00792FAB"/>
    <w:rsid w:val="00793630"/>
    <w:rsid w:val="00795A76"/>
    <w:rsid w:val="00795F33"/>
    <w:rsid w:val="00796974"/>
    <w:rsid w:val="007A1E64"/>
    <w:rsid w:val="007A3B5A"/>
    <w:rsid w:val="007A47AE"/>
    <w:rsid w:val="007B2139"/>
    <w:rsid w:val="007B364D"/>
    <w:rsid w:val="007B4A78"/>
    <w:rsid w:val="007B7B1F"/>
    <w:rsid w:val="007B7D28"/>
    <w:rsid w:val="007C76AA"/>
    <w:rsid w:val="007D015E"/>
    <w:rsid w:val="007D0AB5"/>
    <w:rsid w:val="007D25BE"/>
    <w:rsid w:val="007D3523"/>
    <w:rsid w:val="007D3C76"/>
    <w:rsid w:val="007E2B20"/>
    <w:rsid w:val="007E3556"/>
    <w:rsid w:val="007F49B9"/>
    <w:rsid w:val="007F7D62"/>
    <w:rsid w:val="008257E5"/>
    <w:rsid w:val="008363D4"/>
    <w:rsid w:val="008374CF"/>
    <w:rsid w:val="00837AE4"/>
    <w:rsid w:val="00842EE8"/>
    <w:rsid w:val="00847622"/>
    <w:rsid w:val="00851286"/>
    <w:rsid w:val="00854331"/>
    <w:rsid w:val="00870FB8"/>
    <w:rsid w:val="0087139A"/>
    <w:rsid w:val="00872149"/>
    <w:rsid w:val="0087251F"/>
    <w:rsid w:val="0088000B"/>
    <w:rsid w:val="00882363"/>
    <w:rsid w:val="00895206"/>
    <w:rsid w:val="00897259"/>
    <w:rsid w:val="008A005F"/>
    <w:rsid w:val="008A1974"/>
    <w:rsid w:val="008B1065"/>
    <w:rsid w:val="008B44E2"/>
    <w:rsid w:val="008B4C94"/>
    <w:rsid w:val="008B4F07"/>
    <w:rsid w:val="008C15D6"/>
    <w:rsid w:val="008C4CB9"/>
    <w:rsid w:val="008C6B0B"/>
    <w:rsid w:val="008C73F8"/>
    <w:rsid w:val="008C7935"/>
    <w:rsid w:val="008D5A40"/>
    <w:rsid w:val="008D5F9B"/>
    <w:rsid w:val="008E00B1"/>
    <w:rsid w:val="008E1131"/>
    <w:rsid w:val="008E3FB3"/>
    <w:rsid w:val="008E5CF6"/>
    <w:rsid w:val="008F0E5D"/>
    <w:rsid w:val="008F356C"/>
    <w:rsid w:val="008F431F"/>
    <w:rsid w:val="008F6194"/>
    <w:rsid w:val="0090034F"/>
    <w:rsid w:val="00905E20"/>
    <w:rsid w:val="0091552A"/>
    <w:rsid w:val="0092047B"/>
    <w:rsid w:val="009209BC"/>
    <w:rsid w:val="00922C0F"/>
    <w:rsid w:val="00923BAF"/>
    <w:rsid w:val="00925F01"/>
    <w:rsid w:val="00926ECF"/>
    <w:rsid w:val="009271CE"/>
    <w:rsid w:val="0093095F"/>
    <w:rsid w:val="00930DDB"/>
    <w:rsid w:val="00930ED8"/>
    <w:rsid w:val="009374BB"/>
    <w:rsid w:val="009423DF"/>
    <w:rsid w:val="00942AA5"/>
    <w:rsid w:val="00943142"/>
    <w:rsid w:val="00945F1C"/>
    <w:rsid w:val="00946762"/>
    <w:rsid w:val="009468A8"/>
    <w:rsid w:val="009518DA"/>
    <w:rsid w:val="00957249"/>
    <w:rsid w:val="009630C0"/>
    <w:rsid w:val="00963B13"/>
    <w:rsid w:val="0097198F"/>
    <w:rsid w:val="00972E46"/>
    <w:rsid w:val="0097351D"/>
    <w:rsid w:val="00982EBE"/>
    <w:rsid w:val="00985500"/>
    <w:rsid w:val="009864F8"/>
    <w:rsid w:val="0099233F"/>
    <w:rsid w:val="00996FCC"/>
    <w:rsid w:val="009A2F84"/>
    <w:rsid w:val="009A4505"/>
    <w:rsid w:val="009A4831"/>
    <w:rsid w:val="009A5CBC"/>
    <w:rsid w:val="009B49B9"/>
    <w:rsid w:val="009B6E0A"/>
    <w:rsid w:val="009C329A"/>
    <w:rsid w:val="009C5297"/>
    <w:rsid w:val="009D5033"/>
    <w:rsid w:val="009D639A"/>
    <w:rsid w:val="009E04B8"/>
    <w:rsid w:val="009E07EB"/>
    <w:rsid w:val="009E25C2"/>
    <w:rsid w:val="009E6431"/>
    <w:rsid w:val="009E6E97"/>
    <w:rsid w:val="009F0B6C"/>
    <w:rsid w:val="009F5412"/>
    <w:rsid w:val="00A00F8A"/>
    <w:rsid w:val="00A04A42"/>
    <w:rsid w:val="00A06D79"/>
    <w:rsid w:val="00A10306"/>
    <w:rsid w:val="00A12079"/>
    <w:rsid w:val="00A156E9"/>
    <w:rsid w:val="00A20EF0"/>
    <w:rsid w:val="00A2301F"/>
    <w:rsid w:val="00A23576"/>
    <w:rsid w:val="00A24ACF"/>
    <w:rsid w:val="00A27215"/>
    <w:rsid w:val="00A36323"/>
    <w:rsid w:val="00A37C17"/>
    <w:rsid w:val="00A37E78"/>
    <w:rsid w:val="00A40385"/>
    <w:rsid w:val="00A524B5"/>
    <w:rsid w:val="00A5279B"/>
    <w:rsid w:val="00A5366F"/>
    <w:rsid w:val="00A561E3"/>
    <w:rsid w:val="00A573DF"/>
    <w:rsid w:val="00A60DF2"/>
    <w:rsid w:val="00A64326"/>
    <w:rsid w:val="00A64A2F"/>
    <w:rsid w:val="00A812F2"/>
    <w:rsid w:val="00A8240B"/>
    <w:rsid w:val="00A83AD2"/>
    <w:rsid w:val="00A8439F"/>
    <w:rsid w:val="00A85002"/>
    <w:rsid w:val="00A873A4"/>
    <w:rsid w:val="00A905D6"/>
    <w:rsid w:val="00AA2769"/>
    <w:rsid w:val="00AA66C9"/>
    <w:rsid w:val="00AB67CB"/>
    <w:rsid w:val="00AB69CC"/>
    <w:rsid w:val="00AB6BFA"/>
    <w:rsid w:val="00AB7019"/>
    <w:rsid w:val="00AC1C04"/>
    <w:rsid w:val="00AC3CEA"/>
    <w:rsid w:val="00AC3E8F"/>
    <w:rsid w:val="00AC4302"/>
    <w:rsid w:val="00AC458F"/>
    <w:rsid w:val="00AC4CAF"/>
    <w:rsid w:val="00AC4F58"/>
    <w:rsid w:val="00AC7C76"/>
    <w:rsid w:val="00AD5DD6"/>
    <w:rsid w:val="00AE1728"/>
    <w:rsid w:val="00AE5F0A"/>
    <w:rsid w:val="00AF301B"/>
    <w:rsid w:val="00AF32A3"/>
    <w:rsid w:val="00AF3943"/>
    <w:rsid w:val="00AF440F"/>
    <w:rsid w:val="00B01E66"/>
    <w:rsid w:val="00B04DBD"/>
    <w:rsid w:val="00B07B4E"/>
    <w:rsid w:val="00B1281C"/>
    <w:rsid w:val="00B14B9D"/>
    <w:rsid w:val="00B24CF1"/>
    <w:rsid w:val="00B33B57"/>
    <w:rsid w:val="00B33E01"/>
    <w:rsid w:val="00B35FA3"/>
    <w:rsid w:val="00B36755"/>
    <w:rsid w:val="00B37811"/>
    <w:rsid w:val="00B41A83"/>
    <w:rsid w:val="00B43817"/>
    <w:rsid w:val="00B51F81"/>
    <w:rsid w:val="00B52001"/>
    <w:rsid w:val="00B541BA"/>
    <w:rsid w:val="00B54FDF"/>
    <w:rsid w:val="00B55827"/>
    <w:rsid w:val="00B55D54"/>
    <w:rsid w:val="00B57434"/>
    <w:rsid w:val="00B62455"/>
    <w:rsid w:val="00B65B8B"/>
    <w:rsid w:val="00B745F4"/>
    <w:rsid w:val="00B842C4"/>
    <w:rsid w:val="00B91F0A"/>
    <w:rsid w:val="00B92F99"/>
    <w:rsid w:val="00B9576E"/>
    <w:rsid w:val="00B96A52"/>
    <w:rsid w:val="00BA0CA6"/>
    <w:rsid w:val="00BA48F7"/>
    <w:rsid w:val="00BA49F1"/>
    <w:rsid w:val="00BA4F29"/>
    <w:rsid w:val="00BA594D"/>
    <w:rsid w:val="00BB0944"/>
    <w:rsid w:val="00BB2B5A"/>
    <w:rsid w:val="00BB404A"/>
    <w:rsid w:val="00BB5382"/>
    <w:rsid w:val="00BB611C"/>
    <w:rsid w:val="00BD151E"/>
    <w:rsid w:val="00BD4257"/>
    <w:rsid w:val="00BE29DB"/>
    <w:rsid w:val="00BE512E"/>
    <w:rsid w:val="00BF3CAD"/>
    <w:rsid w:val="00BF6934"/>
    <w:rsid w:val="00C00491"/>
    <w:rsid w:val="00C026B9"/>
    <w:rsid w:val="00C03AA9"/>
    <w:rsid w:val="00C03EC5"/>
    <w:rsid w:val="00C07669"/>
    <w:rsid w:val="00C1383C"/>
    <w:rsid w:val="00C138B5"/>
    <w:rsid w:val="00C1421C"/>
    <w:rsid w:val="00C24B57"/>
    <w:rsid w:val="00C40BE2"/>
    <w:rsid w:val="00C430EF"/>
    <w:rsid w:val="00C43B12"/>
    <w:rsid w:val="00C5209E"/>
    <w:rsid w:val="00C5411F"/>
    <w:rsid w:val="00C54177"/>
    <w:rsid w:val="00C548BB"/>
    <w:rsid w:val="00C55352"/>
    <w:rsid w:val="00C720B4"/>
    <w:rsid w:val="00C80E91"/>
    <w:rsid w:val="00C817F1"/>
    <w:rsid w:val="00C839D2"/>
    <w:rsid w:val="00C84847"/>
    <w:rsid w:val="00C8514C"/>
    <w:rsid w:val="00C85CF7"/>
    <w:rsid w:val="00C90B47"/>
    <w:rsid w:val="00C91CEF"/>
    <w:rsid w:val="00C95A03"/>
    <w:rsid w:val="00CA5A60"/>
    <w:rsid w:val="00CB5065"/>
    <w:rsid w:val="00CB59E2"/>
    <w:rsid w:val="00CC349B"/>
    <w:rsid w:val="00CF0111"/>
    <w:rsid w:val="00CF2483"/>
    <w:rsid w:val="00CF40E5"/>
    <w:rsid w:val="00D01030"/>
    <w:rsid w:val="00D023DC"/>
    <w:rsid w:val="00D105A1"/>
    <w:rsid w:val="00D17B46"/>
    <w:rsid w:val="00D21774"/>
    <w:rsid w:val="00D23A8A"/>
    <w:rsid w:val="00D25923"/>
    <w:rsid w:val="00D32DBE"/>
    <w:rsid w:val="00D379C2"/>
    <w:rsid w:val="00D42C5D"/>
    <w:rsid w:val="00D45D88"/>
    <w:rsid w:val="00D466B0"/>
    <w:rsid w:val="00D47690"/>
    <w:rsid w:val="00D478D9"/>
    <w:rsid w:val="00D50150"/>
    <w:rsid w:val="00D53073"/>
    <w:rsid w:val="00D560DC"/>
    <w:rsid w:val="00D56F7D"/>
    <w:rsid w:val="00D578D2"/>
    <w:rsid w:val="00D60F9D"/>
    <w:rsid w:val="00D62DA5"/>
    <w:rsid w:val="00D70890"/>
    <w:rsid w:val="00D73F15"/>
    <w:rsid w:val="00D75245"/>
    <w:rsid w:val="00D9387A"/>
    <w:rsid w:val="00D94B1D"/>
    <w:rsid w:val="00DA352E"/>
    <w:rsid w:val="00DA490A"/>
    <w:rsid w:val="00DA767A"/>
    <w:rsid w:val="00DB0C1C"/>
    <w:rsid w:val="00DB10BF"/>
    <w:rsid w:val="00DC4ACA"/>
    <w:rsid w:val="00DC5845"/>
    <w:rsid w:val="00DC5AD4"/>
    <w:rsid w:val="00DC6DF2"/>
    <w:rsid w:val="00DE25F8"/>
    <w:rsid w:val="00DE76BC"/>
    <w:rsid w:val="00DF5774"/>
    <w:rsid w:val="00DF6493"/>
    <w:rsid w:val="00E04F06"/>
    <w:rsid w:val="00E0778D"/>
    <w:rsid w:val="00E145CA"/>
    <w:rsid w:val="00E21DE1"/>
    <w:rsid w:val="00E21FD7"/>
    <w:rsid w:val="00E25100"/>
    <w:rsid w:val="00E2518C"/>
    <w:rsid w:val="00E2555E"/>
    <w:rsid w:val="00E25BB6"/>
    <w:rsid w:val="00E26FEB"/>
    <w:rsid w:val="00E4024C"/>
    <w:rsid w:val="00E42A72"/>
    <w:rsid w:val="00E4778B"/>
    <w:rsid w:val="00E64388"/>
    <w:rsid w:val="00E724CF"/>
    <w:rsid w:val="00E75FDF"/>
    <w:rsid w:val="00E9157D"/>
    <w:rsid w:val="00E97661"/>
    <w:rsid w:val="00EA06CD"/>
    <w:rsid w:val="00EA5C81"/>
    <w:rsid w:val="00EB3DE7"/>
    <w:rsid w:val="00EB7BC9"/>
    <w:rsid w:val="00EC171D"/>
    <w:rsid w:val="00EC6F04"/>
    <w:rsid w:val="00ED016E"/>
    <w:rsid w:val="00ED3D4D"/>
    <w:rsid w:val="00ED4275"/>
    <w:rsid w:val="00ED5161"/>
    <w:rsid w:val="00ED7FC9"/>
    <w:rsid w:val="00EE524E"/>
    <w:rsid w:val="00EF5F30"/>
    <w:rsid w:val="00F010BC"/>
    <w:rsid w:val="00F059BD"/>
    <w:rsid w:val="00F05CA3"/>
    <w:rsid w:val="00F07370"/>
    <w:rsid w:val="00F10102"/>
    <w:rsid w:val="00F1150D"/>
    <w:rsid w:val="00F13FAD"/>
    <w:rsid w:val="00F14C66"/>
    <w:rsid w:val="00F14FE1"/>
    <w:rsid w:val="00F22DC4"/>
    <w:rsid w:val="00F24A46"/>
    <w:rsid w:val="00F2592F"/>
    <w:rsid w:val="00F3089E"/>
    <w:rsid w:val="00F41B56"/>
    <w:rsid w:val="00F436A4"/>
    <w:rsid w:val="00F50EEF"/>
    <w:rsid w:val="00F52A5C"/>
    <w:rsid w:val="00F5713F"/>
    <w:rsid w:val="00F577B8"/>
    <w:rsid w:val="00F62035"/>
    <w:rsid w:val="00F662C9"/>
    <w:rsid w:val="00F6665B"/>
    <w:rsid w:val="00F703F8"/>
    <w:rsid w:val="00F71311"/>
    <w:rsid w:val="00F71A56"/>
    <w:rsid w:val="00F72360"/>
    <w:rsid w:val="00F73D61"/>
    <w:rsid w:val="00F766FF"/>
    <w:rsid w:val="00F77F37"/>
    <w:rsid w:val="00F81051"/>
    <w:rsid w:val="00F978C2"/>
    <w:rsid w:val="00FA033B"/>
    <w:rsid w:val="00FA578A"/>
    <w:rsid w:val="00FA67F2"/>
    <w:rsid w:val="00FA6BFC"/>
    <w:rsid w:val="00FA7195"/>
    <w:rsid w:val="00FB4246"/>
    <w:rsid w:val="00FC33A9"/>
    <w:rsid w:val="00FD0F42"/>
    <w:rsid w:val="00FD12C7"/>
    <w:rsid w:val="00FD160F"/>
    <w:rsid w:val="00FD758B"/>
    <w:rsid w:val="00FE3931"/>
    <w:rsid w:val="00FF00E7"/>
    <w:rsid w:val="00FF39FD"/>
    <w:rsid w:val="00FF5296"/>
    <w:rsid w:val="00FF5605"/>
    <w:rsid w:val="01050F22"/>
    <w:rsid w:val="014A4B87"/>
    <w:rsid w:val="0224362A"/>
    <w:rsid w:val="02565064"/>
    <w:rsid w:val="02CB7559"/>
    <w:rsid w:val="036068E4"/>
    <w:rsid w:val="049F51EA"/>
    <w:rsid w:val="04F05330"/>
    <w:rsid w:val="055A7363"/>
    <w:rsid w:val="05755D10"/>
    <w:rsid w:val="058A7C48"/>
    <w:rsid w:val="05A35726"/>
    <w:rsid w:val="05FE4192"/>
    <w:rsid w:val="05FE5C3A"/>
    <w:rsid w:val="060F6696"/>
    <w:rsid w:val="065F4B37"/>
    <w:rsid w:val="06622973"/>
    <w:rsid w:val="06C4362D"/>
    <w:rsid w:val="073D7647"/>
    <w:rsid w:val="07862691"/>
    <w:rsid w:val="07FE7AC6"/>
    <w:rsid w:val="08002443"/>
    <w:rsid w:val="08135DD7"/>
    <w:rsid w:val="085C6899"/>
    <w:rsid w:val="08E104C7"/>
    <w:rsid w:val="096207EF"/>
    <w:rsid w:val="09AC346D"/>
    <w:rsid w:val="09DC6B50"/>
    <w:rsid w:val="0A283FD4"/>
    <w:rsid w:val="0A287A2F"/>
    <w:rsid w:val="0BBE4954"/>
    <w:rsid w:val="0C19141A"/>
    <w:rsid w:val="0C937D2A"/>
    <w:rsid w:val="0C945850"/>
    <w:rsid w:val="0D35493D"/>
    <w:rsid w:val="0D847E39"/>
    <w:rsid w:val="0DDE75AF"/>
    <w:rsid w:val="0DEB4982"/>
    <w:rsid w:val="0E177DB4"/>
    <w:rsid w:val="0E3A7EF6"/>
    <w:rsid w:val="0E7771D7"/>
    <w:rsid w:val="0ECE329B"/>
    <w:rsid w:val="0F0E19B1"/>
    <w:rsid w:val="0F756041"/>
    <w:rsid w:val="0F984E8D"/>
    <w:rsid w:val="0FAE6C29"/>
    <w:rsid w:val="0FE268D2"/>
    <w:rsid w:val="0FF02D9D"/>
    <w:rsid w:val="0FF76461"/>
    <w:rsid w:val="1042042E"/>
    <w:rsid w:val="10C0356C"/>
    <w:rsid w:val="10C466DE"/>
    <w:rsid w:val="10E5667A"/>
    <w:rsid w:val="111F3869"/>
    <w:rsid w:val="11712707"/>
    <w:rsid w:val="117C68F9"/>
    <w:rsid w:val="11A02710"/>
    <w:rsid w:val="11CC0E41"/>
    <w:rsid w:val="11DE03FE"/>
    <w:rsid w:val="11DE5F31"/>
    <w:rsid w:val="12375B71"/>
    <w:rsid w:val="12855BBF"/>
    <w:rsid w:val="12E50B75"/>
    <w:rsid w:val="130D1EB8"/>
    <w:rsid w:val="13301948"/>
    <w:rsid w:val="134E57BA"/>
    <w:rsid w:val="135E44C2"/>
    <w:rsid w:val="13CD0840"/>
    <w:rsid w:val="13CE1647"/>
    <w:rsid w:val="13F90EA8"/>
    <w:rsid w:val="14B22D17"/>
    <w:rsid w:val="15215E1A"/>
    <w:rsid w:val="154C755A"/>
    <w:rsid w:val="15590B5F"/>
    <w:rsid w:val="157955E3"/>
    <w:rsid w:val="158721E5"/>
    <w:rsid w:val="163753C9"/>
    <w:rsid w:val="16CA3CE6"/>
    <w:rsid w:val="1772485E"/>
    <w:rsid w:val="177D4EC7"/>
    <w:rsid w:val="17986848"/>
    <w:rsid w:val="17B03764"/>
    <w:rsid w:val="17F536DC"/>
    <w:rsid w:val="18185587"/>
    <w:rsid w:val="187B0A12"/>
    <w:rsid w:val="18B359C5"/>
    <w:rsid w:val="18E637D6"/>
    <w:rsid w:val="18FC0A05"/>
    <w:rsid w:val="19551E2D"/>
    <w:rsid w:val="19D5497B"/>
    <w:rsid w:val="1B06199E"/>
    <w:rsid w:val="1B7075AD"/>
    <w:rsid w:val="1B860A99"/>
    <w:rsid w:val="1C1F4874"/>
    <w:rsid w:val="1C3E3F31"/>
    <w:rsid w:val="1C532879"/>
    <w:rsid w:val="1C676ADD"/>
    <w:rsid w:val="1D1D0F4A"/>
    <w:rsid w:val="1D230C56"/>
    <w:rsid w:val="1D554B87"/>
    <w:rsid w:val="1DF95513"/>
    <w:rsid w:val="1E960FB4"/>
    <w:rsid w:val="1EBD608F"/>
    <w:rsid w:val="1F0F41F0"/>
    <w:rsid w:val="1F5A1EB7"/>
    <w:rsid w:val="1F5F3A9B"/>
    <w:rsid w:val="1F7233D5"/>
    <w:rsid w:val="20F06820"/>
    <w:rsid w:val="2131530E"/>
    <w:rsid w:val="2216237D"/>
    <w:rsid w:val="22431452"/>
    <w:rsid w:val="2284498A"/>
    <w:rsid w:val="22ED4B08"/>
    <w:rsid w:val="233C481F"/>
    <w:rsid w:val="248046D8"/>
    <w:rsid w:val="24BD16AB"/>
    <w:rsid w:val="24D32F62"/>
    <w:rsid w:val="24E11174"/>
    <w:rsid w:val="255816B9"/>
    <w:rsid w:val="26240F85"/>
    <w:rsid w:val="26325A66"/>
    <w:rsid w:val="27785933"/>
    <w:rsid w:val="277924A6"/>
    <w:rsid w:val="27BD3F01"/>
    <w:rsid w:val="28235FAE"/>
    <w:rsid w:val="283E5914"/>
    <w:rsid w:val="28672083"/>
    <w:rsid w:val="28B906C0"/>
    <w:rsid w:val="28C9682E"/>
    <w:rsid w:val="28D42E04"/>
    <w:rsid w:val="28D870B1"/>
    <w:rsid w:val="28ED3EC6"/>
    <w:rsid w:val="29A45E3F"/>
    <w:rsid w:val="29D46E34"/>
    <w:rsid w:val="29F54CD2"/>
    <w:rsid w:val="2A04596B"/>
    <w:rsid w:val="2A0D15E4"/>
    <w:rsid w:val="2AEF03C9"/>
    <w:rsid w:val="2B1C4262"/>
    <w:rsid w:val="2B746468"/>
    <w:rsid w:val="2B99032D"/>
    <w:rsid w:val="2BA32F62"/>
    <w:rsid w:val="2BD4136D"/>
    <w:rsid w:val="2BD63337"/>
    <w:rsid w:val="2C424529"/>
    <w:rsid w:val="2C6D0CF3"/>
    <w:rsid w:val="2C923702"/>
    <w:rsid w:val="2CB35427"/>
    <w:rsid w:val="2CC36D92"/>
    <w:rsid w:val="2CF63CCC"/>
    <w:rsid w:val="2D0422A3"/>
    <w:rsid w:val="2D090620"/>
    <w:rsid w:val="2D3E11C8"/>
    <w:rsid w:val="2D8F00A7"/>
    <w:rsid w:val="2DB31B82"/>
    <w:rsid w:val="2DFF6B75"/>
    <w:rsid w:val="2E0B376C"/>
    <w:rsid w:val="2E2D0A6B"/>
    <w:rsid w:val="2E5D564A"/>
    <w:rsid w:val="2E78505A"/>
    <w:rsid w:val="2EAA54CD"/>
    <w:rsid w:val="2ED32D39"/>
    <w:rsid w:val="2EFC3AB9"/>
    <w:rsid w:val="2F4D69A6"/>
    <w:rsid w:val="2F5268C1"/>
    <w:rsid w:val="30F73331"/>
    <w:rsid w:val="31655E3B"/>
    <w:rsid w:val="31853836"/>
    <w:rsid w:val="318A49A8"/>
    <w:rsid w:val="3192385D"/>
    <w:rsid w:val="31D64091"/>
    <w:rsid w:val="32096215"/>
    <w:rsid w:val="32292413"/>
    <w:rsid w:val="32382656"/>
    <w:rsid w:val="325E7BE3"/>
    <w:rsid w:val="32881945"/>
    <w:rsid w:val="33030382"/>
    <w:rsid w:val="33353039"/>
    <w:rsid w:val="335164FE"/>
    <w:rsid w:val="345762FD"/>
    <w:rsid w:val="347B994A"/>
    <w:rsid w:val="34F265FD"/>
    <w:rsid w:val="352073D1"/>
    <w:rsid w:val="357E2A76"/>
    <w:rsid w:val="357F536F"/>
    <w:rsid w:val="35B05222"/>
    <w:rsid w:val="35B75BBE"/>
    <w:rsid w:val="363926C2"/>
    <w:rsid w:val="3647730B"/>
    <w:rsid w:val="36D263C4"/>
    <w:rsid w:val="36D609F1"/>
    <w:rsid w:val="36FD5560"/>
    <w:rsid w:val="3702284F"/>
    <w:rsid w:val="37517D16"/>
    <w:rsid w:val="37D72DA0"/>
    <w:rsid w:val="37EE37B7"/>
    <w:rsid w:val="37F60FE9"/>
    <w:rsid w:val="382D0232"/>
    <w:rsid w:val="3860227C"/>
    <w:rsid w:val="38784230"/>
    <w:rsid w:val="387B504A"/>
    <w:rsid w:val="388859B9"/>
    <w:rsid w:val="38BC1624"/>
    <w:rsid w:val="39643D30"/>
    <w:rsid w:val="3A274C17"/>
    <w:rsid w:val="3A5356E1"/>
    <w:rsid w:val="3A617662"/>
    <w:rsid w:val="3AA40859"/>
    <w:rsid w:val="3AB43149"/>
    <w:rsid w:val="3BC1546A"/>
    <w:rsid w:val="3BC72C24"/>
    <w:rsid w:val="3D073351"/>
    <w:rsid w:val="3E674220"/>
    <w:rsid w:val="3E8502AB"/>
    <w:rsid w:val="3F555260"/>
    <w:rsid w:val="3F5C5A01"/>
    <w:rsid w:val="3FBB0422"/>
    <w:rsid w:val="3FE518BE"/>
    <w:rsid w:val="40C95C12"/>
    <w:rsid w:val="412A1D04"/>
    <w:rsid w:val="41AA4BF2"/>
    <w:rsid w:val="41F93484"/>
    <w:rsid w:val="429A23DD"/>
    <w:rsid w:val="42E934F8"/>
    <w:rsid w:val="442137A7"/>
    <w:rsid w:val="44BA339E"/>
    <w:rsid w:val="44D22FEB"/>
    <w:rsid w:val="44DB12E8"/>
    <w:rsid w:val="452D591E"/>
    <w:rsid w:val="45EF49AA"/>
    <w:rsid w:val="47024B89"/>
    <w:rsid w:val="4714323A"/>
    <w:rsid w:val="476A7BB3"/>
    <w:rsid w:val="48502504"/>
    <w:rsid w:val="4851401A"/>
    <w:rsid w:val="48A85B47"/>
    <w:rsid w:val="48B81D2D"/>
    <w:rsid w:val="48B9571B"/>
    <w:rsid w:val="48E649B1"/>
    <w:rsid w:val="496935E7"/>
    <w:rsid w:val="49D4280C"/>
    <w:rsid w:val="4A74435E"/>
    <w:rsid w:val="4B133808"/>
    <w:rsid w:val="4BA426B2"/>
    <w:rsid w:val="4C6F4AF2"/>
    <w:rsid w:val="4CEB0640"/>
    <w:rsid w:val="4CFA7D7E"/>
    <w:rsid w:val="4D114108"/>
    <w:rsid w:val="4D203020"/>
    <w:rsid w:val="4D260EFB"/>
    <w:rsid w:val="4D5B25F7"/>
    <w:rsid w:val="4D775534"/>
    <w:rsid w:val="4D875DE8"/>
    <w:rsid w:val="4DA900E3"/>
    <w:rsid w:val="4EBA13D7"/>
    <w:rsid w:val="4EFC1636"/>
    <w:rsid w:val="4F0C47F7"/>
    <w:rsid w:val="4F126690"/>
    <w:rsid w:val="4F231986"/>
    <w:rsid w:val="4F6C0DB8"/>
    <w:rsid w:val="4FA709C3"/>
    <w:rsid w:val="4FB87CE8"/>
    <w:rsid w:val="4FDF7658"/>
    <w:rsid w:val="4FE37716"/>
    <w:rsid w:val="506B7C43"/>
    <w:rsid w:val="50974594"/>
    <w:rsid w:val="50B9275C"/>
    <w:rsid w:val="5119769F"/>
    <w:rsid w:val="514364CA"/>
    <w:rsid w:val="517D7C2E"/>
    <w:rsid w:val="518666E1"/>
    <w:rsid w:val="52952D55"/>
    <w:rsid w:val="52CA620E"/>
    <w:rsid w:val="53306393"/>
    <w:rsid w:val="533662E6"/>
    <w:rsid w:val="53381D95"/>
    <w:rsid w:val="53A616BE"/>
    <w:rsid w:val="5407449D"/>
    <w:rsid w:val="5411465D"/>
    <w:rsid w:val="549758D6"/>
    <w:rsid w:val="5498646D"/>
    <w:rsid w:val="54AD4386"/>
    <w:rsid w:val="554950DA"/>
    <w:rsid w:val="55610682"/>
    <w:rsid w:val="5563713A"/>
    <w:rsid w:val="556829A3"/>
    <w:rsid w:val="556870AA"/>
    <w:rsid w:val="557430F6"/>
    <w:rsid w:val="55EC5382"/>
    <w:rsid w:val="562C39D0"/>
    <w:rsid w:val="56E9340F"/>
    <w:rsid w:val="56F67587"/>
    <w:rsid w:val="574D281E"/>
    <w:rsid w:val="5792138F"/>
    <w:rsid w:val="581942AD"/>
    <w:rsid w:val="58894E62"/>
    <w:rsid w:val="58B70EBC"/>
    <w:rsid w:val="58BA3146"/>
    <w:rsid w:val="58CD254E"/>
    <w:rsid w:val="58CE0D6F"/>
    <w:rsid w:val="58CF4005"/>
    <w:rsid w:val="58DC4843"/>
    <w:rsid w:val="58FC3B2E"/>
    <w:rsid w:val="594415A8"/>
    <w:rsid w:val="59961EAF"/>
    <w:rsid w:val="5A250E62"/>
    <w:rsid w:val="5A26728B"/>
    <w:rsid w:val="5AC3040C"/>
    <w:rsid w:val="5ADA1C4D"/>
    <w:rsid w:val="5B06072A"/>
    <w:rsid w:val="5B3550D5"/>
    <w:rsid w:val="5B745BFD"/>
    <w:rsid w:val="5C0F7357"/>
    <w:rsid w:val="5C2370B6"/>
    <w:rsid w:val="5C2E0916"/>
    <w:rsid w:val="5C715907"/>
    <w:rsid w:val="5CDF3C0D"/>
    <w:rsid w:val="5D0631CD"/>
    <w:rsid w:val="5DBE305A"/>
    <w:rsid w:val="5DF2592E"/>
    <w:rsid w:val="5E173D9B"/>
    <w:rsid w:val="5EC7073A"/>
    <w:rsid w:val="5FF217E7"/>
    <w:rsid w:val="5FFE018B"/>
    <w:rsid w:val="6099330B"/>
    <w:rsid w:val="60E07891"/>
    <w:rsid w:val="60E94998"/>
    <w:rsid w:val="610A47B8"/>
    <w:rsid w:val="6122160B"/>
    <w:rsid w:val="61314591"/>
    <w:rsid w:val="614F54D2"/>
    <w:rsid w:val="61750921"/>
    <w:rsid w:val="618B5A4F"/>
    <w:rsid w:val="624C1682"/>
    <w:rsid w:val="626E28A7"/>
    <w:rsid w:val="628543B1"/>
    <w:rsid w:val="635822A8"/>
    <w:rsid w:val="638C3549"/>
    <w:rsid w:val="63A92B04"/>
    <w:rsid w:val="63B379DE"/>
    <w:rsid w:val="63CF5B8B"/>
    <w:rsid w:val="64041AE8"/>
    <w:rsid w:val="64136A11"/>
    <w:rsid w:val="64195594"/>
    <w:rsid w:val="648B0FAA"/>
    <w:rsid w:val="64AF5E61"/>
    <w:rsid w:val="64B96D77"/>
    <w:rsid w:val="65120EC6"/>
    <w:rsid w:val="653603C7"/>
    <w:rsid w:val="658C1FA6"/>
    <w:rsid w:val="65D44CCA"/>
    <w:rsid w:val="66D24F47"/>
    <w:rsid w:val="66FE2B29"/>
    <w:rsid w:val="671D5367"/>
    <w:rsid w:val="677925CA"/>
    <w:rsid w:val="67917B37"/>
    <w:rsid w:val="67B657F0"/>
    <w:rsid w:val="67CA7195"/>
    <w:rsid w:val="684B23DC"/>
    <w:rsid w:val="689D1A3B"/>
    <w:rsid w:val="68B25FB7"/>
    <w:rsid w:val="68C9702B"/>
    <w:rsid w:val="698E1A1B"/>
    <w:rsid w:val="698E2580"/>
    <w:rsid w:val="69901D8C"/>
    <w:rsid w:val="69982374"/>
    <w:rsid w:val="69E7596B"/>
    <w:rsid w:val="6A1A3E14"/>
    <w:rsid w:val="6A96200E"/>
    <w:rsid w:val="6B6932A5"/>
    <w:rsid w:val="6BA31E23"/>
    <w:rsid w:val="6BAE515B"/>
    <w:rsid w:val="6BC04E8F"/>
    <w:rsid w:val="6C360CAD"/>
    <w:rsid w:val="6C4B0857"/>
    <w:rsid w:val="6CBD37F6"/>
    <w:rsid w:val="6DAD4F9F"/>
    <w:rsid w:val="6DD62748"/>
    <w:rsid w:val="6DD7112A"/>
    <w:rsid w:val="6E216668"/>
    <w:rsid w:val="6E2F6C77"/>
    <w:rsid w:val="6E6B7334"/>
    <w:rsid w:val="6E781A51"/>
    <w:rsid w:val="6EBA6930"/>
    <w:rsid w:val="6F103A37"/>
    <w:rsid w:val="6F423A6A"/>
    <w:rsid w:val="6F4417EA"/>
    <w:rsid w:val="6F460345"/>
    <w:rsid w:val="6F6D22A6"/>
    <w:rsid w:val="6FB26B0B"/>
    <w:rsid w:val="6FB865A9"/>
    <w:rsid w:val="6FD9207B"/>
    <w:rsid w:val="6FE25E2D"/>
    <w:rsid w:val="70231548"/>
    <w:rsid w:val="704735F8"/>
    <w:rsid w:val="70490BA1"/>
    <w:rsid w:val="704C669B"/>
    <w:rsid w:val="7063448F"/>
    <w:rsid w:val="707F2C23"/>
    <w:rsid w:val="70ED7F09"/>
    <w:rsid w:val="70F25AEA"/>
    <w:rsid w:val="710F307D"/>
    <w:rsid w:val="71B76065"/>
    <w:rsid w:val="71C06754"/>
    <w:rsid w:val="721153D7"/>
    <w:rsid w:val="72570A36"/>
    <w:rsid w:val="72646574"/>
    <w:rsid w:val="7271076B"/>
    <w:rsid w:val="728F3F55"/>
    <w:rsid w:val="72A44BC2"/>
    <w:rsid w:val="72CC236B"/>
    <w:rsid w:val="72DA6836"/>
    <w:rsid w:val="73533EAF"/>
    <w:rsid w:val="735A0995"/>
    <w:rsid w:val="7376394C"/>
    <w:rsid w:val="73993FFB"/>
    <w:rsid w:val="74A76BEC"/>
    <w:rsid w:val="75474E11"/>
    <w:rsid w:val="75556648"/>
    <w:rsid w:val="75865DEE"/>
    <w:rsid w:val="75A8474E"/>
    <w:rsid w:val="75B3511C"/>
    <w:rsid w:val="764652E2"/>
    <w:rsid w:val="76E556A0"/>
    <w:rsid w:val="775766A7"/>
    <w:rsid w:val="77B05DB7"/>
    <w:rsid w:val="77F84F7A"/>
    <w:rsid w:val="7811525D"/>
    <w:rsid w:val="781A76D5"/>
    <w:rsid w:val="785D43B4"/>
    <w:rsid w:val="7883527A"/>
    <w:rsid w:val="789E4501"/>
    <w:rsid w:val="790243F1"/>
    <w:rsid w:val="793C2330"/>
    <w:rsid w:val="798C63B0"/>
    <w:rsid w:val="7A326409"/>
    <w:rsid w:val="7A684727"/>
    <w:rsid w:val="7A693667"/>
    <w:rsid w:val="7A6D1FE3"/>
    <w:rsid w:val="7A792DD8"/>
    <w:rsid w:val="7ADE01B6"/>
    <w:rsid w:val="7B821819"/>
    <w:rsid w:val="7C1F350C"/>
    <w:rsid w:val="7C310E84"/>
    <w:rsid w:val="7C5E6574"/>
    <w:rsid w:val="7C776EA4"/>
    <w:rsid w:val="7CB263ED"/>
    <w:rsid w:val="7CB2717C"/>
    <w:rsid w:val="7CB35F23"/>
    <w:rsid w:val="7CCC3693"/>
    <w:rsid w:val="7D1058BF"/>
    <w:rsid w:val="7D360B0D"/>
    <w:rsid w:val="7DA147E1"/>
    <w:rsid w:val="7DCF629C"/>
    <w:rsid w:val="7ED625A7"/>
    <w:rsid w:val="7FA82B9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7"/>
    <w:qFormat/>
    <w:uiPriority w:val="0"/>
    <w:pPr>
      <w:keepNext/>
      <w:keepLines/>
      <w:widowControl w:val="0"/>
      <w:spacing w:before="340" w:after="330" w:line="578" w:lineRule="auto"/>
      <w:ind w:left="0" w:right="0"/>
      <w:jc w:val="both"/>
      <w:outlineLvl w:val="0"/>
    </w:pPr>
    <w:rPr>
      <w:rFonts w:ascii="Times New Roman" w:hAnsi="Times New Roman" w:eastAsia="宋体" w:cs="Times New Roman"/>
      <w:b/>
      <w:bCs/>
      <w:kern w:val="44"/>
      <w:sz w:val="44"/>
      <w:szCs w:val="44"/>
      <w:lang w:val="en-US" w:eastAsia="zh-CN" w:bidi="ar-SA"/>
    </w:rPr>
  </w:style>
  <w:style w:type="paragraph" w:styleId="3">
    <w:name w:val="heading 2"/>
    <w:basedOn w:val="1"/>
    <w:next w:val="1"/>
    <w:link w:val="58"/>
    <w:qFormat/>
    <w:uiPriority w:val="0"/>
    <w:pPr>
      <w:keepNext/>
      <w:keepLines/>
      <w:widowControl w:val="0"/>
      <w:spacing w:before="260" w:after="260" w:line="415" w:lineRule="auto"/>
      <w:ind w:left="0" w:right="0"/>
      <w:jc w:val="both"/>
      <w:outlineLvl w:val="1"/>
    </w:pPr>
    <w:rPr>
      <w:rFonts w:ascii="Arial" w:hAnsi="Arial" w:eastAsia="黑体" w:cs="Arial"/>
      <w:b/>
      <w:bCs/>
      <w:kern w:val="2"/>
      <w:sz w:val="32"/>
      <w:szCs w:val="32"/>
      <w:lang w:val="en-US" w:eastAsia="zh-CN" w:bidi="ar-SA"/>
    </w:rPr>
  </w:style>
  <w:style w:type="paragraph" w:styleId="4">
    <w:name w:val="heading 3"/>
    <w:basedOn w:val="1"/>
    <w:next w:val="1"/>
    <w:link w:val="59"/>
    <w:qFormat/>
    <w:uiPriority w:val="0"/>
    <w:pPr>
      <w:keepNext/>
      <w:keepLines/>
      <w:numPr>
        <w:ilvl w:val="2"/>
        <w:numId w:val="1"/>
      </w:numPr>
      <w:spacing w:before="260" w:beforeLines="0" w:after="260" w:afterLines="0" w:line="416" w:lineRule="auto"/>
      <w:outlineLvl w:val="2"/>
    </w:pPr>
    <w:rPr>
      <w:rFonts w:ascii="Times New Roman" w:hAnsi="Times New Roman" w:eastAsia="宋体" w:cs="Times New Roman"/>
      <w:b/>
      <w:bCs/>
      <w:sz w:val="32"/>
      <w:szCs w:val="32"/>
    </w:rPr>
  </w:style>
  <w:style w:type="paragraph" w:styleId="5">
    <w:name w:val="heading 4"/>
    <w:basedOn w:val="1"/>
    <w:qFormat/>
    <w:uiPriority w:val="0"/>
    <w:pPr>
      <w:keepNext/>
      <w:keepLines/>
      <w:widowControl w:val="0"/>
      <w:spacing w:after="0" w:line="540" w:lineRule="atLeast"/>
      <w:jc w:val="both"/>
      <w:outlineLvl w:val="3"/>
    </w:pPr>
    <w:rPr>
      <w:rFonts w:ascii="Times New Roman" w:hAnsi="Times New Roman" w:eastAsia="宋体" w:cs="Times New Roman"/>
      <w:kern w:val="2"/>
      <w:sz w:val="28"/>
      <w:szCs w:val="28"/>
      <w:lang w:val="en-US" w:eastAsia="zh-CN" w:bidi="ar-SA"/>
    </w:rPr>
  </w:style>
  <w:style w:type="paragraph" w:styleId="6">
    <w:name w:val="heading 5"/>
    <w:basedOn w:val="1"/>
    <w:next w:val="1"/>
    <w:qFormat/>
    <w:uiPriority w:val="0"/>
    <w:pPr>
      <w:keepNext/>
      <w:keepLines/>
      <w:numPr>
        <w:ilvl w:val="4"/>
        <w:numId w:val="1"/>
      </w:numPr>
      <w:spacing w:before="280" w:beforeLines="0" w:after="290" w:afterLines="0" w:line="376" w:lineRule="auto"/>
      <w:outlineLvl w:val="4"/>
    </w:pPr>
    <w:rPr>
      <w:rFonts w:ascii="Times New Roman" w:hAnsi="Times New Roman" w:eastAsia="宋体" w:cs="Times New Roman"/>
      <w:b/>
      <w:bCs/>
      <w:sz w:val="28"/>
      <w:szCs w:val="28"/>
    </w:rPr>
  </w:style>
  <w:style w:type="paragraph" w:styleId="7">
    <w:name w:val="heading 6"/>
    <w:basedOn w:val="1"/>
    <w:next w:val="1"/>
    <w:qFormat/>
    <w:uiPriority w:val="0"/>
    <w:pPr>
      <w:keepNext/>
      <w:keepLines/>
      <w:numPr>
        <w:ilvl w:val="5"/>
        <w:numId w:val="1"/>
      </w:numPr>
      <w:spacing w:before="240" w:beforeLines="0" w:after="64" w:afterLines="0" w:line="320" w:lineRule="auto"/>
      <w:outlineLvl w:val="5"/>
    </w:pPr>
    <w:rPr>
      <w:rFonts w:ascii="Arial" w:hAnsi="Arial" w:eastAsia="黑体" w:cs="Times New Roman"/>
      <w:b/>
      <w:bCs/>
      <w:sz w:val="24"/>
    </w:rPr>
  </w:style>
  <w:style w:type="paragraph" w:styleId="8">
    <w:name w:val="heading 7"/>
    <w:basedOn w:val="1"/>
    <w:next w:val="1"/>
    <w:qFormat/>
    <w:uiPriority w:val="0"/>
    <w:pPr>
      <w:keepNext/>
      <w:keepLines/>
      <w:numPr>
        <w:ilvl w:val="6"/>
        <w:numId w:val="1"/>
      </w:numPr>
      <w:spacing w:before="240" w:beforeLines="0" w:after="64" w:afterLines="0" w:line="320" w:lineRule="auto"/>
      <w:outlineLvl w:val="6"/>
    </w:pPr>
    <w:rPr>
      <w:rFonts w:ascii="Times New Roman" w:hAnsi="Times New Roman" w:eastAsia="宋体" w:cs="Times New Roman"/>
      <w:b/>
      <w:bCs/>
      <w:sz w:val="24"/>
    </w:rPr>
  </w:style>
  <w:style w:type="paragraph" w:styleId="9">
    <w:name w:val="heading 8"/>
    <w:basedOn w:val="1"/>
    <w:next w:val="1"/>
    <w:qFormat/>
    <w:uiPriority w:val="0"/>
    <w:pPr>
      <w:keepNext/>
      <w:keepLines/>
      <w:numPr>
        <w:ilvl w:val="7"/>
        <w:numId w:val="1"/>
      </w:numPr>
      <w:spacing w:before="240" w:beforeLines="0" w:after="64" w:afterLines="0" w:line="320" w:lineRule="auto"/>
      <w:outlineLvl w:val="7"/>
    </w:pPr>
    <w:rPr>
      <w:rFonts w:ascii="Arial" w:hAnsi="Arial" w:eastAsia="黑体" w:cs="Times New Roman"/>
      <w:sz w:val="24"/>
    </w:rPr>
  </w:style>
  <w:style w:type="paragraph" w:styleId="10">
    <w:name w:val="heading 9"/>
    <w:basedOn w:val="1"/>
    <w:next w:val="1"/>
    <w:qFormat/>
    <w:uiPriority w:val="0"/>
    <w:pPr>
      <w:keepNext/>
      <w:keepLines/>
      <w:numPr>
        <w:ilvl w:val="8"/>
        <w:numId w:val="1"/>
      </w:numPr>
      <w:spacing w:before="240" w:beforeLines="0" w:after="64" w:afterLines="0" w:line="320" w:lineRule="auto"/>
      <w:outlineLvl w:val="8"/>
    </w:pPr>
    <w:rPr>
      <w:rFonts w:ascii="Arial" w:hAnsi="Arial" w:eastAsia="黑体" w:cs="Times New Roman"/>
      <w:szCs w:val="21"/>
    </w:rPr>
  </w:style>
  <w:style w:type="character" w:default="1" w:styleId="39">
    <w:name w:val="Default Paragraph Font"/>
    <w:qFormat/>
    <w:uiPriority w:val="0"/>
    <w:rPr>
      <w:rFonts w:ascii="Times New Roman" w:hAnsi="Times New Roman" w:eastAsia="宋体" w:cs="Times New Roman"/>
    </w:rPr>
  </w:style>
  <w:style w:type="table" w:default="1" w:styleId="37">
    <w:name w:val="Normal Tabl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11">
    <w:name w:val="List Number"/>
    <w:basedOn w:val="1"/>
    <w:qFormat/>
    <w:uiPriority w:val="0"/>
    <w:pPr>
      <w:numPr>
        <w:ilvl w:val="0"/>
        <w:numId w:val="2"/>
      </w:numPr>
      <w:tabs>
        <w:tab w:val="left" w:pos="360"/>
        <w:tab w:val="clear" w:pos="1455"/>
      </w:tabs>
    </w:pPr>
    <w:rPr>
      <w:rFonts w:ascii="Times New Roman" w:hAnsi="Times New Roman" w:eastAsia="宋体" w:cs="Times New Roman"/>
    </w:rPr>
  </w:style>
  <w:style w:type="paragraph" w:styleId="12">
    <w:name w:val="Normal Indent"/>
    <w:basedOn w:val="1"/>
    <w:qFormat/>
    <w:uiPriority w:val="0"/>
    <w:pPr>
      <w:widowControl w:val="0"/>
      <w:spacing w:after="0"/>
      <w:ind w:firstLine="420"/>
      <w:jc w:val="both"/>
    </w:pPr>
    <w:rPr>
      <w:rFonts w:ascii="Times New Roman" w:hAnsi="Times New Roman" w:eastAsia="宋体" w:cs="Times New Roman"/>
      <w:kern w:val="2"/>
      <w:sz w:val="21"/>
      <w:szCs w:val="20"/>
      <w:lang w:val="en-US" w:eastAsia="zh-CN" w:bidi="ar-SA"/>
    </w:rPr>
  </w:style>
  <w:style w:type="paragraph" w:styleId="13">
    <w:name w:val="caption"/>
    <w:basedOn w:val="1"/>
    <w:next w:val="1"/>
    <w:qFormat/>
    <w:uiPriority w:val="0"/>
    <w:pPr>
      <w:widowControl/>
      <w:adjustRightInd w:val="0"/>
      <w:spacing w:before="120" w:beforeLines="50" w:line="260" w:lineRule="exact"/>
      <w:ind w:left="200"/>
      <w:jc w:val="center"/>
      <w:textAlignment w:val="baseline"/>
      <w:outlineLvl w:val="3"/>
    </w:pPr>
    <w:rPr>
      <w:rFonts w:ascii="Arial" w:hAnsi="Arial" w:eastAsia="仿宋" w:cs="Arial"/>
      <w:kern w:val="0"/>
      <w:szCs w:val="20"/>
    </w:rPr>
  </w:style>
  <w:style w:type="paragraph" w:styleId="14">
    <w:name w:val="annotation text"/>
    <w:basedOn w:val="1"/>
    <w:qFormat/>
    <w:uiPriority w:val="0"/>
    <w:pPr>
      <w:jc w:val="left"/>
    </w:pPr>
    <w:rPr>
      <w:rFonts w:ascii="Times New Roman" w:hAnsi="Times New Roman" w:eastAsia="宋体" w:cs="Times New Roman"/>
    </w:rPr>
  </w:style>
  <w:style w:type="paragraph" w:styleId="15">
    <w:name w:val="Body Text"/>
    <w:basedOn w:val="1"/>
    <w:next w:val="16"/>
    <w:qFormat/>
    <w:uiPriority w:val="0"/>
    <w:pPr>
      <w:widowControl w:val="0"/>
      <w:spacing w:after="0"/>
      <w:jc w:val="both"/>
    </w:pPr>
    <w:rPr>
      <w:rFonts w:ascii="Times New Roman" w:hAnsi="Times New Roman" w:eastAsia="宋体" w:cs="Times New Roman"/>
      <w:kern w:val="2"/>
      <w:sz w:val="24"/>
      <w:szCs w:val="24"/>
      <w:lang w:val="en-US" w:eastAsia="zh-CN" w:bidi="ar-SA"/>
    </w:rPr>
  </w:style>
  <w:style w:type="paragraph" w:styleId="16">
    <w:name w:val="Body Text First Indent"/>
    <w:basedOn w:val="15"/>
    <w:next w:val="15"/>
    <w:qFormat/>
    <w:uiPriority w:val="0"/>
    <w:pPr>
      <w:widowControl w:val="0"/>
      <w:spacing w:before="0" w:after="120"/>
      <w:ind w:left="0" w:right="0" w:firstLine="420" w:firstLineChars="100"/>
      <w:jc w:val="both"/>
    </w:pPr>
    <w:rPr>
      <w:rFonts w:ascii="Times New Roman" w:hAnsi="Times New Roman" w:eastAsia="宋体" w:cs="Times New Roman"/>
      <w:kern w:val="2"/>
      <w:sz w:val="21"/>
      <w:szCs w:val="24"/>
      <w:lang w:val="en-US" w:eastAsia="zh-CN" w:bidi="ar-SA"/>
    </w:rPr>
  </w:style>
  <w:style w:type="paragraph" w:styleId="17">
    <w:name w:val="Body Text Indent"/>
    <w:basedOn w:val="1"/>
    <w:qFormat/>
    <w:uiPriority w:val="0"/>
    <w:pPr>
      <w:spacing w:line="460" w:lineRule="exact"/>
      <w:ind w:firstLine="482" w:firstLineChars="200"/>
    </w:pPr>
    <w:rPr>
      <w:rFonts w:ascii="Times New Roman" w:hAnsi="Times New Roman" w:eastAsia="宋体" w:cs="Times New Roman"/>
      <w:b/>
      <w:bCs/>
      <w:sz w:val="24"/>
      <w:shd w:val="clear" w:color="auto" w:fill="CCCCCC"/>
    </w:rPr>
  </w:style>
  <w:style w:type="paragraph" w:styleId="18">
    <w:name w:val="Plain Text"/>
    <w:basedOn w:val="1"/>
    <w:next w:val="1"/>
    <w:link w:val="60"/>
    <w:qFormat/>
    <w:uiPriority w:val="0"/>
    <w:rPr>
      <w:rFonts w:ascii="宋体" w:hAnsi="Courier New" w:eastAsia="宋体" w:cs="Courier New"/>
      <w:szCs w:val="21"/>
    </w:rPr>
  </w:style>
  <w:style w:type="paragraph" w:styleId="19">
    <w:name w:val="Date"/>
    <w:basedOn w:val="1"/>
    <w:next w:val="1"/>
    <w:qFormat/>
    <w:uiPriority w:val="0"/>
    <w:rPr>
      <w:rFonts w:ascii="Times New Roman" w:hAnsi="Times New Roman" w:eastAsia="宋体" w:cs="Times New Roman"/>
      <w:sz w:val="28"/>
      <w:szCs w:val="20"/>
    </w:rPr>
  </w:style>
  <w:style w:type="paragraph" w:styleId="20">
    <w:name w:val="Body Text Indent 2"/>
    <w:basedOn w:val="1"/>
    <w:qFormat/>
    <w:uiPriority w:val="0"/>
    <w:pPr>
      <w:widowControl w:val="0"/>
      <w:spacing w:after="0" w:line="360" w:lineRule="auto"/>
      <w:ind w:firstLine="480"/>
      <w:jc w:val="both"/>
    </w:pPr>
    <w:rPr>
      <w:rFonts w:ascii="宋体" w:hAnsi="Times New Roman" w:eastAsia="新宋体" w:cs="宋体"/>
      <w:kern w:val="2"/>
      <w:sz w:val="24"/>
      <w:szCs w:val="20"/>
      <w:lang w:val="en-US" w:eastAsia="zh-CN" w:bidi="ar-SA"/>
    </w:rPr>
  </w:style>
  <w:style w:type="paragraph" w:styleId="21">
    <w:name w:val="Balloon Text"/>
    <w:basedOn w:val="1"/>
    <w:qFormat/>
    <w:uiPriority w:val="0"/>
    <w:rPr>
      <w:rFonts w:ascii="Times New Roman" w:hAnsi="Times New Roman" w:eastAsia="宋体" w:cs="Times New Roman"/>
      <w:sz w:val="18"/>
      <w:szCs w:val="18"/>
    </w:rPr>
  </w:style>
  <w:style w:type="paragraph" w:styleId="22">
    <w:name w:val="footer"/>
    <w:basedOn w:val="1"/>
    <w:qFormat/>
    <w:uiPriority w:val="0"/>
    <w:pPr>
      <w:widowControl w:val="0"/>
      <w:tabs>
        <w:tab w:val="center" w:pos="4140"/>
        <w:tab w:val="right" w:pos="8300"/>
      </w:tabs>
      <w:snapToGrid w:val="0"/>
      <w:spacing w:after="0"/>
      <w:jc w:val="left"/>
    </w:pPr>
    <w:rPr>
      <w:rFonts w:ascii="Times New Roman" w:hAnsi="Times New Roman" w:eastAsia="宋体" w:cs="Times New Roman"/>
      <w:kern w:val="2"/>
      <w:sz w:val="18"/>
      <w:szCs w:val="18"/>
      <w:lang w:val="en-US" w:eastAsia="zh-CN" w:bidi="ar-SA"/>
    </w:rPr>
  </w:style>
  <w:style w:type="paragraph" w:styleId="23">
    <w:name w:val="header"/>
    <w:basedOn w:val="1"/>
    <w:qFormat/>
    <w:uiPriority w:val="0"/>
    <w:pPr>
      <w:widowControl w:val="0"/>
      <w:pBdr>
        <w:bottom w:val="single" w:color="auto" w:sz="6" w:space="1"/>
      </w:pBdr>
      <w:tabs>
        <w:tab w:val="center" w:pos="4140"/>
        <w:tab w:val="right" w:pos="8300"/>
      </w:tabs>
      <w:snapToGrid w:val="0"/>
      <w:spacing w:after="0"/>
      <w:jc w:val="center"/>
    </w:pPr>
    <w:rPr>
      <w:rFonts w:ascii="Times New Roman" w:hAnsi="Times New Roman" w:eastAsia="宋体" w:cs="Times New Roman"/>
      <w:kern w:val="2"/>
      <w:sz w:val="18"/>
      <w:szCs w:val="18"/>
      <w:lang w:val="en-US" w:eastAsia="zh-CN" w:bidi="ar-SA"/>
    </w:rPr>
  </w:style>
  <w:style w:type="paragraph" w:styleId="24">
    <w:name w:val="toc 1"/>
    <w:basedOn w:val="1"/>
    <w:qFormat/>
    <w:uiPriority w:val="0"/>
    <w:pPr>
      <w:widowControl w:val="0"/>
      <w:spacing w:after="0" w:line="460" w:lineRule="exact"/>
      <w:jc w:val="both"/>
    </w:pPr>
    <w:rPr>
      <w:rFonts w:ascii="Times New Roman" w:hAnsi="Times New Roman" w:eastAsia="宋体" w:cs="Times New Roman"/>
      <w:b/>
      <w:bCs/>
      <w:kern w:val="2"/>
      <w:sz w:val="28"/>
      <w:szCs w:val="30"/>
      <w:lang w:val="en-US" w:eastAsia="zh-CN" w:bidi="ar-SA"/>
    </w:rPr>
  </w:style>
  <w:style w:type="paragraph" w:styleId="25">
    <w:name w:val="toc 4"/>
    <w:basedOn w:val="1"/>
    <w:next w:val="1"/>
    <w:qFormat/>
    <w:uiPriority w:val="0"/>
    <w:pPr>
      <w:ind w:left="1260"/>
    </w:pPr>
    <w:rPr>
      <w:rFonts w:ascii="Times New Roman" w:hAnsi="Times New Roman" w:eastAsia="宋体" w:cs="Times New Roman"/>
      <w:kern w:val="1"/>
    </w:rPr>
  </w:style>
  <w:style w:type="paragraph" w:styleId="26">
    <w:name w:val="footnote text"/>
    <w:basedOn w:val="1"/>
    <w:link w:val="61"/>
    <w:qFormat/>
    <w:uiPriority w:val="0"/>
    <w:pPr>
      <w:snapToGrid w:val="0"/>
      <w:jc w:val="left"/>
    </w:pPr>
    <w:rPr>
      <w:rFonts w:ascii="Times New Roman" w:hAnsi="Times New Roman" w:eastAsia="宋体" w:cs="Times New Roman"/>
      <w:sz w:val="18"/>
      <w:szCs w:val="18"/>
    </w:rPr>
  </w:style>
  <w:style w:type="paragraph" w:styleId="27">
    <w:name w:val="toc 6"/>
    <w:basedOn w:val="1"/>
    <w:next w:val="1"/>
    <w:qFormat/>
    <w:uiPriority w:val="0"/>
    <w:pPr>
      <w:widowControl w:val="0"/>
      <w:spacing w:before="0" w:after="0"/>
      <w:ind w:left="1000" w:leftChars="1000" w:right="0"/>
      <w:jc w:val="both"/>
    </w:pPr>
    <w:rPr>
      <w:rFonts w:ascii="Times New Roman" w:hAnsi="Times New Roman" w:eastAsia="宋体" w:cs="Times New Roman"/>
      <w:kern w:val="2"/>
      <w:sz w:val="21"/>
      <w:szCs w:val="24"/>
      <w:lang w:val="en-US" w:eastAsia="zh-CN" w:bidi="ar-SA"/>
    </w:rPr>
  </w:style>
  <w:style w:type="paragraph" w:styleId="28">
    <w:name w:val="Body Text Indent 3"/>
    <w:basedOn w:val="1"/>
    <w:qFormat/>
    <w:uiPriority w:val="0"/>
    <w:pPr>
      <w:spacing w:after="120" w:afterLines="0"/>
      <w:ind w:left="420" w:leftChars="200"/>
    </w:pPr>
    <w:rPr>
      <w:rFonts w:ascii="Times New Roman" w:hAnsi="Times New Roman" w:eastAsia="宋体" w:cs="Times New Roman"/>
      <w:sz w:val="16"/>
      <w:szCs w:val="16"/>
    </w:rPr>
  </w:style>
  <w:style w:type="paragraph" w:styleId="29">
    <w:name w:val="toc 2"/>
    <w:basedOn w:val="1"/>
    <w:next w:val="1"/>
    <w:qFormat/>
    <w:uiPriority w:val="0"/>
    <w:pPr>
      <w:ind w:left="420" w:leftChars="200"/>
    </w:pPr>
    <w:rPr>
      <w:rFonts w:ascii="Times New Roman" w:hAnsi="Times New Roman" w:eastAsia="宋体" w:cs="Times New Roman"/>
    </w:rPr>
  </w:style>
  <w:style w:type="paragraph" w:styleId="30">
    <w:name w:val="toc 9"/>
    <w:basedOn w:val="1"/>
    <w:next w:val="1"/>
    <w:qFormat/>
    <w:uiPriority w:val="0"/>
    <w:pPr>
      <w:ind w:left="3360" w:leftChars="1600"/>
    </w:pPr>
    <w:rPr>
      <w:rFonts w:ascii="Calibri" w:hAnsi="Calibri" w:eastAsia="宋体" w:cs="Times New Roman"/>
    </w:rPr>
  </w:style>
  <w:style w:type="paragraph" w:styleId="31">
    <w:name w:val="Body Text 2"/>
    <w:basedOn w:val="1"/>
    <w:qFormat/>
    <w:uiPriority w:val="0"/>
    <w:pPr>
      <w:widowControl w:val="0"/>
      <w:spacing w:before="0" w:after="120" w:line="480" w:lineRule="auto"/>
      <w:ind w:left="0" w:right="0"/>
      <w:jc w:val="both"/>
    </w:pPr>
    <w:rPr>
      <w:rFonts w:ascii="Times New Roman" w:hAnsi="Times New Roman" w:eastAsia="宋体" w:cs="Times New Roman"/>
      <w:kern w:val="2"/>
      <w:sz w:val="21"/>
      <w:szCs w:val="24"/>
      <w:lang w:val="en-US" w:eastAsia="zh-CN" w:bidi="ar-SA"/>
    </w:rPr>
  </w:style>
  <w:style w:type="paragraph" w:styleId="32">
    <w:name w:val="Normal (Web)"/>
    <w:basedOn w:val="1"/>
    <w:qFormat/>
    <w:uiPriority w:val="99"/>
    <w:pPr>
      <w:widowControl w:val="0"/>
      <w:spacing w:after="0"/>
      <w:jc w:val="both"/>
    </w:pPr>
    <w:rPr>
      <w:rFonts w:ascii="Times New Roman" w:hAnsi="Times New Roman" w:eastAsia="宋体" w:cs="Times New Roman"/>
      <w:kern w:val="2"/>
      <w:sz w:val="24"/>
      <w:szCs w:val="24"/>
      <w:lang w:val="en-US" w:eastAsia="zh-CN" w:bidi="ar-SA"/>
    </w:rPr>
  </w:style>
  <w:style w:type="paragraph" w:styleId="33">
    <w:name w:val="index 1"/>
    <w:basedOn w:val="1"/>
    <w:next w:val="1"/>
    <w:qFormat/>
    <w:uiPriority w:val="0"/>
    <w:rPr>
      <w:rFonts w:ascii="Times New Roman" w:hAnsi="Times New Roman" w:eastAsia="宋体" w:cs="Times New Roman"/>
    </w:rPr>
  </w:style>
  <w:style w:type="paragraph" w:styleId="34">
    <w:name w:val="Title"/>
    <w:basedOn w:val="1"/>
    <w:next w:val="1"/>
    <w:link w:val="62"/>
    <w:qFormat/>
    <w:uiPriority w:val="0"/>
    <w:pPr>
      <w:spacing w:before="240" w:after="60"/>
      <w:jc w:val="center"/>
      <w:outlineLvl w:val="0"/>
    </w:pPr>
    <w:rPr>
      <w:rFonts w:ascii="等线 Light" w:hAnsi="等线 Light" w:cs="Times New Roman"/>
      <w:b/>
      <w:bCs/>
      <w:sz w:val="32"/>
      <w:szCs w:val="32"/>
    </w:rPr>
  </w:style>
  <w:style w:type="paragraph" w:styleId="35">
    <w:name w:val="annotation subject"/>
    <w:basedOn w:val="14"/>
    <w:next w:val="14"/>
    <w:qFormat/>
    <w:uiPriority w:val="0"/>
    <w:rPr>
      <w:rFonts w:ascii="Times New Roman" w:hAnsi="Times New Roman" w:eastAsia="宋体" w:cs="Times New Roman"/>
      <w:b/>
      <w:bCs/>
    </w:rPr>
  </w:style>
  <w:style w:type="paragraph" w:styleId="36">
    <w:name w:val="Body Text First Indent 2"/>
    <w:basedOn w:val="17"/>
    <w:qFormat/>
    <w:uiPriority w:val="0"/>
    <w:pPr>
      <w:spacing w:after="120" w:line="240" w:lineRule="auto"/>
      <w:ind w:left="420" w:leftChars="200" w:firstLine="420"/>
    </w:pPr>
    <w:rPr>
      <w:rFonts w:ascii="Times New Roman" w:hAnsi="Times New Roman" w:eastAsia="宋体" w:cs="宋体"/>
      <w:sz w:val="21"/>
      <w:szCs w:val="21"/>
    </w:rPr>
  </w:style>
  <w:style w:type="table" w:styleId="38">
    <w:name w:val="Table Grid"/>
    <w:basedOn w:val="37"/>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qFormat/>
    <w:uiPriority w:val="0"/>
    <w:rPr>
      <w:b/>
      <w:bCs/>
    </w:rPr>
  </w:style>
  <w:style w:type="character" w:styleId="41">
    <w:name w:val="page number"/>
    <w:qFormat/>
    <w:uiPriority w:val="0"/>
    <w:rPr>
      <w:rFonts w:ascii="Times New Roman" w:hAnsi="Times New Roman" w:eastAsia="宋体" w:cs="Times New Roman"/>
    </w:rPr>
  </w:style>
  <w:style w:type="character" w:styleId="42">
    <w:name w:val="FollowedHyperlink"/>
    <w:qFormat/>
    <w:uiPriority w:val="0"/>
    <w:rPr>
      <w:rFonts w:ascii="Times New Roman" w:hAnsi="Times New Roman" w:eastAsia="宋体" w:cs="Times New Roman"/>
      <w:color w:val="800080"/>
      <w:szCs w:val="20"/>
      <w:u w:val="single"/>
    </w:rPr>
  </w:style>
  <w:style w:type="character" w:styleId="43">
    <w:name w:val="Emphasis"/>
    <w:basedOn w:val="39"/>
    <w:qFormat/>
    <w:uiPriority w:val="0"/>
    <w:rPr>
      <w:b/>
      <w:bCs/>
    </w:rPr>
  </w:style>
  <w:style w:type="character" w:styleId="44">
    <w:name w:val="HTML Definition"/>
    <w:basedOn w:val="39"/>
    <w:qFormat/>
    <w:uiPriority w:val="0"/>
  </w:style>
  <w:style w:type="character" w:styleId="45">
    <w:name w:val="HTML Typewriter"/>
    <w:basedOn w:val="39"/>
    <w:qFormat/>
    <w:uiPriority w:val="0"/>
    <w:rPr>
      <w:rFonts w:ascii="monospace" w:hAnsi="monospace" w:eastAsia="monospace" w:cs="monospace"/>
      <w:sz w:val="20"/>
    </w:rPr>
  </w:style>
  <w:style w:type="character" w:styleId="46">
    <w:name w:val="HTML Acronym"/>
    <w:basedOn w:val="39"/>
    <w:qFormat/>
    <w:uiPriority w:val="0"/>
  </w:style>
  <w:style w:type="character" w:styleId="47">
    <w:name w:val="HTML Variable"/>
    <w:basedOn w:val="39"/>
    <w:qFormat/>
    <w:uiPriority w:val="0"/>
  </w:style>
  <w:style w:type="character" w:styleId="48">
    <w:name w:val="Hyperlink"/>
    <w:qFormat/>
    <w:uiPriority w:val="0"/>
    <w:rPr>
      <w:rFonts w:ascii="Times New Roman" w:hAnsi="Times New Roman" w:eastAsia="宋体" w:cs="Times New Roman"/>
      <w:color w:val="0000FF"/>
      <w:sz w:val="21"/>
      <w:szCs w:val="20"/>
      <w:u w:val="single"/>
    </w:rPr>
  </w:style>
  <w:style w:type="character" w:styleId="49">
    <w:name w:val="HTML Code"/>
    <w:basedOn w:val="39"/>
    <w:qFormat/>
    <w:uiPriority w:val="0"/>
    <w:rPr>
      <w:rFonts w:hint="default" w:ascii="monospace" w:hAnsi="monospace" w:eastAsia="monospace" w:cs="monospace"/>
      <w:sz w:val="19"/>
      <w:szCs w:val="19"/>
    </w:rPr>
  </w:style>
  <w:style w:type="character" w:styleId="50">
    <w:name w:val="annotation reference"/>
    <w:qFormat/>
    <w:uiPriority w:val="0"/>
    <w:rPr>
      <w:rFonts w:ascii="Times New Roman" w:hAnsi="Times New Roman" w:eastAsia="宋体" w:cs="Times New Roman"/>
      <w:sz w:val="21"/>
      <w:szCs w:val="21"/>
    </w:rPr>
  </w:style>
  <w:style w:type="character" w:styleId="51">
    <w:name w:val="HTML Cite"/>
    <w:basedOn w:val="39"/>
    <w:qFormat/>
    <w:uiPriority w:val="0"/>
    <w:rPr>
      <w:shd w:val="clear" w:fill="FFFFFF"/>
    </w:rPr>
  </w:style>
  <w:style w:type="character" w:styleId="52">
    <w:name w:val="footnote reference"/>
    <w:qFormat/>
    <w:uiPriority w:val="0"/>
    <w:rPr>
      <w:rFonts w:ascii="Times New Roman" w:hAnsi="Times New Roman" w:eastAsia="宋体" w:cs="Times New Roman"/>
      <w:vertAlign w:val="superscript"/>
    </w:rPr>
  </w:style>
  <w:style w:type="character" w:styleId="53">
    <w:name w:val="HTML Keyboard"/>
    <w:basedOn w:val="39"/>
    <w:qFormat/>
    <w:uiPriority w:val="0"/>
    <w:rPr>
      <w:rFonts w:hint="default" w:ascii="monospace" w:hAnsi="monospace" w:eastAsia="monospace" w:cs="monospace"/>
      <w:sz w:val="20"/>
    </w:rPr>
  </w:style>
  <w:style w:type="character" w:styleId="54">
    <w:name w:val="HTML Sample"/>
    <w:basedOn w:val="39"/>
    <w:qFormat/>
    <w:uiPriority w:val="0"/>
    <w:rPr>
      <w:rFonts w:hint="default" w:ascii="monospace" w:hAnsi="monospace" w:eastAsia="monospace" w:cs="monospace"/>
    </w:rPr>
  </w:style>
  <w:style w:type="paragraph" w:customStyle="1" w:styleId="55">
    <w:name w:val="xl53"/>
    <w:basedOn w:val="1"/>
    <w:next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line="100" w:lineRule="exact"/>
      <w:jc w:val="center"/>
    </w:pPr>
    <w:rPr>
      <w:rFonts w:ascii="宋体" w:hAnsi="宋体" w:eastAsia="宋体" w:cs="Times New Roman"/>
      <w:b/>
      <w:bCs/>
      <w:kern w:val="0"/>
      <w:sz w:val="20"/>
      <w:szCs w:val="20"/>
    </w:rPr>
  </w:style>
  <w:style w:type="paragraph" w:customStyle="1" w:styleId="56">
    <w:name w:val="首行缩进"/>
    <w:basedOn w:val="1"/>
    <w:qFormat/>
    <w:uiPriority w:val="0"/>
    <w:pPr>
      <w:spacing w:line="360" w:lineRule="auto"/>
      <w:ind w:firstLine="480" w:firstLineChars="200"/>
    </w:pPr>
    <w:rPr>
      <w:rFonts w:ascii="Times New Roman" w:hAnsi="Times New Roman" w:eastAsia="宋体" w:cs="Times New Roman"/>
      <w:lang w:val="zh-CN"/>
    </w:rPr>
  </w:style>
  <w:style w:type="character" w:customStyle="1" w:styleId="57">
    <w:name w:val="标题 1 字符"/>
    <w:link w:val="2"/>
    <w:qFormat/>
    <w:uiPriority w:val="0"/>
    <w:rPr>
      <w:rFonts w:ascii="Times New Roman" w:hAnsi="Times New Roman" w:eastAsia="宋体" w:cs="Times New Roman"/>
      <w:b/>
      <w:bCs/>
      <w:kern w:val="44"/>
      <w:sz w:val="44"/>
      <w:szCs w:val="44"/>
      <w:lang w:val="en-US" w:eastAsia="zh-CN" w:bidi="ar-SA"/>
    </w:rPr>
  </w:style>
  <w:style w:type="character" w:customStyle="1" w:styleId="58">
    <w:name w:val="标题 2 字符"/>
    <w:link w:val="3"/>
    <w:qFormat/>
    <w:uiPriority w:val="0"/>
    <w:rPr>
      <w:rFonts w:ascii="Arial" w:hAnsi="Arial" w:eastAsia="黑体" w:cs="Arial"/>
      <w:b/>
      <w:bCs/>
      <w:kern w:val="2"/>
      <w:sz w:val="32"/>
      <w:szCs w:val="32"/>
      <w:lang w:val="en-US" w:eastAsia="zh-CN" w:bidi="ar-SA"/>
    </w:rPr>
  </w:style>
  <w:style w:type="character" w:customStyle="1" w:styleId="59">
    <w:name w:val="标题 3 字符"/>
    <w:link w:val="4"/>
    <w:qFormat/>
    <w:uiPriority w:val="0"/>
    <w:rPr>
      <w:rFonts w:ascii="Times New Roman" w:hAnsi="Times New Roman" w:eastAsia="宋体" w:cs="Times New Roman"/>
      <w:b/>
      <w:bCs/>
      <w:sz w:val="32"/>
      <w:szCs w:val="32"/>
    </w:rPr>
  </w:style>
  <w:style w:type="character" w:customStyle="1" w:styleId="60">
    <w:name w:val="纯文本 字符"/>
    <w:link w:val="18"/>
    <w:qFormat/>
    <w:uiPriority w:val="0"/>
    <w:rPr>
      <w:rFonts w:ascii="宋体" w:hAnsi="Courier New" w:eastAsia="宋体" w:cs="Courier New"/>
      <w:kern w:val="2"/>
      <w:sz w:val="21"/>
      <w:szCs w:val="21"/>
      <w:lang w:val="en-US" w:eastAsia="zh-CN" w:bidi="ar-SA"/>
    </w:rPr>
  </w:style>
  <w:style w:type="character" w:customStyle="1" w:styleId="61">
    <w:name w:val="脚注文本 字符"/>
    <w:link w:val="26"/>
    <w:qFormat/>
    <w:uiPriority w:val="0"/>
    <w:rPr>
      <w:rFonts w:ascii="Times New Roman" w:hAnsi="Times New Roman" w:eastAsia="宋体" w:cs="Times New Roman"/>
      <w:kern w:val="2"/>
      <w:sz w:val="18"/>
      <w:szCs w:val="18"/>
    </w:rPr>
  </w:style>
  <w:style w:type="character" w:customStyle="1" w:styleId="62">
    <w:name w:val="标题 字符"/>
    <w:link w:val="34"/>
    <w:qFormat/>
    <w:uiPriority w:val="0"/>
    <w:rPr>
      <w:rFonts w:ascii="等线 Light" w:hAnsi="等线 Light" w:eastAsia="宋体" w:cs="Times New Roman"/>
      <w:b/>
      <w:bCs/>
      <w:kern w:val="2"/>
      <w:sz w:val="32"/>
      <w:szCs w:val="32"/>
    </w:rPr>
  </w:style>
  <w:style w:type="character" w:customStyle="1" w:styleId="63">
    <w:name w:val="font11"/>
    <w:qFormat/>
    <w:uiPriority w:val="0"/>
    <w:rPr>
      <w:rFonts w:hint="eastAsia" w:ascii="宋体" w:hAnsi="宋体" w:eastAsia="宋体" w:cs="Times New Roman"/>
      <w:color w:val="FF0000"/>
      <w:sz w:val="28"/>
      <w:szCs w:val="28"/>
      <w:u w:val="none"/>
    </w:rPr>
  </w:style>
  <w:style w:type="character" w:customStyle="1" w:styleId="64">
    <w:name w:val="font31"/>
    <w:qFormat/>
    <w:uiPriority w:val="0"/>
    <w:rPr>
      <w:rFonts w:hint="eastAsia" w:ascii="宋体" w:hAnsi="宋体" w:eastAsia="宋体" w:cs="宋体"/>
      <w:color w:val="000000"/>
      <w:sz w:val="22"/>
      <w:szCs w:val="22"/>
      <w:u w:val="none"/>
    </w:rPr>
  </w:style>
  <w:style w:type="character" w:customStyle="1" w:styleId="65">
    <w:name w:val="font21"/>
    <w:qFormat/>
    <w:uiPriority w:val="0"/>
    <w:rPr>
      <w:rFonts w:hint="eastAsia" w:ascii="宋体" w:hAnsi="宋体" w:eastAsia="宋体" w:cs="宋体"/>
      <w:color w:val="000000"/>
      <w:sz w:val="21"/>
      <w:szCs w:val="21"/>
      <w:u w:val="none"/>
    </w:rPr>
  </w:style>
  <w:style w:type="character" w:customStyle="1" w:styleId="66">
    <w:name w:val="font01"/>
    <w:qFormat/>
    <w:uiPriority w:val="0"/>
    <w:rPr>
      <w:rFonts w:ascii="Verdana" w:hAnsi="Verdana" w:eastAsia="宋体" w:cs="Verdana"/>
      <w:color w:val="000000"/>
      <w:sz w:val="20"/>
      <w:szCs w:val="20"/>
      <w:u w:val="none"/>
    </w:rPr>
  </w:style>
  <w:style w:type="paragraph" w:customStyle="1" w:styleId="67">
    <w:name w:val="**正文"/>
    <w:basedOn w:val="1"/>
    <w:qFormat/>
    <w:uiPriority w:val="0"/>
    <w:pPr>
      <w:spacing w:line="360" w:lineRule="auto"/>
      <w:jc w:val="left"/>
    </w:pPr>
    <w:rPr>
      <w:rFonts w:ascii="Times New Roman" w:hAnsi="Times New Roman" w:eastAsia="宋体" w:cs="Times New Roman"/>
      <w:sz w:val="24"/>
      <w:szCs w:val="20"/>
    </w:rPr>
  </w:style>
  <w:style w:type="paragraph" w:customStyle="1" w:styleId="68">
    <w:name w:val="表"/>
    <w:basedOn w:val="1"/>
    <w:qFormat/>
    <w:uiPriority w:val="0"/>
    <w:pPr>
      <w:adjustRightInd w:val="0"/>
      <w:snapToGrid w:val="0"/>
      <w:spacing w:line="312" w:lineRule="auto"/>
    </w:pPr>
    <w:rPr>
      <w:rFonts w:ascii="Times New Roman" w:hAnsi="Times New Roman" w:eastAsia="宋体" w:cs="Times New Roman"/>
    </w:rPr>
  </w:style>
  <w:style w:type="character" w:customStyle="1" w:styleId="69">
    <w:name w:val="纯文本 Char1"/>
    <w:qFormat/>
    <w:uiPriority w:val="0"/>
    <w:rPr>
      <w:rFonts w:ascii="宋体" w:hAnsi="Courier New" w:eastAsia="宋体" w:cs="Courier New"/>
      <w:kern w:val="2"/>
      <w:sz w:val="21"/>
      <w:szCs w:val="21"/>
    </w:rPr>
  </w:style>
  <w:style w:type="character" w:customStyle="1" w:styleId="70">
    <w:name w:val="普通文字 Char Char2"/>
    <w:qFormat/>
    <w:uiPriority w:val="0"/>
    <w:rPr>
      <w:rFonts w:ascii="宋体" w:hAnsi="Courier New" w:eastAsia="宋体" w:cs="Courier New"/>
      <w:kern w:val="2"/>
      <w:sz w:val="21"/>
      <w:szCs w:val="21"/>
      <w:lang w:val="en-US" w:eastAsia="zh-CN" w:bidi="ar-SA"/>
    </w:rPr>
  </w:style>
  <w:style w:type="character" w:customStyle="1" w:styleId="71">
    <w:name w:val=" Char Char1"/>
    <w:qFormat/>
    <w:uiPriority w:val="0"/>
    <w:rPr>
      <w:rFonts w:ascii="宋体" w:hAnsi="Courier New" w:eastAsia="宋体" w:cs="Courier New"/>
      <w:kern w:val="2"/>
      <w:sz w:val="21"/>
      <w:szCs w:val="21"/>
      <w:lang w:val="en-US" w:eastAsia="zh-CN" w:bidi="ar-SA"/>
    </w:rPr>
  </w:style>
  <w:style w:type="paragraph" w:customStyle="1" w:styleId="72">
    <w:name w:val="Char"/>
    <w:basedOn w:val="1"/>
    <w:qFormat/>
    <w:uiPriority w:val="0"/>
    <w:rPr>
      <w:rFonts w:ascii="仿宋_GB2312" w:hAnsi="Times New Roman" w:eastAsia="仿宋_GB2312" w:cs="仿宋_GB2312"/>
      <w:b/>
      <w:bCs/>
      <w:sz w:val="32"/>
      <w:szCs w:val="32"/>
    </w:rPr>
  </w:style>
  <w:style w:type="paragraph" w:customStyle="1" w:styleId="73">
    <w:name w:val="标题1"/>
    <w:basedOn w:val="24"/>
    <w:qFormat/>
    <w:uiPriority w:val="0"/>
    <w:pPr>
      <w:widowControl/>
      <w:overflowPunct w:val="0"/>
      <w:autoSpaceDE w:val="0"/>
      <w:autoSpaceDN w:val="0"/>
      <w:adjustRightInd w:val="0"/>
      <w:spacing w:before="120" w:beforeLines="0" w:after="120" w:afterLines="0" w:line="420" w:lineRule="exact"/>
      <w:jc w:val="center"/>
      <w:textAlignment w:val="baseline"/>
    </w:pPr>
    <w:rPr>
      <w:rFonts w:ascii="宋体" w:hAnsi="宋体" w:eastAsia="宋体" w:cs="Times New Roman"/>
      <w:b w:val="0"/>
      <w:bCs w:val="0"/>
      <w:kern w:val="0"/>
      <w:sz w:val="44"/>
      <w:szCs w:val="20"/>
    </w:rPr>
  </w:style>
  <w:style w:type="paragraph" w:customStyle="1" w:styleId="74">
    <w:name w:val="Default"/>
    <w:qFormat/>
    <w:uiPriority w:val="0"/>
    <w:pPr>
      <w:widowControl w:val="0"/>
      <w:autoSpaceDE w:val="0"/>
      <w:autoSpaceDN w:val="0"/>
      <w:adjustRightInd w:val="0"/>
    </w:pPr>
    <w:rPr>
      <w:rFonts w:ascii="仿宋_GB2312" w:hAnsi="Times New Roman" w:eastAsia="仿宋_GB2312" w:cs="Times New Roman"/>
      <w:color w:val="000000"/>
      <w:sz w:val="24"/>
      <w:szCs w:val="22"/>
      <w:lang w:val="en-US" w:eastAsia="zh-CN" w:bidi="ar-SA"/>
    </w:rPr>
  </w:style>
  <w:style w:type="paragraph" w:customStyle="1" w:styleId="75">
    <w:name w:val=" Char Char Char2 Char Char Char"/>
    <w:basedOn w:val="1"/>
    <w:qFormat/>
    <w:uiPriority w:val="0"/>
    <w:rPr>
      <w:rFonts w:ascii="Times New Roman" w:hAnsi="Times New Roman" w:eastAsia="宋体" w:cs="Times New Roman"/>
    </w:rPr>
  </w:style>
  <w:style w:type="paragraph" w:customStyle="1" w:styleId="76">
    <w:name w:val="xl24"/>
    <w:basedOn w:val="1"/>
    <w:qFormat/>
    <w:uiPriority w:val="0"/>
    <w:pPr>
      <w:widowControl/>
      <w:spacing w:before="100" w:beforeLines="0" w:beforeAutospacing="1" w:after="100" w:afterLines="0" w:afterAutospacing="1"/>
      <w:jc w:val="right"/>
    </w:pPr>
    <w:rPr>
      <w:rFonts w:ascii="宋体" w:hAnsi="宋体" w:eastAsia="宋体" w:cs="Times New Roman"/>
      <w:kern w:val="0"/>
      <w:sz w:val="24"/>
    </w:rPr>
  </w:style>
  <w:style w:type="paragraph" w:customStyle="1" w:styleId="77">
    <w:name w:val="正"/>
    <w:basedOn w:val="1"/>
    <w:qFormat/>
    <w:uiPriority w:val="0"/>
    <w:pPr>
      <w:ind w:firstLine="525"/>
    </w:pPr>
    <w:rPr>
      <w:rFonts w:ascii="Times New Roman" w:hAnsi="Times New Roman" w:eastAsia="宋体" w:cs="Times New Roman"/>
      <w:spacing w:val="20"/>
    </w:rPr>
  </w:style>
  <w:style w:type="paragraph" w:customStyle="1" w:styleId="78">
    <w:name w:val="ÕýÎÄ"/>
    <w:qFormat/>
    <w:uiPriority w:val="0"/>
    <w:pPr>
      <w:widowControl w:val="0"/>
      <w:overflowPunct w:val="0"/>
      <w:autoSpaceDE w:val="0"/>
      <w:autoSpaceDN w:val="0"/>
      <w:adjustRightInd w:val="0"/>
      <w:spacing w:line="351" w:lineRule="atLeast"/>
      <w:ind w:firstLine="419"/>
      <w:jc w:val="both"/>
      <w:textAlignment w:val="baseline"/>
    </w:pPr>
    <w:rPr>
      <w:rFonts w:ascii="Times New Roman" w:hAnsi="Times New Roman" w:eastAsia="宋体" w:cs="Times New Roman"/>
      <w:color w:val="000000"/>
      <w:sz w:val="21"/>
      <w:lang w:val="en-US" w:eastAsia="zh-CN" w:bidi="ar-SA"/>
    </w:rPr>
  </w:style>
  <w:style w:type="paragraph" w:customStyle="1" w:styleId="79">
    <w:name w:val="ÕÂ¡À¨ºÌâ"/>
    <w:basedOn w:val="78"/>
    <w:next w:val="1"/>
    <w:qFormat/>
    <w:uiPriority w:val="0"/>
    <w:pPr>
      <w:spacing w:before="158" w:after="153" w:line="323" w:lineRule="atLeast"/>
      <w:ind w:firstLine="0"/>
      <w:jc w:val="center"/>
    </w:pPr>
    <w:rPr>
      <w:rFonts w:ascii="Arial" w:hAnsi="Arial" w:eastAsia="宋体" w:cs="Times New Roman"/>
      <w:sz w:val="31"/>
      <w:szCs w:val="22"/>
    </w:rPr>
  </w:style>
  <w:style w:type="paragraph" w:customStyle="1" w:styleId="80">
    <w:name w:val="+正文"/>
    <w:basedOn w:val="1"/>
    <w:qFormat/>
    <w:uiPriority w:val="0"/>
    <w:pPr>
      <w:spacing w:line="360" w:lineRule="auto"/>
      <w:ind w:firstLine="200" w:firstLineChars="200"/>
    </w:pPr>
    <w:rPr>
      <w:rFonts w:ascii="Times New Roman" w:hAnsi="Times New Roman" w:eastAsia="宋体" w:cs="Times New Roman"/>
      <w:sz w:val="24"/>
      <w:szCs w:val="28"/>
    </w:rPr>
  </w:style>
  <w:style w:type="paragraph" w:customStyle="1" w:styleId="81">
    <w:name w:val="表格"/>
    <w:basedOn w:val="1"/>
    <w:next w:val="12"/>
    <w:qFormat/>
    <w:uiPriority w:val="0"/>
    <w:pPr>
      <w:widowControl/>
      <w:spacing w:before="100" w:beforeAutospacing="1" w:after="100" w:afterAutospacing="1"/>
      <w:jc w:val="left"/>
    </w:pPr>
    <w:rPr>
      <w:rFonts w:ascii="Arial" w:hAnsi="Arial" w:eastAsia="宋体" w:cs="Times New Roman"/>
      <w:bCs/>
      <w:szCs w:val="20"/>
    </w:rPr>
  </w:style>
  <w:style w:type="paragraph" w:customStyle="1" w:styleId="82">
    <w:name w:val="Plain Text"/>
    <w:basedOn w:val="1"/>
    <w:qFormat/>
    <w:uiPriority w:val="0"/>
    <w:pPr>
      <w:widowControl/>
      <w:overflowPunct w:val="0"/>
      <w:autoSpaceDE w:val="0"/>
      <w:autoSpaceDN w:val="0"/>
      <w:jc w:val="left"/>
    </w:pPr>
    <w:rPr>
      <w:rFonts w:ascii="宋体" w:hAnsi="Courier New" w:eastAsia="宋体" w:cs="Times New Roman"/>
      <w:kern w:val="0"/>
    </w:rPr>
  </w:style>
  <w:style w:type="paragraph" w:customStyle="1" w:styleId="83">
    <w:name w:val="样式"/>
    <w:basedOn w:val="1"/>
    <w:qFormat/>
    <w:uiPriority w:val="0"/>
    <w:pPr>
      <w:autoSpaceDE w:val="0"/>
      <w:autoSpaceDN w:val="0"/>
      <w:snapToGrid w:val="0"/>
      <w:spacing w:before="120" w:beforeLines="0" w:after="120" w:afterLines="0" w:line="360" w:lineRule="auto"/>
    </w:pPr>
    <w:rPr>
      <w:rFonts w:ascii="宋体" w:hAnsi="Times New Roman" w:eastAsia="宋体" w:cs="Times New Roman"/>
      <w:sz w:val="24"/>
      <w:szCs w:val="20"/>
    </w:rPr>
  </w:style>
  <w:style w:type="paragraph" w:customStyle="1" w:styleId="84">
    <w:name w:val=" Char3"/>
    <w:basedOn w:val="1"/>
    <w:qFormat/>
    <w:uiPriority w:val="0"/>
    <w:pPr>
      <w:tabs>
        <w:tab w:val="left" w:pos="360"/>
      </w:tabs>
    </w:pPr>
    <w:rPr>
      <w:rFonts w:ascii="Times New Roman" w:hAnsi="Times New Roman" w:eastAsia="宋体" w:cs="Times New Roman"/>
      <w:sz w:val="24"/>
    </w:rPr>
  </w:style>
  <w:style w:type="paragraph" w:styleId="85">
    <w:name w:val="List Paragraph"/>
    <w:basedOn w:val="1"/>
    <w:qFormat/>
    <w:uiPriority w:val="0"/>
    <w:pPr>
      <w:ind w:firstLine="420" w:firstLineChars="200"/>
    </w:pPr>
    <w:rPr>
      <w:rFonts w:ascii="Times New Roman" w:hAnsi="Times New Roman" w:eastAsia="宋体" w:cs="Times New Roman"/>
    </w:rPr>
  </w:style>
  <w:style w:type="paragraph" w:customStyle="1" w:styleId="86">
    <w:name w:val=" Char"/>
    <w:basedOn w:val="1"/>
    <w:qFormat/>
    <w:uiPriority w:val="0"/>
    <w:rPr>
      <w:rFonts w:ascii="Times New Roman" w:hAnsi="Times New Roman" w:eastAsia="宋体" w:cs="Times New Roman"/>
      <w:szCs w:val="20"/>
    </w:rPr>
  </w:style>
  <w:style w:type="paragraph" w:customStyle="1" w:styleId="87">
    <w:name w:val="标题 7 New"/>
    <w:basedOn w:val="1"/>
    <w:next w:val="1"/>
    <w:qFormat/>
    <w:uiPriority w:val="0"/>
    <w:pPr>
      <w:keepNext/>
      <w:keepLines/>
      <w:widowControl/>
      <w:tabs>
        <w:tab w:val="left" w:pos="2520"/>
      </w:tabs>
      <w:spacing w:before="240" w:beforeLines="0" w:after="64" w:afterLines="0" w:line="317" w:lineRule="auto"/>
      <w:ind w:left="1296" w:hanging="1296"/>
      <w:jc w:val="left"/>
      <w:outlineLvl w:val="6"/>
    </w:pPr>
    <w:rPr>
      <w:rFonts w:ascii="Times New Roman" w:hAnsi="Times New Roman" w:eastAsia="宋体" w:cs="Times New Roman"/>
      <w:b/>
      <w:kern w:val="0"/>
      <w:sz w:val="24"/>
      <w:szCs w:val="20"/>
    </w:rPr>
  </w:style>
  <w:style w:type="paragraph" w:customStyle="1" w:styleId="88">
    <w:name w:val=" Char Char Char"/>
    <w:basedOn w:val="1"/>
    <w:qFormat/>
    <w:uiPriority w:val="0"/>
    <w:rPr>
      <w:rFonts w:ascii="Tahoma" w:hAnsi="Tahoma" w:eastAsia="宋体" w:cs="Times New Roman"/>
      <w:sz w:val="24"/>
      <w:szCs w:val="20"/>
    </w:rPr>
  </w:style>
  <w:style w:type="paragraph" w:customStyle="1" w:styleId="89">
    <w:name w:val=" Char Char Char1 Char Char Char Char Char Char Char Char Char Char Char Char Char"/>
    <w:basedOn w:val="1"/>
    <w:qFormat/>
    <w:uiPriority w:val="0"/>
    <w:rPr>
      <w:rFonts w:ascii="Times New Roman" w:hAnsi="Times New Roman" w:eastAsia="宋体" w:cs="Times New Roman"/>
    </w:rPr>
  </w:style>
  <w:style w:type="paragraph" w:customStyle="1" w:styleId="90">
    <w:name w:val="p0"/>
    <w:basedOn w:val="1"/>
    <w:qFormat/>
    <w:uiPriority w:val="99"/>
    <w:pPr>
      <w:widowControl/>
    </w:pPr>
    <w:rPr>
      <w:kern w:val="0"/>
      <w:szCs w:val="21"/>
    </w:rPr>
  </w:style>
  <w:style w:type="character" w:customStyle="1" w:styleId="91">
    <w:name w:val="status"/>
    <w:basedOn w:val="39"/>
    <w:qFormat/>
    <w:uiPriority w:val="0"/>
    <w:rPr>
      <w:color w:val="0776DD"/>
    </w:rPr>
  </w:style>
  <w:style w:type="character" w:customStyle="1" w:styleId="92">
    <w:name w:val="time"/>
    <w:basedOn w:val="39"/>
    <w:qFormat/>
    <w:uiPriority w:val="0"/>
  </w:style>
  <w:style w:type="character" w:customStyle="1" w:styleId="93">
    <w:name w:val="mini-outputtext1"/>
    <w:basedOn w:val="39"/>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55</Pages>
  <Words>12677</Words>
  <Characters>14486</Characters>
  <Lines>204</Lines>
  <Paragraphs>57</Paragraphs>
  <TotalTime>79</TotalTime>
  <ScaleCrop>false</ScaleCrop>
  <LinksUpToDate>false</LinksUpToDate>
  <CharactersWithSpaces>14870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2025-01-02T13:43:00Z</dcterms:created>
  <dc:creator>Administrator</dc:creator>
  <cp:lastModifiedBy>欢欢</cp:lastModifiedBy>
  <cp:lastPrinted>2023-11-22T08:45:00Z</cp:lastPrinted>
  <dcterms:modified xsi:type="dcterms:W3CDTF">2025-10-13T07:30:58Z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A2A5CFC176DD43ECAEC681EE0F954457_13</vt:lpwstr>
  </property>
  <property fmtid="{D5CDD505-2E9C-101B-9397-08002B2CF9AE}" pid="4" name="KSOTemplateDocerSaveRecord">
    <vt:lpwstr>eyJoZGlkIjoiMzdlYTIwYjlkMGM3MzMzZDBlZGNiYmFkOGNiOTMwZTciLCJ1c2VySWQiOiI0OTc5NjQ1NjQifQ==</vt:lpwstr>
  </property>
</Properties>
</file>