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义乌恒风汽车城开发</w:t>
      </w:r>
      <w:r>
        <w:rPr>
          <w:rFonts w:ascii="黑体" w:hAnsi="黑体" w:eastAsia="黑体" w:cs="黑体"/>
          <w:b/>
          <w:sz w:val="36"/>
          <w:szCs w:val="36"/>
        </w:rPr>
        <w:t>有限公司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2023</w:t>
      </w:r>
      <w:r>
        <w:rPr>
          <w:rFonts w:ascii="黑体" w:hAnsi="黑体" w:eastAsia="黑体" w:cs="黑体"/>
          <w:b/>
          <w:sz w:val="36"/>
          <w:szCs w:val="36"/>
        </w:rPr>
        <w:t>年度财务主要指标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/>
    <w:tbl>
      <w:tblPr>
        <w:tblStyle w:val="4"/>
        <w:tblW w:w="8522" w:type="dxa"/>
        <w:tblInd w:w="-11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83"/>
        <w:gridCol w:w="32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指标名称（单位）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年数据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每股收益（元）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0.25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每股净资产（元）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2.31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净资产收益率（%）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10.78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每股资本公积金（元）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每股未分配利润（元）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1.07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业务收入（万元）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2685.08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主营业务收入（万元）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2685.08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利润总额（万元）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1835.75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净利润（万元）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1492.82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资产总额（万元）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16281.40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净资产（万元）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13845.54</w:t>
            </w:r>
            <w:bookmarkStart w:id="0" w:name="_GoBack"/>
            <w:bookmarkEnd w:id="0"/>
          </w:p>
        </w:tc>
      </w:tr>
    </w:tbl>
    <w:p>
      <w:pPr>
        <w:jc w:val="center"/>
      </w:pPr>
    </w:p>
    <w:p/>
    <w:p/>
    <w:p/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mRiNWEwODlkOTAzNTMxNzAyZjk3MzIzOWJiYTMifQ=="/>
  </w:docVars>
  <w:rsids>
    <w:rsidRoot w:val="00D55EAE"/>
    <w:rsid w:val="00046DF8"/>
    <w:rsid w:val="000807BA"/>
    <w:rsid w:val="000F4AE0"/>
    <w:rsid w:val="00112AB9"/>
    <w:rsid w:val="00183836"/>
    <w:rsid w:val="001B20B0"/>
    <w:rsid w:val="00212134"/>
    <w:rsid w:val="00335DDA"/>
    <w:rsid w:val="00384CD9"/>
    <w:rsid w:val="0045335A"/>
    <w:rsid w:val="00455D38"/>
    <w:rsid w:val="00543358"/>
    <w:rsid w:val="00543C24"/>
    <w:rsid w:val="006731BE"/>
    <w:rsid w:val="006F2CF3"/>
    <w:rsid w:val="00754EEB"/>
    <w:rsid w:val="0082113A"/>
    <w:rsid w:val="008F410F"/>
    <w:rsid w:val="00965875"/>
    <w:rsid w:val="00A83C97"/>
    <w:rsid w:val="00BE7A90"/>
    <w:rsid w:val="00CE6CAD"/>
    <w:rsid w:val="00D55EAE"/>
    <w:rsid w:val="00DD1A40"/>
    <w:rsid w:val="00E875A8"/>
    <w:rsid w:val="00EA3E34"/>
    <w:rsid w:val="00F057C4"/>
    <w:rsid w:val="13891402"/>
    <w:rsid w:val="6B724D76"/>
    <w:rsid w:val="76C81BDC"/>
    <w:rsid w:val="7AB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left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customStyle="1" w:styleId="7">
    <w:name w:val="页眉1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character" w:customStyle="1" w:styleId="8">
    <w:name w:val="页眉 Char"/>
    <w:uiPriority w:val="0"/>
    <w:rPr>
      <w:sz w:val="18"/>
      <w:szCs w:val="18"/>
    </w:rPr>
  </w:style>
  <w:style w:type="character" w:customStyle="1" w:styleId="9">
    <w:name w:val="页脚 Char"/>
    <w:qFormat/>
    <w:uiPriority w:val="0"/>
    <w:rPr>
      <w:sz w:val="18"/>
      <w:szCs w:val="18"/>
    </w:rPr>
  </w:style>
  <w:style w:type="character" w:customStyle="1" w:styleId="10">
    <w:name w:val="页眉 Char1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137</Words>
  <Characters>194</Characters>
  <Lines>1</Lines>
  <Paragraphs>1</Paragraphs>
  <TotalTime>15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2018-04-25T06:25:00Z</dcterms:created>
  <dc:creator>微软用户</dc:creator>
  <cp:lastModifiedBy>宗亚莉</cp:lastModifiedBy>
  <cp:lastPrinted>2015-06-09T01:39:00Z</cp:lastPrinted>
  <dcterms:modified xsi:type="dcterms:W3CDTF">2024-08-14T08:57:24Z</dcterms:modified>
  <dc:title>   浙江蜜蜂集团有限公司有限公司2014年度财务主要指标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099AF47287E241C085EBE27B0EC0B7E4_13</vt:lpwstr>
  </property>
</Properties>
</file>