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spacing w:before="156" w:after="156" w:line="540" w:lineRule="auto"/>
        <w:jc w:val="center"/>
        <w:rPr>
          <w:rFonts w:ascii="宋体" w:hAnsi="宋体" w:cs="宋体"/>
          <w:sz w:val="24"/>
          <w:szCs w:val="24"/>
        </w:rPr>
      </w:pPr>
    </w:p>
    <w:p>
      <w:pPr>
        <w:pStyle w:val="67"/>
        <w:spacing w:before="156" w:after="156" w:line="540" w:lineRule="auto"/>
        <w:jc w:val="center"/>
        <w:rPr>
          <w:rFonts w:hint="eastAsia" w:ascii="宋体" w:hAnsi="宋体" w:cs="宋体"/>
          <w:sz w:val="32"/>
          <w:szCs w:val="32"/>
        </w:rPr>
      </w:pPr>
      <w:r>
        <w:rPr>
          <w:rFonts w:hint="eastAsia" w:ascii="宋体" w:hAnsi="宋体" w:cs="宋体"/>
          <w:sz w:val="32"/>
          <w:szCs w:val="32"/>
        </w:rPr>
        <w:t>义乌市文化广场剧院运营团队项目</w:t>
      </w:r>
    </w:p>
    <w:p>
      <w:pPr>
        <w:pStyle w:val="67"/>
        <w:spacing w:before="156" w:after="156" w:line="540" w:lineRule="auto"/>
        <w:jc w:val="center"/>
        <w:rPr>
          <w:rFonts w:ascii="宋体" w:hAnsi="宋体" w:cs="宋体"/>
          <w:sz w:val="32"/>
          <w:szCs w:val="32"/>
        </w:rPr>
      </w:pPr>
    </w:p>
    <w:p>
      <w:pPr>
        <w:pStyle w:val="67"/>
        <w:spacing w:before="156" w:after="156" w:line="540" w:lineRule="auto"/>
        <w:jc w:val="center"/>
        <w:rPr>
          <w:rFonts w:ascii="宋体" w:hAnsi="宋体" w:cs="宋体"/>
          <w:sz w:val="32"/>
          <w:szCs w:val="32"/>
        </w:rPr>
      </w:pPr>
      <w:r>
        <w:rPr>
          <w:rFonts w:hint="eastAsia" w:ascii="宋体" w:hAnsi="宋体" w:cs="宋体"/>
          <w:sz w:val="32"/>
          <w:szCs w:val="32"/>
        </w:rPr>
        <w:t>比</w:t>
      </w:r>
    </w:p>
    <w:p>
      <w:pPr>
        <w:pStyle w:val="67"/>
        <w:spacing w:before="156" w:after="156" w:line="540" w:lineRule="auto"/>
        <w:jc w:val="center"/>
        <w:rPr>
          <w:rFonts w:ascii="宋体" w:hAnsi="宋体" w:cs="宋体"/>
          <w:sz w:val="32"/>
          <w:szCs w:val="32"/>
        </w:rPr>
      </w:pPr>
      <w:r>
        <w:rPr>
          <w:rFonts w:hint="eastAsia" w:ascii="宋体" w:hAnsi="宋体" w:cs="宋体"/>
          <w:sz w:val="32"/>
          <w:szCs w:val="32"/>
        </w:rPr>
        <w:t>选</w:t>
      </w:r>
    </w:p>
    <w:p>
      <w:pPr>
        <w:pStyle w:val="67"/>
        <w:spacing w:before="156" w:after="156" w:line="540" w:lineRule="auto"/>
        <w:jc w:val="center"/>
        <w:rPr>
          <w:rFonts w:ascii="宋体" w:hAnsi="宋体" w:cs="宋体"/>
          <w:sz w:val="32"/>
          <w:szCs w:val="32"/>
        </w:rPr>
      </w:pPr>
      <w:r>
        <w:rPr>
          <w:rFonts w:hint="eastAsia" w:ascii="宋体" w:hAnsi="宋体" w:cs="宋体"/>
          <w:sz w:val="32"/>
          <w:szCs w:val="32"/>
        </w:rPr>
        <w:t>文</w:t>
      </w:r>
    </w:p>
    <w:p>
      <w:pPr>
        <w:pStyle w:val="67"/>
        <w:spacing w:before="156" w:after="156" w:line="540" w:lineRule="auto"/>
        <w:jc w:val="center"/>
        <w:rPr>
          <w:rFonts w:ascii="宋体" w:hAnsi="宋体" w:cs="宋体"/>
          <w:sz w:val="32"/>
          <w:szCs w:val="32"/>
        </w:rPr>
      </w:pPr>
      <w:r>
        <w:rPr>
          <w:rFonts w:hint="eastAsia" w:ascii="宋体" w:hAnsi="宋体" w:cs="宋体"/>
          <w:sz w:val="32"/>
          <w:szCs w:val="32"/>
        </w:rPr>
        <w:t>件</w:t>
      </w:r>
    </w:p>
    <w:p>
      <w:pPr>
        <w:pStyle w:val="67"/>
        <w:spacing w:before="156" w:after="156" w:line="540" w:lineRule="auto"/>
        <w:rPr>
          <w:rFonts w:ascii="宋体" w:hAnsi="宋体" w:cs="宋体"/>
          <w:sz w:val="32"/>
          <w:szCs w:val="32"/>
        </w:rPr>
      </w:pPr>
    </w:p>
    <w:p>
      <w:pPr>
        <w:pStyle w:val="67"/>
        <w:spacing w:before="156" w:after="156" w:line="540" w:lineRule="auto"/>
        <w:jc w:val="center"/>
        <w:rPr>
          <w:rFonts w:ascii="宋体" w:hAnsi="宋体" w:cs="宋体"/>
          <w:sz w:val="32"/>
          <w:szCs w:val="32"/>
        </w:rPr>
      </w:pPr>
      <w:r>
        <w:rPr>
          <w:rFonts w:hint="eastAsia" w:ascii="宋体" w:hAnsi="宋体" w:cs="宋体"/>
          <w:sz w:val="32"/>
          <w:szCs w:val="32"/>
        </w:rPr>
        <w:t xml:space="preserve">比选编号：YCQ-2023-BX03 </w:t>
      </w:r>
    </w:p>
    <w:p>
      <w:pPr>
        <w:pStyle w:val="67"/>
        <w:spacing w:before="156" w:after="156" w:line="540" w:lineRule="auto"/>
        <w:rPr>
          <w:rFonts w:ascii="宋体" w:hAnsi="宋体" w:cs="宋体"/>
          <w:sz w:val="32"/>
          <w:szCs w:val="32"/>
        </w:rPr>
      </w:pPr>
    </w:p>
    <w:p>
      <w:pPr>
        <w:pStyle w:val="67"/>
        <w:spacing w:before="156" w:after="156" w:line="540" w:lineRule="auto"/>
        <w:jc w:val="center"/>
        <w:rPr>
          <w:rFonts w:ascii="宋体" w:hAnsi="宋体" w:cs="宋体"/>
          <w:sz w:val="32"/>
          <w:szCs w:val="32"/>
          <w:u w:val="single"/>
        </w:rPr>
      </w:pPr>
      <w:r>
        <w:rPr>
          <w:rFonts w:hint="eastAsia" w:ascii="宋体" w:hAnsi="宋体" w:cs="宋体"/>
          <w:sz w:val="32"/>
          <w:szCs w:val="32"/>
        </w:rPr>
        <w:t>比选人：义乌市文化馆</w:t>
      </w:r>
    </w:p>
    <w:p>
      <w:pPr>
        <w:pStyle w:val="67"/>
        <w:spacing w:before="156" w:after="156" w:line="540" w:lineRule="auto"/>
        <w:jc w:val="center"/>
        <w:rPr>
          <w:rFonts w:ascii="宋体" w:hAnsi="宋体" w:cs="宋体"/>
          <w:sz w:val="32"/>
          <w:szCs w:val="32"/>
          <w:u w:val="single"/>
        </w:rPr>
      </w:pPr>
      <w:r>
        <w:rPr>
          <w:rFonts w:hint="eastAsia" w:ascii="宋体" w:hAnsi="宋体" w:cs="宋体"/>
          <w:sz w:val="32"/>
          <w:szCs w:val="32"/>
        </w:rPr>
        <w:t>代理机构：</w:t>
      </w:r>
      <w:r>
        <w:rPr>
          <w:rFonts w:hint="eastAsia" w:ascii="宋体" w:hAnsi="宋体" w:cs="宋体"/>
          <w:sz w:val="32"/>
          <w:szCs w:val="32"/>
          <w:u w:val="single"/>
        </w:rPr>
        <w:t>义乌产权交易所有限公司招投标中心</w:t>
      </w:r>
    </w:p>
    <w:p>
      <w:pPr>
        <w:pStyle w:val="67"/>
        <w:spacing w:before="156" w:after="156" w:line="540" w:lineRule="auto"/>
        <w:jc w:val="center"/>
        <w:rPr>
          <w:rFonts w:ascii="宋体" w:hAnsi="宋体" w:cs="宋体"/>
          <w:sz w:val="32"/>
          <w:szCs w:val="32"/>
        </w:rPr>
      </w:pPr>
      <w:r>
        <w:rPr>
          <w:rFonts w:hint="eastAsia" w:ascii="宋体" w:hAnsi="宋体" w:cs="宋体"/>
          <w:sz w:val="32"/>
          <w:szCs w:val="32"/>
          <w:u w:val="single"/>
        </w:rPr>
        <w:t>2023年</w:t>
      </w:r>
      <w:r>
        <w:rPr>
          <w:rFonts w:hint="eastAsia" w:ascii="宋体" w:hAnsi="宋体" w:cs="宋体"/>
          <w:sz w:val="32"/>
          <w:szCs w:val="32"/>
          <w:u w:val="single"/>
          <w:lang w:val="en-US" w:eastAsia="zh-CN"/>
        </w:rPr>
        <w:t>9</w:t>
      </w:r>
      <w:r>
        <w:rPr>
          <w:rFonts w:hint="eastAsia" w:ascii="宋体" w:hAnsi="宋体" w:cs="宋体"/>
          <w:sz w:val="32"/>
          <w:szCs w:val="32"/>
          <w:u w:val="single"/>
        </w:rPr>
        <w:t>月</w:t>
      </w:r>
      <w:bookmarkStart w:id="0" w:name="_Toc144974478"/>
      <w:bookmarkEnd w:id="0"/>
    </w:p>
    <w:p>
      <w:pPr>
        <w:widowControl/>
        <w:spacing w:before="156" w:after="156"/>
        <w:jc w:val="center"/>
        <w:rPr>
          <w:rFonts w:ascii="宋体" w:hAnsi="宋体" w:cs="宋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widowControl/>
        <w:spacing w:before="156" w:after="156"/>
        <w:jc w:val="center"/>
        <w:rPr>
          <w:rFonts w:ascii="宋体" w:hAnsi="宋体" w:cs="宋体"/>
          <w:sz w:val="24"/>
        </w:rPr>
      </w:pPr>
      <w:r>
        <w:rPr>
          <w:rFonts w:hint="eastAsia" w:ascii="宋体" w:hAnsi="宋体" w:cs="宋体"/>
          <w:sz w:val="24"/>
        </w:rPr>
        <w:t>目录</w:t>
      </w:r>
    </w:p>
    <w:sdt>
      <w:sdtPr>
        <w:rPr>
          <w:rFonts w:hint="eastAsia" w:ascii="宋体" w:hAnsi="宋体" w:eastAsia="宋体" w:cs="宋体"/>
          <w:b/>
          <w:color w:val="auto"/>
          <w:kern w:val="2"/>
          <w:sz w:val="24"/>
          <w:szCs w:val="24"/>
          <w:lang w:val="zh-CN"/>
        </w:rPr>
        <w:id w:val="2060980265"/>
        <w:docPartObj>
          <w:docPartGallery w:val="Table of Contents"/>
          <w:docPartUnique/>
        </w:docPartObj>
      </w:sdtPr>
      <w:sdtEndPr>
        <w:rPr>
          <w:rFonts w:hint="eastAsia" w:ascii="宋体" w:hAnsi="宋体" w:eastAsia="宋体" w:cs="宋体"/>
          <w:b/>
          <w:bCs/>
          <w:color w:val="auto"/>
          <w:kern w:val="2"/>
          <w:sz w:val="24"/>
          <w:szCs w:val="24"/>
          <w:lang w:val="zh-CN"/>
        </w:rPr>
      </w:sdtEndPr>
      <w:sdtContent>
        <w:p>
          <w:pPr>
            <w:pStyle w:val="228"/>
            <w:rPr>
              <w:rFonts w:ascii="宋体" w:hAnsi="宋体" w:eastAsia="宋体" w:cs="宋体"/>
              <w:sz w:val="24"/>
              <w:szCs w:val="24"/>
            </w:rPr>
          </w:pPr>
        </w:p>
        <w:p>
          <w:pPr>
            <w:pStyle w:val="26"/>
            <w:tabs>
              <w:tab w:val="left" w:pos="2100"/>
              <w:tab w:val="right" w:leader="dot" w:pos="8296"/>
            </w:tabs>
            <w:spacing w:before="156" w:after="156"/>
            <w:rPr>
              <w:rFonts w:ascii="宋体" w:hAnsi="宋体" w:cs="宋体"/>
              <w:b w:val="0"/>
              <w:kern w:val="2"/>
              <w:sz w:val="24"/>
              <w:szCs w:val="24"/>
              <w14:ligatures w14:val="standardContextual"/>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"_Toc138602906" </w:instrText>
          </w:r>
          <w:r>
            <w:fldChar w:fldCharType="separate"/>
          </w:r>
          <w:r>
            <w:rPr>
              <w:rStyle w:val="44"/>
              <w:rFonts w:hint="eastAsia" w:ascii="宋体" w:hAnsi="宋体" w:cs="宋体"/>
              <w:sz w:val="24"/>
              <w:szCs w:val="24"/>
            </w:rPr>
            <w:t>第一章</w:t>
          </w:r>
          <w:r>
            <w:rPr>
              <w:rFonts w:hint="eastAsia" w:ascii="宋体" w:hAnsi="宋体" w:cs="宋体"/>
              <w:b w:val="0"/>
              <w:kern w:val="2"/>
              <w:sz w:val="24"/>
              <w:szCs w:val="24"/>
              <w14:ligatures w14:val="standardContextual"/>
            </w:rPr>
            <w:tab/>
          </w:r>
          <w:r>
            <w:rPr>
              <w:rStyle w:val="44"/>
              <w:rFonts w:hint="eastAsia" w:ascii="宋体" w:hAnsi="宋体" w:cs="宋体"/>
              <w:sz w:val="24"/>
              <w:szCs w:val="24"/>
            </w:rPr>
            <w:t>比选公告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_Toc138602906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left" w:pos="2100"/>
              <w:tab w:val="right" w:leader="dot" w:pos="8296"/>
            </w:tabs>
            <w:spacing w:before="156" w:after="156"/>
            <w:rPr>
              <w:rFonts w:ascii="宋体" w:hAnsi="宋体" w:cs="宋体"/>
              <w:b w:val="0"/>
              <w:kern w:val="2"/>
              <w:sz w:val="24"/>
              <w:szCs w:val="24"/>
              <w14:ligatures w14:val="standardContextual"/>
            </w:rPr>
          </w:pPr>
          <w:r>
            <w:fldChar w:fldCharType="begin"/>
          </w:r>
          <w:r>
            <w:instrText xml:space="preserve"> HYPERLINK \l "_Toc138602907" </w:instrText>
          </w:r>
          <w:r>
            <w:fldChar w:fldCharType="separate"/>
          </w:r>
          <w:r>
            <w:rPr>
              <w:rStyle w:val="44"/>
              <w:rFonts w:hint="eastAsia" w:ascii="宋体" w:hAnsi="宋体" w:cs="宋体"/>
              <w:sz w:val="24"/>
              <w:szCs w:val="24"/>
            </w:rPr>
            <w:t>第二章</w:t>
          </w:r>
          <w:r>
            <w:rPr>
              <w:rFonts w:hint="eastAsia" w:ascii="宋体" w:hAnsi="宋体" w:cs="宋体"/>
              <w:b w:val="0"/>
              <w:kern w:val="2"/>
              <w:sz w:val="24"/>
              <w:szCs w:val="24"/>
              <w14:ligatures w14:val="standardContextual"/>
            </w:rPr>
            <w:tab/>
          </w:r>
          <w:r>
            <w:rPr>
              <w:rStyle w:val="44"/>
              <w:rFonts w:hint="eastAsia" w:ascii="宋体" w:hAnsi="宋体" w:cs="宋体"/>
              <w:sz w:val="24"/>
              <w:szCs w:val="24"/>
            </w:rPr>
            <w:t>参选人须知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_Toc138602907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296"/>
            </w:tabs>
            <w:spacing w:before="156" w:after="156"/>
            <w:rPr>
              <w:rFonts w:ascii="宋体" w:hAnsi="宋体" w:cs="宋体"/>
              <w:b w:val="0"/>
              <w:kern w:val="2"/>
              <w:sz w:val="24"/>
              <w:szCs w:val="24"/>
              <w14:ligatures w14:val="standardContextual"/>
            </w:rPr>
          </w:pPr>
          <w:r>
            <w:fldChar w:fldCharType="begin"/>
          </w:r>
          <w:r>
            <w:instrText xml:space="preserve"> HYPERLINK \l "_Toc138602908" </w:instrText>
          </w:r>
          <w:r>
            <w:fldChar w:fldCharType="separate"/>
          </w:r>
          <w:r>
            <w:rPr>
              <w:rStyle w:val="44"/>
              <w:rFonts w:hint="eastAsia" w:ascii="宋体" w:hAnsi="宋体" w:cs="宋体"/>
              <w:sz w:val="24"/>
              <w:szCs w:val="24"/>
            </w:rPr>
            <w:t>参选人须知前附表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_Toc138602908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left" w:pos="2100"/>
              <w:tab w:val="right" w:leader="dot" w:pos="8296"/>
            </w:tabs>
            <w:spacing w:before="156" w:after="156"/>
            <w:rPr>
              <w:rFonts w:ascii="宋体" w:hAnsi="宋体" w:cs="宋体"/>
              <w:b w:val="0"/>
              <w:kern w:val="2"/>
              <w:sz w:val="24"/>
              <w:szCs w:val="24"/>
              <w14:ligatures w14:val="standardContextual"/>
            </w:rPr>
          </w:pPr>
          <w:r>
            <w:fldChar w:fldCharType="begin"/>
          </w:r>
          <w:r>
            <w:instrText xml:space="preserve"> HYPERLINK \l "_Toc138602909" </w:instrText>
          </w:r>
          <w:r>
            <w:fldChar w:fldCharType="separate"/>
          </w:r>
          <w:r>
            <w:rPr>
              <w:rStyle w:val="44"/>
              <w:rFonts w:hint="eastAsia" w:ascii="宋体" w:hAnsi="宋体" w:cs="宋体"/>
              <w:sz w:val="24"/>
              <w:szCs w:val="24"/>
            </w:rPr>
            <w:t>第三章</w:t>
          </w:r>
          <w:r>
            <w:rPr>
              <w:rFonts w:hint="eastAsia" w:ascii="宋体" w:hAnsi="宋体" w:cs="宋体"/>
              <w:b w:val="0"/>
              <w:kern w:val="2"/>
              <w:sz w:val="24"/>
              <w:szCs w:val="24"/>
              <w14:ligatures w14:val="standardContextual"/>
            </w:rPr>
            <w:tab/>
          </w:r>
          <w:r>
            <w:rPr>
              <w:rStyle w:val="44"/>
              <w:rFonts w:hint="eastAsia" w:ascii="宋体" w:hAnsi="宋体" w:cs="宋体"/>
              <w:sz w:val="24"/>
              <w:szCs w:val="24"/>
            </w:rPr>
            <w:t>比选项目要求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_Toc138602909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left" w:pos="2100"/>
              <w:tab w:val="right" w:leader="dot" w:pos="8296"/>
            </w:tabs>
            <w:spacing w:before="156" w:after="156"/>
            <w:rPr>
              <w:rFonts w:ascii="宋体" w:hAnsi="宋体" w:cs="宋体"/>
              <w:b w:val="0"/>
              <w:kern w:val="2"/>
              <w:sz w:val="24"/>
              <w:szCs w:val="24"/>
              <w14:ligatures w14:val="standardContextual"/>
            </w:rPr>
          </w:pPr>
          <w:r>
            <w:fldChar w:fldCharType="begin"/>
          </w:r>
          <w:r>
            <w:instrText xml:space="preserve"> HYPERLINK \l "_Toc138602910" </w:instrText>
          </w:r>
          <w:r>
            <w:fldChar w:fldCharType="separate"/>
          </w:r>
          <w:r>
            <w:rPr>
              <w:rStyle w:val="44"/>
              <w:rFonts w:hint="eastAsia" w:ascii="宋体" w:hAnsi="宋体" w:cs="宋体"/>
              <w:sz w:val="24"/>
              <w:szCs w:val="24"/>
            </w:rPr>
            <w:t>第四章</w:t>
          </w:r>
          <w:r>
            <w:rPr>
              <w:rFonts w:hint="eastAsia" w:ascii="宋体" w:hAnsi="宋体" w:cs="宋体"/>
              <w:b w:val="0"/>
              <w:kern w:val="2"/>
              <w:sz w:val="24"/>
              <w:szCs w:val="24"/>
              <w14:ligatures w14:val="standardContextual"/>
            </w:rPr>
            <w:tab/>
          </w:r>
          <w:r>
            <w:rPr>
              <w:rStyle w:val="44"/>
              <w:rFonts w:hint="eastAsia" w:ascii="宋体" w:hAnsi="宋体" w:cs="宋体"/>
              <w:sz w:val="24"/>
              <w:szCs w:val="24"/>
            </w:rPr>
            <w:t>评分办法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_Toc138602910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left" w:pos="2100"/>
              <w:tab w:val="right" w:leader="dot" w:pos="8296"/>
            </w:tabs>
            <w:spacing w:before="156" w:after="156"/>
            <w:rPr>
              <w:rFonts w:ascii="宋体" w:hAnsi="宋体" w:cs="宋体"/>
              <w:b w:val="0"/>
              <w:kern w:val="2"/>
              <w:sz w:val="24"/>
              <w:szCs w:val="24"/>
              <w14:ligatures w14:val="standardContextual"/>
            </w:rPr>
          </w:pPr>
          <w:r>
            <w:fldChar w:fldCharType="begin"/>
          </w:r>
          <w:r>
            <w:instrText xml:space="preserve"> HYPERLINK \l "_Toc138602911" </w:instrText>
          </w:r>
          <w:r>
            <w:fldChar w:fldCharType="separate"/>
          </w:r>
          <w:r>
            <w:rPr>
              <w:rStyle w:val="44"/>
              <w:rFonts w:hint="eastAsia" w:ascii="宋体" w:hAnsi="宋体" w:cs="宋体"/>
              <w:sz w:val="24"/>
              <w:szCs w:val="24"/>
            </w:rPr>
            <w:t>第五章</w:t>
          </w:r>
          <w:r>
            <w:rPr>
              <w:rFonts w:hint="eastAsia" w:ascii="宋体" w:hAnsi="宋体" w:cs="宋体"/>
              <w:b w:val="0"/>
              <w:kern w:val="2"/>
              <w:sz w:val="24"/>
              <w:szCs w:val="24"/>
              <w14:ligatures w14:val="standardContextual"/>
            </w:rPr>
            <w:tab/>
          </w:r>
          <w:r>
            <w:rPr>
              <w:rStyle w:val="44"/>
              <w:rFonts w:hint="eastAsia" w:ascii="宋体" w:hAnsi="宋体" w:cs="宋体"/>
              <w:sz w:val="24"/>
              <w:szCs w:val="24"/>
            </w:rPr>
            <w:t>协议</w:t>
          </w:r>
          <w:r>
            <w:rPr>
              <w:rStyle w:val="44"/>
              <w:rFonts w:hint="eastAsia" w:ascii="宋体" w:hAnsi="宋体" w:cs="宋体"/>
              <w:sz w:val="24"/>
              <w:szCs w:val="24"/>
              <w:lang w:eastAsia="zh-CN"/>
            </w:rPr>
            <w:t>（</w:t>
          </w:r>
          <w:r>
            <w:rPr>
              <w:rStyle w:val="44"/>
              <w:rFonts w:hint="eastAsia" w:ascii="宋体" w:hAnsi="宋体" w:cs="宋体"/>
              <w:sz w:val="24"/>
              <w:szCs w:val="24"/>
              <w:lang w:val="en-US" w:eastAsia="zh-CN"/>
            </w:rPr>
            <w:t>拟</w:t>
          </w:r>
          <w:r>
            <w:rPr>
              <w:rStyle w:val="44"/>
              <w:rFonts w:hint="eastAsia" w:ascii="宋体" w:hAnsi="宋体" w:cs="宋体"/>
              <w:sz w:val="24"/>
              <w:szCs w:val="24"/>
              <w:lang w:eastAsia="zh-CN"/>
            </w:rPr>
            <w:t>）</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_Toc138602911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left" w:pos="2100"/>
              <w:tab w:val="right" w:leader="dot" w:pos="8296"/>
            </w:tabs>
            <w:spacing w:before="156" w:after="156"/>
            <w:rPr>
              <w:rFonts w:ascii="宋体" w:hAnsi="宋体" w:cs="宋体"/>
              <w:b w:val="0"/>
              <w:kern w:val="2"/>
              <w:sz w:val="24"/>
              <w:szCs w:val="24"/>
              <w14:ligatures w14:val="standardContextual"/>
            </w:rPr>
          </w:pPr>
          <w:r>
            <w:fldChar w:fldCharType="begin"/>
          </w:r>
          <w:r>
            <w:instrText xml:space="preserve"> HYPERLINK \l "_Toc138603038" </w:instrText>
          </w:r>
          <w:r>
            <w:fldChar w:fldCharType="separate"/>
          </w:r>
          <w:r>
            <w:rPr>
              <w:rStyle w:val="44"/>
              <w:rFonts w:hint="eastAsia" w:ascii="宋体" w:hAnsi="宋体" w:cs="宋体"/>
              <w:sz w:val="24"/>
              <w:szCs w:val="24"/>
            </w:rPr>
            <w:t>第六章</w:t>
          </w:r>
          <w:r>
            <w:rPr>
              <w:rFonts w:hint="eastAsia" w:ascii="宋体" w:hAnsi="宋体" w:cs="宋体"/>
              <w:b w:val="0"/>
              <w:kern w:val="2"/>
              <w:sz w:val="24"/>
              <w:szCs w:val="24"/>
              <w14:ligatures w14:val="standardContextual"/>
            </w:rPr>
            <w:tab/>
          </w:r>
          <w:r>
            <w:rPr>
              <w:rStyle w:val="44"/>
              <w:rFonts w:hint="eastAsia" w:ascii="宋体" w:hAnsi="宋体" w:cs="宋体"/>
              <w:sz w:val="24"/>
              <w:szCs w:val="24"/>
            </w:rPr>
            <w:t>参选文件格式</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ascii="宋体" w:hAnsi="宋体" w:cs="宋体"/>
              <w:sz w:val="24"/>
              <w:szCs w:val="24"/>
            </w:rPr>
            <w:t>8</w:t>
          </w:r>
        </w:p>
        <w:p>
          <w:pPr>
            <w:pStyle w:val="18"/>
            <w:tabs>
              <w:tab w:val="right" w:leader="dot" w:pos="8296"/>
            </w:tabs>
            <w:spacing w:before="156" w:after="156"/>
            <w:rPr>
              <w:rFonts w:ascii="宋体" w:hAnsi="宋体" w:cs="宋体"/>
              <w:b w:val="0"/>
              <w:kern w:val="2"/>
              <w:sz w:val="24"/>
              <w:szCs w:val="24"/>
              <w14:ligatures w14:val="standardContextual"/>
            </w:rPr>
          </w:pPr>
        </w:p>
        <w:p>
          <w:pPr>
            <w:spacing w:before="156" w:after="156"/>
            <w:rPr>
              <w:rFonts w:ascii="宋体" w:hAnsi="宋体" w:cs="宋体"/>
              <w:sz w:val="24"/>
            </w:rPr>
          </w:pPr>
          <w:r>
            <w:rPr>
              <w:rFonts w:hint="eastAsia" w:ascii="宋体" w:hAnsi="宋体" w:cs="宋体"/>
              <w:bCs/>
              <w:sz w:val="24"/>
              <w:lang w:val="zh-CN"/>
            </w:rPr>
            <w:fldChar w:fldCharType="end"/>
          </w:r>
        </w:p>
      </w:sdtContent>
    </w:sdt>
    <w:p>
      <w:pPr>
        <w:pStyle w:val="67"/>
        <w:spacing w:before="156" w:after="156" w:line="540" w:lineRule="auto"/>
        <w:jc w:val="center"/>
        <w:rPr>
          <w:rFonts w:ascii="宋体" w:hAnsi="宋体" w:cs="宋体"/>
          <w:sz w:val="24"/>
          <w:szCs w:val="24"/>
        </w:rPr>
        <w:sectPr>
          <w:footerReference r:id="rId9" w:type="default"/>
          <w:pgSz w:w="11906" w:h="16838"/>
          <w:pgMar w:top="1440" w:right="1800" w:bottom="1440" w:left="1800" w:header="851" w:footer="992" w:gutter="0"/>
          <w:pgNumType w:start="1"/>
          <w:cols w:space="720" w:num="1"/>
          <w:docGrid w:type="lines" w:linePitch="312" w:charSpace="0"/>
        </w:sectPr>
      </w:pPr>
    </w:p>
    <w:p>
      <w:pPr>
        <w:pStyle w:val="32"/>
        <w:spacing w:before="156" w:after="156"/>
        <w:rPr>
          <w:rFonts w:ascii="宋体" w:hAnsi="宋体" w:cs="宋体"/>
          <w:sz w:val="24"/>
          <w:szCs w:val="24"/>
        </w:rPr>
      </w:pPr>
      <w:bookmarkStart w:id="1" w:name="_Toc134695723"/>
      <w:bookmarkStart w:id="2" w:name="_Toc138602906"/>
      <w:r>
        <w:rPr>
          <w:rFonts w:hint="eastAsia" w:ascii="宋体" w:hAnsi="宋体" w:cs="宋体"/>
          <w:sz w:val="24"/>
          <w:szCs w:val="24"/>
        </w:rPr>
        <w:t>比选公告</w:t>
      </w:r>
      <w:bookmarkEnd w:id="1"/>
      <w:bookmarkEnd w:id="2"/>
    </w:p>
    <w:p>
      <w:pPr>
        <w:pStyle w:val="230"/>
        <w:ind w:firstLine="482"/>
        <w:rPr>
          <w:rFonts w:hint="default"/>
        </w:rPr>
      </w:pPr>
      <w:bookmarkStart w:id="3" w:name="_Toc179632544"/>
      <w:r>
        <w:rPr>
          <w:b/>
          <w:bCs/>
        </w:rPr>
        <w:t>一、比选项目：</w:t>
      </w:r>
      <w:r>
        <w:rPr>
          <w:rFonts w:cs="Times New Roman"/>
        </w:rPr>
        <w:t>义乌市文化广场剧院运营团队</w:t>
      </w:r>
      <w:r>
        <w:t>项目</w:t>
      </w:r>
    </w:p>
    <w:p>
      <w:pPr>
        <w:pStyle w:val="230"/>
        <w:ind w:firstLine="482"/>
        <w:rPr>
          <w:rFonts w:hint="default"/>
        </w:rPr>
      </w:pPr>
      <w:r>
        <w:rPr>
          <w:b/>
          <w:bCs/>
        </w:rPr>
        <w:t>二、项目预算：</w:t>
      </w:r>
      <w:r>
        <w:rPr>
          <w:b/>
          <w:bCs/>
          <w:color w:val="auto"/>
        </w:rPr>
        <w:t>公益性文化服务</w:t>
      </w:r>
    </w:p>
    <w:p>
      <w:pPr>
        <w:pStyle w:val="230"/>
        <w:ind w:firstLine="482"/>
        <w:rPr>
          <w:rFonts w:hint="default"/>
        </w:rPr>
      </w:pPr>
      <w:r>
        <w:rPr>
          <w:b/>
          <w:bCs/>
        </w:rPr>
        <w:t>三、</w:t>
      </w:r>
      <w:bookmarkStart w:id="4" w:name="_Toc98853881"/>
      <w:r>
        <w:rPr>
          <w:b/>
          <w:bCs/>
        </w:rPr>
        <w:t>服务内容：</w:t>
      </w:r>
      <w:bookmarkEnd w:id="4"/>
      <w:r>
        <w:rPr>
          <w:rFonts w:cs="Times New Roman"/>
        </w:rPr>
        <w:t>义乌市文化广场剧院运营团队，</w:t>
      </w:r>
      <w:r>
        <w:t>具体内容及要求详见比选文件第三章《比选项目要求》，</w:t>
      </w:r>
      <w:r>
        <w:rPr>
          <w:b/>
          <w:bCs/>
        </w:rPr>
        <w:t>服务期限：</w:t>
      </w:r>
      <w:r>
        <w:t>3年。</w:t>
      </w:r>
    </w:p>
    <w:p>
      <w:pPr>
        <w:pStyle w:val="230"/>
        <w:ind w:firstLine="482"/>
        <w:rPr>
          <w:rFonts w:hint="default"/>
          <w:b/>
          <w:bCs/>
        </w:rPr>
      </w:pPr>
      <w:r>
        <w:rPr>
          <w:b/>
          <w:bCs/>
        </w:rPr>
        <w:t>四、参选人的资格要求：</w:t>
      </w:r>
    </w:p>
    <w:p>
      <w:pPr>
        <w:pStyle w:val="230"/>
        <w:rPr>
          <w:rFonts w:hint="default"/>
          <w:color w:val="auto"/>
        </w:rPr>
      </w:pPr>
      <w:r>
        <w:t>1、</w:t>
      </w:r>
      <w:r>
        <w:rPr>
          <w:color w:val="auto"/>
        </w:rPr>
        <w:t>本次公开比选面向法人，不接受联合体参与比选。</w:t>
      </w:r>
    </w:p>
    <w:p>
      <w:pPr>
        <w:pStyle w:val="230"/>
        <w:rPr>
          <w:rFonts w:hint="default"/>
          <w:color w:val="auto"/>
        </w:rPr>
      </w:pPr>
      <w:r>
        <w:rPr>
          <w:color w:val="auto"/>
        </w:rPr>
        <w:t>参选人须自2020年1月1日起至成交结果公告之日止没有行贿犯罪记录（以中国裁判文书网页面显示内容为准）；根据《关于在全市公共资源交易活动中应用信用报告的通知》（义行服管【2017】17号）规定，企业信用等级为E类的意向参选人，不得参加本期项目的参选（请意向参选人自行通过“浙里办”-“信用义乌”或微信关注“信用义乌”查询）。 信用中心咨询电话：0579-85935661）。</w:t>
      </w:r>
    </w:p>
    <w:p>
      <w:pPr>
        <w:pStyle w:val="230"/>
        <w:rPr>
          <w:rFonts w:hint="default"/>
          <w:color w:val="auto"/>
        </w:rPr>
      </w:pPr>
      <w:r>
        <w:rPr>
          <w:color w:val="auto"/>
        </w:rPr>
        <w:t>2、</w:t>
      </w:r>
      <w:r>
        <w:rPr>
          <w:rFonts w:cs="Times New Roman"/>
          <w:color w:val="auto"/>
        </w:rPr>
        <w:t>具有文化行政主管部门颁发且在有效期内的《营业性演出许可证》资质。</w:t>
      </w:r>
    </w:p>
    <w:p>
      <w:pPr>
        <w:pStyle w:val="230"/>
        <w:ind w:firstLine="482"/>
        <w:rPr>
          <w:rFonts w:hint="default"/>
          <w:color w:val="auto"/>
        </w:rPr>
      </w:pPr>
      <w:r>
        <w:rPr>
          <w:b/>
          <w:bCs/>
          <w:color w:val="auto"/>
        </w:rPr>
        <w:t>五、报名时间和地点：</w:t>
      </w:r>
      <w:r>
        <w:rPr>
          <w:color w:val="auto"/>
        </w:rPr>
        <w:t>比选文件可在义乌产权交易网（</w:t>
      </w:r>
      <w:r>
        <w:rPr>
          <w:color w:val="auto"/>
        </w:rPr>
        <w:fldChar w:fldCharType="begin"/>
      </w:r>
      <w:r>
        <w:rPr>
          <w:color w:val="auto"/>
        </w:rPr>
        <w:instrText xml:space="preserve"> HYPERLINK "http://www.ywcq.com" </w:instrText>
      </w:r>
      <w:r>
        <w:rPr>
          <w:color w:val="auto"/>
        </w:rPr>
        <w:fldChar w:fldCharType="separate"/>
      </w:r>
      <w:r>
        <w:rPr>
          <w:color w:val="auto"/>
        </w:rPr>
        <w:t>www.ywcq.com</w:t>
      </w:r>
      <w:r>
        <w:rPr>
          <w:color w:val="auto"/>
        </w:rPr>
        <w:fldChar w:fldCharType="end"/>
      </w:r>
      <w:r>
        <w:rPr>
          <w:color w:val="auto"/>
        </w:rPr>
        <w:t>）下载，报名资料请于2023年</w:t>
      </w:r>
      <w:r>
        <w:rPr>
          <w:rFonts w:hint="eastAsia"/>
          <w:color w:val="auto"/>
          <w:lang w:val="en-US" w:eastAsia="zh-CN"/>
        </w:rPr>
        <w:t>9</w:t>
      </w:r>
      <w:r>
        <w:rPr>
          <w:color w:val="auto"/>
        </w:rPr>
        <w:t>月</w:t>
      </w:r>
      <w:r>
        <w:rPr>
          <w:rFonts w:hint="eastAsia"/>
          <w:color w:val="auto"/>
          <w:lang w:val="en-US" w:eastAsia="zh-CN"/>
        </w:rPr>
        <w:t>28</w:t>
      </w:r>
      <w:r>
        <w:rPr>
          <w:color w:val="auto"/>
        </w:rPr>
        <w:t>日至2023年</w:t>
      </w:r>
      <w:r>
        <w:rPr>
          <w:rFonts w:hint="eastAsia"/>
          <w:color w:val="auto"/>
          <w:lang w:val="en-US" w:eastAsia="zh-CN"/>
        </w:rPr>
        <w:t>10</w:t>
      </w:r>
      <w:r>
        <w:rPr>
          <w:color w:val="auto"/>
        </w:rPr>
        <w:t>月</w:t>
      </w:r>
      <w:r>
        <w:rPr>
          <w:rFonts w:hint="eastAsia"/>
          <w:color w:val="auto"/>
          <w:lang w:val="en-US" w:eastAsia="zh-CN"/>
        </w:rPr>
        <w:t>17</w:t>
      </w:r>
      <w:r>
        <w:rPr>
          <w:color w:val="auto"/>
        </w:rPr>
        <w:t>日</w:t>
      </w:r>
      <w:r>
        <w:rPr>
          <w:color w:val="auto"/>
        </w:rPr>
        <w:fldChar w:fldCharType="begin"/>
      </w:r>
      <w:r>
        <w:rPr>
          <w:color w:val="auto"/>
        </w:rPr>
        <w:instrText xml:space="preserve"> HYPERLINK "mailto:日以扫描件形式发送至邮箱ywcqztb@ywcq.com" </w:instrText>
      </w:r>
      <w:r>
        <w:rPr>
          <w:color w:val="auto"/>
        </w:rPr>
        <w:fldChar w:fldCharType="separate"/>
      </w:r>
      <w:r>
        <w:rPr>
          <w:color w:val="auto"/>
        </w:rPr>
        <w:t>（</w:t>
      </w:r>
      <w:r>
        <w:rPr>
          <w:color w:val="auto"/>
          <w:lang w:val="zh-CN"/>
        </w:rPr>
        <w:t>上午</w:t>
      </w:r>
      <w:r>
        <w:rPr>
          <w:color w:val="auto"/>
        </w:rPr>
        <w:t>9：00－11：30，</w:t>
      </w:r>
      <w:r>
        <w:rPr>
          <w:color w:val="auto"/>
          <w:lang w:val="zh-CN"/>
        </w:rPr>
        <w:t>下午</w:t>
      </w:r>
      <w:r>
        <w:rPr>
          <w:color w:val="auto"/>
        </w:rPr>
        <w:t>1：00－5：00，</w:t>
      </w:r>
      <w:r>
        <w:rPr>
          <w:color w:val="auto"/>
          <w:lang w:val="zh-CN"/>
        </w:rPr>
        <w:t>双休日及节假日除外</w:t>
      </w:r>
      <w:r>
        <w:rPr>
          <w:color w:val="auto"/>
        </w:rPr>
        <w:t>）以扫描件形式发送至邮箱ywcqztb@ywcq.com</w:t>
      </w:r>
      <w:r>
        <w:rPr>
          <w:color w:val="auto"/>
        </w:rPr>
        <w:fldChar w:fldCharType="end"/>
      </w:r>
      <w:r>
        <w:rPr>
          <w:color w:val="auto"/>
        </w:rPr>
        <w:t>，并致电报名处确认报名情况（以邮箱回执报名成功为准）；邮件发送时主题需注明项目名称及参选单位名称，报名处联系人：宋先生 0579-</w:t>
      </w:r>
      <w:bookmarkStart w:id="5" w:name="OLE_LINK12"/>
      <w:bookmarkEnd w:id="5"/>
      <w:r>
        <w:rPr>
          <w:color w:val="auto"/>
        </w:rPr>
        <w:t>89906887。</w:t>
      </w:r>
    </w:p>
    <w:p>
      <w:pPr>
        <w:pStyle w:val="230"/>
        <w:rPr>
          <w:rFonts w:hint="default"/>
          <w:color w:val="auto"/>
        </w:rPr>
      </w:pPr>
      <w:r>
        <w:rPr>
          <w:color w:val="auto"/>
        </w:rPr>
        <w:t>报名时所需资料（复印件或扫描件加盖单位公章）：</w:t>
      </w:r>
    </w:p>
    <w:p>
      <w:pPr>
        <w:pStyle w:val="230"/>
        <w:rPr>
          <w:rFonts w:hint="default"/>
          <w:color w:val="auto"/>
        </w:rPr>
      </w:pPr>
      <w:r>
        <w:rPr>
          <w:color w:val="auto"/>
        </w:rPr>
        <w:t>①参选单位在“全国企业信用信息公示系统”（网址http://gsxt.saic.gov.cn/）上的单位详细信息打印件，或单位营业执照副本扫描件（扫描件均须加盖参选单位公章，下同）</w:t>
      </w:r>
    </w:p>
    <w:p>
      <w:pPr>
        <w:pStyle w:val="230"/>
        <w:rPr>
          <w:rFonts w:hint="default"/>
          <w:color w:val="auto"/>
        </w:rPr>
      </w:pPr>
      <w:r>
        <w:rPr>
          <w:color w:val="auto"/>
        </w:rPr>
        <w:t>②法定代表人授权书和被授权人身份证复印件［适用于非法定代表人参加报名的,说明：法定代表人以营业执照载明的人员为准］；或法定代表人身份证复印件［适用于法定代表人参加报名的］</w:t>
      </w:r>
    </w:p>
    <w:p>
      <w:pPr>
        <w:pStyle w:val="230"/>
        <w:rPr>
          <w:rFonts w:hint="default"/>
          <w:color w:val="auto"/>
        </w:rPr>
      </w:pPr>
      <w:r>
        <w:rPr>
          <w:color w:val="auto"/>
        </w:rPr>
        <w:t>③</w:t>
      </w:r>
      <w:r>
        <w:rPr>
          <w:rFonts w:cs="Times New Roman"/>
          <w:color w:val="auto"/>
        </w:rPr>
        <w:t>营业性演出许可证</w:t>
      </w:r>
      <w:r>
        <w:rPr>
          <w:color w:val="auto"/>
        </w:rPr>
        <w:t>。</w:t>
      </w:r>
    </w:p>
    <w:p>
      <w:pPr>
        <w:pStyle w:val="230"/>
        <w:ind w:firstLine="482"/>
        <w:rPr>
          <w:rFonts w:hint="default"/>
          <w:color w:val="auto"/>
        </w:rPr>
      </w:pPr>
      <w:r>
        <w:rPr>
          <w:b/>
          <w:bCs/>
          <w:color w:val="auto"/>
        </w:rPr>
        <w:t>六、参选时间：</w:t>
      </w:r>
      <w:r>
        <w:rPr>
          <w:color w:val="auto"/>
        </w:rPr>
        <w:t>2023年</w:t>
      </w:r>
      <w:r>
        <w:rPr>
          <w:rFonts w:hint="eastAsia"/>
          <w:color w:val="auto"/>
          <w:lang w:val="en-US" w:eastAsia="zh-CN"/>
        </w:rPr>
        <w:t>10</w:t>
      </w:r>
      <w:r>
        <w:rPr>
          <w:color w:val="auto"/>
        </w:rPr>
        <w:t>月</w:t>
      </w:r>
      <w:r>
        <w:rPr>
          <w:rFonts w:hint="eastAsia"/>
          <w:color w:val="auto"/>
          <w:lang w:val="en-US" w:eastAsia="zh-CN"/>
        </w:rPr>
        <w:t>20</w:t>
      </w:r>
      <w:r>
        <w:rPr>
          <w:color w:val="auto"/>
        </w:rPr>
        <w:t>日1</w:t>
      </w:r>
      <w:r>
        <w:rPr>
          <w:rFonts w:hint="eastAsia"/>
          <w:color w:val="auto"/>
          <w:lang w:val="en-US" w:eastAsia="zh-CN"/>
        </w:rPr>
        <w:t>4</w:t>
      </w:r>
      <w:r>
        <w:rPr>
          <w:color w:val="auto"/>
        </w:rPr>
        <w:t>时</w:t>
      </w:r>
    </w:p>
    <w:p>
      <w:pPr>
        <w:pStyle w:val="230"/>
        <w:ind w:firstLine="482"/>
        <w:rPr>
          <w:rFonts w:hint="default"/>
        </w:rPr>
      </w:pPr>
      <w:r>
        <w:rPr>
          <w:b/>
          <w:bCs/>
        </w:rPr>
        <w:t>七、递交参选文件截止时间及地点：</w:t>
      </w:r>
      <w:r>
        <w:t>本项目所有纸质参选文件以邮寄方式递交(★指定EMS邮寄，不接收其他快递)或现场递交。快递邮寄面单（格式见附件）不得显示参选单位名称。</w:t>
      </w:r>
    </w:p>
    <w:p>
      <w:pPr>
        <w:pStyle w:val="230"/>
        <w:rPr>
          <w:rFonts w:hint="default"/>
        </w:rPr>
      </w:pPr>
      <w:r>
        <w:t>参选人应于2023年</w:t>
      </w:r>
      <w:r>
        <w:rPr>
          <w:rFonts w:hint="eastAsia"/>
          <w:lang w:val="en-US" w:eastAsia="zh-CN"/>
        </w:rPr>
        <w:t>10</w:t>
      </w:r>
      <w:r>
        <w:t>月</w:t>
      </w:r>
      <w:r>
        <w:rPr>
          <w:rFonts w:hint="eastAsia"/>
          <w:lang w:val="en-US" w:eastAsia="zh-CN"/>
        </w:rPr>
        <w:t>18</w:t>
      </w:r>
      <w:r>
        <w:t>日-2023年</w:t>
      </w:r>
      <w:r>
        <w:rPr>
          <w:rFonts w:hint="eastAsia"/>
          <w:lang w:val="en-US" w:eastAsia="zh-CN"/>
        </w:rPr>
        <w:t>10</w:t>
      </w:r>
      <w:r>
        <w:t>月</w:t>
      </w:r>
      <w:r>
        <w:rPr>
          <w:rFonts w:hint="eastAsia"/>
          <w:lang w:val="en-US" w:eastAsia="zh-CN"/>
        </w:rPr>
        <w:t>20</w:t>
      </w:r>
      <w:r>
        <w:t>日1</w:t>
      </w:r>
      <w:r>
        <w:rPr>
          <w:rFonts w:hint="eastAsia"/>
          <w:lang w:val="en-US" w:eastAsia="zh-CN"/>
        </w:rPr>
        <w:t>4</w:t>
      </w:r>
      <w:r>
        <w:t>时将参选文件（快递材料）递交至义乌市北苑街道望道路300号行政服务中心4楼40</w:t>
      </w:r>
      <w:r>
        <w:rPr>
          <w:rFonts w:hint="eastAsia"/>
          <w:lang w:val="en-US" w:eastAsia="zh-CN"/>
        </w:rPr>
        <w:t>47</w:t>
      </w:r>
      <w:r>
        <w:t>，收件人：王小姐；电话：15067911731。采用现场递交参选文件的参选人即交即走。在投标截止时间（2023年</w:t>
      </w:r>
      <w:r>
        <w:rPr>
          <w:rFonts w:hint="eastAsia"/>
          <w:lang w:val="en-US" w:eastAsia="zh-CN"/>
        </w:rPr>
        <w:t>10</w:t>
      </w:r>
      <w:r>
        <w:t>月</w:t>
      </w:r>
      <w:r>
        <w:rPr>
          <w:rFonts w:hint="eastAsia"/>
          <w:lang w:val="en-US" w:eastAsia="zh-CN"/>
        </w:rPr>
        <w:t>20</w:t>
      </w:r>
      <w:r>
        <w:t>日</w:t>
      </w:r>
      <w:r>
        <w:rPr>
          <w:rFonts w:hint="eastAsia"/>
          <w:lang w:val="en-US" w:eastAsia="zh-CN"/>
        </w:rPr>
        <w:t>14</w:t>
      </w:r>
      <w:r>
        <w:t>时）后送达的文件（以北京时间为准，比选人（代理机构）、比选人监督人校准时间），比选人（代理机构）不予受理。送达时间以工作人员签收时间为准。</w:t>
      </w:r>
    </w:p>
    <w:p>
      <w:pPr>
        <w:pStyle w:val="230"/>
        <w:rPr>
          <w:rFonts w:hint="default"/>
        </w:rPr>
      </w:pPr>
    </w:p>
    <w:p>
      <w:pPr>
        <w:pStyle w:val="230"/>
        <w:rPr>
          <w:rFonts w:hint="default"/>
        </w:rPr>
      </w:pPr>
      <w:r>
        <w:t>比选人：义乌市文化馆       联系电话：0579-</w:t>
      </w:r>
      <w:r>
        <w:rPr>
          <w:rFonts w:hint="eastAsia"/>
        </w:rPr>
        <w:t>85329051</w:t>
      </w:r>
      <w:r>
        <w:t xml:space="preserve">    </w:t>
      </w:r>
      <w:r>
        <w:rPr>
          <w:rFonts w:hint="eastAsia"/>
          <w:lang w:val="en-US" w:eastAsia="zh-CN"/>
        </w:rPr>
        <w:t xml:space="preserve"> </w:t>
      </w:r>
      <w:r>
        <w:t xml:space="preserve"> 联系人：</w:t>
      </w:r>
      <w:r>
        <w:rPr>
          <w:rFonts w:cs="Times New Roman"/>
          <w:color w:val="000000"/>
        </w:rPr>
        <w:t>俞女士</w:t>
      </w:r>
      <w:r>
        <w:t xml:space="preserve"> </w:t>
      </w:r>
    </w:p>
    <w:p>
      <w:pPr>
        <w:pStyle w:val="230"/>
        <w:rPr>
          <w:rFonts w:hint="default"/>
        </w:rPr>
      </w:pPr>
    </w:p>
    <w:p>
      <w:pPr>
        <w:pStyle w:val="230"/>
        <w:jc w:val="right"/>
        <w:rPr>
          <w:rFonts w:hint="default"/>
        </w:rPr>
      </w:pPr>
      <w:r>
        <w:t>义乌市文化馆</w:t>
      </w:r>
    </w:p>
    <w:p>
      <w:pPr>
        <w:pStyle w:val="230"/>
        <w:jc w:val="right"/>
        <w:rPr>
          <w:rFonts w:hint="default"/>
        </w:rPr>
      </w:pPr>
      <w:r>
        <w:t>义乌产权交易所有限公司招投标中心</w:t>
      </w:r>
    </w:p>
    <w:p>
      <w:pPr>
        <w:pStyle w:val="230"/>
        <w:jc w:val="right"/>
        <w:rPr>
          <w:rFonts w:hint="default"/>
        </w:rPr>
      </w:pPr>
      <w:r>
        <w:t xml:space="preserve"> 2023年</w:t>
      </w:r>
      <w:r>
        <w:rPr>
          <w:rFonts w:hint="eastAsia"/>
          <w:lang w:val="en-US" w:eastAsia="zh-CN"/>
        </w:rPr>
        <w:t>9</w:t>
      </w:r>
      <w:r>
        <w:t>月</w:t>
      </w:r>
      <w:r>
        <w:rPr>
          <w:rFonts w:hint="eastAsia"/>
          <w:lang w:val="en-US" w:eastAsia="zh-CN"/>
        </w:rPr>
        <w:t>28</w:t>
      </w:r>
      <w:r>
        <w:t>日</w:t>
      </w:r>
    </w:p>
    <w:p>
      <w:pPr>
        <w:widowControl/>
        <w:spacing w:before="156" w:after="156"/>
        <w:jc w:val="right"/>
        <w:rPr>
          <w:rFonts w:ascii="宋体" w:hAnsi="宋体" w:cs="宋体"/>
          <w:b w:val="0"/>
          <w:bCs/>
          <w:kern w:val="0"/>
          <w:sz w:val="24"/>
        </w:rPr>
      </w:pPr>
    </w:p>
    <w:p>
      <w:pPr>
        <w:pStyle w:val="2"/>
        <w:spacing w:before="156" w:after="156"/>
        <w:jc w:val="center"/>
        <w:rPr>
          <w:rFonts w:ascii="宋体" w:hAnsi="宋体" w:cs="宋体"/>
          <w:b w:val="0"/>
          <w:bCs w:val="0"/>
          <w:kern w:val="0"/>
          <w:sz w:val="24"/>
          <w:szCs w:val="24"/>
        </w:rPr>
      </w:pPr>
    </w:p>
    <w:p>
      <w:pPr>
        <w:pStyle w:val="2"/>
        <w:spacing w:before="156" w:after="156"/>
        <w:jc w:val="center"/>
        <w:rPr>
          <w:rFonts w:ascii="宋体" w:hAnsi="宋体" w:cs="宋体"/>
          <w:b w:val="0"/>
          <w:bCs w:val="0"/>
          <w:kern w:val="0"/>
          <w:sz w:val="24"/>
          <w:szCs w:val="24"/>
        </w:rPr>
      </w:pPr>
    </w:p>
    <w:p>
      <w:pPr>
        <w:pStyle w:val="2"/>
        <w:spacing w:before="156" w:after="156"/>
        <w:jc w:val="center"/>
        <w:rPr>
          <w:rFonts w:ascii="宋体" w:hAnsi="宋体" w:cs="宋体"/>
          <w:b w:val="0"/>
          <w:bCs w:val="0"/>
          <w:kern w:val="0"/>
          <w:sz w:val="24"/>
          <w:szCs w:val="24"/>
        </w:rPr>
      </w:pPr>
    </w:p>
    <w:p>
      <w:pPr>
        <w:pStyle w:val="32"/>
        <w:spacing w:before="156" w:after="156"/>
        <w:rPr>
          <w:rFonts w:ascii="宋体" w:hAnsi="宋体" w:cs="宋体"/>
          <w:kern w:val="0"/>
          <w:sz w:val="24"/>
          <w:szCs w:val="24"/>
        </w:rPr>
      </w:pPr>
      <w:r>
        <w:rPr>
          <w:rFonts w:hint="eastAsia" w:ascii="宋体" w:hAnsi="宋体" w:cs="宋体"/>
          <w:kern w:val="0"/>
          <w:sz w:val="24"/>
          <w:szCs w:val="24"/>
        </w:rPr>
        <w:br w:type="page"/>
      </w:r>
      <w:bookmarkStart w:id="6" w:name="_Toc134695724"/>
      <w:bookmarkStart w:id="7" w:name="_Toc138602907"/>
      <w:r>
        <w:rPr>
          <w:rFonts w:hint="eastAsia" w:ascii="宋体" w:hAnsi="宋体" w:cs="宋体"/>
          <w:kern w:val="0"/>
          <w:sz w:val="24"/>
          <w:szCs w:val="24"/>
        </w:rPr>
        <w:t>参选人须知</w:t>
      </w:r>
      <w:bookmarkEnd w:id="3"/>
      <w:bookmarkEnd w:id="6"/>
      <w:bookmarkEnd w:id="7"/>
      <w:bookmarkStart w:id="8" w:name="_Toc152045528"/>
      <w:bookmarkEnd w:id="8"/>
      <w:bookmarkStart w:id="9" w:name="_Toc144974496"/>
      <w:bookmarkEnd w:id="9"/>
      <w:bookmarkStart w:id="10" w:name="_Toc152042304"/>
      <w:bookmarkEnd w:id="10"/>
      <w:bookmarkStart w:id="11" w:name="_Toc179632545"/>
    </w:p>
    <w:p>
      <w:pPr>
        <w:pStyle w:val="3"/>
        <w:spacing w:line="360" w:lineRule="auto"/>
        <w:rPr>
          <w:rFonts w:ascii="宋体" w:hAnsi="宋体" w:eastAsia="宋体" w:cs="宋体"/>
          <w:b/>
          <w:bCs w:val="0"/>
          <w:kern w:val="0"/>
          <w:sz w:val="24"/>
          <w:szCs w:val="24"/>
        </w:rPr>
      </w:pPr>
      <w:bookmarkStart w:id="12" w:name="_Toc138602908"/>
      <w:bookmarkStart w:id="13" w:name="_Toc134695725"/>
      <w:r>
        <w:rPr>
          <w:rFonts w:hint="eastAsia" w:ascii="宋体" w:hAnsi="宋体" w:eastAsia="宋体" w:cs="宋体"/>
          <w:b/>
          <w:bCs w:val="0"/>
          <w:kern w:val="0"/>
          <w:sz w:val="24"/>
          <w:szCs w:val="24"/>
        </w:rPr>
        <w:t>参选人须知前附表</w:t>
      </w:r>
      <w:bookmarkEnd w:id="11"/>
      <w:bookmarkEnd w:id="12"/>
      <w:bookmarkEnd w:id="13"/>
    </w:p>
    <w:tbl>
      <w:tblPr>
        <w:tblStyle w:val="36"/>
        <w:tblW w:w="8843" w:type="dxa"/>
        <w:tblInd w:w="255" w:type="dxa"/>
        <w:tblLayout w:type="fixed"/>
        <w:tblCellMar>
          <w:top w:w="0" w:type="dxa"/>
          <w:left w:w="108" w:type="dxa"/>
          <w:bottom w:w="0" w:type="dxa"/>
          <w:right w:w="108" w:type="dxa"/>
        </w:tblCellMar>
      </w:tblPr>
      <w:tblGrid>
        <w:gridCol w:w="873"/>
        <w:gridCol w:w="1986"/>
        <w:gridCol w:w="5984"/>
      </w:tblGrid>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条款号</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条款名称</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编列内容</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1.1</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比选人</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义乌市文化馆</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1.2</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项目名称</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义乌市文化广场剧院运营团队项目</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1.3</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服务期</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3年，具体时间甲乙双方在签订合同时确定</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1.4</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项目地点</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比选人指定地点</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1.5</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项目概况</w:t>
            </w:r>
          </w:p>
        </w:tc>
        <w:tc>
          <w:tcPr>
            <w:tcW w:w="5984" w:type="dxa"/>
            <w:tcBorders>
              <w:top w:val="single" w:color="000000" w:sz="4" w:space="0"/>
              <w:left w:val="nil"/>
              <w:bottom w:val="single" w:color="000000" w:sz="4" w:space="0"/>
              <w:right w:val="single" w:color="000000" w:sz="4" w:space="0"/>
            </w:tcBorders>
            <w:vAlign w:val="center"/>
          </w:tcPr>
          <w:p>
            <w:pPr>
              <w:rPr>
                <w:b w:val="0"/>
                <w:bCs/>
                <w:strike/>
                <w:sz w:val="24"/>
                <w:highlight w:val="yellow"/>
              </w:rPr>
            </w:pPr>
            <w:r>
              <w:rPr>
                <w:rFonts w:hint="eastAsia"/>
                <w:b w:val="0"/>
                <w:bCs/>
                <w:sz w:val="24"/>
              </w:rPr>
              <w:t>详见第三章《比选项目要求》</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1.6</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参选人资质要求</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具体要求详见第一章《比选公告》</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1.7</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报名时间地点</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比选文件可在义乌产权交易网（</w:t>
            </w:r>
            <w:r>
              <w:fldChar w:fldCharType="begin"/>
            </w:r>
            <w:r>
              <w:instrText xml:space="preserve"> HYPERLINK "http://www.ywcq.com" </w:instrText>
            </w:r>
            <w:r>
              <w:fldChar w:fldCharType="separate"/>
            </w:r>
            <w:r>
              <w:rPr>
                <w:rFonts w:hint="eastAsia"/>
                <w:b w:val="0"/>
                <w:bCs/>
                <w:sz w:val="24"/>
              </w:rPr>
              <w:t>www.ywcq.com</w:t>
            </w:r>
            <w:r>
              <w:rPr>
                <w:rFonts w:hint="eastAsia"/>
                <w:b w:val="0"/>
                <w:bCs/>
                <w:sz w:val="24"/>
              </w:rPr>
              <w:fldChar w:fldCharType="end"/>
            </w:r>
            <w:r>
              <w:rPr>
                <w:rFonts w:hint="eastAsia"/>
                <w:b w:val="0"/>
                <w:bCs/>
                <w:sz w:val="24"/>
              </w:rPr>
              <w:t>）下载，报名资料请于2023年</w:t>
            </w:r>
            <w:r>
              <w:rPr>
                <w:rFonts w:hint="eastAsia"/>
                <w:b w:val="0"/>
                <w:bCs/>
                <w:sz w:val="24"/>
                <w:lang w:val="en-US" w:eastAsia="zh-CN"/>
              </w:rPr>
              <w:t>9</w:t>
            </w:r>
            <w:r>
              <w:rPr>
                <w:rFonts w:hint="eastAsia"/>
                <w:b w:val="0"/>
                <w:bCs/>
                <w:sz w:val="24"/>
              </w:rPr>
              <w:t>月</w:t>
            </w:r>
            <w:r>
              <w:rPr>
                <w:rFonts w:hint="eastAsia"/>
                <w:b w:val="0"/>
                <w:bCs/>
                <w:sz w:val="24"/>
                <w:lang w:val="en-US" w:eastAsia="zh-CN"/>
              </w:rPr>
              <w:t>28</w:t>
            </w:r>
            <w:r>
              <w:rPr>
                <w:rFonts w:hint="eastAsia"/>
                <w:b w:val="0"/>
                <w:bCs/>
                <w:sz w:val="24"/>
              </w:rPr>
              <w:t>日至2023年</w:t>
            </w:r>
            <w:r>
              <w:rPr>
                <w:rFonts w:hint="eastAsia"/>
                <w:b w:val="0"/>
                <w:bCs/>
                <w:sz w:val="24"/>
                <w:lang w:val="en-US" w:eastAsia="zh-CN"/>
              </w:rPr>
              <w:t>10</w:t>
            </w:r>
            <w:r>
              <w:rPr>
                <w:rFonts w:hint="eastAsia"/>
                <w:b w:val="0"/>
                <w:bCs/>
                <w:sz w:val="24"/>
              </w:rPr>
              <w:t>月</w:t>
            </w:r>
            <w:r>
              <w:rPr>
                <w:rFonts w:hint="eastAsia"/>
                <w:b w:val="0"/>
                <w:bCs/>
                <w:sz w:val="24"/>
                <w:lang w:val="en-US" w:eastAsia="zh-CN"/>
              </w:rPr>
              <w:t>17</w:t>
            </w:r>
            <w:r>
              <w:rPr>
                <w:rFonts w:hint="eastAsia"/>
                <w:b w:val="0"/>
                <w:bCs/>
                <w:sz w:val="24"/>
              </w:rPr>
              <w:t>日</w:t>
            </w:r>
            <w:r>
              <w:fldChar w:fldCharType="begin"/>
            </w:r>
            <w:r>
              <w:instrText xml:space="preserve"> HYPERLINK "mailto:日以扫描件形式发送至邮箱ywcqztb@ywcq.com" </w:instrText>
            </w:r>
            <w:r>
              <w:fldChar w:fldCharType="separate"/>
            </w:r>
            <w:r>
              <w:rPr>
                <w:rFonts w:hint="eastAsia"/>
                <w:b w:val="0"/>
                <w:bCs/>
                <w:sz w:val="24"/>
              </w:rPr>
              <w:t>（</w:t>
            </w:r>
            <w:r>
              <w:rPr>
                <w:rFonts w:hint="eastAsia"/>
                <w:b w:val="0"/>
                <w:bCs/>
                <w:sz w:val="24"/>
                <w:lang w:val="zh-CN"/>
              </w:rPr>
              <w:t>上午</w:t>
            </w:r>
            <w:r>
              <w:rPr>
                <w:rFonts w:hint="eastAsia"/>
                <w:b w:val="0"/>
                <w:bCs/>
                <w:sz w:val="24"/>
              </w:rPr>
              <w:t>9：00－11：30，</w:t>
            </w:r>
            <w:r>
              <w:rPr>
                <w:rFonts w:hint="eastAsia"/>
                <w:b w:val="0"/>
                <w:bCs/>
                <w:sz w:val="24"/>
                <w:lang w:val="zh-CN"/>
              </w:rPr>
              <w:t>下午</w:t>
            </w:r>
            <w:r>
              <w:rPr>
                <w:rFonts w:hint="eastAsia"/>
                <w:b w:val="0"/>
                <w:bCs/>
                <w:sz w:val="24"/>
              </w:rPr>
              <w:t>1：00－5：00，</w:t>
            </w:r>
            <w:r>
              <w:rPr>
                <w:rFonts w:hint="eastAsia"/>
                <w:b w:val="0"/>
                <w:bCs/>
                <w:sz w:val="24"/>
                <w:lang w:val="zh-CN"/>
              </w:rPr>
              <w:t>双休日及节假日除外</w:t>
            </w:r>
            <w:r>
              <w:rPr>
                <w:rFonts w:hint="eastAsia"/>
                <w:b w:val="0"/>
                <w:bCs/>
                <w:sz w:val="24"/>
              </w:rPr>
              <w:t>）以扫描件形式发送至邮箱ywcqztb@ywcq.com</w:t>
            </w:r>
            <w:r>
              <w:rPr>
                <w:rFonts w:hint="eastAsia"/>
                <w:b w:val="0"/>
                <w:bCs/>
                <w:sz w:val="24"/>
              </w:rPr>
              <w:fldChar w:fldCharType="end"/>
            </w:r>
            <w:r>
              <w:rPr>
                <w:rFonts w:hint="eastAsia"/>
                <w:b w:val="0"/>
                <w:bCs/>
                <w:sz w:val="24"/>
              </w:rPr>
              <w:t>，并致电报名处确认报名情况（以邮箱回执报名成功为准）；邮件发送时主题需注明项目名称及参选单位名称，报名处联系人：宋先生0579-89906887</w:t>
            </w:r>
          </w:p>
          <w:p>
            <w:pPr>
              <w:rPr>
                <w:b w:val="0"/>
                <w:bCs/>
                <w:sz w:val="24"/>
              </w:rPr>
            </w:pPr>
            <w:r>
              <w:rPr>
                <w:rFonts w:hint="eastAsia"/>
                <w:b w:val="0"/>
                <w:bCs/>
                <w:sz w:val="24"/>
              </w:rPr>
              <w:t>逾期不予受理。</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1.8</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现场递交及邮寄参选文件接收截止时间</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参选文件递交截止时间：2023年</w:t>
            </w:r>
            <w:r>
              <w:rPr>
                <w:rFonts w:hint="eastAsia"/>
                <w:b w:val="0"/>
                <w:bCs/>
                <w:sz w:val="24"/>
                <w:lang w:val="en-US" w:eastAsia="zh-CN"/>
              </w:rPr>
              <w:t>10</w:t>
            </w:r>
            <w:r>
              <w:rPr>
                <w:rFonts w:hint="eastAsia"/>
                <w:b w:val="0"/>
                <w:bCs/>
                <w:sz w:val="24"/>
              </w:rPr>
              <w:t>月</w:t>
            </w:r>
            <w:r>
              <w:rPr>
                <w:rFonts w:hint="eastAsia"/>
                <w:b w:val="0"/>
                <w:bCs/>
                <w:sz w:val="24"/>
                <w:lang w:val="en-US" w:eastAsia="zh-CN"/>
              </w:rPr>
              <w:t>20</w:t>
            </w:r>
            <w:r>
              <w:rPr>
                <w:rFonts w:hint="eastAsia"/>
                <w:b w:val="0"/>
                <w:bCs/>
                <w:sz w:val="24"/>
              </w:rPr>
              <w:t>日1</w:t>
            </w:r>
            <w:r>
              <w:rPr>
                <w:rFonts w:hint="eastAsia"/>
                <w:b w:val="0"/>
                <w:bCs/>
                <w:sz w:val="24"/>
                <w:lang w:val="en-US" w:eastAsia="zh-CN"/>
              </w:rPr>
              <w:t>4</w:t>
            </w:r>
            <w:r>
              <w:rPr>
                <w:rFonts w:hint="eastAsia"/>
                <w:b w:val="0"/>
                <w:bCs/>
                <w:sz w:val="24"/>
              </w:rPr>
              <w:t>时。</w:t>
            </w:r>
          </w:p>
        </w:tc>
      </w:tr>
      <w:tr>
        <w:tblPrEx>
          <w:tblCellMar>
            <w:top w:w="0" w:type="dxa"/>
            <w:left w:w="108" w:type="dxa"/>
            <w:bottom w:w="0" w:type="dxa"/>
            <w:right w:w="108" w:type="dxa"/>
          </w:tblCellMar>
        </w:tblPrEx>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1.9</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参选文件份数及包封</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技术标正本一份，副本四份。 【▲】参选人只需邮寄一个包裹，包裹不得体现单位名称及标识，快递邮寄面单按附件格式填写。寄件人与报名人、法定代表授权人为同一人。包裹内的技术标按比选文件要求密封包装。</w:t>
            </w:r>
          </w:p>
        </w:tc>
      </w:tr>
      <w:tr>
        <w:tblPrEx>
          <w:tblCellMar>
            <w:top w:w="0" w:type="dxa"/>
            <w:left w:w="108" w:type="dxa"/>
            <w:bottom w:w="0" w:type="dxa"/>
            <w:right w:w="108" w:type="dxa"/>
          </w:tblCellMar>
        </w:tblPrEx>
        <w:trPr>
          <w:trHeight w:val="696" w:hRule="atLeast"/>
        </w:trPr>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1.11</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比选会开始时间和地点</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比选会开始时间：2023年</w:t>
            </w:r>
            <w:r>
              <w:rPr>
                <w:rFonts w:hint="eastAsia"/>
                <w:b w:val="0"/>
                <w:bCs/>
                <w:sz w:val="24"/>
                <w:lang w:val="en-US" w:eastAsia="zh-CN"/>
              </w:rPr>
              <w:t>10</w:t>
            </w:r>
            <w:r>
              <w:rPr>
                <w:rFonts w:hint="eastAsia"/>
                <w:b w:val="0"/>
                <w:bCs/>
                <w:sz w:val="24"/>
              </w:rPr>
              <w:t>月</w:t>
            </w:r>
            <w:r>
              <w:rPr>
                <w:rFonts w:hint="eastAsia"/>
                <w:b w:val="0"/>
                <w:bCs/>
                <w:sz w:val="24"/>
                <w:lang w:val="en-US" w:eastAsia="zh-CN"/>
              </w:rPr>
              <w:t>20</w:t>
            </w:r>
            <w:r>
              <w:rPr>
                <w:rFonts w:hint="eastAsia"/>
                <w:b w:val="0"/>
                <w:bCs/>
                <w:sz w:val="24"/>
              </w:rPr>
              <w:t>日</w:t>
            </w:r>
            <w:r>
              <w:rPr>
                <w:rFonts w:hint="eastAsia"/>
                <w:b w:val="0"/>
                <w:bCs/>
                <w:sz w:val="24"/>
                <w:lang w:val="en-US" w:eastAsia="zh-CN"/>
              </w:rPr>
              <w:t>14</w:t>
            </w:r>
            <w:r>
              <w:rPr>
                <w:rFonts w:hint="eastAsia"/>
                <w:b w:val="0"/>
                <w:bCs/>
                <w:sz w:val="24"/>
              </w:rPr>
              <w:t>时</w:t>
            </w:r>
          </w:p>
          <w:p>
            <w:pPr>
              <w:rPr>
                <w:b w:val="0"/>
                <w:bCs/>
                <w:sz w:val="24"/>
              </w:rPr>
            </w:pPr>
            <w:r>
              <w:rPr>
                <w:rFonts w:hint="eastAsia"/>
                <w:b w:val="0"/>
                <w:bCs/>
                <w:sz w:val="24"/>
              </w:rPr>
              <w:t>比选会地点：义乌市行政服务中心义乌市望道路300号4楼4023开标室</w:t>
            </w:r>
          </w:p>
        </w:tc>
      </w:tr>
      <w:tr>
        <w:tblPrEx>
          <w:tblCellMar>
            <w:top w:w="0" w:type="dxa"/>
            <w:left w:w="108" w:type="dxa"/>
            <w:bottom w:w="0" w:type="dxa"/>
            <w:right w:w="108" w:type="dxa"/>
          </w:tblCellMar>
        </w:tblPrEx>
        <w:trPr>
          <w:trHeight w:val="281" w:hRule="atLeast"/>
        </w:trPr>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1.12</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履约保证金</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无</w:t>
            </w:r>
          </w:p>
        </w:tc>
      </w:tr>
      <w:tr>
        <w:tblPrEx>
          <w:tblCellMar>
            <w:top w:w="0" w:type="dxa"/>
            <w:left w:w="108" w:type="dxa"/>
            <w:bottom w:w="0" w:type="dxa"/>
            <w:right w:w="108" w:type="dxa"/>
          </w:tblCellMar>
        </w:tblPrEx>
        <w:trPr>
          <w:trHeight w:val="611" w:hRule="atLeast"/>
        </w:trPr>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1.13</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是否接受联合体参选</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否</w:t>
            </w:r>
          </w:p>
        </w:tc>
      </w:tr>
      <w:tr>
        <w:tblPrEx>
          <w:tblCellMar>
            <w:top w:w="0" w:type="dxa"/>
            <w:left w:w="108" w:type="dxa"/>
            <w:bottom w:w="0" w:type="dxa"/>
            <w:right w:w="108" w:type="dxa"/>
          </w:tblCellMar>
        </w:tblPrEx>
        <w:trPr>
          <w:trHeight w:val="311" w:hRule="atLeast"/>
        </w:trPr>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1.14</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踏勘现场</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自行踏勘现场</w:t>
            </w:r>
          </w:p>
        </w:tc>
      </w:tr>
      <w:tr>
        <w:tblPrEx>
          <w:tblCellMar>
            <w:top w:w="0" w:type="dxa"/>
            <w:left w:w="108" w:type="dxa"/>
            <w:bottom w:w="0" w:type="dxa"/>
            <w:right w:w="108" w:type="dxa"/>
          </w:tblCellMar>
        </w:tblPrEx>
        <w:trPr>
          <w:trHeight w:val="684" w:hRule="atLeast"/>
        </w:trPr>
        <w:tc>
          <w:tcPr>
            <w:tcW w:w="873" w:type="dxa"/>
            <w:tcBorders>
              <w:top w:val="single" w:color="000000" w:sz="4" w:space="0"/>
              <w:left w:val="single" w:color="000000" w:sz="4" w:space="0"/>
              <w:bottom w:val="single" w:color="000000" w:sz="4" w:space="0"/>
              <w:right w:val="single" w:color="000000" w:sz="4" w:space="0"/>
            </w:tcBorders>
            <w:vAlign w:val="center"/>
          </w:tcPr>
          <w:p>
            <w:pPr>
              <w:rPr>
                <w:b w:val="0"/>
                <w:bCs/>
                <w:sz w:val="24"/>
              </w:rPr>
            </w:pPr>
            <w:r>
              <w:rPr>
                <w:rFonts w:hint="eastAsia"/>
                <w:b w:val="0"/>
                <w:bCs/>
                <w:sz w:val="24"/>
              </w:rPr>
              <w:t>1.15</w:t>
            </w:r>
          </w:p>
        </w:tc>
        <w:tc>
          <w:tcPr>
            <w:tcW w:w="1986"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比选服务费</w:t>
            </w:r>
          </w:p>
        </w:tc>
        <w:tc>
          <w:tcPr>
            <w:tcW w:w="5984" w:type="dxa"/>
            <w:tcBorders>
              <w:top w:val="single" w:color="000000" w:sz="4" w:space="0"/>
              <w:left w:val="nil"/>
              <w:bottom w:val="single" w:color="000000" w:sz="4" w:space="0"/>
              <w:right w:val="single" w:color="000000" w:sz="4" w:space="0"/>
            </w:tcBorders>
            <w:vAlign w:val="center"/>
          </w:tcPr>
          <w:p>
            <w:pPr>
              <w:rPr>
                <w:b w:val="0"/>
                <w:bCs/>
                <w:sz w:val="24"/>
              </w:rPr>
            </w:pPr>
            <w:r>
              <w:rPr>
                <w:rFonts w:hint="eastAsia"/>
                <w:b w:val="0"/>
                <w:bCs/>
                <w:sz w:val="24"/>
              </w:rPr>
              <w:t>服务费39000于中选通知书发出前向中选人收取</w:t>
            </w:r>
          </w:p>
          <w:p>
            <w:pPr>
              <w:rPr>
                <w:b w:val="0"/>
                <w:bCs/>
                <w:sz w:val="24"/>
              </w:rPr>
            </w:pPr>
            <w:r>
              <w:rPr>
                <w:rFonts w:hint="eastAsia"/>
                <w:b w:val="0"/>
                <w:bCs/>
                <w:sz w:val="24"/>
              </w:rPr>
              <w:t>服务费请汇至：</w:t>
            </w:r>
          </w:p>
          <w:p>
            <w:pPr>
              <w:rPr>
                <w:b w:val="0"/>
                <w:bCs/>
                <w:sz w:val="24"/>
              </w:rPr>
            </w:pPr>
            <w:r>
              <w:rPr>
                <w:rFonts w:hint="eastAsia"/>
                <w:b w:val="0"/>
                <w:bCs/>
                <w:sz w:val="24"/>
              </w:rPr>
              <w:t>银行帐号名称：义乌产权交易所有限公司</w:t>
            </w:r>
          </w:p>
          <w:p>
            <w:pPr>
              <w:rPr>
                <w:b w:val="0"/>
                <w:bCs/>
                <w:sz w:val="24"/>
              </w:rPr>
            </w:pPr>
            <w:r>
              <w:rPr>
                <w:rFonts w:hint="eastAsia"/>
                <w:b w:val="0"/>
                <w:bCs/>
                <w:sz w:val="24"/>
              </w:rPr>
              <w:t>银行帐号：1208020009045009586</w:t>
            </w:r>
          </w:p>
          <w:p>
            <w:pPr>
              <w:rPr>
                <w:b w:val="0"/>
                <w:bCs/>
                <w:sz w:val="24"/>
              </w:rPr>
            </w:pPr>
            <w:r>
              <w:rPr>
                <w:rFonts w:hint="eastAsia"/>
                <w:b w:val="0"/>
                <w:bCs/>
                <w:sz w:val="24"/>
              </w:rPr>
              <w:t>开户银行：中国工商银行义乌分行</w:t>
            </w:r>
          </w:p>
        </w:tc>
      </w:tr>
    </w:tbl>
    <w:p>
      <w:pPr>
        <w:widowControl/>
        <w:spacing w:line="360" w:lineRule="auto"/>
        <w:rPr>
          <w:rFonts w:ascii="宋体" w:hAnsi="宋体" w:cs="宋体"/>
          <w:b w:val="0"/>
          <w:kern w:val="0"/>
          <w:sz w:val="24"/>
        </w:rPr>
      </w:pPr>
    </w:p>
    <w:p>
      <w:pPr>
        <w:spacing w:line="360" w:lineRule="auto"/>
        <w:rPr>
          <w:rFonts w:ascii="宋体" w:hAnsi="宋体" w:cs="宋体"/>
          <w:kern w:val="0"/>
          <w:sz w:val="24"/>
        </w:rPr>
      </w:pPr>
      <w:r>
        <w:rPr>
          <w:rFonts w:hint="eastAsia" w:ascii="宋体" w:hAnsi="宋体" w:cs="宋体"/>
          <w:kern w:val="0"/>
          <w:sz w:val="24"/>
        </w:rPr>
        <w:t>1.项目基本情况（见比选公告及须知前附表）</w:t>
      </w:r>
    </w:p>
    <w:p>
      <w:pPr>
        <w:spacing w:line="360" w:lineRule="auto"/>
        <w:rPr>
          <w:rFonts w:ascii="宋体" w:hAnsi="宋体" w:cs="宋体"/>
          <w:kern w:val="0"/>
          <w:sz w:val="24"/>
        </w:rPr>
      </w:pPr>
      <w:r>
        <w:rPr>
          <w:rFonts w:hint="eastAsia" w:ascii="宋体" w:hAnsi="宋体" w:cs="宋体"/>
          <w:kern w:val="0"/>
          <w:sz w:val="24"/>
        </w:rPr>
        <w:t>2.比选文件</w:t>
      </w:r>
    </w:p>
    <w:p>
      <w:pPr>
        <w:pStyle w:val="230"/>
        <w:rPr>
          <w:rFonts w:hint="default"/>
        </w:rPr>
      </w:pPr>
      <w:r>
        <w:t>2.1比选文件的组成</w:t>
      </w:r>
    </w:p>
    <w:p>
      <w:pPr>
        <w:pStyle w:val="230"/>
        <w:rPr>
          <w:rFonts w:hint="default"/>
        </w:rPr>
      </w:pPr>
      <w:r>
        <w:t>2.1.1比选公告；</w:t>
      </w:r>
    </w:p>
    <w:p>
      <w:pPr>
        <w:pStyle w:val="230"/>
        <w:rPr>
          <w:rFonts w:hint="default"/>
        </w:rPr>
      </w:pPr>
      <w:r>
        <w:t>2.1.2参选人须知；</w:t>
      </w:r>
    </w:p>
    <w:p>
      <w:pPr>
        <w:pStyle w:val="230"/>
        <w:rPr>
          <w:rFonts w:hint="default"/>
        </w:rPr>
      </w:pPr>
      <w:r>
        <w:t>2.1.3比选项目要求；</w:t>
      </w:r>
    </w:p>
    <w:p>
      <w:pPr>
        <w:pStyle w:val="230"/>
        <w:rPr>
          <w:rFonts w:hint="default"/>
        </w:rPr>
      </w:pPr>
      <w:r>
        <w:t>2.1.4评分办法；</w:t>
      </w:r>
    </w:p>
    <w:p>
      <w:pPr>
        <w:pStyle w:val="230"/>
        <w:rPr>
          <w:rFonts w:hint="default"/>
        </w:rPr>
      </w:pPr>
      <w:r>
        <w:t>2.1.5协议；</w:t>
      </w:r>
    </w:p>
    <w:p>
      <w:pPr>
        <w:pStyle w:val="230"/>
        <w:rPr>
          <w:rFonts w:hint="default"/>
        </w:rPr>
      </w:pPr>
      <w:r>
        <w:t>2.1.6参选文件格式；</w:t>
      </w:r>
    </w:p>
    <w:p>
      <w:pPr>
        <w:pStyle w:val="230"/>
        <w:rPr>
          <w:rFonts w:hint="default"/>
        </w:rPr>
      </w:pPr>
      <w:r>
        <w:t>2.1.7附件。</w:t>
      </w:r>
    </w:p>
    <w:p>
      <w:pPr>
        <w:spacing w:line="360" w:lineRule="auto"/>
        <w:rPr>
          <w:rFonts w:ascii="宋体" w:hAnsi="宋体" w:cs="宋体"/>
          <w:kern w:val="0"/>
          <w:sz w:val="24"/>
        </w:rPr>
      </w:pPr>
      <w:r>
        <w:rPr>
          <w:rFonts w:hint="eastAsia" w:ascii="宋体" w:hAnsi="宋体" w:cs="宋体"/>
          <w:kern w:val="0"/>
          <w:sz w:val="24"/>
        </w:rPr>
        <w:t>3. 参选文件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3.1参选文件的组成</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技术文件: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应包括下列内容（并不仅限于以下）并应按顺序装订成册：（复印件需加盖单位公章，提供的所有证书应在有效期内）</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）参选单位情况介绍；</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）有效的营业执照副本复印件；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）文化行政主管部门颁发且在有效期内的《营业性演出许可证》复印件；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）法定代表人资格说明书、法定代表人身份证复印件；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）法定代表人授权委托书、被授权代表身份证复印件；（如法定代表人出席投标会的不须提供）；</w:t>
      </w:r>
    </w:p>
    <w:p>
      <w:pPr>
        <w:pStyle w:val="34"/>
        <w:spacing w:line="360" w:lineRule="auto"/>
        <w:ind w:firstLine="480"/>
        <w:rPr>
          <w:rFonts w:ascii="宋体" w:hAnsi="宋体" w:cs="宋体"/>
          <w:kern w:val="0"/>
          <w:sz w:val="24"/>
          <w:szCs w:val="24"/>
          <w:lang w:val="zh-CN"/>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w:t>
      </w:r>
      <w:r>
        <w:rPr>
          <w:rFonts w:hint="eastAsia" w:ascii="宋体" w:hAnsi="宋体" w:cs="宋体"/>
          <w:kern w:val="0"/>
          <w:sz w:val="24"/>
          <w:szCs w:val="24"/>
          <w:lang w:val="zh-CN"/>
        </w:rPr>
        <w:t>项目运营实施方案；</w:t>
      </w:r>
    </w:p>
    <w:p>
      <w:pPr>
        <w:pStyle w:val="34"/>
        <w:spacing w:line="360" w:lineRule="auto"/>
        <w:ind w:firstLine="480"/>
        <w:rPr>
          <w:rFonts w:ascii="宋体" w:hAns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rPr>
        <w:t>7</w:t>
      </w:r>
      <w:r>
        <w:rPr>
          <w:rFonts w:hint="eastAsia" w:ascii="宋体" w:hAnsi="宋体" w:cs="宋体"/>
          <w:kern w:val="0"/>
          <w:sz w:val="24"/>
          <w:szCs w:val="24"/>
          <w:lang w:val="zh-CN"/>
        </w:rPr>
        <w:t>）拟投入本项目的人员一览表；</w:t>
      </w:r>
    </w:p>
    <w:p>
      <w:pPr>
        <w:pStyle w:val="34"/>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8</w:t>
      </w:r>
      <w:r>
        <w:rPr>
          <w:rFonts w:hint="eastAsia" w:ascii="宋体" w:hAnsi="宋体" w:cs="宋体"/>
          <w:color w:val="auto"/>
          <w:kern w:val="0"/>
          <w:sz w:val="24"/>
          <w:szCs w:val="24"/>
        </w:rPr>
        <w:t>）2024年剧目清单计划；</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9</w:t>
      </w:r>
      <w:r>
        <w:rPr>
          <w:rFonts w:hint="eastAsia" w:ascii="宋体" w:hAnsi="宋体" w:cs="宋体"/>
          <w:kern w:val="0"/>
          <w:sz w:val="24"/>
          <w:szCs w:val="24"/>
        </w:rPr>
        <w:t>）参选承诺书（参选单位须对服务期限、服务质量等比选文件中要求做出承诺的内容做出相应承诺）；</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0</w:t>
      </w:r>
      <w:r>
        <w:rPr>
          <w:rFonts w:hint="eastAsia" w:ascii="宋体" w:hAnsi="宋体" w:cs="宋体"/>
          <w:kern w:val="0"/>
          <w:sz w:val="24"/>
          <w:szCs w:val="24"/>
        </w:rPr>
        <w:t>）参加本次参选活动前三年内，在经营活动中没有重大违法记录和不良行为的书面声明；</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r>
        <w:rPr>
          <w:rFonts w:hint="eastAsia" w:ascii="宋体" w:hAnsi="宋体" w:cs="宋体"/>
          <w:kern w:val="0"/>
          <w:sz w:val="24"/>
          <w:szCs w:val="24"/>
        </w:rPr>
        <w:t>）根据比选文件项目需求及评标办法要求提供的有关资料；</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2</w:t>
      </w:r>
      <w:r>
        <w:rPr>
          <w:rFonts w:hint="eastAsia" w:ascii="宋体" w:hAnsi="宋体" w:cs="宋体"/>
          <w:kern w:val="0"/>
          <w:sz w:val="24"/>
          <w:szCs w:val="24"/>
        </w:rPr>
        <w:t>）参选人认为须提供的其他资料。</w:t>
      </w:r>
    </w:p>
    <w:p>
      <w:pPr>
        <w:spacing w:line="360" w:lineRule="auto"/>
        <w:rPr>
          <w:rFonts w:ascii="宋体" w:hAnsi="宋体" w:cs="宋体"/>
          <w:kern w:val="0"/>
          <w:sz w:val="24"/>
        </w:rPr>
      </w:pPr>
      <w:r>
        <w:rPr>
          <w:rFonts w:hint="eastAsia" w:ascii="宋体" w:hAnsi="宋体" w:cs="宋体"/>
          <w:kern w:val="0"/>
          <w:sz w:val="24"/>
        </w:rPr>
        <w:t>4.参选</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4.1参选文件的密封和标记</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4.1.1参选文件应密封包装。</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4.1.2参选文件应按以下方法装袋密封标记：技术标包装袋内装技术标正本一份和副本四份；包装封面上应标明“比选编号、比选项目名称、技术标、参选人名称”等，并注明“于2023年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w:t>
      </w:r>
      <w:r>
        <w:rPr>
          <w:rFonts w:hint="eastAsia" w:ascii="宋体" w:hAnsi="宋体" w:cs="宋体"/>
          <w:kern w:val="0"/>
          <w:sz w:val="24"/>
          <w:szCs w:val="24"/>
          <w:lang w:val="en-US" w:eastAsia="zh-CN"/>
        </w:rPr>
        <w:t>14</w:t>
      </w:r>
      <w:r>
        <w:rPr>
          <w:rFonts w:hint="eastAsia" w:ascii="宋体" w:hAnsi="宋体" w:cs="宋体"/>
          <w:kern w:val="0"/>
          <w:sz w:val="24"/>
          <w:szCs w:val="24"/>
        </w:rPr>
        <w:t>：00前不准启封”的字样；封口应加盖单位公章。</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4.1.3未按本章第4.1.1项和第4.1.2项要求密封和加写标记的参选文件，比选人不予受理。</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4.2 参选文件的递交</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4.2.1参选人应在参选须知前附表规定的参选截止时间前递交参选文件。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4.2.2参选人递交参选文件的地点：见参选人须知前附表。</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4.2.3除参选人须知前附表另有规定外，参选人所递交的参选文件不予退还。</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4.2.4比选人收到参选文件后，向参选人出具签收凭证。</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4.2.5逾期送达的或者未送达指定地点的参选文件，比选人不予受理。</w:t>
      </w:r>
    </w:p>
    <w:p>
      <w:pPr>
        <w:spacing w:line="360" w:lineRule="auto"/>
        <w:rPr>
          <w:rFonts w:ascii="宋体" w:hAnsi="宋体" w:cs="宋体"/>
          <w:kern w:val="0"/>
          <w:sz w:val="24"/>
        </w:rPr>
      </w:pPr>
      <w:r>
        <w:rPr>
          <w:rFonts w:hint="eastAsia" w:ascii="宋体" w:hAnsi="宋体" w:cs="宋体"/>
          <w:kern w:val="0"/>
          <w:sz w:val="24"/>
        </w:rPr>
        <w:t>5.开标</w:t>
      </w:r>
    </w:p>
    <w:p>
      <w:pPr>
        <w:pStyle w:val="34"/>
        <w:spacing w:line="360" w:lineRule="auto"/>
        <w:ind w:firstLine="480"/>
        <w:rPr>
          <w:rFonts w:ascii="宋体" w:hAnsi="宋体" w:cs="宋体"/>
          <w:kern w:val="0"/>
          <w:sz w:val="24"/>
          <w:szCs w:val="24"/>
        </w:rPr>
      </w:pPr>
      <w:r>
        <w:rPr>
          <w:rFonts w:ascii="宋体" w:hAnsi="宋体" w:cs="宋体"/>
          <w:kern w:val="0"/>
          <w:sz w:val="24"/>
          <w:szCs w:val="24"/>
        </w:rPr>
        <w:t>5.1</w:t>
      </w:r>
      <w:r>
        <w:rPr>
          <w:rFonts w:hint="eastAsia" w:ascii="宋体" w:hAnsi="宋体" w:cs="宋体"/>
          <w:kern w:val="0"/>
          <w:sz w:val="24"/>
          <w:szCs w:val="24"/>
        </w:rPr>
        <w:t>招标代理机构按本比选文件的比选公告中规定的日期、时间和地点组织公开开标。开标时，参选人无须到场参加开标会议，开标全程通过钉钉项目群进行直播。</w:t>
      </w:r>
    </w:p>
    <w:p>
      <w:pPr>
        <w:pStyle w:val="34"/>
        <w:spacing w:line="360" w:lineRule="auto"/>
        <w:ind w:firstLine="480"/>
        <w:rPr>
          <w:rFonts w:ascii="宋体" w:hAnsi="宋体" w:cs="宋体"/>
          <w:kern w:val="0"/>
          <w:sz w:val="24"/>
          <w:szCs w:val="24"/>
        </w:rPr>
      </w:pPr>
      <w:r>
        <w:rPr>
          <w:rFonts w:ascii="宋体" w:hAnsi="宋体" w:cs="宋体"/>
          <w:kern w:val="0"/>
          <w:sz w:val="24"/>
          <w:szCs w:val="24"/>
        </w:rPr>
        <w:t>5.2</w:t>
      </w:r>
      <w:r>
        <w:rPr>
          <w:rFonts w:hint="eastAsia" w:ascii="宋体" w:hAnsi="宋体" w:cs="宋体"/>
          <w:kern w:val="0"/>
          <w:sz w:val="24"/>
          <w:szCs w:val="24"/>
        </w:rPr>
        <w:t>开标程序：</w:t>
      </w:r>
    </w:p>
    <w:p>
      <w:pPr>
        <w:pStyle w:val="34"/>
        <w:spacing w:line="360" w:lineRule="auto"/>
        <w:ind w:firstLine="48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2.1招标代理机构需在开标前一小时核对快递材料并根据寄件人信息组建具体项目的开标钉钉群，并做好相关群设置（入群验证、禁言、禁止私聊等）。参选人授权代表应按照群公告内容统一修改群名片，名片格式为“参选单位名字+被授权人姓名”。（快递名单上的寄件人与报名人及授权委托书上的授权代表一致）。</w:t>
      </w:r>
    </w:p>
    <w:p>
      <w:pPr>
        <w:pStyle w:val="34"/>
        <w:spacing w:line="360" w:lineRule="auto"/>
        <w:ind w:firstLine="48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2.2开标由比选人或委托招标代理机构主持；</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（1）宣布开标纪律</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（2）宣布开标人、唱标人、记录人、监标人等有关人员</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（3）比选人、招标代理机构、比选人监督人共同完成参选文件的现场递交及密封情况检查，并现场见证。经确认无误后，公布在投标截止时间前递交参选文件的参选人名称和比选文件的其他主要内容。</w:t>
      </w:r>
    </w:p>
    <w:p>
      <w:pPr>
        <w:pStyle w:val="34"/>
        <w:spacing w:line="360" w:lineRule="auto"/>
        <w:ind w:firstLine="480"/>
        <w:rPr>
          <w:rFonts w:ascii="宋体" w:hAnsi="宋体" w:cs="宋体"/>
          <w:kern w:val="0"/>
          <w:sz w:val="24"/>
          <w:szCs w:val="24"/>
          <w:highlight w:val="none"/>
        </w:rPr>
      </w:pPr>
      <w:r>
        <w:rPr>
          <w:rFonts w:ascii="宋体" w:hAnsi="宋体" w:cs="宋体"/>
          <w:kern w:val="0"/>
          <w:sz w:val="24"/>
          <w:szCs w:val="24"/>
        </w:rPr>
        <w:t>5.2.3</w:t>
      </w:r>
      <w:r>
        <w:rPr>
          <w:rFonts w:hint="eastAsia" w:ascii="宋体" w:hAnsi="宋体" w:cs="宋体"/>
          <w:kern w:val="0"/>
          <w:sz w:val="24"/>
          <w:szCs w:val="24"/>
          <w:highlight w:val="none"/>
        </w:rPr>
        <w:t>直播内容分为视频直播及文字直播两部分，参选人须在群内完成参选文件密封性及开标相关记录确认。</w:t>
      </w:r>
    </w:p>
    <w:p>
      <w:pPr>
        <w:pStyle w:val="34"/>
        <w:spacing w:line="360" w:lineRule="auto"/>
        <w:ind w:firstLine="480"/>
        <w:rPr>
          <w:rFonts w:ascii="宋体" w:hAnsi="宋体" w:cs="宋体"/>
          <w:kern w:val="0"/>
          <w:sz w:val="24"/>
          <w:szCs w:val="24"/>
          <w:highlight w:val="none"/>
        </w:rPr>
      </w:pPr>
      <w:r>
        <w:rPr>
          <w:rFonts w:ascii="宋体" w:hAnsi="宋体" w:cs="宋体"/>
          <w:kern w:val="0"/>
          <w:sz w:val="24"/>
          <w:szCs w:val="24"/>
          <w:highlight w:val="none"/>
        </w:rPr>
        <w:t>5.2.4</w:t>
      </w:r>
      <w:r>
        <w:rPr>
          <w:rFonts w:hint="eastAsia" w:ascii="宋体" w:hAnsi="宋体" w:cs="宋体"/>
          <w:kern w:val="0"/>
          <w:sz w:val="24"/>
          <w:szCs w:val="24"/>
          <w:highlight w:val="none"/>
        </w:rPr>
        <w:t>各参选单位的授权委托人必须提前列明，并在开标评标期间保持电话畅通。</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highlight w:val="none"/>
        </w:rPr>
        <w:t>5.2</w:t>
      </w:r>
      <w:r>
        <w:rPr>
          <w:rFonts w:ascii="宋体" w:hAnsi="宋体" w:cs="宋体"/>
          <w:kern w:val="0"/>
          <w:sz w:val="24"/>
          <w:szCs w:val="24"/>
          <w:highlight w:val="none"/>
        </w:rPr>
        <w:t>.5</w:t>
      </w:r>
      <w:r>
        <w:rPr>
          <w:rFonts w:hint="eastAsia" w:ascii="宋体" w:hAnsi="宋体" w:cs="宋体"/>
          <w:kern w:val="0"/>
          <w:sz w:val="24"/>
          <w:szCs w:val="24"/>
          <w:highlight w:val="none"/>
        </w:rPr>
        <w:t>开标会议由比选代理机构组织并主持，义乌市文化和广电旅游体育局派纪律</w:t>
      </w:r>
      <w:r>
        <w:rPr>
          <w:rFonts w:hint="eastAsia" w:ascii="宋体" w:hAnsi="宋体" w:cs="宋体"/>
          <w:kern w:val="0"/>
          <w:sz w:val="24"/>
          <w:szCs w:val="24"/>
        </w:rPr>
        <w:t>监督人员到场监督。</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5.3无效参选文件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发生下列情况之一的参选文件为无效参选文件：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5.3.1不具备本次比选文件规定的参选人资格要求的;</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5.3.2未加盖参选单位公章和单位法定代表人或者法定代表人委托的代理人的印鉴；</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5.3.3未按规定格式填写，内容不全或字迹模糊，辨认不清，影响评标；</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5.3.4比选截止期以后送达的参选文件；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5.3.5比选文件中带星号（★）未在标书中体现的；</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5.3.6不符合法律、法规和本次比选文件规定的其他实质性要求的。</w:t>
      </w:r>
    </w:p>
    <w:p>
      <w:pPr>
        <w:spacing w:line="360" w:lineRule="auto"/>
        <w:rPr>
          <w:rFonts w:ascii="宋体" w:hAnsi="宋体" w:cs="宋体"/>
          <w:kern w:val="0"/>
          <w:sz w:val="24"/>
        </w:rPr>
      </w:pPr>
      <w:r>
        <w:rPr>
          <w:rFonts w:hint="eastAsia" w:ascii="宋体" w:hAnsi="宋体" w:cs="宋体"/>
          <w:kern w:val="0"/>
          <w:sz w:val="24"/>
        </w:rPr>
        <w:t>6.评标</w:t>
      </w:r>
    </w:p>
    <w:p>
      <w:pPr>
        <w:pStyle w:val="34"/>
        <w:spacing w:line="360" w:lineRule="auto"/>
        <w:ind w:firstLine="480"/>
        <w:rPr>
          <w:rFonts w:ascii="宋体" w:hAnsi="宋体" w:cs="宋体"/>
          <w:color w:val="000000"/>
          <w:kern w:val="0"/>
          <w:sz w:val="24"/>
          <w:szCs w:val="24"/>
          <w:highlight w:val="none"/>
        </w:rPr>
      </w:pPr>
      <w:r>
        <w:rPr>
          <w:rFonts w:hint="eastAsia" w:ascii="宋体" w:hAnsi="宋体" w:cs="宋体"/>
          <w:kern w:val="0"/>
          <w:sz w:val="24"/>
          <w:szCs w:val="24"/>
          <w:highlight w:val="none"/>
        </w:rPr>
        <w:t>6.</w:t>
      </w:r>
      <w:r>
        <w:rPr>
          <w:rFonts w:hint="eastAsia" w:ascii="宋体" w:hAnsi="宋体" w:cs="宋体"/>
          <w:color w:val="000000"/>
          <w:kern w:val="0"/>
          <w:sz w:val="24"/>
          <w:szCs w:val="24"/>
          <w:highlight w:val="none"/>
        </w:rPr>
        <w:t>1评审组</w:t>
      </w:r>
    </w:p>
    <w:p>
      <w:pPr>
        <w:pStyle w:val="34"/>
        <w:spacing w:line="360" w:lineRule="auto"/>
        <w:ind w:firstLine="48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6.1.1评标小组将根据项目的特点确定。其成员由专家和比选人代表5人及以上单数组成。评标小组对参选文件进行审查、质疑、评估和比较。</w:t>
      </w:r>
    </w:p>
    <w:p>
      <w:pPr>
        <w:pStyle w:val="34"/>
        <w:spacing w:line="360" w:lineRule="auto"/>
        <w:ind w:firstLine="48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6.1.2评审组成员有下列情形之一的，应当回避。</w:t>
      </w:r>
    </w:p>
    <w:p>
      <w:pPr>
        <w:pStyle w:val="34"/>
        <w:spacing w:line="360" w:lineRule="auto"/>
        <w:ind w:firstLine="48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（1）比选人或参选人的主要负责人的近亲属；</w:t>
      </w:r>
    </w:p>
    <w:p>
      <w:pPr>
        <w:pStyle w:val="34"/>
        <w:spacing w:line="360" w:lineRule="auto"/>
        <w:ind w:firstLine="48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（2）与参选人有经济利益关系，可能影响对参选公正评审的；</w:t>
      </w:r>
    </w:p>
    <w:p>
      <w:pPr>
        <w:pStyle w:val="34"/>
        <w:spacing w:line="360" w:lineRule="auto"/>
        <w:ind w:firstLine="48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（3）其它应当回避的情形。</w:t>
      </w:r>
    </w:p>
    <w:p>
      <w:pPr>
        <w:pStyle w:val="34"/>
        <w:spacing w:line="360" w:lineRule="auto"/>
        <w:ind w:firstLine="199" w:firstLineChars="83"/>
        <w:rPr>
          <w:rFonts w:ascii="宋体" w:hAnsi="宋体" w:cs="宋体"/>
          <w:kern w:val="0"/>
          <w:sz w:val="24"/>
          <w:szCs w:val="24"/>
        </w:rPr>
      </w:pPr>
      <w:r>
        <w:rPr>
          <w:rFonts w:hint="eastAsia" w:ascii="宋体" w:hAnsi="宋体" w:cs="宋体"/>
          <w:kern w:val="0"/>
          <w:sz w:val="24"/>
          <w:szCs w:val="24"/>
        </w:rPr>
        <w:t>7.签订协议</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1</w:t>
      </w:r>
      <w:r>
        <w:rPr>
          <w:rFonts w:hint="eastAsia" w:ascii="宋体" w:hAnsi="宋体" w:cs="宋体"/>
          <w:kern w:val="0"/>
          <w:sz w:val="24"/>
          <w:szCs w:val="24"/>
        </w:rPr>
        <w:t>双方根据比选文件和中选人的参选文件订立书面协议，中选人递交的计划书、承诺等作为协议的重要附件。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2</w:t>
      </w:r>
      <w:r>
        <w:rPr>
          <w:rFonts w:hint="eastAsia" w:ascii="宋体" w:hAnsi="宋体" w:cs="宋体"/>
          <w:kern w:val="0"/>
          <w:sz w:val="24"/>
          <w:szCs w:val="24"/>
        </w:rPr>
        <w:t>中选人无正当理由拒签协议的，比选人取消其中选资格；给比选人造成的损失超过的，中选人还应当对该部分予以赔偿。</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7.3比选人无正当理由拒签协议的，比选人向中选人赔偿中选人损失。</w:t>
      </w:r>
    </w:p>
    <w:p>
      <w:pPr>
        <w:spacing w:line="360" w:lineRule="auto"/>
        <w:rPr>
          <w:rFonts w:ascii="宋体" w:hAnsi="宋体" w:cs="宋体"/>
          <w:kern w:val="0"/>
          <w:sz w:val="24"/>
        </w:rPr>
      </w:pPr>
      <w:r>
        <w:rPr>
          <w:rFonts w:hint="eastAsia" w:ascii="宋体" w:hAnsi="宋体" w:cs="宋体"/>
          <w:kern w:val="0"/>
          <w:sz w:val="24"/>
        </w:rPr>
        <w:t>8.纪律和监督</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8.1对比选人的纪律要求</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比选人不得泄漏比选参选活动中应当保密的情况和资料，不得与参选人串通损害国家利益、社会公共利益或者他人合法权益。</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下列行为均属比选人与参选人串通参选：</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（1）比选人在开标前开启参选文件，并将参选情况告知其它参选人，或者协助参选人撤换参选文件；</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（2）比选人预先内定中选人；</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（3）其它串通参选行为。</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8.2对参选人的纪律要求</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参选人不得相互串通参选或者与比选人串通参选，不得向比选人或者评审组成员行贿谋取中选，不得以他人名义参选或者以其他方式弄虚作假骗取中选；参选人不得以任何方式干扰、影响评标工作。</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8.2.1下列行为均属以他人名义参选：</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（1）参选人挂靠其他单位；</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（2）参选人从其他单位通过转让或租借的方式获取资格或资质证书；</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（3）由其他单位及法定代表人在自己编制的参选文件上加盖印章或签字的行为。</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8.2.2下列行为均属参选人串通参选：</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（1）不同参选人的参选文件由同一单位（或个人）编制或提供参选咨询服务；</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（2）不同参选人委托同一人办理参选事宜的或不同参选人与同一参选人联合参选的；</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（3）不同参选人的参选文件内容出现非正常一致，或者投资计划细目呈明显规律性变化；</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（4）不同参选人的参选文件载明的项目管理人员出现同一人的情况；</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（5）不同参选人的参选文件相互混装；</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（6）法律、法规或规章规定的其他串通参选行为。</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8.3对评审组成员的纪律要求</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评审组成员不得收受他人的财物或者其他好处，不得向他人透漏对参选文件的评审和比较、中选候选人的推荐情况以及评标有关的其他情况。在评标活动中，评审组成员不得擅离职守，影响评标程序正常进行，不得使用第四章“评标办法”没有规定的评审因素和标准进行评标。</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8.4对与评标活动有关的工作人员的纪律要求</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与评标活动有关的工作人员不得收受他人的财物或者其他好处，不得向他人透漏对参选文件的评审和比较、中选候选人的推荐情况以及评标有关的其他情况。在评标活动中，与评标活动有关的工作人员不得擅离职守，影响评标程序正常进行。</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8.5投诉</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参选人和其他利害关系人认为本次比选活动违反法律、法规和规章规定的，有权向有关监督部门投诉。</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8.6法律责任</w:t>
      </w:r>
    </w:p>
    <w:p>
      <w:pPr>
        <w:pStyle w:val="34"/>
        <w:spacing w:line="360" w:lineRule="auto"/>
        <w:ind w:firstLine="480"/>
        <w:rPr>
          <w:rFonts w:ascii="宋体" w:hAnsi="宋体" w:cs="宋体"/>
          <w:kern w:val="0"/>
          <w:sz w:val="24"/>
          <w:szCs w:val="24"/>
        </w:rPr>
      </w:pPr>
      <w:r>
        <w:rPr>
          <w:rFonts w:hint="eastAsia" w:ascii="宋体" w:hAnsi="宋体" w:cs="宋体"/>
          <w:kern w:val="0"/>
          <w:sz w:val="24"/>
          <w:szCs w:val="24"/>
        </w:rPr>
        <w:t>比选人、参选人及其他利害关系人在本次比选活动中违反法律、法规和规章的，按相关规定处理，情节严重的，依法追究法律责任。</w:t>
      </w:r>
    </w:p>
    <w:p>
      <w:pPr>
        <w:widowControl/>
        <w:spacing w:before="156" w:after="156"/>
        <w:jc w:val="left"/>
        <w:rPr>
          <w:rFonts w:ascii="宋体" w:hAnsi="宋体" w:cs="宋体"/>
          <w:b w:val="0"/>
          <w:kern w:val="0"/>
          <w:sz w:val="24"/>
        </w:rPr>
      </w:pPr>
    </w:p>
    <w:p>
      <w:pPr>
        <w:pStyle w:val="32"/>
        <w:spacing w:before="156" w:after="156"/>
        <w:rPr>
          <w:rFonts w:ascii="宋体" w:hAnsi="宋体" w:cs="宋体"/>
          <w:sz w:val="24"/>
          <w:szCs w:val="24"/>
        </w:rPr>
      </w:pPr>
      <w:r>
        <w:rPr>
          <w:rFonts w:hint="eastAsia" w:ascii="宋体" w:hAnsi="宋体" w:cs="宋体"/>
          <w:kern w:val="0"/>
          <w:sz w:val="24"/>
          <w:szCs w:val="24"/>
        </w:rPr>
        <w:br w:type="page"/>
      </w:r>
      <w:bookmarkStart w:id="14" w:name="_Toc138602909"/>
      <w:bookmarkStart w:id="15" w:name="_Toc134695726"/>
      <w:r>
        <w:rPr>
          <w:rFonts w:ascii="宋体" w:hAnsi="宋体" w:cs="宋体"/>
          <w:kern w:val="0"/>
          <w:sz w:val="24"/>
          <w:szCs w:val="24"/>
        </w:rPr>
        <w:t xml:space="preserve">   </w:t>
      </w:r>
      <w:r>
        <w:rPr>
          <w:rFonts w:hint="eastAsia" w:ascii="宋体" w:hAnsi="宋体" w:cs="宋体"/>
          <w:sz w:val="24"/>
          <w:szCs w:val="24"/>
        </w:rPr>
        <w:t>比选项目要求</w:t>
      </w:r>
      <w:bookmarkEnd w:id="14"/>
      <w:bookmarkEnd w:id="15"/>
    </w:p>
    <w:p>
      <w:pPr>
        <w:spacing w:before="156" w:after="156"/>
        <w:rPr>
          <w:rFonts w:ascii="宋体" w:hAnsi="宋体" w:cs="宋体"/>
          <w:b w:val="0"/>
          <w:bCs/>
          <w:sz w:val="24"/>
        </w:rPr>
      </w:pPr>
    </w:p>
    <w:p>
      <w:pPr>
        <w:spacing w:before="156" w:after="156" w:line="400" w:lineRule="exact"/>
        <w:ind w:firstLine="482" w:firstLineChars="200"/>
        <w:rPr>
          <w:rFonts w:ascii="宋体" w:hAnsi="宋体" w:cs="宋体"/>
          <w:sz w:val="24"/>
        </w:rPr>
      </w:pPr>
      <w:bookmarkStart w:id="16" w:name="_Toc13889"/>
      <w:bookmarkStart w:id="17" w:name="_Toc26034"/>
      <w:bookmarkStart w:id="18" w:name="_Toc18061"/>
      <w:bookmarkStart w:id="19" w:name="_Toc379811068"/>
      <w:bookmarkStart w:id="20" w:name="_Toc365897807"/>
      <w:bookmarkStart w:id="21" w:name="_Toc421524630"/>
      <w:bookmarkStart w:id="22" w:name="_Toc420943020"/>
      <w:bookmarkStart w:id="23" w:name="_Toc23705"/>
      <w:r>
        <w:rPr>
          <w:rFonts w:hint="eastAsia" w:ascii="宋体" w:hAnsi="宋体" w:cs="宋体"/>
          <w:sz w:val="24"/>
        </w:rPr>
        <w:t>一、项目概况</w:t>
      </w:r>
      <w:bookmarkEnd w:id="16"/>
      <w:bookmarkEnd w:id="17"/>
      <w:bookmarkEnd w:id="18"/>
    </w:p>
    <w:bookmarkEnd w:id="19"/>
    <w:bookmarkEnd w:id="20"/>
    <w:p>
      <w:pPr>
        <w:spacing w:before="156" w:after="156" w:line="400" w:lineRule="exact"/>
        <w:ind w:firstLine="480" w:firstLineChars="200"/>
        <w:rPr>
          <w:rFonts w:ascii="宋体" w:hAnsi="宋体" w:cs="宋体"/>
          <w:b w:val="0"/>
          <w:bCs/>
          <w:color w:val="auto"/>
          <w:sz w:val="24"/>
          <w:highlight w:val="none"/>
        </w:rPr>
      </w:pPr>
      <w:r>
        <w:rPr>
          <w:rFonts w:hint="eastAsia" w:ascii="宋体" w:hAnsi="宋体" w:cs="宋体"/>
          <w:b w:val="0"/>
          <w:bCs/>
          <w:sz w:val="24"/>
        </w:rPr>
        <w:t>《义乌市文化广场剧院运营方案》于2018年12月3日经市政府常务会议讨论通过，</w:t>
      </w:r>
      <w:r>
        <w:rPr>
          <w:rFonts w:hint="eastAsia" w:ascii="宋体" w:hAnsi="宋体" w:cs="宋体"/>
          <w:b w:val="0"/>
          <w:bCs/>
          <w:sz w:val="24"/>
          <w:highlight w:val="none"/>
        </w:rPr>
        <w:t>目前，第一个履约周期即将期满，为充分发挥公共文化场馆的服务效能，确保能引进具有资质完备</w:t>
      </w:r>
      <w:r>
        <w:rPr>
          <w:rFonts w:hint="eastAsia" w:ascii="宋体" w:hAnsi="宋体" w:cs="宋体"/>
          <w:b w:val="0"/>
          <w:bCs/>
          <w:color w:val="auto"/>
          <w:sz w:val="24"/>
          <w:highlight w:val="none"/>
        </w:rPr>
        <w:t>、业务规范、业绩优质的专业运营团队，继续提升文化广场剧院的品质和影响力，将采用公开比选的方式，继续引进具资质完备、财务规范、团队优秀、业绩明显的专业运营团队，进一步提高文化广场剧院的使用率，规范文化广场剧院运营管理。</w:t>
      </w:r>
    </w:p>
    <w:p>
      <w:pPr>
        <w:spacing w:before="156" w:after="156" w:line="400" w:lineRule="exact"/>
        <w:ind w:firstLine="482" w:firstLineChars="200"/>
        <w:rPr>
          <w:rFonts w:ascii="宋体" w:hAnsi="宋体" w:cs="宋体"/>
          <w:color w:val="auto"/>
          <w:sz w:val="24"/>
        </w:rPr>
      </w:pPr>
      <w:bookmarkStart w:id="24" w:name="_Toc1084"/>
      <w:bookmarkStart w:id="25" w:name="_Toc15020"/>
      <w:r>
        <w:rPr>
          <w:rFonts w:hint="eastAsia" w:ascii="宋体" w:hAnsi="宋体" w:cs="宋体"/>
          <w:color w:val="auto"/>
          <w:sz w:val="24"/>
        </w:rPr>
        <w:t>二、剧院运营前置条件</w:t>
      </w:r>
      <w:bookmarkEnd w:id="24"/>
      <w:bookmarkEnd w:id="25"/>
    </w:p>
    <w:p>
      <w:pPr>
        <w:spacing w:before="156" w:after="156" w:line="400" w:lineRule="exact"/>
        <w:ind w:firstLine="480" w:firstLineChars="200"/>
        <w:rPr>
          <w:rFonts w:ascii="宋体" w:hAnsi="宋体" w:cs="宋体"/>
          <w:b w:val="0"/>
          <w:bCs/>
          <w:color w:val="auto"/>
          <w:sz w:val="24"/>
        </w:rPr>
      </w:pPr>
      <w:r>
        <w:rPr>
          <w:rFonts w:hint="eastAsia" w:ascii="宋体" w:hAnsi="宋体" w:cs="宋体"/>
          <w:b w:val="0"/>
          <w:bCs/>
          <w:color w:val="auto"/>
          <w:sz w:val="24"/>
        </w:rPr>
        <w:t>1.管理主体：文化广场剧院运营管理主体单位为义乌市文化馆，坚持文化广场剧院的公益属性，注重其社会效益和经济效益互利互济、互相促进。</w:t>
      </w:r>
    </w:p>
    <w:p>
      <w:pPr>
        <w:spacing w:before="156" w:after="156" w:line="400" w:lineRule="exact"/>
        <w:ind w:firstLine="480" w:firstLineChars="200"/>
        <w:rPr>
          <w:rFonts w:ascii="宋体" w:hAnsi="宋体" w:cs="宋体"/>
          <w:b w:val="0"/>
          <w:bCs/>
          <w:color w:val="auto"/>
          <w:sz w:val="24"/>
        </w:rPr>
      </w:pPr>
      <w:r>
        <w:rPr>
          <w:rFonts w:hint="eastAsia" w:ascii="宋体" w:hAnsi="宋体" w:cs="宋体"/>
          <w:b w:val="0"/>
          <w:bCs/>
          <w:color w:val="auto"/>
          <w:sz w:val="24"/>
        </w:rPr>
        <w:t>2.运营模式：明确社会化合作运营模式，建立公益项目商业化模式运营的机制，用公开比选的方式引进合作企业，形成“自我造血”的可循环运营。围绕使义乌文化广场剧院达到“专业水平高、管理标准高、服务品位高、经营效益好、社会形象好”的管理目标，行使本项目规定的双方的权利，履行本项目规定的双方的义务。</w:t>
      </w:r>
    </w:p>
    <w:p>
      <w:pPr>
        <w:spacing w:before="156" w:after="156" w:line="400" w:lineRule="exact"/>
        <w:ind w:firstLine="480" w:firstLineChars="200"/>
        <w:rPr>
          <w:rFonts w:ascii="宋体" w:hAnsi="宋体" w:cs="宋体"/>
          <w:b w:val="0"/>
          <w:bCs/>
          <w:sz w:val="24"/>
          <w:highlight w:val="none"/>
        </w:rPr>
      </w:pPr>
      <w:r>
        <w:rPr>
          <w:rFonts w:hint="eastAsia" w:ascii="宋体" w:hAnsi="宋体" w:cs="宋体"/>
          <w:b w:val="0"/>
          <w:bCs/>
          <w:color w:val="auto"/>
          <w:sz w:val="24"/>
          <w:highlight w:val="none"/>
        </w:rPr>
        <w:t>3.运管范围：义乌文化广场主剧场、剧院大厅、剧院贵宾室、化妆间、会议室（二楼）、办公室（二楼）、库房及相关公共空间；</w:t>
      </w:r>
      <w:r>
        <w:rPr>
          <w:rFonts w:hint="eastAsia" w:ascii="宋体" w:hAnsi="宋体" w:cs="宋体"/>
          <w:b w:val="0"/>
          <w:bCs/>
          <w:sz w:val="24"/>
          <w:highlight w:val="none"/>
        </w:rPr>
        <w:t>舞台专业设备设施等。</w:t>
      </w:r>
    </w:p>
    <w:p>
      <w:pPr>
        <w:spacing w:before="156" w:after="156" w:line="400" w:lineRule="exact"/>
        <w:ind w:firstLine="480" w:firstLineChars="200"/>
        <w:rPr>
          <w:color w:val="000000"/>
          <w:highlight w:val="none"/>
        </w:rPr>
      </w:pPr>
      <w:r>
        <w:rPr>
          <w:rFonts w:hint="eastAsia" w:ascii="宋体" w:hAnsi="宋体" w:cs="宋体"/>
          <w:b w:val="0"/>
          <w:bCs/>
          <w:sz w:val="24"/>
          <w:highlight w:val="none"/>
        </w:rPr>
        <w:t>4.经营内容：以组织经营高雅艺术演出为主,以艺术普及、艺术教育、培育高雅艺术演出市场和服务观众的经营活动以及场地租赁活动为辅。其它辅助经营项目须报经甲方</w:t>
      </w:r>
      <w:r>
        <w:rPr>
          <w:rFonts w:hint="eastAsia" w:ascii="宋体" w:hAnsi="宋体" w:cs="宋体"/>
          <w:b w:val="0"/>
          <w:bCs/>
          <w:color w:val="000000"/>
          <w:sz w:val="24"/>
          <w:highlight w:val="none"/>
        </w:rPr>
        <w:t>同意后方可实施，原则上艺术教育收费必须低于市场价。</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5.场次目标：每年运营场次不低于100场。其中政府采购公益演出不低于40场，自营演出不低于60场，并积极推进文化艺术讲座、论坛、公益惠民活动等</w:t>
      </w:r>
      <w:r>
        <w:rPr>
          <w:rFonts w:hint="eastAsia" w:ascii="宋体" w:hAnsi="宋体" w:cs="宋体"/>
          <w:b w:val="0"/>
          <w:bCs/>
          <w:color w:val="000000"/>
          <w:sz w:val="24"/>
          <w:highlight w:val="none"/>
          <w:lang w:val="en-US" w:eastAsia="zh-CN"/>
        </w:rPr>
        <w:t>30</w:t>
      </w:r>
      <w:r>
        <w:rPr>
          <w:rFonts w:hint="eastAsia" w:ascii="宋体" w:hAnsi="宋体" w:cs="宋体"/>
          <w:b w:val="0"/>
          <w:bCs/>
          <w:color w:val="000000"/>
          <w:sz w:val="24"/>
          <w:highlight w:val="none"/>
        </w:rPr>
        <w:t>场全公益艺术普及相关活动。</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政府每年免费使用剧院场地为不超过25场（或50天）时间（含装台、排练、会议时间），超出50天以外的时间，按照实际发生的费用进行结算。</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市委市政府及党政单位有重大会议和大型活动需使用剧院场地，比选人须提前30天通知中选单位，中选单位凭比选人书面通知应予以确保。如场地在此之前已签订出租协议或演出协议，中选单位应积极协助解决，由于场地腾退产生的租金或违约金及相应实际损失由比选人承担。</w:t>
      </w:r>
    </w:p>
    <w:p>
      <w:pPr>
        <w:numPr>
          <w:ilvl w:val="0"/>
          <w:numId w:val="2"/>
        </w:numPr>
        <w:spacing w:before="156" w:after="156" w:line="40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经费：由中选单位代为支付剧目采购经费400万元(2024财政年度)。</w:t>
      </w:r>
    </w:p>
    <w:p>
      <w:pPr>
        <w:numPr>
          <w:ilvl w:val="0"/>
          <w:numId w:val="2"/>
        </w:num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 xml:space="preserve">中选单位支出：中选单位负责文化馆水电能耗超出130万元之外的水电能耗费部分、剧院天然气购置费、设备、耗材等日常维修费、维护费、管理团队人员工资、剧院内保洁保安费、行政办公等其他开支。 </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中选单位每年需购买不低于500万元的公众责任险，确保剧场内外的人员及设备安全。</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8.中选单位收入：中选单位负责义乌文化广场剧院的经营管理，其票务、场租费、艺术教育、合法广告等收入归中标单位公司所有。</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9.演出档次：</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剧院的40场公益演出档次分为A、B、C三类：</w:t>
      </w:r>
    </w:p>
    <w:p>
      <w:pPr>
        <w:spacing w:before="156" w:after="156" w:line="400" w:lineRule="exact"/>
        <w:ind w:firstLine="480" w:firstLineChars="200"/>
        <w:rPr>
          <w:rFonts w:hint="default" w:ascii="宋体" w:hAnsi="宋体" w:eastAsia="宋体" w:cs="宋体"/>
          <w:b w:val="0"/>
          <w:bCs/>
          <w:color w:val="000000"/>
          <w:sz w:val="24"/>
          <w:highlight w:val="none"/>
          <w:lang w:val="en-US" w:eastAsia="zh-CN"/>
        </w:rPr>
      </w:pPr>
      <w:r>
        <w:rPr>
          <w:rFonts w:hint="eastAsia" w:ascii="宋体" w:hAnsi="宋体" w:cs="宋体"/>
          <w:b w:val="0"/>
          <w:bCs/>
          <w:color w:val="000000"/>
          <w:sz w:val="24"/>
          <w:highlight w:val="none"/>
        </w:rPr>
        <w:t>A类演出占总场次的</w:t>
      </w:r>
      <w:r>
        <w:rPr>
          <w:rFonts w:hint="eastAsia" w:ascii="宋体" w:hAnsi="宋体" w:cs="宋体"/>
          <w:b w:val="0"/>
          <w:bCs/>
          <w:color w:val="000000"/>
          <w:sz w:val="24"/>
          <w:highlight w:val="none"/>
          <w:lang w:val="en-US" w:eastAsia="zh-CN"/>
        </w:rPr>
        <w:t>23%（9场）</w:t>
      </w:r>
    </w:p>
    <w:p>
      <w:pPr>
        <w:spacing w:before="156" w:after="156" w:line="400" w:lineRule="exact"/>
        <w:ind w:firstLine="480" w:firstLineChars="200"/>
        <w:rPr>
          <w:rFonts w:hint="default" w:ascii="宋体" w:hAnsi="宋体" w:eastAsia="宋体" w:cs="宋体"/>
          <w:b w:val="0"/>
          <w:bCs/>
          <w:color w:val="000000"/>
          <w:sz w:val="24"/>
          <w:highlight w:val="none"/>
          <w:lang w:val="en-US" w:eastAsia="zh-CN"/>
        </w:rPr>
      </w:pPr>
      <w:r>
        <w:rPr>
          <w:rFonts w:hint="eastAsia" w:ascii="宋体" w:hAnsi="宋体" w:cs="宋体"/>
          <w:b w:val="0"/>
          <w:bCs/>
          <w:color w:val="000000"/>
          <w:sz w:val="24"/>
          <w:highlight w:val="none"/>
        </w:rPr>
        <w:t>B类演出占演出总场次</w:t>
      </w:r>
      <w:r>
        <w:rPr>
          <w:rFonts w:hint="eastAsia" w:ascii="宋体" w:hAnsi="宋体" w:cs="宋体"/>
          <w:b w:val="0"/>
          <w:bCs/>
          <w:color w:val="000000"/>
          <w:sz w:val="24"/>
          <w:highlight w:val="none"/>
          <w:lang w:val="en-US" w:eastAsia="zh-CN"/>
        </w:rPr>
        <w:t>35%（14场）</w:t>
      </w:r>
    </w:p>
    <w:p>
      <w:pPr>
        <w:spacing w:before="156" w:after="156" w:line="400" w:lineRule="exact"/>
        <w:ind w:firstLine="480" w:firstLineChars="200"/>
        <w:rPr>
          <w:rFonts w:hint="default" w:ascii="宋体" w:hAnsi="宋体" w:eastAsia="宋体" w:cs="宋体"/>
          <w:b w:val="0"/>
          <w:bCs/>
          <w:color w:val="000000"/>
          <w:sz w:val="24"/>
          <w:highlight w:val="none"/>
          <w:lang w:val="en-US" w:eastAsia="zh-CN"/>
        </w:rPr>
      </w:pPr>
      <w:r>
        <w:rPr>
          <w:rFonts w:hint="eastAsia" w:ascii="宋体" w:hAnsi="宋体" w:cs="宋体"/>
          <w:b w:val="0"/>
          <w:bCs/>
          <w:color w:val="000000"/>
          <w:sz w:val="24"/>
          <w:highlight w:val="none"/>
        </w:rPr>
        <w:t>C类演出占演出总场次</w:t>
      </w:r>
      <w:r>
        <w:rPr>
          <w:rFonts w:hint="eastAsia" w:ascii="宋体" w:hAnsi="宋体" w:cs="宋体"/>
          <w:b w:val="0"/>
          <w:bCs/>
          <w:color w:val="000000"/>
          <w:sz w:val="24"/>
          <w:highlight w:val="none"/>
          <w:lang w:val="en-US" w:eastAsia="zh-CN"/>
        </w:rPr>
        <w:t>42%（17场）</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10.演出票价：义乌文化广场剧院以体现公益性为前提，全年平均票价不超过200元；艺术教育普及活动票价不超过50元。</w:t>
      </w:r>
    </w:p>
    <w:p>
      <w:pPr>
        <w:spacing w:before="156" w:after="156" w:line="400" w:lineRule="exact"/>
        <w:ind w:firstLine="480" w:firstLineChars="200"/>
        <w:rPr>
          <w:rFonts w:ascii="宋体" w:hAnsi="宋体" w:cs="宋体"/>
          <w:b w:val="0"/>
          <w:bCs/>
          <w:sz w:val="24"/>
        </w:rPr>
      </w:pPr>
      <w:r>
        <w:rPr>
          <w:rFonts w:hint="eastAsia" w:ascii="宋体" w:hAnsi="宋体" w:cs="宋体"/>
          <w:b w:val="0"/>
          <w:bCs/>
          <w:color w:val="000000"/>
          <w:sz w:val="24"/>
          <w:highlight w:val="none"/>
        </w:rPr>
        <w:t>1</w:t>
      </w:r>
      <w:r>
        <w:rPr>
          <w:rFonts w:hint="eastAsia" w:ascii="宋体" w:hAnsi="宋体" w:cs="宋体"/>
          <w:b w:val="0"/>
          <w:bCs/>
          <w:color w:val="000000"/>
          <w:sz w:val="24"/>
          <w:highlight w:val="none"/>
          <w:lang w:val="en-US" w:eastAsia="zh-CN"/>
        </w:rPr>
        <w:t>1</w:t>
      </w:r>
      <w:r>
        <w:rPr>
          <w:rFonts w:hint="eastAsia" w:ascii="宋体" w:hAnsi="宋体" w:cs="宋体"/>
          <w:b w:val="0"/>
          <w:bCs/>
          <w:color w:val="000000"/>
          <w:sz w:val="24"/>
          <w:highlight w:val="none"/>
        </w:rPr>
        <w:t>.上座率：中选单位承诺年平均上座率不低于65%（上座率以出票数为依据进行统计，第一年不低于60%）。上座率的计算不包含租场演出以</w:t>
      </w:r>
      <w:r>
        <w:rPr>
          <w:rFonts w:hint="eastAsia" w:ascii="宋体" w:hAnsi="宋体" w:cs="宋体"/>
          <w:b w:val="0"/>
          <w:bCs/>
          <w:sz w:val="24"/>
        </w:rPr>
        <w:t>及租场活动</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sz w:val="24"/>
        </w:rPr>
        <w:t>1</w:t>
      </w:r>
      <w:r>
        <w:rPr>
          <w:rFonts w:hint="eastAsia" w:ascii="宋体" w:hAnsi="宋体" w:cs="宋体"/>
          <w:b w:val="0"/>
          <w:bCs/>
          <w:sz w:val="24"/>
          <w:lang w:val="en-US" w:eastAsia="zh-CN"/>
        </w:rPr>
        <w:t>2</w:t>
      </w:r>
      <w:r>
        <w:rPr>
          <w:rFonts w:hint="eastAsia" w:ascii="宋体" w:hAnsi="宋体" w:cs="宋体"/>
          <w:b w:val="0"/>
          <w:bCs/>
          <w:sz w:val="24"/>
        </w:rPr>
        <w:t>.运营团队：组建不少于12人的全职运营团队（6名专业技术人员除外），负责演出运营、剧院管理、宣传策划、落地推广等工作。中选单位负责招聘、安排、选拔、考核、辞退项目公司</w:t>
      </w:r>
      <w:r>
        <w:rPr>
          <w:rFonts w:hint="eastAsia" w:ascii="宋体" w:hAnsi="宋体" w:cs="宋体"/>
          <w:b w:val="0"/>
          <w:bCs/>
          <w:color w:val="000000"/>
          <w:sz w:val="24"/>
          <w:highlight w:val="none"/>
        </w:rPr>
        <w:t>所有的工作人员（含6名专业技术人员）。</w:t>
      </w:r>
    </w:p>
    <w:p>
      <w:pPr>
        <w:spacing w:before="156" w:after="156" w:line="400" w:lineRule="exact"/>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1</w:t>
      </w:r>
      <w:r>
        <w:rPr>
          <w:rFonts w:hint="eastAsia" w:ascii="宋体" w:hAnsi="宋体" w:cs="宋体"/>
          <w:b w:val="0"/>
          <w:bCs/>
          <w:color w:val="000000"/>
          <w:sz w:val="24"/>
          <w:highlight w:val="none"/>
          <w:lang w:val="en-US" w:eastAsia="zh-CN"/>
        </w:rPr>
        <w:t>3</w:t>
      </w:r>
      <w:r>
        <w:rPr>
          <w:rFonts w:hint="eastAsia" w:ascii="宋体" w:hAnsi="宋体" w:cs="宋体"/>
          <w:b w:val="0"/>
          <w:bCs/>
          <w:color w:val="000000"/>
          <w:sz w:val="24"/>
          <w:highlight w:val="none"/>
        </w:rPr>
        <w:t>.设备维护：中选单位负责剧院经营管理范围内的设施设备日常维护管理，并承担设备</w:t>
      </w:r>
      <w:r>
        <w:rPr>
          <w:rFonts w:hint="eastAsia" w:ascii="宋体" w:hAnsi="宋体" w:cs="宋体"/>
          <w:b w:val="0"/>
          <w:bCs/>
          <w:color w:val="000000"/>
          <w:sz w:val="24"/>
          <w:highlight w:val="none"/>
          <w:lang w:eastAsia="zh-CN"/>
        </w:rPr>
        <w:t>、</w:t>
      </w:r>
      <w:r>
        <w:rPr>
          <w:rFonts w:hint="eastAsia" w:ascii="宋体" w:hAnsi="宋体" w:cs="宋体"/>
          <w:b w:val="0"/>
          <w:bCs/>
          <w:color w:val="000000"/>
          <w:sz w:val="24"/>
          <w:highlight w:val="none"/>
        </w:rPr>
        <w:t>耗材等日常维修</w:t>
      </w:r>
      <w:r>
        <w:rPr>
          <w:rFonts w:hint="eastAsia" w:ascii="宋体" w:hAnsi="宋体" w:cs="宋体"/>
          <w:b w:val="0"/>
          <w:bCs/>
          <w:color w:val="000000"/>
          <w:sz w:val="24"/>
          <w:highlight w:val="none"/>
          <w:lang w:eastAsia="zh-CN"/>
        </w:rPr>
        <w:t>、</w:t>
      </w:r>
      <w:r>
        <w:rPr>
          <w:rFonts w:hint="eastAsia" w:ascii="宋体" w:hAnsi="宋体" w:cs="宋体"/>
          <w:b w:val="0"/>
          <w:bCs/>
          <w:color w:val="000000"/>
          <w:sz w:val="24"/>
          <w:highlight w:val="none"/>
        </w:rPr>
        <w:t>维护费用</w:t>
      </w:r>
      <w:r>
        <w:rPr>
          <w:rFonts w:hint="eastAsia" w:ascii="宋体" w:hAnsi="宋体" w:cs="宋体"/>
          <w:b w:val="0"/>
          <w:bCs/>
          <w:color w:val="000000"/>
          <w:sz w:val="24"/>
          <w:highlight w:val="none"/>
        </w:rPr>
        <w:t>；剧院的设施设备不得出租、出借给第三方在剧院外使用。</w:t>
      </w:r>
    </w:p>
    <w:p>
      <w:pPr>
        <w:spacing w:before="156" w:after="156" w:line="400" w:lineRule="exact"/>
        <w:ind w:firstLine="480" w:firstLineChars="200"/>
        <w:rPr>
          <w:rFonts w:ascii="宋体" w:hAnsi="宋体" w:cs="宋体"/>
          <w:b w:val="0"/>
          <w:bCs/>
          <w:sz w:val="24"/>
        </w:rPr>
      </w:pPr>
      <w:r>
        <w:rPr>
          <w:rFonts w:hint="eastAsia" w:ascii="宋体" w:hAnsi="宋体" w:cs="宋体"/>
          <w:b w:val="0"/>
          <w:bCs/>
          <w:color w:val="000000"/>
          <w:sz w:val="24"/>
          <w:highlight w:val="none"/>
        </w:rPr>
        <w:t>1</w:t>
      </w:r>
      <w:r>
        <w:rPr>
          <w:rFonts w:hint="eastAsia" w:ascii="宋体" w:hAnsi="宋体" w:cs="宋体"/>
          <w:b w:val="0"/>
          <w:bCs/>
          <w:color w:val="000000"/>
          <w:sz w:val="24"/>
          <w:highlight w:val="none"/>
          <w:lang w:val="en-US" w:eastAsia="zh-CN"/>
        </w:rPr>
        <w:t>4</w:t>
      </w:r>
      <w:r>
        <w:rPr>
          <w:rFonts w:hint="eastAsia" w:ascii="宋体" w:hAnsi="宋体" w:cs="宋体"/>
          <w:b w:val="0"/>
          <w:bCs/>
          <w:color w:val="000000"/>
          <w:sz w:val="24"/>
          <w:highlight w:val="none"/>
        </w:rPr>
        <w:t>.年度考核：比选人有权对中选单位制定考核办法并组织考核；对义乌文化广场剧院经营、管理、服务进行监督；比选人与中选单位共同成立艺术</w:t>
      </w:r>
      <w:r>
        <w:rPr>
          <w:rFonts w:hint="eastAsia" w:ascii="宋体" w:hAnsi="宋体" w:cs="宋体"/>
          <w:b w:val="0"/>
          <w:bCs/>
          <w:sz w:val="24"/>
        </w:rPr>
        <w:t>委员会（单数制），审定中选单位制定的年度演出经营工作计划(包含剧目类别A、B、C类的档次的预审制度）。</w:t>
      </w:r>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1</w:t>
      </w:r>
      <w:r>
        <w:rPr>
          <w:rFonts w:hint="eastAsia" w:ascii="宋体" w:hAnsi="宋体" w:cs="宋体"/>
          <w:b w:val="0"/>
          <w:bCs/>
          <w:sz w:val="24"/>
          <w:lang w:val="en-US" w:eastAsia="zh-CN"/>
        </w:rPr>
        <w:t>5</w:t>
      </w:r>
      <w:r>
        <w:rPr>
          <w:rFonts w:hint="eastAsia" w:ascii="宋体" w:hAnsi="宋体" w:cs="宋体"/>
          <w:b w:val="0"/>
          <w:bCs/>
          <w:sz w:val="24"/>
        </w:rPr>
        <w:t>.其余内容详见拟签订的合同文本。</w:t>
      </w:r>
    </w:p>
    <w:p>
      <w:pPr>
        <w:spacing w:before="156" w:after="156" w:line="400" w:lineRule="exact"/>
        <w:ind w:firstLine="480" w:firstLineChars="200"/>
        <w:rPr>
          <w:rFonts w:ascii="宋体" w:hAnsi="宋体" w:cs="宋体"/>
          <w:b w:val="0"/>
          <w:bCs/>
          <w:sz w:val="24"/>
        </w:rPr>
      </w:pPr>
      <w:bookmarkStart w:id="26" w:name="_Toc26751"/>
      <w:bookmarkStart w:id="27" w:name="_Toc30437"/>
      <w:r>
        <w:rPr>
          <w:rFonts w:hint="eastAsia" w:ascii="宋体" w:hAnsi="宋体" w:cs="宋体"/>
          <w:b w:val="0"/>
          <w:bCs/>
          <w:sz w:val="24"/>
        </w:rPr>
        <w:t>三、运营期限</w:t>
      </w:r>
      <w:bookmarkEnd w:id="26"/>
      <w:bookmarkEnd w:id="27"/>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1.服务期限：自合同签订之日起3年。</w:t>
      </w:r>
      <w:bookmarkStart w:id="28" w:name="_Toc3896"/>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四、履约验收</w:t>
      </w:r>
      <w:bookmarkEnd w:id="21"/>
      <w:bookmarkEnd w:id="22"/>
      <w:bookmarkEnd w:id="28"/>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1.比选人应对本项目履约情况予以监督并及时、认真组织验收。对国家有强制性要求的项目，还应通过国家认可的相关检测机构的验收。</w:t>
      </w:r>
    </w:p>
    <w:p>
      <w:pPr>
        <w:spacing w:before="156" w:after="156" w:line="400" w:lineRule="exact"/>
        <w:ind w:firstLine="480" w:firstLineChars="200"/>
        <w:rPr>
          <w:rFonts w:ascii="宋体" w:hAnsi="宋体" w:cs="宋体"/>
          <w:b w:val="0"/>
          <w:bCs/>
          <w:sz w:val="24"/>
        </w:rPr>
      </w:pPr>
      <w:bookmarkStart w:id="29" w:name="_Toc8953"/>
      <w:r>
        <w:rPr>
          <w:rFonts w:hint="eastAsia" w:ascii="宋体" w:hAnsi="宋体" w:cs="宋体"/>
          <w:b w:val="0"/>
          <w:bCs/>
          <w:sz w:val="24"/>
        </w:rPr>
        <w:t>五、考核</w:t>
      </w:r>
      <w:bookmarkEnd w:id="29"/>
    </w:p>
    <w:bookmarkEnd w:id="23"/>
    <w:p>
      <w:pPr>
        <w:spacing w:before="156" w:after="156" w:line="400" w:lineRule="exact"/>
        <w:ind w:firstLine="480" w:firstLineChars="200"/>
        <w:rPr>
          <w:rFonts w:ascii="宋体" w:hAnsi="宋体" w:cs="宋体"/>
          <w:b w:val="0"/>
          <w:bCs/>
          <w:sz w:val="24"/>
        </w:rPr>
      </w:pPr>
      <w:bookmarkStart w:id="30" w:name="_Toc274303250"/>
      <w:bookmarkStart w:id="31" w:name="_Toc379811070"/>
      <w:bookmarkStart w:id="32" w:name="_Toc238878122"/>
      <w:bookmarkStart w:id="33" w:name="_Toc4514"/>
      <w:bookmarkStart w:id="34" w:name="_Toc365897809"/>
      <w:r>
        <w:rPr>
          <w:rFonts w:hint="eastAsia" w:ascii="宋体" w:hAnsi="宋体" w:cs="宋体"/>
          <w:b w:val="0"/>
          <w:bCs/>
          <w:sz w:val="24"/>
        </w:rPr>
        <w:t>1.详见义乌文化广场剧院运营团队考核办法。</w:t>
      </w:r>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2.考核不合格比选人有权中止合同。</w:t>
      </w:r>
    </w:p>
    <w:p>
      <w:pPr>
        <w:spacing w:before="156" w:after="156" w:line="400" w:lineRule="exact"/>
        <w:ind w:firstLine="480" w:firstLineChars="200"/>
        <w:rPr>
          <w:rFonts w:ascii="宋体" w:hAnsi="宋体" w:cs="宋体"/>
          <w:b w:val="0"/>
          <w:bCs/>
          <w:sz w:val="24"/>
        </w:rPr>
      </w:pPr>
      <w:bookmarkStart w:id="35" w:name="_Toc18044"/>
      <w:r>
        <w:rPr>
          <w:rFonts w:hint="eastAsia" w:ascii="宋体" w:hAnsi="宋体" w:cs="宋体"/>
          <w:b w:val="0"/>
          <w:bCs/>
          <w:sz w:val="24"/>
        </w:rPr>
        <w:t>六、其他</w:t>
      </w:r>
      <w:bookmarkEnd w:id="30"/>
      <w:bookmarkEnd w:id="31"/>
      <w:bookmarkEnd w:id="32"/>
      <w:bookmarkEnd w:id="33"/>
      <w:bookmarkEnd w:id="34"/>
      <w:bookmarkEnd w:id="35"/>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1.参选人所投服务的技术参数不得低于本项目的技术要求和档次。</w:t>
      </w:r>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★2.中选单位在签订合同时，若坚持提出附加条件和不合理要求，中选资格将被取消，该中选人对由此产生的一切后果负责。</w:t>
      </w:r>
    </w:p>
    <w:p>
      <w:pPr>
        <w:spacing w:before="156" w:after="156" w:line="400" w:lineRule="exact"/>
        <w:ind w:firstLine="480" w:firstLineChars="200"/>
        <w:rPr>
          <w:rFonts w:ascii="宋体" w:hAnsi="宋体" w:cs="宋体"/>
          <w:b w:val="0"/>
          <w:bCs/>
          <w:sz w:val="24"/>
        </w:rPr>
      </w:pPr>
      <w:r>
        <w:rPr>
          <w:rFonts w:hint="eastAsia" w:ascii="宋体" w:hAnsi="宋体" w:cs="宋体"/>
          <w:b w:val="0"/>
          <w:bCs/>
          <w:sz w:val="24"/>
        </w:rPr>
        <w:t>参选人提交的参选文件均归比选人所有，不再返还给参选人。</w:t>
      </w:r>
    </w:p>
    <w:p>
      <w:pPr>
        <w:spacing w:before="156" w:after="156"/>
        <w:rPr>
          <w:rFonts w:ascii="宋体" w:hAnsi="宋体" w:cs="宋体"/>
          <w:b w:val="0"/>
          <w:bCs/>
          <w:kern w:val="0"/>
          <w:sz w:val="24"/>
          <w:highlight w:val="yellow"/>
        </w:rPr>
      </w:pPr>
    </w:p>
    <w:p>
      <w:pPr>
        <w:rPr>
          <w:rFonts w:ascii="宋体" w:hAnsi="宋体" w:cs="宋体"/>
          <w:sz w:val="24"/>
        </w:rPr>
      </w:pPr>
      <w:bookmarkStart w:id="36" w:name="_Toc138602910"/>
      <w:bookmarkStart w:id="37" w:name="_Toc134695727"/>
      <w:r>
        <w:rPr>
          <w:rFonts w:hint="eastAsia" w:ascii="宋体" w:hAnsi="宋体" w:cs="宋体"/>
          <w:sz w:val="24"/>
        </w:rPr>
        <w:br w:type="page"/>
      </w:r>
    </w:p>
    <w:p>
      <w:pPr>
        <w:pStyle w:val="32"/>
        <w:spacing w:before="156" w:after="156"/>
        <w:rPr>
          <w:rFonts w:ascii="宋体" w:hAnsi="宋体" w:cs="宋体"/>
          <w:sz w:val="24"/>
          <w:szCs w:val="24"/>
        </w:rPr>
      </w:pPr>
      <w:r>
        <w:rPr>
          <w:rFonts w:hint="eastAsia" w:ascii="宋体" w:hAnsi="宋体" w:cs="宋体"/>
          <w:sz w:val="24"/>
          <w:szCs w:val="24"/>
        </w:rPr>
        <w:t>评分办法</w:t>
      </w:r>
      <w:bookmarkEnd w:id="36"/>
      <w:bookmarkEnd w:id="37"/>
    </w:p>
    <w:p>
      <w:pPr>
        <w:pStyle w:val="230"/>
        <w:rPr>
          <w:rFonts w:hint="default"/>
        </w:rPr>
      </w:pPr>
      <w:bookmarkStart w:id="38" w:name="_Toc274303257"/>
      <w:r>
        <w:t>参照有关规定，为更好地做到公开、公平、公正，结合本次比选的特点，特制定本评标办法。</w:t>
      </w:r>
    </w:p>
    <w:p>
      <w:pPr>
        <w:pStyle w:val="230"/>
        <w:ind w:firstLine="482"/>
        <w:rPr>
          <w:rFonts w:hint="default"/>
          <w:b/>
          <w:bCs/>
        </w:rPr>
      </w:pPr>
      <w:r>
        <w:rPr>
          <w:b/>
          <w:bCs/>
        </w:rPr>
        <w:t>一、评审程序</w:t>
      </w:r>
    </w:p>
    <w:p>
      <w:pPr>
        <w:pStyle w:val="230"/>
        <w:rPr>
          <w:rFonts w:hint="default"/>
        </w:rPr>
      </w:pPr>
      <w:r>
        <w:t>1.对参选人的技术标进行符合性审查，确定技术标有效单位；</w:t>
      </w:r>
    </w:p>
    <w:p>
      <w:pPr>
        <w:pStyle w:val="230"/>
        <w:rPr>
          <w:rFonts w:hint="default"/>
        </w:rPr>
      </w:pPr>
      <w:r>
        <w:t>2.对技术标有效的参选单位的技术标进行评分，计算出各技术标有效的参选单位的技术得分；</w:t>
      </w:r>
    </w:p>
    <w:p>
      <w:pPr>
        <w:pStyle w:val="230"/>
        <w:rPr>
          <w:rFonts w:hint="default"/>
        </w:rPr>
      </w:pPr>
      <w:r>
        <w:t>3.推荐中选候选人、出具评标报告。</w:t>
      </w:r>
    </w:p>
    <w:p>
      <w:pPr>
        <w:pStyle w:val="230"/>
        <w:rPr>
          <w:rFonts w:hint="default"/>
        </w:rPr>
      </w:pPr>
      <w:r>
        <w:t>评标小组以开标、评标、询标情况为基本依据，对有效的参选文件进行分析、评议。</w:t>
      </w:r>
    </w:p>
    <w:p>
      <w:pPr>
        <w:pStyle w:val="230"/>
        <w:ind w:firstLine="482"/>
        <w:rPr>
          <w:rFonts w:hint="default"/>
          <w:b/>
          <w:bCs/>
        </w:rPr>
      </w:pPr>
      <w:r>
        <w:rPr>
          <w:b/>
          <w:bCs/>
        </w:rPr>
        <w:t>二、评审办法</w:t>
      </w:r>
    </w:p>
    <w:bookmarkEnd w:id="38"/>
    <w:p>
      <w:pPr>
        <w:pStyle w:val="230"/>
        <w:rPr>
          <w:rFonts w:hint="default"/>
        </w:rPr>
      </w:pPr>
      <w:r>
        <w:t>评标小组参照相同的程序用综合评分法对比选项目作出评标结论。评审内容如下：</w:t>
      </w:r>
    </w:p>
    <w:p>
      <w:pPr>
        <w:pStyle w:val="19"/>
        <w:spacing w:before="120" w:after="120" w:line="440" w:lineRule="exact"/>
        <w:ind w:left="482"/>
        <w:rPr>
          <w:rFonts w:hAnsi="宋体"/>
          <w:bCs/>
          <w:color w:val="000000"/>
          <w:sz w:val="24"/>
          <w:szCs w:val="24"/>
        </w:rPr>
      </w:pPr>
      <w:r>
        <w:rPr>
          <w:rFonts w:hint="eastAsia" w:hAnsi="宋体"/>
          <w:bCs/>
          <w:color w:val="000000"/>
          <w:sz w:val="24"/>
          <w:szCs w:val="24"/>
        </w:rPr>
        <w:t>1</w:t>
      </w:r>
      <w:r>
        <w:rPr>
          <w:rFonts w:hint="eastAsia"/>
          <w:color w:val="000000"/>
          <w:sz w:val="24"/>
          <w:szCs w:val="24"/>
        </w:rPr>
        <w:t>.</w:t>
      </w:r>
      <w:r>
        <w:rPr>
          <w:rFonts w:hint="eastAsia" w:hAnsi="宋体"/>
          <w:bCs/>
          <w:color w:val="000000"/>
          <w:sz w:val="24"/>
          <w:szCs w:val="24"/>
        </w:rPr>
        <w:t>技术标评审，满分100分</w:t>
      </w:r>
    </w:p>
    <w:tbl>
      <w:tblPr>
        <w:tblStyle w:val="36"/>
        <w:tblW w:w="1059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935"/>
        <w:gridCol w:w="731"/>
        <w:gridCol w:w="5988"/>
        <w:gridCol w:w="12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13" w:type="dxa"/>
            <w:vAlign w:val="center"/>
          </w:tcPr>
          <w:p>
            <w:pPr>
              <w:spacing w:line="380" w:lineRule="exact"/>
              <w:jc w:val="center"/>
              <w:rPr>
                <w:b w:val="0"/>
                <w:bCs/>
                <w:color w:val="000000"/>
                <w:sz w:val="24"/>
              </w:rPr>
            </w:pPr>
            <w:r>
              <w:rPr>
                <w:b w:val="0"/>
                <w:bCs/>
                <w:color w:val="000000"/>
                <w:sz w:val="24"/>
              </w:rPr>
              <w:t>序号</w:t>
            </w:r>
          </w:p>
        </w:tc>
        <w:tc>
          <w:tcPr>
            <w:tcW w:w="1935" w:type="dxa"/>
            <w:tcBorders>
              <w:right w:val="single" w:color="auto" w:sz="4" w:space="0"/>
            </w:tcBorders>
            <w:vAlign w:val="center"/>
          </w:tcPr>
          <w:p>
            <w:pPr>
              <w:spacing w:line="380" w:lineRule="exact"/>
              <w:jc w:val="center"/>
              <w:rPr>
                <w:b w:val="0"/>
                <w:bCs/>
                <w:color w:val="000000"/>
                <w:sz w:val="24"/>
              </w:rPr>
            </w:pPr>
            <w:r>
              <w:rPr>
                <w:rFonts w:hint="eastAsia"/>
                <w:b w:val="0"/>
                <w:bCs/>
                <w:color w:val="000000"/>
                <w:sz w:val="24"/>
              </w:rPr>
              <w:t>内容</w:t>
            </w:r>
          </w:p>
        </w:tc>
        <w:tc>
          <w:tcPr>
            <w:tcW w:w="731" w:type="dxa"/>
            <w:tcBorders>
              <w:left w:val="single" w:color="auto" w:sz="4" w:space="0"/>
              <w:right w:val="single" w:color="auto" w:sz="4" w:space="0"/>
            </w:tcBorders>
            <w:vAlign w:val="center"/>
          </w:tcPr>
          <w:p>
            <w:pPr>
              <w:spacing w:line="380" w:lineRule="exact"/>
              <w:jc w:val="center"/>
              <w:rPr>
                <w:b w:val="0"/>
                <w:bCs/>
                <w:color w:val="000000"/>
                <w:sz w:val="24"/>
              </w:rPr>
            </w:pPr>
            <w:r>
              <w:rPr>
                <w:rFonts w:hint="eastAsia"/>
                <w:b w:val="0"/>
                <w:bCs/>
                <w:color w:val="000000"/>
                <w:sz w:val="24"/>
              </w:rPr>
              <w:t>满分</w:t>
            </w:r>
          </w:p>
        </w:tc>
        <w:tc>
          <w:tcPr>
            <w:tcW w:w="5988" w:type="dxa"/>
            <w:tcBorders>
              <w:left w:val="single" w:color="auto" w:sz="4" w:space="0"/>
            </w:tcBorders>
            <w:vAlign w:val="center"/>
          </w:tcPr>
          <w:p>
            <w:pPr>
              <w:spacing w:line="380" w:lineRule="exact"/>
              <w:ind w:firstLine="240" w:firstLineChars="100"/>
              <w:jc w:val="center"/>
              <w:rPr>
                <w:b w:val="0"/>
                <w:bCs/>
                <w:color w:val="000000"/>
                <w:sz w:val="24"/>
              </w:rPr>
            </w:pPr>
            <w:r>
              <w:rPr>
                <w:b w:val="0"/>
                <w:bCs/>
                <w:color w:val="000000"/>
                <w:sz w:val="24"/>
              </w:rPr>
              <w:t>评审细则</w:t>
            </w:r>
          </w:p>
        </w:tc>
        <w:tc>
          <w:tcPr>
            <w:tcW w:w="1226" w:type="dxa"/>
            <w:vAlign w:val="center"/>
          </w:tcPr>
          <w:p>
            <w:pPr>
              <w:spacing w:line="380" w:lineRule="exact"/>
              <w:jc w:val="center"/>
              <w:rPr>
                <w:b w:val="0"/>
                <w:bCs/>
                <w:color w:val="000000"/>
                <w:sz w:val="24"/>
              </w:rPr>
            </w:pPr>
            <w:r>
              <w:rPr>
                <w:b w:val="0"/>
                <w:bCs/>
                <w:color w:val="000000"/>
                <w:sz w:val="24"/>
              </w:rPr>
              <w:t>分值</w:t>
            </w:r>
          </w:p>
          <w:p>
            <w:pPr>
              <w:spacing w:line="380" w:lineRule="exact"/>
              <w:jc w:val="center"/>
              <w:rPr>
                <w:b w:val="0"/>
                <w:bCs/>
                <w:color w:val="000000"/>
                <w:sz w:val="24"/>
              </w:rPr>
            </w:pPr>
            <w:r>
              <w:rPr>
                <w:b w:val="0"/>
                <w:bCs/>
                <w:color w:val="000000"/>
                <w:sz w:val="24"/>
              </w:rPr>
              <w:t>范围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713" w:type="dxa"/>
            <w:vMerge w:val="restart"/>
            <w:vAlign w:val="center"/>
          </w:tcPr>
          <w:p>
            <w:pPr>
              <w:spacing w:line="380" w:lineRule="exact"/>
              <w:ind w:left="480" w:hanging="480" w:hangingChars="200"/>
              <w:jc w:val="center"/>
              <w:rPr>
                <w:rFonts w:ascii="宋体" w:hAnsi="宋体"/>
                <w:b w:val="0"/>
                <w:bCs/>
                <w:color w:val="000000"/>
                <w:sz w:val="24"/>
              </w:rPr>
            </w:pPr>
            <w:r>
              <w:rPr>
                <w:rFonts w:hint="eastAsia" w:ascii="宋体" w:hAnsi="宋体"/>
                <w:b w:val="0"/>
                <w:bCs/>
                <w:color w:val="000000"/>
                <w:sz w:val="24"/>
              </w:rPr>
              <w:t>1</w:t>
            </w:r>
          </w:p>
        </w:tc>
        <w:tc>
          <w:tcPr>
            <w:tcW w:w="1935" w:type="dxa"/>
            <w:vMerge w:val="restart"/>
            <w:tcBorders>
              <w:right w:val="single" w:color="auto" w:sz="4" w:space="0"/>
            </w:tcBorders>
            <w:vAlign w:val="center"/>
          </w:tcPr>
          <w:p>
            <w:pPr>
              <w:pStyle w:val="19"/>
              <w:spacing w:line="380" w:lineRule="exact"/>
              <w:jc w:val="center"/>
              <w:rPr>
                <w:rFonts w:hAnsi="宋体" w:cs="宋体"/>
                <w:b w:val="0"/>
                <w:bCs/>
                <w:color w:val="000000"/>
                <w:sz w:val="24"/>
              </w:rPr>
            </w:pPr>
            <w:r>
              <w:rPr>
                <w:rFonts w:hint="eastAsia" w:hAnsi="宋体" w:cs="宋体"/>
                <w:b w:val="0"/>
                <w:bCs/>
                <w:color w:val="000000"/>
                <w:sz w:val="24"/>
              </w:rPr>
              <w:t>项目运营实施方案</w:t>
            </w:r>
          </w:p>
        </w:tc>
        <w:tc>
          <w:tcPr>
            <w:tcW w:w="731" w:type="dxa"/>
            <w:vMerge w:val="restart"/>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60分</w:t>
            </w:r>
          </w:p>
        </w:tc>
        <w:tc>
          <w:tcPr>
            <w:tcW w:w="5988" w:type="dxa"/>
            <w:tcBorders>
              <w:top w:val="single" w:color="auto" w:sz="4" w:space="0"/>
              <w:left w:val="single" w:color="auto" w:sz="4" w:space="0"/>
            </w:tcBorders>
            <w:vAlign w:val="center"/>
          </w:tcPr>
          <w:p>
            <w:pPr>
              <w:pStyle w:val="19"/>
              <w:spacing w:line="380" w:lineRule="exact"/>
              <w:rPr>
                <w:rFonts w:hAnsi="宋体"/>
                <w:b w:val="0"/>
                <w:bCs/>
                <w:color w:val="000000"/>
                <w:sz w:val="24"/>
                <w:szCs w:val="24"/>
              </w:rPr>
            </w:pPr>
            <w:r>
              <w:rPr>
                <w:rFonts w:hint="eastAsia" w:hAnsi="宋体"/>
                <w:b w:val="0"/>
                <w:bCs/>
                <w:color w:val="000000"/>
                <w:sz w:val="24"/>
              </w:rPr>
              <w:t>根据参选人的运营管理优势：公司整体资源方面的优势、剧院运营方面的优势、本地市场的熟悉度优势（周边项目）、推广宣传方面的优势、演出组织、品牌形象方面的优势进行横向比较，</w:t>
            </w:r>
            <w:r>
              <w:rPr>
                <w:rFonts w:hAnsi="宋体"/>
                <w:b w:val="0"/>
                <w:bCs/>
                <w:color w:val="000000"/>
                <w:sz w:val="24"/>
              </w:rPr>
              <w:t>优</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10</w:t>
            </w:r>
            <w:r>
              <w:rPr>
                <w:rFonts w:hAnsi="宋体"/>
                <w:b w:val="0"/>
                <w:bCs/>
                <w:color w:val="000000"/>
                <w:sz w:val="24"/>
              </w:rPr>
              <w:t>-</w:t>
            </w:r>
            <w:r>
              <w:rPr>
                <w:rFonts w:hint="eastAsia" w:hAnsi="宋体"/>
                <w:b w:val="0"/>
                <w:bCs/>
                <w:color w:val="000000"/>
                <w:sz w:val="24"/>
              </w:rPr>
              <w:t>15</w:t>
            </w:r>
            <w:r>
              <w:rPr>
                <w:rFonts w:hAnsi="宋体"/>
                <w:b w:val="0"/>
                <w:bCs/>
                <w:color w:val="000000"/>
                <w:sz w:val="24"/>
              </w:rPr>
              <w:t>分，一般</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5-9.9</w:t>
            </w:r>
            <w:r>
              <w:rPr>
                <w:rFonts w:hAnsi="宋体"/>
                <w:b w:val="0"/>
                <w:bCs/>
                <w:color w:val="000000"/>
                <w:sz w:val="24"/>
              </w:rPr>
              <w:t>分</w:t>
            </w:r>
            <w:r>
              <w:rPr>
                <w:rFonts w:hint="eastAsia" w:hAnsi="宋体"/>
                <w:b w:val="0"/>
                <w:bCs/>
                <w:color w:val="000000"/>
                <w:sz w:val="24"/>
              </w:rPr>
              <w:t>，差的得1－4.9分，由专家酌情打分</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 xml:space="preserve">1－15分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hAnsi="宋体" w:cs="宋体"/>
                <w:b w:val="0"/>
                <w:bCs/>
                <w:color w:val="000000"/>
                <w:sz w:val="24"/>
              </w:rPr>
            </w:pPr>
          </w:p>
        </w:tc>
        <w:tc>
          <w:tcPr>
            <w:tcW w:w="731" w:type="dxa"/>
            <w:vMerge w:val="continue"/>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ascii="宋体" w:hAnsi="宋体"/>
                <w:b w:val="0"/>
                <w:bCs/>
                <w:color w:val="000000"/>
                <w:sz w:val="24"/>
              </w:rPr>
            </w:pPr>
            <w:r>
              <w:rPr>
                <w:rFonts w:hint="eastAsia" w:hAnsi="宋体" w:cs="Courier New"/>
                <w:b w:val="0"/>
                <w:bCs/>
                <w:color w:val="000000"/>
                <w:sz w:val="24"/>
              </w:rPr>
              <w:t>根据参选人的</w:t>
            </w:r>
            <w:r>
              <w:rPr>
                <w:rFonts w:hint="eastAsia" w:ascii="宋体" w:hAnsi="宋体" w:cs="Courier New"/>
                <w:b w:val="0"/>
                <w:bCs/>
                <w:color w:val="000000"/>
                <w:sz w:val="24"/>
                <w:szCs w:val="21"/>
              </w:rPr>
              <w:t>演出组织方案：2024年演出组织方案、运营管理期内演出组织优化方案</w:t>
            </w:r>
            <w:r>
              <w:rPr>
                <w:rFonts w:hint="eastAsia" w:ascii="宋体" w:hAnsi="宋体" w:cs="Courier New"/>
                <w:b w:val="0"/>
                <w:bCs/>
                <w:color w:val="000000"/>
                <w:sz w:val="24"/>
              </w:rPr>
              <w:t>进行</w:t>
            </w:r>
            <w:r>
              <w:rPr>
                <w:rFonts w:hint="eastAsia" w:ascii="宋体" w:hAnsi="宋体"/>
                <w:b w:val="0"/>
                <w:bCs/>
                <w:color w:val="000000"/>
                <w:sz w:val="24"/>
              </w:rPr>
              <w:t>横向比较，</w:t>
            </w:r>
            <w:r>
              <w:rPr>
                <w:rFonts w:hAnsi="宋体"/>
                <w:b w:val="0"/>
                <w:bCs/>
                <w:color w:val="000000"/>
                <w:sz w:val="24"/>
              </w:rPr>
              <w:t>优</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10</w:t>
            </w:r>
            <w:r>
              <w:rPr>
                <w:rFonts w:hAnsi="宋体"/>
                <w:b w:val="0"/>
                <w:bCs/>
                <w:color w:val="000000"/>
                <w:sz w:val="24"/>
              </w:rPr>
              <w:t>-</w:t>
            </w:r>
            <w:r>
              <w:rPr>
                <w:rFonts w:hint="eastAsia" w:hAnsi="宋体"/>
                <w:b w:val="0"/>
                <w:bCs/>
                <w:color w:val="000000"/>
                <w:sz w:val="24"/>
              </w:rPr>
              <w:t>15</w:t>
            </w:r>
            <w:r>
              <w:rPr>
                <w:rFonts w:hAnsi="宋体"/>
                <w:b w:val="0"/>
                <w:bCs/>
                <w:color w:val="000000"/>
                <w:sz w:val="24"/>
              </w:rPr>
              <w:t>分，一般</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5-9.9</w:t>
            </w:r>
            <w:r>
              <w:rPr>
                <w:rFonts w:hAnsi="宋体"/>
                <w:b w:val="0"/>
                <w:bCs/>
                <w:color w:val="000000"/>
                <w:sz w:val="24"/>
              </w:rPr>
              <w:t>分</w:t>
            </w:r>
            <w:r>
              <w:rPr>
                <w:rFonts w:hint="eastAsia" w:hAnsi="宋体"/>
                <w:b w:val="0"/>
                <w:bCs/>
                <w:color w:val="000000"/>
                <w:sz w:val="24"/>
              </w:rPr>
              <w:t>，差的得1－4.9分，由专家</w:t>
            </w:r>
            <w:r>
              <w:rPr>
                <w:rFonts w:hint="eastAsia" w:ascii="宋体" w:hAnsi="宋体"/>
                <w:b w:val="0"/>
                <w:bCs/>
                <w:color w:val="000000"/>
                <w:sz w:val="24"/>
              </w:rPr>
              <w:t>酌情打分</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1－15分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hAnsi="宋体" w:cs="宋体"/>
                <w:b w:val="0"/>
                <w:bCs/>
                <w:color w:val="000000"/>
                <w:sz w:val="24"/>
              </w:rPr>
            </w:pPr>
          </w:p>
        </w:tc>
        <w:tc>
          <w:tcPr>
            <w:tcW w:w="731" w:type="dxa"/>
            <w:vMerge w:val="continue"/>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ascii="宋体" w:hAnsi="宋体"/>
                <w:b w:val="0"/>
                <w:bCs/>
                <w:color w:val="000000"/>
                <w:sz w:val="24"/>
              </w:rPr>
            </w:pPr>
            <w:r>
              <w:rPr>
                <w:rFonts w:hint="eastAsia" w:hAnsi="宋体" w:cs="Courier New"/>
                <w:b w:val="0"/>
                <w:bCs/>
                <w:color w:val="000000"/>
                <w:sz w:val="24"/>
              </w:rPr>
              <w:t>根据参选人的</w:t>
            </w:r>
            <w:r>
              <w:rPr>
                <w:rFonts w:hint="eastAsia" w:ascii="宋体" w:hAnsi="宋体" w:cs="Courier New"/>
                <w:b w:val="0"/>
                <w:bCs/>
                <w:color w:val="000000"/>
                <w:sz w:val="24"/>
                <w:szCs w:val="21"/>
              </w:rPr>
              <w:t>运营管理规章制度：业务运作规范、内部管理制度可行性及可操作性进行</w:t>
            </w:r>
            <w:r>
              <w:rPr>
                <w:rFonts w:hint="eastAsia" w:ascii="宋体" w:hAnsi="宋体"/>
                <w:b w:val="0"/>
                <w:bCs/>
                <w:color w:val="000000"/>
                <w:sz w:val="24"/>
              </w:rPr>
              <w:t>横向比较，</w:t>
            </w:r>
            <w:r>
              <w:rPr>
                <w:rFonts w:hAnsi="宋体"/>
                <w:b w:val="0"/>
                <w:bCs/>
                <w:color w:val="000000"/>
                <w:sz w:val="24"/>
              </w:rPr>
              <w:t>优</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10</w:t>
            </w:r>
            <w:r>
              <w:rPr>
                <w:rFonts w:hAnsi="宋体"/>
                <w:b w:val="0"/>
                <w:bCs/>
                <w:color w:val="000000"/>
                <w:sz w:val="24"/>
              </w:rPr>
              <w:t>-</w:t>
            </w:r>
            <w:r>
              <w:rPr>
                <w:rFonts w:hint="eastAsia" w:hAnsi="宋体"/>
                <w:b w:val="0"/>
                <w:bCs/>
                <w:color w:val="000000"/>
                <w:sz w:val="24"/>
              </w:rPr>
              <w:t>15</w:t>
            </w:r>
            <w:r>
              <w:rPr>
                <w:rFonts w:hAnsi="宋体"/>
                <w:b w:val="0"/>
                <w:bCs/>
                <w:color w:val="000000"/>
                <w:sz w:val="24"/>
              </w:rPr>
              <w:t>分，一般</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5-9.9</w:t>
            </w:r>
            <w:r>
              <w:rPr>
                <w:rFonts w:hAnsi="宋体"/>
                <w:b w:val="0"/>
                <w:bCs/>
                <w:color w:val="000000"/>
                <w:sz w:val="24"/>
              </w:rPr>
              <w:t>分</w:t>
            </w:r>
            <w:r>
              <w:rPr>
                <w:rFonts w:hint="eastAsia" w:hAnsi="宋体"/>
                <w:b w:val="0"/>
                <w:bCs/>
                <w:color w:val="000000"/>
                <w:sz w:val="24"/>
              </w:rPr>
              <w:t>，差的得1－4.9分，由专家</w:t>
            </w:r>
            <w:r>
              <w:rPr>
                <w:rFonts w:hint="eastAsia" w:ascii="宋体" w:hAnsi="宋体"/>
                <w:b w:val="0"/>
                <w:bCs/>
                <w:color w:val="000000"/>
                <w:sz w:val="24"/>
              </w:rPr>
              <w:t>酌情打分</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1－15分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hAnsi="宋体" w:cs="宋体"/>
                <w:b w:val="0"/>
                <w:bCs/>
                <w:color w:val="000000"/>
                <w:sz w:val="24"/>
              </w:rPr>
            </w:pPr>
          </w:p>
        </w:tc>
        <w:tc>
          <w:tcPr>
            <w:tcW w:w="731" w:type="dxa"/>
            <w:vMerge w:val="continue"/>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ascii="宋体" w:hAnsi="宋体"/>
                <w:b w:val="0"/>
                <w:bCs/>
                <w:color w:val="000000"/>
                <w:sz w:val="24"/>
              </w:rPr>
            </w:pPr>
            <w:r>
              <w:rPr>
                <w:rFonts w:hint="eastAsia" w:hAnsi="宋体" w:cs="Courier New"/>
                <w:b w:val="0"/>
                <w:bCs/>
                <w:color w:val="000000"/>
                <w:sz w:val="24"/>
              </w:rPr>
              <w:t>根据参选人的</w:t>
            </w:r>
            <w:r>
              <w:rPr>
                <w:rFonts w:hint="eastAsia" w:ascii="宋体" w:hAnsi="宋体" w:cs="Courier New"/>
                <w:b w:val="0"/>
                <w:bCs/>
                <w:color w:val="000000"/>
                <w:sz w:val="24"/>
                <w:szCs w:val="21"/>
              </w:rPr>
              <w:t>设施设备维护保障：演出专业设备、设施维护保养方案，设备设施大修配合工作方案进行</w:t>
            </w:r>
            <w:r>
              <w:rPr>
                <w:rFonts w:hint="eastAsia" w:ascii="宋体" w:hAnsi="宋体"/>
                <w:b w:val="0"/>
                <w:bCs/>
                <w:color w:val="000000"/>
                <w:sz w:val="24"/>
              </w:rPr>
              <w:t>横向比较，</w:t>
            </w:r>
            <w:r>
              <w:rPr>
                <w:rFonts w:hAnsi="宋体"/>
                <w:b w:val="0"/>
                <w:bCs/>
                <w:color w:val="000000"/>
                <w:sz w:val="24"/>
              </w:rPr>
              <w:t>优</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7</w:t>
            </w:r>
            <w:r>
              <w:rPr>
                <w:rFonts w:hAnsi="宋体"/>
                <w:b w:val="0"/>
                <w:bCs/>
                <w:color w:val="000000"/>
                <w:sz w:val="24"/>
              </w:rPr>
              <w:t>-</w:t>
            </w:r>
            <w:r>
              <w:rPr>
                <w:rFonts w:hint="eastAsia" w:hAnsi="宋体"/>
                <w:b w:val="0"/>
                <w:bCs/>
                <w:color w:val="000000"/>
                <w:sz w:val="24"/>
              </w:rPr>
              <w:t>10</w:t>
            </w:r>
            <w:r>
              <w:rPr>
                <w:rFonts w:hAnsi="宋体"/>
                <w:b w:val="0"/>
                <w:bCs/>
                <w:color w:val="000000"/>
                <w:sz w:val="24"/>
              </w:rPr>
              <w:t>分，一般</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3-6.9</w:t>
            </w:r>
            <w:r>
              <w:rPr>
                <w:rFonts w:hAnsi="宋体"/>
                <w:b w:val="0"/>
                <w:bCs/>
                <w:color w:val="000000"/>
                <w:sz w:val="24"/>
              </w:rPr>
              <w:t>分</w:t>
            </w:r>
            <w:r>
              <w:rPr>
                <w:rFonts w:hint="eastAsia" w:hAnsi="宋体"/>
                <w:b w:val="0"/>
                <w:bCs/>
                <w:color w:val="000000"/>
                <w:sz w:val="24"/>
              </w:rPr>
              <w:t>，差的得1－2.9分，由专家</w:t>
            </w:r>
            <w:r>
              <w:rPr>
                <w:rFonts w:hint="eastAsia" w:ascii="宋体" w:hAnsi="宋体"/>
                <w:b w:val="0"/>
                <w:bCs/>
                <w:color w:val="000000"/>
                <w:sz w:val="24"/>
              </w:rPr>
              <w:t>酌情打分</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1－10分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hAnsi="宋体" w:cs="宋体"/>
                <w:b w:val="0"/>
                <w:bCs/>
                <w:color w:val="000000"/>
                <w:sz w:val="24"/>
              </w:rPr>
            </w:pPr>
          </w:p>
        </w:tc>
        <w:tc>
          <w:tcPr>
            <w:tcW w:w="731" w:type="dxa"/>
            <w:vMerge w:val="continue"/>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hAnsi="宋体" w:cs="Courier New"/>
                <w:b w:val="0"/>
                <w:bCs/>
                <w:color w:val="000000"/>
                <w:sz w:val="24"/>
              </w:rPr>
            </w:pPr>
            <w:r>
              <w:rPr>
                <w:rFonts w:hint="eastAsia" w:hAnsi="宋体" w:cs="Courier New"/>
                <w:b w:val="0"/>
                <w:bCs/>
                <w:color w:val="000000"/>
                <w:sz w:val="24"/>
              </w:rPr>
              <w:t>根据参选人的</w:t>
            </w:r>
            <w:r>
              <w:rPr>
                <w:rFonts w:hint="eastAsia" w:ascii="宋体" w:hAnsi="宋体" w:cs="Courier New"/>
                <w:b w:val="0"/>
                <w:bCs/>
                <w:color w:val="000000"/>
                <w:sz w:val="24"/>
                <w:szCs w:val="21"/>
              </w:rPr>
              <w:t>应急预案：预案考虑全面、完整，能协调相关职能部门及时参与的，有助于及时处理事故、保障公共安全等情况进行</w:t>
            </w:r>
            <w:r>
              <w:rPr>
                <w:rFonts w:hint="eastAsia" w:ascii="宋体" w:hAnsi="宋体"/>
                <w:b w:val="0"/>
                <w:bCs/>
                <w:color w:val="000000"/>
                <w:sz w:val="24"/>
              </w:rPr>
              <w:t>横向比较，</w:t>
            </w:r>
            <w:r>
              <w:rPr>
                <w:rFonts w:hAnsi="宋体"/>
                <w:b w:val="0"/>
                <w:bCs/>
                <w:color w:val="000000"/>
                <w:sz w:val="24"/>
              </w:rPr>
              <w:t>优</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4</w:t>
            </w:r>
            <w:r>
              <w:rPr>
                <w:rFonts w:hAnsi="宋体"/>
                <w:b w:val="0"/>
                <w:bCs/>
                <w:color w:val="000000"/>
                <w:sz w:val="24"/>
              </w:rPr>
              <w:t>-</w:t>
            </w:r>
            <w:r>
              <w:rPr>
                <w:rFonts w:hint="eastAsia" w:hAnsi="宋体"/>
                <w:b w:val="0"/>
                <w:bCs/>
                <w:color w:val="000000"/>
                <w:sz w:val="24"/>
              </w:rPr>
              <w:t>5</w:t>
            </w:r>
            <w:r>
              <w:rPr>
                <w:rFonts w:hAnsi="宋体"/>
                <w:b w:val="0"/>
                <w:bCs/>
                <w:color w:val="000000"/>
                <w:sz w:val="24"/>
              </w:rPr>
              <w:t>分，一般</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2-3.9</w:t>
            </w:r>
            <w:r>
              <w:rPr>
                <w:rFonts w:hAnsi="宋体"/>
                <w:b w:val="0"/>
                <w:bCs/>
                <w:color w:val="000000"/>
                <w:sz w:val="24"/>
              </w:rPr>
              <w:t>分</w:t>
            </w:r>
            <w:r>
              <w:rPr>
                <w:rFonts w:hint="eastAsia" w:hAnsi="宋体"/>
                <w:b w:val="0"/>
                <w:bCs/>
                <w:color w:val="000000"/>
                <w:sz w:val="24"/>
              </w:rPr>
              <w:t>，差的得0－1.9分，由专家</w:t>
            </w:r>
            <w:r>
              <w:rPr>
                <w:rFonts w:hint="eastAsia" w:ascii="宋体" w:hAnsi="宋体"/>
                <w:b w:val="0"/>
                <w:bCs/>
                <w:color w:val="000000"/>
                <w:sz w:val="24"/>
              </w:rPr>
              <w:t>酌情打分</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0-5分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3" w:hRule="atLeast"/>
          <w:jc w:val="center"/>
        </w:trPr>
        <w:tc>
          <w:tcPr>
            <w:tcW w:w="713" w:type="dxa"/>
            <w:vMerge w:val="restart"/>
            <w:vAlign w:val="center"/>
          </w:tcPr>
          <w:p>
            <w:pPr>
              <w:spacing w:line="380" w:lineRule="exact"/>
              <w:ind w:left="480" w:hanging="480" w:hangingChars="200"/>
              <w:jc w:val="center"/>
              <w:rPr>
                <w:rFonts w:ascii="宋体" w:hAnsi="宋体"/>
                <w:b w:val="0"/>
                <w:bCs/>
                <w:color w:val="000000"/>
                <w:sz w:val="24"/>
              </w:rPr>
            </w:pPr>
            <w:r>
              <w:rPr>
                <w:rFonts w:hint="eastAsia" w:ascii="宋体" w:hAnsi="宋体"/>
                <w:b w:val="0"/>
                <w:bCs/>
                <w:color w:val="000000"/>
                <w:sz w:val="24"/>
              </w:rPr>
              <w:t>2</w:t>
            </w:r>
          </w:p>
        </w:tc>
        <w:tc>
          <w:tcPr>
            <w:tcW w:w="1935" w:type="dxa"/>
            <w:vMerge w:val="restart"/>
            <w:tcBorders>
              <w:right w:val="single" w:color="auto" w:sz="4" w:space="0"/>
            </w:tcBorders>
            <w:vAlign w:val="center"/>
          </w:tcPr>
          <w:p>
            <w:pPr>
              <w:pStyle w:val="19"/>
              <w:spacing w:line="380" w:lineRule="exact"/>
              <w:jc w:val="center"/>
              <w:rPr>
                <w:rFonts w:hAnsi="宋体" w:cs="宋体"/>
                <w:b w:val="0"/>
                <w:bCs/>
                <w:color w:val="000000"/>
                <w:sz w:val="24"/>
              </w:rPr>
            </w:pPr>
            <w:r>
              <w:rPr>
                <w:rFonts w:hint="eastAsia" w:ascii="Times New Roman" w:hAnsi="宋体"/>
                <w:b w:val="0"/>
                <w:bCs/>
                <w:color w:val="000000"/>
                <w:sz w:val="24"/>
                <w:szCs w:val="24"/>
              </w:rPr>
              <w:t>运营团队的社会认可度</w:t>
            </w:r>
          </w:p>
        </w:tc>
        <w:tc>
          <w:tcPr>
            <w:tcW w:w="731" w:type="dxa"/>
            <w:tcBorders>
              <w:left w:val="single" w:color="auto" w:sz="4" w:space="0"/>
              <w:bottom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3分</w:t>
            </w:r>
          </w:p>
        </w:tc>
        <w:tc>
          <w:tcPr>
            <w:tcW w:w="5988" w:type="dxa"/>
            <w:tcBorders>
              <w:top w:val="single" w:color="auto" w:sz="4" w:space="0"/>
              <w:left w:val="single" w:color="auto" w:sz="4" w:space="0"/>
              <w:bottom w:val="single" w:color="auto" w:sz="4" w:space="0"/>
            </w:tcBorders>
            <w:vAlign w:val="center"/>
          </w:tcPr>
          <w:p>
            <w:pPr>
              <w:pStyle w:val="233"/>
              <w:spacing w:before="50" w:line="380" w:lineRule="exact"/>
              <w:ind w:right="85"/>
              <w:rPr>
                <w:rFonts w:ascii="宋体" w:hAnsi="宋体"/>
                <w:b w:val="0"/>
                <w:bCs/>
                <w:color w:val="000000"/>
                <w:sz w:val="24"/>
                <w:lang w:eastAsia="zh-CN"/>
              </w:rPr>
            </w:pPr>
            <w:r>
              <w:rPr>
                <w:rFonts w:hint="eastAsia" w:ascii="宋体" w:hAnsi="宋体"/>
                <w:b w:val="0"/>
                <w:bCs/>
                <w:color w:val="000000"/>
                <w:sz w:val="24"/>
                <w:lang w:eastAsia="zh-CN"/>
              </w:rPr>
              <w:t>根据</w:t>
            </w:r>
            <w:r>
              <w:rPr>
                <w:rFonts w:hint="eastAsia" w:ascii="宋体" w:hAnsi="宋体" w:cs="宋体"/>
                <w:b w:val="0"/>
                <w:bCs/>
                <w:color w:val="000000"/>
                <w:sz w:val="24"/>
                <w:szCs w:val="24"/>
                <w:lang w:eastAsia="zh-CN"/>
              </w:rPr>
              <w:t>参选人或团队人</w:t>
            </w:r>
            <w:r>
              <w:rPr>
                <w:rFonts w:hint="eastAsia" w:ascii="宋体" w:hAnsi="宋体" w:cs="宋体"/>
                <w:b w:val="0"/>
                <w:bCs/>
                <w:color w:val="000000"/>
                <w:sz w:val="24"/>
                <w:szCs w:val="24"/>
                <w:highlight w:val="none"/>
                <w:lang w:eastAsia="zh-CN"/>
              </w:rPr>
              <w:t>员提供的</w:t>
            </w:r>
            <w:r>
              <w:rPr>
                <w:rFonts w:hint="eastAsia" w:hAnsi="宋体"/>
                <w:b w:val="0"/>
                <w:bCs/>
                <w:color w:val="000000"/>
                <w:sz w:val="24"/>
                <w:highlight w:val="none"/>
                <w:lang w:eastAsia="zh-CN"/>
              </w:rPr>
              <w:t>运营团队的利润公益回报</w:t>
            </w:r>
            <w:r>
              <w:rPr>
                <w:rFonts w:hint="eastAsia" w:ascii="宋体" w:hAnsi="宋体"/>
                <w:b w:val="0"/>
                <w:bCs/>
                <w:color w:val="000000"/>
                <w:sz w:val="24"/>
                <w:highlight w:val="none"/>
                <w:lang w:eastAsia="zh-CN"/>
              </w:rPr>
              <w:t>方案进行横向比较，</w:t>
            </w:r>
            <w:r>
              <w:rPr>
                <w:rFonts w:hint="eastAsia" w:hAnsi="宋体"/>
                <w:b w:val="0"/>
                <w:bCs/>
                <w:iCs/>
                <w:color w:val="000000"/>
                <w:sz w:val="24"/>
                <w:highlight w:val="none"/>
                <w:lang w:eastAsia="zh-CN"/>
              </w:rPr>
              <w:t>综</w:t>
            </w:r>
            <w:r>
              <w:rPr>
                <w:rFonts w:hint="eastAsia" w:hAnsi="宋体"/>
                <w:b w:val="0"/>
                <w:bCs/>
                <w:iCs/>
                <w:color w:val="000000"/>
                <w:sz w:val="24"/>
                <w:lang w:eastAsia="zh-CN"/>
              </w:rPr>
              <w:t>合排名第一的得3分，综合排名第二的得2分，综合排名第三的得1分，其他及未提供不得分。</w:t>
            </w:r>
            <w:r>
              <w:rPr>
                <w:rFonts w:hint="eastAsia" w:hAnsi="宋体"/>
                <w:b w:val="0"/>
                <w:bCs/>
                <w:color w:val="000000"/>
                <w:sz w:val="24"/>
                <w:lang w:eastAsia="zh-CN"/>
              </w:rPr>
              <w:t>允许排名并列，排名并列后不影响后续排名及得分。</w:t>
            </w:r>
          </w:p>
        </w:tc>
        <w:tc>
          <w:tcPr>
            <w:tcW w:w="1226" w:type="dxa"/>
            <w:tcBorders>
              <w:top w:val="single" w:color="auto" w:sz="4" w:space="0"/>
              <w:bottom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0-3分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ascii="Times New Roman" w:hAnsi="宋体"/>
                <w:b w:val="0"/>
                <w:bCs/>
                <w:color w:val="000000"/>
                <w:sz w:val="24"/>
                <w:szCs w:val="24"/>
              </w:rPr>
            </w:pPr>
          </w:p>
        </w:tc>
        <w:tc>
          <w:tcPr>
            <w:tcW w:w="731" w:type="dxa"/>
            <w:tcBorders>
              <w:top w:val="single" w:color="auto" w:sz="4" w:space="0"/>
              <w:left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2分</w:t>
            </w:r>
          </w:p>
        </w:tc>
        <w:tc>
          <w:tcPr>
            <w:tcW w:w="5988" w:type="dxa"/>
            <w:tcBorders>
              <w:top w:val="single" w:color="auto" w:sz="4" w:space="0"/>
              <w:left w:val="single" w:color="auto" w:sz="4" w:space="0"/>
            </w:tcBorders>
            <w:vAlign w:val="center"/>
          </w:tcPr>
          <w:p>
            <w:pPr>
              <w:pStyle w:val="233"/>
              <w:spacing w:before="50" w:line="380" w:lineRule="exact"/>
              <w:ind w:right="85"/>
              <w:rPr>
                <w:rFonts w:ascii="宋体" w:hAnsi="宋体" w:cs="宋体"/>
                <w:b w:val="0"/>
                <w:bCs/>
                <w:color w:val="auto"/>
                <w:sz w:val="24"/>
                <w:szCs w:val="24"/>
                <w:lang w:eastAsia="zh-CN"/>
              </w:rPr>
            </w:pPr>
            <w:r>
              <w:rPr>
                <w:rFonts w:hint="eastAsia" w:ascii="宋体" w:hAnsi="宋体" w:cs="宋体"/>
                <w:b w:val="0"/>
                <w:bCs/>
                <w:color w:val="000000"/>
                <w:sz w:val="24"/>
                <w:szCs w:val="24"/>
                <w:lang w:eastAsia="zh-CN"/>
              </w:rPr>
              <w:t>参选人或</w:t>
            </w:r>
            <w:r>
              <w:rPr>
                <w:rFonts w:hint="eastAsia" w:ascii="宋体" w:hAnsi="宋体" w:cs="宋体"/>
                <w:b w:val="0"/>
                <w:bCs/>
                <w:color w:val="auto"/>
                <w:sz w:val="24"/>
                <w:szCs w:val="24"/>
                <w:lang w:eastAsia="zh-CN"/>
              </w:rPr>
              <w:t>团队人员具有自近五年（2018年1月1日）以来参与大型文体活动中通过良好表现获得的荣誉、资质、奖项、证书、嘉奖信、慰问信等书面资料。其中国家级的得2分，省（市）级的得1分。该项最多得2分，未提供的得0分。</w:t>
            </w:r>
          </w:p>
          <w:p>
            <w:pPr>
              <w:pStyle w:val="233"/>
              <w:spacing w:before="50" w:line="380" w:lineRule="exact"/>
              <w:ind w:right="85"/>
              <w:rPr>
                <w:rFonts w:ascii="宋体" w:hAnsi="宋体" w:cs="宋体"/>
                <w:b w:val="0"/>
                <w:bCs/>
                <w:color w:val="000000"/>
                <w:sz w:val="24"/>
                <w:szCs w:val="24"/>
                <w:lang w:eastAsia="zh-CN"/>
              </w:rPr>
            </w:pPr>
            <w:r>
              <w:rPr>
                <w:rFonts w:hint="eastAsia" w:ascii="宋体" w:hAnsi="宋体" w:cs="宋体"/>
                <w:b w:val="0"/>
                <w:bCs/>
                <w:color w:val="auto"/>
                <w:sz w:val="24"/>
                <w:szCs w:val="24"/>
                <w:lang w:eastAsia="zh-CN"/>
              </w:rPr>
              <w:t>说明：提供荣誉、资质、奖项、证书、信件等书面资料复印件，加盖公章，须体现获奖人名称和</w:t>
            </w:r>
            <w:r>
              <w:rPr>
                <w:rFonts w:hint="eastAsia" w:ascii="宋体" w:hAnsi="宋体" w:cs="宋体"/>
                <w:b w:val="0"/>
                <w:bCs/>
                <w:iCs/>
                <w:color w:val="auto"/>
                <w:sz w:val="24"/>
                <w:lang w:eastAsia="zh-CN"/>
              </w:rPr>
              <w:t>提供自2023年4月起至投标截止时间止期间中任何一个连续3个月的在</w:t>
            </w:r>
            <w:r>
              <w:rPr>
                <w:rFonts w:hint="eastAsia" w:ascii="宋体" w:hAnsi="宋体" w:cs="宋体"/>
                <w:b w:val="0"/>
                <w:bCs/>
                <w:color w:val="auto"/>
                <w:sz w:val="24"/>
                <w:szCs w:val="24"/>
                <w:lang w:eastAsia="zh-CN"/>
              </w:rPr>
              <w:t>参选人或其下属子公司</w:t>
            </w:r>
            <w:r>
              <w:rPr>
                <w:rFonts w:hint="eastAsia" w:ascii="宋体" w:hAnsi="宋体" w:cs="宋体"/>
                <w:b w:val="0"/>
                <w:bCs/>
                <w:iCs/>
                <w:color w:val="auto"/>
                <w:sz w:val="24"/>
                <w:lang w:eastAsia="zh-CN"/>
              </w:rPr>
              <w:t>任职的个人社保缴费清单。</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0-2分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713" w:type="dxa"/>
            <w:vMerge w:val="restart"/>
            <w:vAlign w:val="center"/>
          </w:tcPr>
          <w:p>
            <w:pPr>
              <w:spacing w:line="380" w:lineRule="exact"/>
              <w:ind w:left="480" w:hanging="480" w:hangingChars="200"/>
              <w:jc w:val="center"/>
              <w:rPr>
                <w:rFonts w:ascii="宋体" w:hAnsi="宋体"/>
                <w:b w:val="0"/>
                <w:bCs/>
                <w:color w:val="000000"/>
                <w:sz w:val="24"/>
              </w:rPr>
            </w:pPr>
            <w:r>
              <w:rPr>
                <w:rFonts w:hint="eastAsia" w:ascii="宋体" w:hAnsi="宋体"/>
                <w:b w:val="0"/>
                <w:bCs/>
                <w:color w:val="000000"/>
                <w:sz w:val="24"/>
              </w:rPr>
              <w:t>3</w:t>
            </w:r>
          </w:p>
        </w:tc>
        <w:tc>
          <w:tcPr>
            <w:tcW w:w="1935" w:type="dxa"/>
            <w:vMerge w:val="restart"/>
            <w:tcBorders>
              <w:right w:val="single" w:color="auto" w:sz="4" w:space="0"/>
            </w:tcBorders>
            <w:vAlign w:val="center"/>
          </w:tcPr>
          <w:p>
            <w:pPr>
              <w:pStyle w:val="19"/>
              <w:spacing w:line="380" w:lineRule="exact"/>
              <w:jc w:val="center"/>
              <w:rPr>
                <w:rFonts w:hAnsi="宋体" w:cs="宋体"/>
                <w:b w:val="0"/>
                <w:bCs/>
                <w:color w:val="000000"/>
                <w:sz w:val="24"/>
              </w:rPr>
            </w:pPr>
            <w:r>
              <w:rPr>
                <w:rFonts w:hint="eastAsia" w:hAnsi="宋体" w:cs="宋体"/>
                <w:b w:val="0"/>
                <w:bCs/>
                <w:color w:val="000000"/>
                <w:sz w:val="24"/>
              </w:rPr>
              <w:t>项目人员投入情况</w:t>
            </w:r>
          </w:p>
        </w:tc>
        <w:tc>
          <w:tcPr>
            <w:tcW w:w="731" w:type="dxa"/>
            <w:vMerge w:val="restart"/>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10分</w:t>
            </w: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hAnsi="宋体"/>
                <w:b w:val="0"/>
                <w:bCs/>
                <w:color w:val="000000"/>
                <w:sz w:val="24"/>
                <w:highlight w:val="none"/>
              </w:rPr>
            </w:pPr>
            <w:r>
              <w:rPr>
                <w:rFonts w:hint="eastAsia" w:hAnsi="宋体"/>
                <w:b w:val="0"/>
                <w:bCs/>
                <w:color w:val="000000"/>
                <w:sz w:val="24"/>
                <w:highlight w:val="none"/>
              </w:rPr>
              <w:t>根据拟投入本项目的项目负责人具有5年（不含）以上剧院运营经验的得5分，5年以下（含）剧院运营经验得3分，3年（不含）以下不得分。</w:t>
            </w:r>
          </w:p>
          <w:p>
            <w:pPr>
              <w:spacing w:before="100" w:beforeAutospacing="1" w:after="100" w:afterAutospacing="1" w:line="380" w:lineRule="exact"/>
              <w:rPr>
                <w:rFonts w:ascii="宋体" w:hAnsi="宋体" w:cs="宋体"/>
                <w:b w:val="0"/>
                <w:bCs/>
                <w:color w:val="000000"/>
                <w:kern w:val="0"/>
                <w:sz w:val="24"/>
                <w:highlight w:val="none"/>
              </w:rPr>
            </w:pPr>
            <w:r>
              <w:rPr>
                <w:rFonts w:hint="eastAsia" w:hAnsi="宋体"/>
                <w:b w:val="0"/>
                <w:bCs/>
                <w:color w:val="000000"/>
                <w:sz w:val="24"/>
                <w:highlight w:val="none"/>
              </w:rPr>
              <w:t>项目负责人</w:t>
            </w:r>
            <w:r>
              <w:rPr>
                <w:rFonts w:hint="eastAsia" w:ascii="宋体" w:hAnsi="宋体"/>
                <w:b w:val="0"/>
                <w:bCs/>
                <w:color w:val="000000"/>
                <w:sz w:val="24"/>
                <w:highlight w:val="none"/>
              </w:rPr>
              <w:t>须提供</w:t>
            </w:r>
            <w:r>
              <w:rPr>
                <w:rFonts w:hint="eastAsia" w:hAnsi="宋体"/>
                <w:b w:val="0"/>
                <w:bCs/>
                <w:color w:val="000000"/>
                <w:sz w:val="24"/>
                <w:highlight w:val="none"/>
              </w:rPr>
              <w:t>2018年11</w:t>
            </w:r>
            <w:r>
              <w:rPr>
                <w:rFonts w:hint="eastAsia" w:ascii="宋体" w:hAnsi="宋体"/>
                <w:b w:val="0"/>
                <w:bCs/>
                <w:color w:val="000000"/>
                <w:sz w:val="24"/>
                <w:highlight w:val="none"/>
              </w:rPr>
              <w:t>月起至投标截止时间止期间中任何一个连续3个月）的在本单位任职的个人社保缴费清单及过往剧院管理经验证明函。</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0－5分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45"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hAnsi="宋体" w:cs="宋体"/>
                <w:b w:val="0"/>
                <w:bCs/>
                <w:color w:val="000000"/>
                <w:sz w:val="24"/>
              </w:rPr>
            </w:pPr>
          </w:p>
        </w:tc>
        <w:tc>
          <w:tcPr>
            <w:tcW w:w="731" w:type="dxa"/>
            <w:vMerge w:val="continue"/>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ascii="宋体" w:hAnsi="宋体"/>
                <w:b w:val="0"/>
                <w:bCs/>
                <w:color w:val="000000"/>
                <w:sz w:val="24"/>
                <w:highlight w:val="none"/>
              </w:rPr>
            </w:pPr>
            <w:r>
              <w:rPr>
                <w:rFonts w:hint="eastAsia" w:ascii="宋体" w:hAnsi="宋体"/>
                <w:b w:val="0"/>
                <w:bCs/>
                <w:color w:val="000000"/>
                <w:sz w:val="24"/>
                <w:highlight w:val="none"/>
              </w:rPr>
              <w:t>根据各参选人（含母公司或控股子公司）拟投入运营团队中除音响灯光机械等专业外人员配置数量情况、人员的专业素质、职称等级、技术能力等情况，</w:t>
            </w:r>
            <w:r>
              <w:rPr>
                <w:rFonts w:hAnsi="宋体"/>
                <w:b w:val="0"/>
                <w:bCs/>
                <w:color w:val="000000"/>
                <w:sz w:val="24"/>
                <w:highlight w:val="none"/>
              </w:rPr>
              <w:t>优</w:t>
            </w:r>
            <w:r>
              <w:rPr>
                <w:rFonts w:hint="eastAsia" w:hAnsi="宋体"/>
                <w:b w:val="0"/>
                <w:bCs/>
                <w:color w:val="000000"/>
                <w:sz w:val="24"/>
                <w:highlight w:val="none"/>
              </w:rPr>
              <w:t>的</w:t>
            </w:r>
            <w:r>
              <w:rPr>
                <w:rFonts w:hAnsi="宋体"/>
                <w:b w:val="0"/>
                <w:bCs/>
                <w:color w:val="000000"/>
                <w:sz w:val="24"/>
                <w:highlight w:val="none"/>
              </w:rPr>
              <w:t>得</w:t>
            </w:r>
            <w:r>
              <w:rPr>
                <w:rFonts w:hint="eastAsia" w:hAnsi="宋体"/>
                <w:b w:val="0"/>
                <w:bCs/>
                <w:color w:val="000000"/>
                <w:sz w:val="24"/>
                <w:highlight w:val="none"/>
              </w:rPr>
              <w:t>4</w:t>
            </w:r>
            <w:r>
              <w:rPr>
                <w:rFonts w:hAnsi="宋体"/>
                <w:b w:val="0"/>
                <w:bCs/>
                <w:color w:val="000000"/>
                <w:sz w:val="24"/>
                <w:highlight w:val="none"/>
              </w:rPr>
              <w:t>-</w:t>
            </w:r>
            <w:r>
              <w:rPr>
                <w:rFonts w:hint="eastAsia" w:hAnsi="宋体"/>
                <w:b w:val="0"/>
                <w:bCs/>
                <w:color w:val="000000"/>
                <w:sz w:val="24"/>
                <w:highlight w:val="none"/>
              </w:rPr>
              <w:t>5</w:t>
            </w:r>
            <w:r>
              <w:rPr>
                <w:rFonts w:hAnsi="宋体"/>
                <w:b w:val="0"/>
                <w:bCs/>
                <w:color w:val="000000"/>
                <w:sz w:val="24"/>
                <w:highlight w:val="none"/>
              </w:rPr>
              <w:t>分，一般</w:t>
            </w:r>
            <w:r>
              <w:rPr>
                <w:rFonts w:hint="eastAsia" w:hAnsi="宋体"/>
                <w:b w:val="0"/>
                <w:bCs/>
                <w:color w:val="000000"/>
                <w:sz w:val="24"/>
                <w:highlight w:val="none"/>
              </w:rPr>
              <w:t>的</w:t>
            </w:r>
            <w:r>
              <w:rPr>
                <w:rFonts w:hAnsi="宋体"/>
                <w:b w:val="0"/>
                <w:bCs/>
                <w:color w:val="000000"/>
                <w:sz w:val="24"/>
                <w:highlight w:val="none"/>
              </w:rPr>
              <w:t>得</w:t>
            </w:r>
            <w:r>
              <w:rPr>
                <w:rFonts w:hint="eastAsia" w:hAnsi="宋体"/>
                <w:b w:val="0"/>
                <w:bCs/>
                <w:color w:val="000000"/>
                <w:sz w:val="24"/>
                <w:highlight w:val="none"/>
              </w:rPr>
              <w:t>2-3.9</w:t>
            </w:r>
            <w:r>
              <w:rPr>
                <w:rFonts w:hAnsi="宋体"/>
                <w:b w:val="0"/>
                <w:bCs/>
                <w:color w:val="000000"/>
                <w:sz w:val="24"/>
                <w:highlight w:val="none"/>
              </w:rPr>
              <w:t>分</w:t>
            </w:r>
            <w:r>
              <w:rPr>
                <w:rFonts w:hint="eastAsia" w:hAnsi="宋体"/>
                <w:b w:val="0"/>
                <w:bCs/>
                <w:color w:val="000000"/>
                <w:sz w:val="24"/>
                <w:highlight w:val="none"/>
              </w:rPr>
              <w:t>，差的得1分，由专家根据提供的证件横向比较</w:t>
            </w:r>
            <w:r>
              <w:rPr>
                <w:rFonts w:hint="eastAsia" w:ascii="宋体" w:hAnsi="宋体"/>
                <w:b w:val="0"/>
                <w:bCs/>
                <w:color w:val="000000"/>
                <w:sz w:val="24"/>
                <w:highlight w:val="none"/>
              </w:rPr>
              <w:t>打分。</w:t>
            </w:r>
          </w:p>
          <w:p>
            <w:pPr>
              <w:spacing w:before="100" w:beforeAutospacing="1" w:after="100" w:afterAutospacing="1" w:line="380" w:lineRule="exact"/>
              <w:rPr>
                <w:rFonts w:ascii="宋体" w:hAnsi="宋体"/>
                <w:b w:val="0"/>
                <w:bCs/>
                <w:color w:val="000000"/>
                <w:highlight w:val="none"/>
              </w:rPr>
            </w:pPr>
            <w:r>
              <w:rPr>
                <w:rFonts w:hint="eastAsia" w:ascii="宋体" w:hAnsi="宋体"/>
                <w:b w:val="0"/>
                <w:bCs/>
                <w:color w:val="000000"/>
                <w:sz w:val="24"/>
                <w:highlight w:val="none"/>
              </w:rPr>
              <w:t>说明：</w:t>
            </w:r>
            <w:r>
              <w:rPr>
                <w:rFonts w:hint="eastAsia" w:ascii="宋体" w:hAnsi="宋体" w:cs="宋体"/>
                <w:b w:val="0"/>
                <w:bCs/>
                <w:color w:val="000000"/>
                <w:sz w:val="24"/>
                <w:highlight w:val="none"/>
              </w:rPr>
              <w:t>参选人需提供拟入驻本项目团队人员具备的证书，如演出经纪人证书、英语水平证书、高低压电工证、红十字救护员证、特种设备管理员证，特种作业操作证等。</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1－5分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13" w:type="dxa"/>
            <w:vAlign w:val="center"/>
          </w:tcPr>
          <w:p>
            <w:pPr>
              <w:spacing w:line="380" w:lineRule="exact"/>
              <w:ind w:left="480" w:hanging="480" w:hangingChars="200"/>
              <w:jc w:val="center"/>
              <w:rPr>
                <w:rFonts w:ascii="宋体" w:hAnsi="宋体"/>
                <w:b w:val="0"/>
                <w:bCs/>
                <w:color w:val="000000"/>
                <w:sz w:val="24"/>
              </w:rPr>
            </w:pPr>
            <w:r>
              <w:rPr>
                <w:rFonts w:hint="eastAsia" w:ascii="宋体" w:hAnsi="宋体"/>
                <w:b w:val="0"/>
                <w:bCs/>
                <w:color w:val="000000"/>
                <w:sz w:val="24"/>
              </w:rPr>
              <w:t>4</w:t>
            </w:r>
          </w:p>
        </w:tc>
        <w:tc>
          <w:tcPr>
            <w:tcW w:w="1935" w:type="dxa"/>
            <w:tcBorders>
              <w:right w:val="single" w:color="auto" w:sz="4" w:space="0"/>
            </w:tcBorders>
            <w:vAlign w:val="center"/>
          </w:tcPr>
          <w:p>
            <w:pPr>
              <w:pStyle w:val="19"/>
              <w:spacing w:line="380" w:lineRule="exact"/>
              <w:jc w:val="center"/>
              <w:rPr>
                <w:rFonts w:hAnsi="宋体" w:cs="宋体"/>
                <w:b w:val="0"/>
                <w:bCs/>
                <w:color w:val="000000"/>
                <w:sz w:val="24"/>
              </w:rPr>
            </w:pPr>
            <w:r>
              <w:rPr>
                <w:rFonts w:hint="eastAsia" w:hAnsi="宋体" w:cs="宋体"/>
                <w:b w:val="0"/>
                <w:bCs/>
                <w:color w:val="000000"/>
                <w:sz w:val="24"/>
              </w:rPr>
              <w:t>剧院维护</w:t>
            </w:r>
          </w:p>
        </w:tc>
        <w:tc>
          <w:tcPr>
            <w:tcW w:w="731" w:type="dxa"/>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5分</w:t>
            </w: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ascii="宋体" w:hAnsi="宋体"/>
                <w:b w:val="0"/>
                <w:bCs/>
                <w:color w:val="000000"/>
                <w:sz w:val="24"/>
                <w:highlight w:val="none"/>
              </w:rPr>
            </w:pPr>
            <w:r>
              <w:rPr>
                <w:rFonts w:hint="eastAsia" w:ascii="宋体" w:hAnsi="宋体"/>
                <w:b w:val="0"/>
                <w:bCs/>
                <w:color w:val="000000"/>
                <w:sz w:val="24"/>
                <w:highlight w:val="none"/>
              </w:rPr>
              <w:t>参选人（含母公司或控股子公司）拟投入运营团队中音响灯光机械等专业人员具有剧院重要设施设备的运营维护能力、设施维护保养方案、设备设施大修配合工作方案等情况进行横向比较，</w:t>
            </w:r>
            <w:r>
              <w:rPr>
                <w:rFonts w:hAnsi="宋体"/>
                <w:b w:val="0"/>
                <w:bCs/>
                <w:color w:val="000000"/>
                <w:sz w:val="24"/>
                <w:highlight w:val="none"/>
              </w:rPr>
              <w:t>优</w:t>
            </w:r>
            <w:r>
              <w:rPr>
                <w:rFonts w:hint="eastAsia" w:hAnsi="宋体"/>
                <w:b w:val="0"/>
                <w:bCs/>
                <w:color w:val="000000"/>
                <w:sz w:val="24"/>
                <w:highlight w:val="none"/>
              </w:rPr>
              <w:t>的</w:t>
            </w:r>
            <w:r>
              <w:rPr>
                <w:rFonts w:hAnsi="宋体"/>
                <w:b w:val="0"/>
                <w:bCs/>
                <w:color w:val="000000"/>
                <w:sz w:val="24"/>
                <w:highlight w:val="none"/>
              </w:rPr>
              <w:t>得</w:t>
            </w:r>
            <w:r>
              <w:rPr>
                <w:rFonts w:hint="eastAsia" w:hAnsi="宋体"/>
                <w:b w:val="0"/>
                <w:bCs/>
                <w:color w:val="000000"/>
                <w:sz w:val="24"/>
                <w:highlight w:val="none"/>
              </w:rPr>
              <w:t>4</w:t>
            </w:r>
            <w:r>
              <w:rPr>
                <w:rFonts w:hAnsi="宋体"/>
                <w:b w:val="0"/>
                <w:bCs/>
                <w:color w:val="000000"/>
                <w:sz w:val="24"/>
                <w:highlight w:val="none"/>
              </w:rPr>
              <w:t>-</w:t>
            </w:r>
            <w:r>
              <w:rPr>
                <w:rFonts w:hint="eastAsia" w:hAnsi="宋体"/>
                <w:b w:val="0"/>
                <w:bCs/>
                <w:color w:val="000000"/>
                <w:sz w:val="24"/>
                <w:highlight w:val="none"/>
              </w:rPr>
              <w:t>5</w:t>
            </w:r>
            <w:r>
              <w:rPr>
                <w:rFonts w:hAnsi="宋体"/>
                <w:b w:val="0"/>
                <w:bCs/>
                <w:color w:val="000000"/>
                <w:sz w:val="24"/>
                <w:highlight w:val="none"/>
              </w:rPr>
              <w:t>分，一般</w:t>
            </w:r>
            <w:r>
              <w:rPr>
                <w:rFonts w:hint="eastAsia" w:hAnsi="宋体"/>
                <w:b w:val="0"/>
                <w:bCs/>
                <w:color w:val="000000"/>
                <w:sz w:val="24"/>
                <w:highlight w:val="none"/>
              </w:rPr>
              <w:t>的</w:t>
            </w:r>
            <w:r>
              <w:rPr>
                <w:rFonts w:hAnsi="宋体"/>
                <w:b w:val="0"/>
                <w:bCs/>
                <w:color w:val="000000"/>
                <w:sz w:val="24"/>
                <w:highlight w:val="none"/>
              </w:rPr>
              <w:t>得</w:t>
            </w:r>
            <w:r>
              <w:rPr>
                <w:rFonts w:hint="eastAsia" w:hAnsi="宋体"/>
                <w:b w:val="0"/>
                <w:bCs/>
                <w:color w:val="000000"/>
                <w:sz w:val="24"/>
                <w:highlight w:val="none"/>
              </w:rPr>
              <w:t>2-3.9</w:t>
            </w:r>
            <w:r>
              <w:rPr>
                <w:rFonts w:hAnsi="宋体"/>
                <w:b w:val="0"/>
                <w:bCs/>
                <w:color w:val="000000"/>
                <w:sz w:val="24"/>
                <w:highlight w:val="none"/>
              </w:rPr>
              <w:t>分</w:t>
            </w:r>
            <w:r>
              <w:rPr>
                <w:rFonts w:hint="eastAsia" w:hAnsi="宋体"/>
                <w:b w:val="0"/>
                <w:bCs/>
                <w:color w:val="000000"/>
                <w:sz w:val="24"/>
                <w:highlight w:val="none"/>
              </w:rPr>
              <w:t>，差的得1分，由专家</w:t>
            </w:r>
            <w:r>
              <w:rPr>
                <w:rFonts w:hint="eastAsia" w:ascii="宋体" w:hAnsi="宋体"/>
                <w:b w:val="0"/>
                <w:bCs/>
                <w:color w:val="000000"/>
                <w:sz w:val="24"/>
                <w:highlight w:val="none"/>
              </w:rPr>
              <w:t>酌情打分。</w:t>
            </w:r>
          </w:p>
          <w:p>
            <w:pPr>
              <w:spacing w:before="100" w:beforeAutospacing="1" w:after="100" w:afterAutospacing="1" w:line="380" w:lineRule="exact"/>
              <w:rPr>
                <w:rFonts w:ascii="宋体" w:hAnsi="宋体"/>
                <w:b w:val="0"/>
                <w:bCs/>
                <w:color w:val="000000"/>
                <w:sz w:val="24"/>
                <w:highlight w:val="none"/>
              </w:rPr>
            </w:pPr>
            <w:r>
              <w:rPr>
                <w:rFonts w:hint="eastAsia" w:ascii="宋体" w:hAnsi="宋体"/>
                <w:b w:val="0"/>
                <w:bCs/>
                <w:color w:val="000000"/>
                <w:sz w:val="24"/>
                <w:highlight w:val="none"/>
              </w:rPr>
              <w:t>证明文件：提供运营维护工程技术人员名单及资质证书。</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1-5分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713" w:type="dxa"/>
            <w:vMerge w:val="restart"/>
            <w:vAlign w:val="center"/>
          </w:tcPr>
          <w:p>
            <w:pPr>
              <w:spacing w:line="380" w:lineRule="exact"/>
              <w:ind w:left="480" w:hanging="480" w:hangingChars="200"/>
              <w:jc w:val="center"/>
              <w:rPr>
                <w:rFonts w:ascii="宋体" w:hAnsi="宋体"/>
                <w:b w:val="0"/>
                <w:bCs/>
                <w:color w:val="000000"/>
                <w:sz w:val="24"/>
              </w:rPr>
            </w:pPr>
            <w:r>
              <w:rPr>
                <w:rFonts w:hint="eastAsia" w:ascii="宋体" w:hAnsi="宋体"/>
                <w:b w:val="0"/>
                <w:bCs/>
                <w:color w:val="000000"/>
                <w:sz w:val="24"/>
              </w:rPr>
              <w:t>5</w:t>
            </w:r>
          </w:p>
        </w:tc>
        <w:tc>
          <w:tcPr>
            <w:tcW w:w="1935" w:type="dxa"/>
            <w:vMerge w:val="restart"/>
            <w:tcBorders>
              <w:right w:val="single" w:color="auto" w:sz="4" w:space="0"/>
            </w:tcBorders>
            <w:vAlign w:val="center"/>
          </w:tcPr>
          <w:p>
            <w:pPr>
              <w:pStyle w:val="19"/>
              <w:spacing w:line="380" w:lineRule="exact"/>
              <w:jc w:val="center"/>
              <w:rPr>
                <w:rFonts w:hAnsi="宋体" w:cs="宋体"/>
                <w:b w:val="0"/>
                <w:bCs/>
                <w:color w:val="000000"/>
                <w:sz w:val="24"/>
              </w:rPr>
            </w:pPr>
            <w:r>
              <w:rPr>
                <w:rFonts w:hint="eastAsia"/>
                <w:b w:val="0"/>
                <w:bCs/>
                <w:color w:val="000000"/>
                <w:sz w:val="24"/>
              </w:rPr>
              <w:t>运营管理经验</w:t>
            </w:r>
          </w:p>
        </w:tc>
        <w:tc>
          <w:tcPr>
            <w:tcW w:w="731" w:type="dxa"/>
            <w:vMerge w:val="restart"/>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10分</w:t>
            </w:r>
          </w:p>
        </w:tc>
        <w:tc>
          <w:tcPr>
            <w:tcW w:w="5988" w:type="dxa"/>
            <w:tcBorders>
              <w:top w:val="single" w:color="auto" w:sz="4" w:space="0"/>
              <w:left w:val="single" w:color="auto" w:sz="4" w:space="0"/>
            </w:tcBorders>
            <w:vAlign w:val="center"/>
          </w:tcPr>
          <w:p>
            <w:pPr>
              <w:spacing w:before="100" w:beforeAutospacing="1" w:after="100" w:afterAutospacing="1" w:line="380" w:lineRule="exact"/>
              <w:rPr>
                <w:rFonts w:ascii="宋体" w:hAnsi="宋体" w:cs="Courier New"/>
                <w:b w:val="0"/>
                <w:bCs/>
                <w:iCs/>
                <w:color w:val="000000"/>
                <w:sz w:val="24"/>
              </w:rPr>
            </w:pPr>
            <w:r>
              <w:rPr>
                <w:rFonts w:hint="eastAsia" w:ascii="宋体" w:hAnsi="宋体" w:cs="Courier New"/>
                <w:b w:val="0"/>
                <w:bCs/>
                <w:iCs/>
                <w:color w:val="000000"/>
                <w:sz w:val="24"/>
              </w:rPr>
              <w:t>参选人具有国内800座以上类似大中型剧院的运营管理业绩，每个业绩得3分，最多得6分。（注：800座以上大中型剧院的运营管理业绩：指在国内有业主委托运营管理剧院，不接受加盟形式业绩。）</w:t>
            </w:r>
          </w:p>
          <w:p>
            <w:pPr>
              <w:spacing w:before="100" w:beforeAutospacing="1" w:after="100" w:afterAutospacing="1" w:line="380" w:lineRule="exact"/>
              <w:rPr>
                <w:rFonts w:ascii="宋体" w:hAnsi="宋体"/>
                <w:b w:val="0"/>
                <w:bCs/>
                <w:color w:val="000000"/>
                <w:sz w:val="24"/>
              </w:rPr>
            </w:pPr>
            <w:r>
              <w:rPr>
                <w:rFonts w:hint="eastAsia" w:ascii="宋体" w:hAnsi="宋体" w:cs="Courier New"/>
                <w:b w:val="0"/>
                <w:bCs/>
                <w:iCs/>
                <w:color w:val="000000"/>
                <w:sz w:val="24"/>
              </w:rPr>
              <w:t>证明文件：</w:t>
            </w:r>
            <w:r>
              <w:rPr>
                <w:rFonts w:hint="eastAsia" w:ascii="宋体" w:hAnsi="宋体" w:cs="Courier New"/>
                <w:b w:val="0"/>
                <w:bCs/>
                <w:iCs/>
                <w:color w:val="000000"/>
                <w:sz w:val="24"/>
                <w:lang w:val="zh-CN"/>
              </w:rPr>
              <w:t>参选人（含母公司或控股子公司）</w:t>
            </w:r>
            <w:r>
              <w:rPr>
                <w:rFonts w:hint="eastAsia" w:ascii="宋体" w:hAnsi="宋体" w:cs="Courier New"/>
                <w:b w:val="0"/>
                <w:bCs/>
                <w:iCs/>
                <w:color w:val="000000"/>
                <w:sz w:val="24"/>
              </w:rPr>
              <w:t>需提供中标通知书或合同等有效证明文件复印件</w:t>
            </w:r>
            <w:r>
              <w:rPr>
                <w:rFonts w:hint="eastAsia" w:ascii="宋体" w:hAnsi="宋体" w:cs="Courier New"/>
                <w:b w:val="0"/>
                <w:bCs/>
                <w:iCs/>
                <w:color w:val="000000"/>
                <w:sz w:val="24"/>
                <w:lang w:val="zh-CN"/>
              </w:rPr>
              <w:t>并加盖参选人公章</w:t>
            </w:r>
            <w:r>
              <w:rPr>
                <w:rFonts w:hint="eastAsia" w:ascii="宋体" w:hAnsi="宋体"/>
                <w:b w:val="0"/>
                <w:bCs/>
                <w:color w:val="000000"/>
                <w:sz w:val="24"/>
              </w:rPr>
              <w:t>。</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0-6分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713" w:type="dxa"/>
            <w:vMerge w:val="continue"/>
            <w:vAlign w:val="center"/>
          </w:tcPr>
          <w:p>
            <w:pPr>
              <w:spacing w:line="380" w:lineRule="exact"/>
              <w:ind w:left="480" w:hanging="480" w:hangingChars="200"/>
              <w:jc w:val="center"/>
              <w:rPr>
                <w:rFonts w:ascii="宋体" w:hAnsi="宋体"/>
                <w:b w:val="0"/>
                <w:bCs/>
                <w:color w:val="000000"/>
                <w:sz w:val="24"/>
              </w:rPr>
            </w:pPr>
          </w:p>
        </w:tc>
        <w:tc>
          <w:tcPr>
            <w:tcW w:w="1935" w:type="dxa"/>
            <w:vMerge w:val="continue"/>
            <w:tcBorders>
              <w:right w:val="single" w:color="auto" w:sz="4" w:space="0"/>
            </w:tcBorders>
            <w:vAlign w:val="center"/>
          </w:tcPr>
          <w:p>
            <w:pPr>
              <w:pStyle w:val="19"/>
              <w:spacing w:line="380" w:lineRule="exact"/>
              <w:jc w:val="center"/>
              <w:rPr>
                <w:rFonts w:hAnsi="宋体" w:cs="宋体"/>
                <w:b w:val="0"/>
                <w:bCs/>
                <w:color w:val="000000"/>
                <w:sz w:val="24"/>
              </w:rPr>
            </w:pPr>
          </w:p>
        </w:tc>
        <w:tc>
          <w:tcPr>
            <w:tcW w:w="731" w:type="dxa"/>
            <w:vMerge w:val="continue"/>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p>
        </w:tc>
        <w:tc>
          <w:tcPr>
            <w:tcW w:w="5988" w:type="dxa"/>
            <w:tcBorders>
              <w:top w:val="single" w:color="auto" w:sz="4" w:space="0"/>
              <w:left w:val="single" w:color="auto" w:sz="4" w:space="0"/>
            </w:tcBorders>
            <w:vAlign w:val="center"/>
          </w:tcPr>
          <w:p>
            <w:pPr>
              <w:spacing w:line="380" w:lineRule="exact"/>
              <w:rPr>
                <w:rFonts w:ascii="宋体" w:hAnsi="宋体" w:cs="Courier New"/>
                <w:b w:val="0"/>
                <w:bCs/>
                <w:iCs/>
                <w:color w:val="000000"/>
                <w:sz w:val="24"/>
              </w:rPr>
            </w:pPr>
            <w:r>
              <w:rPr>
                <w:rFonts w:hint="eastAsia" w:ascii="宋体" w:hAnsi="宋体" w:cs="Courier New"/>
                <w:b w:val="0"/>
                <w:bCs/>
                <w:iCs/>
                <w:color w:val="000000"/>
                <w:sz w:val="24"/>
              </w:rPr>
              <w:t>参选</w:t>
            </w:r>
            <w:r>
              <w:rPr>
                <w:rFonts w:hint="eastAsia" w:ascii="宋体" w:hAnsi="宋体" w:cs="Courier New"/>
                <w:b w:val="0"/>
                <w:bCs/>
                <w:iCs/>
                <w:color w:val="auto"/>
                <w:sz w:val="24"/>
              </w:rPr>
              <w:t>人主办或承办</w:t>
            </w:r>
            <w:r>
              <w:rPr>
                <w:rFonts w:hint="eastAsia" w:ascii="宋体" w:hAnsi="宋体" w:cs="Courier New"/>
                <w:b w:val="0"/>
                <w:bCs/>
                <w:iCs/>
                <w:color w:val="000000"/>
                <w:sz w:val="24"/>
              </w:rPr>
              <w:t>过国内艺术节、论坛等大型文化活动（国内区县级及以上），根据参选人组织过1次得2分，2次及以上大型文化活动得4分，最高得4分。</w:t>
            </w:r>
          </w:p>
          <w:p>
            <w:pPr>
              <w:spacing w:line="380" w:lineRule="exact"/>
              <w:rPr>
                <w:rFonts w:ascii="宋体" w:hAnsi="宋体"/>
                <w:b w:val="0"/>
                <w:bCs/>
                <w:color w:val="000000"/>
                <w:sz w:val="24"/>
              </w:rPr>
            </w:pPr>
            <w:r>
              <w:rPr>
                <w:rFonts w:hint="eastAsia" w:ascii="宋体" w:hAnsi="宋体" w:cs="Courier New"/>
                <w:b w:val="0"/>
                <w:bCs/>
                <w:iCs/>
                <w:color w:val="000000"/>
                <w:sz w:val="24"/>
              </w:rPr>
              <w:t>证明文件：参选人须提供有效证明文件并加盖参选人公章。</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0-4分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3" w:type="dxa"/>
            <w:vAlign w:val="center"/>
          </w:tcPr>
          <w:p>
            <w:pPr>
              <w:spacing w:line="380" w:lineRule="exact"/>
              <w:ind w:left="480" w:hanging="480" w:hangingChars="200"/>
              <w:jc w:val="center"/>
              <w:rPr>
                <w:rFonts w:ascii="宋体" w:hAnsi="宋体"/>
                <w:b w:val="0"/>
                <w:bCs/>
                <w:color w:val="000000"/>
                <w:sz w:val="24"/>
              </w:rPr>
            </w:pPr>
            <w:r>
              <w:rPr>
                <w:rFonts w:hint="eastAsia" w:ascii="宋体" w:hAnsi="宋体"/>
                <w:b w:val="0"/>
                <w:bCs/>
                <w:color w:val="000000"/>
                <w:sz w:val="24"/>
              </w:rPr>
              <w:t>6</w:t>
            </w:r>
          </w:p>
        </w:tc>
        <w:tc>
          <w:tcPr>
            <w:tcW w:w="1935" w:type="dxa"/>
            <w:tcBorders>
              <w:right w:val="single" w:color="auto" w:sz="4" w:space="0"/>
            </w:tcBorders>
            <w:vAlign w:val="center"/>
          </w:tcPr>
          <w:p>
            <w:pPr>
              <w:pStyle w:val="19"/>
              <w:spacing w:line="380" w:lineRule="exact"/>
              <w:jc w:val="center"/>
              <w:rPr>
                <w:rFonts w:hAnsi="宋体" w:cs="宋体"/>
                <w:b w:val="0"/>
                <w:bCs/>
                <w:color w:val="000000"/>
                <w:sz w:val="24"/>
              </w:rPr>
            </w:pPr>
            <w:r>
              <w:rPr>
                <w:rFonts w:hint="eastAsia" w:hAnsi="宋体" w:cs="宋体"/>
                <w:b w:val="0"/>
                <w:bCs/>
                <w:color w:val="000000"/>
                <w:sz w:val="24"/>
              </w:rPr>
              <w:t>服务质量</w:t>
            </w:r>
          </w:p>
          <w:p>
            <w:pPr>
              <w:pStyle w:val="19"/>
              <w:spacing w:line="380" w:lineRule="exact"/>
              <w:jc w:val="center"/>
              <w:rPr>
                <w:rFonts w:hAnsi="宋体" w:cs="宋体"/>
                <w:b w:val="0"/>
                <w:bCs/>
                <w:color w:val="000000"/>
                <w:sz w:val="24"/>
              </w:rPr>
            </w:pPr>
            <w:r>
              <w:rPr>
                <w:rFonts w:hint="eastAsia" w:hAnsi="宋体" w:cs="宋体"/>
                <w:b w:val="0"/>
                <w:bCs/>
                <w:color w:val="000000"/>
                <w:sz w:val="24"/>
              </w:rPr>
              <w:t>承诺</w:t>
            </w:r>
          </w:p>
        </w:tc>
        <w:tc>
          <w:tcPr>
            <w:tcW w:w="731" w:type="dxa"/>
            <w:tcBorders>
              <w:left w:val="single" w:color="auto" w:sz="4" w:space="0"/>
              <w:right w:val="single" w:color="auto" w:sz="4" w:space="0"/>
            </w:tcBorders>
            <w:vAlign w:val="center"/>
          </w:tcPr>
          <w:p>
            <w:pPr>
              <w:spacing w:line="380" w:lineRule="exact"/>
              <w:jc w:val="center"/>
              <w:rPr>
                <w:rFonts w:ascii="宋体" w:hAnsi="宋体"/>
                <w:b w:val="0"/>
                <w:bCs/>
                <w:iCs/>
                <w:color w:val="000000"/>
                <w:sz w:val="24"/>
              </w:rPr>
            </w:pPr>
            <w:r>
              <w:rPr>
                <w:rFonts w:hint="eastAsia" w:ascii="宋体" w:hAnsi="宋体"/>
                <w:b w:val="0"/>
                <w:bCs/>
                <w:iCs/>
                <w:color w:val="000000"/>
                <w:sz w:val="24"/>
              </w:rPr>
              <w:t>10分</w:t>
            </w:r>
          </w:p>
        </w:tc>
        <w:tc>
          <w:tcPr>
            <w:tcW w:w="5988" w:type="dxa"/>
            <w:tcBorders>
              <w:top w:val="single" w:color="auto" w:sz="4" w:space="0"/>
              <w:left w:val="single" w:color="auto" w:sz="4" w:space="0"/>
            </w:tcBorders>
            <w:vAlign w:val="center"/>
          </w:tcPr>
          <w:p>
            <w:pPr>
              <w:pStyle w:val="19"/>
              <w:spacing w:line="380" w:lineRule="exact"/>
              <w:rPr>
                <w:rFonts w:hAnsi="宋体"/>
                <w:b w:val="0"/>
                <w:bCs/>
                <w:iCs/>
                <w:color w:val="000000"/>
                <w:sz w:val="24"/>
                <w:szCs w:val="24"/>
              </w:rPr>
            </w:pPr>
            <w:r>
              <w:rPr>
                <w:rFonts w:hint="eastAsia" w:hAnsi="宋体"/>
                <w:b w:val="0"/>
                <w:bCs/>
                <w:iCs/>
                <w:color w:val="000000"/>
                <w:sz w:val="24"/>
                <w:szCs w:val="24"/>
              </w:rPr>
              <w:t>根据参选人对项目的了解程度及提供的服务质量承诺情况（如：年平均上座率达到65%以上、高标准服务政府活动使用的承诺、承诺在签订合同1个月内组建不少于12人的本项目运营管理团队</w:t>
            </w:r>
            <w:r>
              <w:rPr>
                <w:rFonts w:hint="eastAsia" w:hAnsi="宋体"/>
                <w:b w:val="0"/>
                <w:bCs/>
                <w:iCs/>
                <w:color w:val="000000"/>
                <w:sz w:val="24"/>
                <w:szCs w:val="24"/>
                <w:highlight w:val="none"/>
              </w:rPr>
              <w:t>、对地方文化发展的支持等）</w:t>
            </w:r>
            <w:r>
              <w:rPr>
                <w:rFonts w:hint="eastAsia" w:hAnsi="宋体"/>
                <w:b w:val="0"/>
                <w:bCs/>
                <w:iCs/>
                <w:color w:val="000000"/>
                <w:sz w:val="24"/>
                <w:szCs w:val="24"/>
                <w:highlight w:val="none"/>
                <w:lang w:val="en-US" w:eastAsia="zh-CN"/>
              </w:rPr>
              <w:t>进行</w:t>
            </w:r>
            <w:r>
              <w:rPr>
                <w:rFonts w:hint="eastAsia" w:hAnsi="宋体"/>
                <w:b w:val="0"/>
                <w:bCs/>
                <w:color w:val="000000"/>
                <w:sz w:val="24"/>
              </w:rPr>
              <w:t>横向比较，</w:t>
            </w:r>
            <w:r>
              <w:rPr>
                <w:rFonts w:hAnsi="宋体"/>
                <w:b w:val="0"/>
                <w:bCs/>
                <w:color w:val="000000"/>
                <w:sz w:val="24"/>
              </w:rPr>
              <w:t>优</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7</w:t>
            </w:r>
            <w:r>
              <w:rPr>
                <w:rFonts w:hAnsi="宋体"/>
                <w:b w:val="0"/>
                <w:bCs/>
                <w:color w:val="000000"/>
                <w:sz w:val="24"/>
              </w:rPr>
              <w:t>-</w:t>
            </w:r>
            <w:r>
              <w:rPr>
                <w:rFonts w:hint="eastAsia" w:hAnsi="宋体"/>
                <w:b w:val="0"/>
                <w:bCs/>
                <w:color w:val="000000"/>
                <w:sz w:val="24"/>
              </w:rPr>
              <w:t>10</w:t>
            </w:r>
            <w:r>
              <w:rPr>
                <w:rFonts w:hAnsi="宋体"/>
                <w:b w:val="0"/>
                <w:bCs/>
                <w:color w:val="000000"/>
                <w:sz w:val="24"/>
              </w:rPr>
              <w:t>分，一般</w:t>
            </w:r>
            <w:r>
              <w:rPr>
                <w:rFonts w:hint="eastAsia" w:hAnsi="宋体"/>
                <w:b w:val="0"/>
                <w:bCs/>
                <w:color w:val="000000"/>
                <w:sz w:val="24"/>
              </w:rPr>
              <w:t>的</w:t>
            </w:r>
            <w:r>
              <w:rPr>
                <w:rFonts w:hAnsi="宋体"/>
                <w:b w:val="0"/>
                <w:bCs/>
                <w:color w:val="000000"/>
                <w:sz w:val="24"/>
              </w:rPr>
              <w:t>得</w:t>
            </w:r>
            <w:r>
              <w:rPr>
                <w:rFonts w:hint="eastAsia" w:hAnsi="宋体"/>
                <w:b w:val="0"/>
                <w:bCs/>
                <w:color w:val="000000"/>
                <w:sz w:val="24"/>
              </w:rPr>
              <w:t>3-6.9</w:t>
            </w:r>
            <w:r>
              <w:rPr>
                <w:rFonts w:hAnsi="宋体"/>
                <w:b w:val="0"/>
                <w:bCs/>
                <w:color w:val="000000"/>
                <w:sz w:val="24"/>
              </w:rPr>
              <w:t>分</w:t>
            </w:r>
            <w:r>
              <w:rPr>
                <w:rFonts w:hint="eastAsia" w:hAnsi="宋体"/>
                <w:b w:val="0"/>
                <w:bCs/>
                <w:color w:val="000000"/>
                <w:sz w:val="24"/>
              </w:rPr>
              <w:t>，差的得1-2.9分，由专家酌情打分。</w:t>
            </w:r>
          </w:p>
        </w:tc>
        <w:tc>
          <w:tcPr>
            <w:tcW w:w="1226" w:type="dxa"/>
            <w:tcBorders>
              <w:top w:val="single" w:color="auto" w:sz="4" w:space="0"/>
            </w:tcBorders>
            <w:vAlign w:val="center"/>
          </w:tcPr>
          <w:p>
            <w:pPr>
              <w:spacing w:after="156" w:afterLines="50" w:line="380" w:lineRule="exact"/>
              <w:jc w:val="center"/>
              <w:rPr>
                <w:rFonts w:ascii="宋体" w:hAnsi="宋体"/>
                <w:b w:val="0"/>
                <w:bCs/>
                <w:color w:val="000000"/>
                <w:sz w:val="24"/>
              </w:rPr>
            </w:pPr>
            <w:r>
              <w:rPr>
                <w:rFonts w:hint="eastAsia" w:ascii="宋体" w:hAnsi="宋体"/>
                <w:b w:val="0"/>
                <w:bCs/>
                <w:color w:val="000000"/>
                <w:sz w:val="24"/>
              </w:rPr>
              <w:t>1</w:t>
            </w:r>
            <w:r>
              <w:rPr>
                <w:rFonts w:ascii="宋体" w:hAnsi="宋体"/>
                <w:b w:val="0"/>
                <w:bCs/>
                <w:color w:val="000000"/>
                <w:sz w:val="24"/>
              </w:rPr>
              <w:t>-</w:t>
            </w:r>
            <w:r>
              <w:rPr>
                <w:rFonts w:hint="eastAsia" w:ascii="宋体" w:hAnsi="宋体"/>
                <w:b w:val="0"/>
                <w:bCs/>
                <w:color w:val="000000"/>
                <w:sz w:val="24"/>
              </w:rPr>
              <w:t>10</w:t>
            </w:r>
            <w:r>
              <w:rPr>
                <w:rFonts w:ascii="宋体" w:hAnsi="宋体"/>
                <w:b w:val="0"/>
                <w:bCs/>
                <w:color w:val="000000"/>
                <w:sz w:val="24"/>
              </w:rPr>
              <w:t>分</w:t>
            </w:r>
          </w:p>
        </w:tc>
      </w:tr>
    </w:tbl>
    <w:p>
      <w:pPr>
        <w:adjustRightInd w:val="0"/>
        <w:snapToGrid w:val="0"/>
        <w:spacing w:line="400" w:lineRule="exact"/>
        <w:ind w:firstLine="459" w:firstLineChars="198"/>
        <w:rPr>
          <w:b w:val="0"/>
          <w:bCs/>
          <w:color w:val="000000"/>
          <w:spacing w:val="-4"/>
          <w:sz w:val="24"/>
        </w:rPr>
      </w:pPr>
      <w:r>
        <w:rPr>
          <w:rFonts w:hint="eastAsia"/>
          <w:b w:val="0"/>
          <w:bCs/>
          <w:spacing w:val="-4"/>
          <w:sz w:val="24"/>
        </w:rPr>
        <w:t>评标小组根据上述评分细目和各参选人的参选文件的审核情况，自行判定，打分时保留小数1位，每人一份评分表，并签名。在统计得分时，如果发现某一单项评分超过评分细则规</w:t>
      </w:r>
      <w:r>
        <w:rPr>
          <w:rFonts w:hint="eastAsia"/>
          <w:b w:val="0"/>
          <w:bCs/>
          <w:color w:val="000000"/>
          <w:spacing w:val="-4"/>
          <w:sz w:val="24"/>
        </w:rPr>
        <w:t>定的分值范围，则该张评分表无效。</w:t>
      </w:r>
    </w:p>
    <w:p>
      <w:pPr>
        <w:adjustRightInd w:val="0"/>
        <w:snapToGrid w:val="0"/>
        <w:spacing w:line="400" w:lineRule="exact"/>
        <w:ind w:firstLine="459" w:firstLineChars="198"/>
        <w:rPr>
          <w:b w:val="0"/>
          <w:bCs/>
          <w:color w:val="000000"/>
          <w:spacing w:val="-4"/>
          <w:sz w:val="24"/>
        </w:rPr>
      </w:pPr>
      <w:r>
        <w:rPr>
          <w:rFonts w:hint="eastAsia"/>
          <w:b w:val="0"/>
          <w:bCs/>
          <w:color w:val="000000"/>
          <w:spacing w:val="-4"/>
          <w:sz w:val="24"/>
        </w:rPr>
        <w:t>技术标得分：最终得分为评标小组成员的有效评分的算术平均值。计算时保留小数2位（四舍五入）。</w:t>
      </w:r>
    </w:p>
    <w:p>
      <w:pPr>
        <w:spacing w:line="440" w:lineRule="exact"/>
        <w:ind w:firstLine="480" w:firstLineChars="200"/>
        <w:textAlignment w:val="baseline"/>
        <w:rPr>
          <w:rFonts w:ascii="宋体" w:eastAsia="新宋体"/>
          <w:b w:val="0"/>
          <w:bCs/>
          <w:sz w:val="24"/>
          <w:szCs w:val="20"/>
        </w:rPr>
      </w:pPr>
      <w:r>
        <w:rPr>
          <w:rFonts w:hint="eastAsia" w:ascii="宋体" w:eastAsia="新宋体"/>
          <w:b w:val="0"/>
          <w:bCs/>
          <w:color w:val="000000"/>
          <w:sz w:val="24"/>
          <w:szCs w:val="20"/>
        </w:rPr>
        <w:t>评定供应商。</w:t>
      </w:r>
      <w:r>
        <w:rPr>
          <w:rFonts w:hint="eastAsia" w:ascii="宋体" w:hAnsi="宋体" w:cs="宋体"/>
          <w:b w:val="0"/>
          <w:bCs/>
          <w:color w:val="000000"/>
          <w:sz w:val="24"/>
        </w:rPr>
        <w:t>按技术标综合得分由高</w:t>
      </w:r>
      <w:r>
        <w:rPr>
          <w:rFonts w:hint="eastAsia" w:ascii="宋体" w:hAnsi="宋体" w:cs="宋体"/>
          <w:b w:val="0"/>
          <w:bCs/>
          <w:sz w:val="24"/>
        </w:rPr>
        <w:t>到低，推荐中选单位</w:t>
      </w:r>
      <w:r>
        <w:rPr>
          <w:rFonts w:hint="eastAsia" w:ascii="宋体" w:eastAsia="新宋体"/>
          <w:b w:val="0"/>
          <w:bCs/>
          <w:sz w:val="24"/>
          <w:szCs w:val="20"/>
        </w:rPr>
        <w:t>。</w:t>
      </w:r>
    </w:p>
    <w:p>
      <w:pPr>
        <w:pStyle w:val="19"/>
        <w:spacing w:line="440" w:lineRule="exact"/>
        <w:rPr>
          <w:rFonts w:hAnsi="宋体"/>
          <w:sz w:val="24"/>
        </w:rPr>
      </w:pPr>
      <w:bookmarkStart w:id="39" w:name="_Toc405798418"/>
      <w:bookmarkStart w:id="40" w:name="_Toc439841453"/>
      <w:r>
        <w:rPr>
          <w:rFonts w:hint="eastAsia" w:hAnsi="宋体"/>
          <w:sz w:val="24"/>
        </w:rPr>
        <w:t>三、定标办法</w:t>
      </w:r>
      <w:bookmarkEnd w:id="39"/>
      <w:bookmarkEnd w:id="40"/>
    </w:p>
    <w:p>
      <w:pPr>
        <w:spacing w:line="440" w:lineRule="exact"/>
        <w:ind w:firstLine="480" w:firstLineChars="200"/>
        <w:rPr>
          <w:rFonts w:hAnsi="宋体"/>
          <w:b w:val="0"/>
          <w:bCs/>
        </w:rPr>
      </w:pPr>
      <w:r>
        <w:rPr>
          <w:rFonts w:hint="eastAsia" w:hAnsi="宋体"/>
          <w:b w:val="0"/>
          <w:bCs/>
          <w:sz w:val="24"/>
        </w:rPr>
        <w:t>1</w:t>
      </w:r>
      <w:r>
        <w:rPr>
          <w:rFonts w:hint="eastAsia"/>
          <w:b w:val="0"/>
          <w:bCs/>
          <w:sz w:val="24"/>
        </w:rPr>
        <w:t>.评标小组完成评标后，评标结果按</w:t>
      </w:r>
      <w:r>
        <w:rPr>
          <w:rFonts w:hint="eastAsia" w:ascii="宋体" w:hAnsi="宋体" w:cs="宋体"/>
          <w:b w:val="0"/>
          <w:bCs/>
          <w:sz w:val="24"/>
        </w:rPr>
        <w:t>技术标综合</w:t>
      </w:r>
      <w:r>
        <w:rPr>
          <w:rFonts w:hint="eastAsia"/>
          <w:b w:val="0"/>
          <w:bCs/>
          <w:sz w:val="24"/>
        </w:rPr>
        <w:t>得分由高到低顺序排列。</w:t>
      </w:r>
      <w:r>
        <w:rPr>
          <w:rFonts w:hint="eastAsia" w:hAnsi="宋体"/>
          <w:b w:val="0"/>
          <w:bCs/>
          <w:sz w:val="24"/>
        </w:rPr>
        <w:t>评标小组</w:t>
      </w:r>
      <w:r>
        <w:rPr>
          <w:rFonts w:hint="eastAsia"/>
          <w:b w:val="0"/>
          <w:bCs/>
          <w:sz w:val="24"/>
        </w:rPr>
        <w:t>直接确定排名第一的参选单位为中选候选人，并提交经评标小组成员签字的评标报告。</w:t>
      </w:r>
    </w:p>
    <w:p>
      <w:pPr>
        <w:tabs>
          <w:tab w:val="left" w:pos="4111"/>
        </w:tabs>
        <w:spacing w:line="460" w:lineRule="exact"/>
        <w:ind w:firstLine="480" w:firstLineChars="200"/>
        <w:rPr>
          <w:rFonts w:hAnsi="宋体"/>
          <w:b w:val="0"/>
          <w:bCs/>
          <w:sz w:val="24"/>
        </w:rPr>
      </w:pPr>
      <w:r>
        <w:rPr>
          <w:rFonts w:hint="eastAsia" w:hAnsi="宋体"/>
          <w:b w:val="0"/>
          <w:bCs/>
          <w:sz w:val="24"/>
        </w:rPr>
        <w:t>2</w:t>
      </w:r>
      <w:r>
        <w:rPr>
          <w:rFonts w:hint="eastAsia"/>
          <w:b w:val="0"/>
          <w:bCs/>
          <w:sz w:val="24"/>
        </w:rPr>
        <w:t>.</w:t>
      </w:r>
      <w:r>
        <w:rPr>
          <w:rFonts w:hint="eastAsia" w:hAnsi="宋体"/>
          <w:b w:val="0"/>
          <w:bCs/>
          <w:sz w:val="24"/>
        </w:rPr>
        <w:t>比选人直接授权评标小组确定中选人。</w:t>
      </w:r>
    </w:p>
    <w:p>
      <w:pPr>
        <w:spacing w:line="440" w:lineRule="exact"/>
        <w:ind w:firstLine="480" w:firstLineChars="200"/>
        <w:rPr>
          <w:b w:val="0"/>
          <w:bCs/>
          <w:sz w:val="24"/>
        </w:rPr>
      </w:pPr>
      <w:bookmarkStart w:id="41" w:name="_Toc338319019"/>
      <w:r>
        <w:rPr>
          <w:rFonts w:hint="eastAsia" w:cs="Arial"/>
          <w:b w:val="0"/>
          <w:bCs/>
          <w:kern w:val="0"/>
          <w:sz w:val="24"/>
        </w:rPr>
        <w:t>3</w:t>
      </w:r>
      <w:r>
        <w:rPr>
          <w:rFonts w:hint="eastAsia"/>
          <w:b w:val="0"/>
          <w:bCs/>
          <w:sz w:val="24"/>
        </w:rPr>
        <w:t>.当确定的中</w:t>
      </w:r>
      <w:r>
        <w:rPr>
          <w:rFonts w:hint="eastAsia" w:hAnsi="宋体"/>
          <w:b w:val="0"/>
          <w:bCs/>
          <w:sz w:val="24"/>
        </w:rPr>
        <w:t>选</w:t>
      </w:r>
      <w:r>
        <w:rPr>
          <w:rFonts w:hint="eastAsia"/>
          <w:b w:val="0"/>
          <w:bCs/>
          <w:sz w:val="24"/>
        </w:rPr>
        <w:t>人放弃中</w:t>
      </w:r>
      <w:r>
        <w:rPr>
          <w:rFonts w:hint="eastAsia" w:hAnsi="宋体"/>
          <w:b w:val="0"/>
          <w:bCs/>
          <w:sz w:val="24"/>
        </w:rPr>
        <w:t>选</w:t>
      </w:r>
      <w:r>
        <w:rPr>
          <w:rFonts w:hint="eastAsia"/>
          <w:b w:val="0"/>
          <w:bCs/>
          <w:sz w:val="24"/>
        </w:rPr>
        <w:t>，因不可抗力提出不能履行合同的，重新组织比选。</w:t>
      </w:r>
      <w:bookmarkEnd w:id="41"/>
    </w:p>
    <w:p>
      <w:pPr>
        <w:pStyle w:val="19"/>
        <w:spacing w:before="120" w:after="120" w:line="420" w:lineRule="exact"/>
        <w:rPr>
          <w:rFonts w:hAnsi="宋体" w:cs="宋体"/>
          <w:sz w:val="24"/>
          <w:szCs w:val="24"/>
        </w:rPr>
        <w:sectPr>
          <w:pgSz w:w="11906" w:h="16838"/>
          <w:pgMar w:top="1134" w:right="1532" w:bottom="1134" w:left="1414" w:header="851" w:footer="992" w:gutter="0"/>
          <w:cols w:space="720" w:num="1"/>
          <w:docGrid w:type="lines" w:linePitch="312" w:charSpace="0"/>
        </w:sectPr>
      </w:pPr>
      <w:r>
        <w:rPr>
          <w:rFonts w:hint="eastAsia" w:hAnsi="宋体"/>
          <w:sz w:val="24"/>
        </w:rPr>
        <w:t>四、评标小组不向落标方解释落标原因，不退还参选文件</w:t>
      </w:r>
      <w:r>
        <w:rPr>
          <w:rFonts w:hint="eastAsia" w:hAnsi="宋体" w:cs="宋体"/>
          <w:sz w:val="24"/>
          <w:szCs w:val="24"/>
        </w:rPr>
        <w:t>。</w:t>
      </w:r>
    </w:p>
    <w:p>
      <w:pPr>
        <w:pStyle w:val="32"/>
        <w:spacing w:before="156" w:after="156"/>
        <w:rPr>
          <w:rFonts w:ascii="宋体" w:hAnsi="宋体" w:cs="宋体"/>
          <w:sz w:val="24"/>
          <w:szCs w:val="24"/>
        </w:rPr>
      </w:pPr>
      <w:bookmarkStart w:id="42" w:name="_Toc138602911"/>
      <w:bookmarkStart w:id="43" w:name="_Toc134695728"/>
      <w:r>
        <w:rPr>
          <w:rFonts w:hint="eastAsia" w:ascii="宋体" w:hAnsi="宋体" w:cs="宋体"/>
          <w:sz w:val="24"/>
          <w:szCs w:val="24"/>
        </w:rPr>
        <w:t>协议</w:t>
      </w:r>
      <w:bookmarkEnd w:id="42"/>
      <w:bookmarkEnd w:id="43"/>
    </w:p>
    <w:p>
      <w:pPr>
        <w:spacing w:line="440" w:lineRule="exact"/>
        <w:ind w:firstLine="480" w:firstLineChars="200"/>
        <w:jc w:val="center"/>
        <w:rPr>
          <w:rFonts w:ascii="宋体" w:hAnsi="Courier New"/>
          <w:b w:val="0"/>
          <w:bCs/>
          <w:kern w:val="0"/>
          <w:sz w:val="24"/>
        </w:rPr>
      </w:pPr>
      <w:r>
        <w:rPr>
          <w:rFonts w:hint="eastAsia" w:ascii="宋体" w:hAnsi="Courier New"/>
          <w:b w:val="0"/>
          <w:bCs/>
          <w:kern w:val="0"/>
          <w:sz w:val="24"/>
        </w:rPr>
        <w:t>合同（样本）</w:t>
      </w:r>
    </w:p>
    <w:p>
      <w:pPr>
        <w:spacing w:line="430" w:lineRule="exact"/>
        <w:ind w:firstLine="480"/>
        <w:rPr>
          <w:rFonts w:ascii="宋体" w:hAnsi="宋体"/>
          <w:b w:val="0"/>
          <w:bCs/>
          <w:color w:val="000000"/>
          <w:sz w:val="24"/>
        </w:rPr>
      </w:pPr>
      <w:r>
        <w:rPr>
          <w:rFonts w:hint="eastAsia" w:ascii="宋体" w:hAnsi="宋体"/>
          <w:b w:val="0"/>
          <w:bCs/>
          <w:color w:val="000000"/>
          <w:sz w:val="24"/>
        </w:rPr>
        <w:t>第一条</w:t>
      </w:r>
    </w:p>
    <w:p>
      <w:pPr>
        <w:spacing w:line="440" w:lineRule="exact"/>
        <w:ind w:firstLine="480" w:firstLineChars="200"/>
        <w:rPr>
          <w:b w:val="0"/>
          <w:bCs/>
          <w:sz w:val="24"/>
        </w:rPr>
      </w:pPr>
      <w:r>
        <w:rPr>
          <w:rFonts w:hint="eastAsia"/>
          <w:b w:val="0"/>
          <w:bCs/>
          <w:sz w:val="24"/>
        </w:rPr>
        <w:t>甲、乙双方根据</w:t>
      </w:r>
      <w:r>
        <w:rPr>
          <w:rFonts w:hint="eastAsia"/>
          <w:b w:val="0"/>
          <w:bCs/>
          <w:sz w:val="24"/>
          <w:u w:val="single"/>
        </w:rPr>
        <w:t xml:space="preserve">2023年  </w:t>
      </w:r>
      <w:r>
        <w:rPr>
          <w:rFonts w:hint="eastAsia"/>
          <w:b w:val="0"/>
          <w:bCs/>
          <w:sz w:val="24"/>
        </w:rPr>
        <w:t>月</w:t>
      </w:r>
      <w:r>
        <w:rPr>
          <w:rFonts w:hint="eastAsia"/>
          <w:b w:val="0"/>
          <w:bCs/>
          <w:sz w:val="24"/>
          <w:u w:val="single"/>
        </w:rPr>
        <w:t xml:space="preserve">   </w:t>
      </w:r>
      <w:r>
        <w:rPr>
          <w:rFonts w:hint="eastAsia"/>
          <w:b w:val="0"/>
          <w:bCs/>
          <w:sz w:val="24"/>
        </w:rPr>
        <w:t>日义乌市</w:t>
      </w:r>
      <w:r>
        <w:rPr>
          <w:rFonts w:hint="eastAsia"/>
          <w:b w:val="0"/>
          <w:bCs/>
          <w:sz w:val="24"/>
          <w:u w:val="single"/>
        </w:rPr>
        <w:t>　　　　　　                   (</w:t>
      </w:r>
      <w:r>
        <w:rPr>
          <w:rFonts w:hint="eastAsia"/>
          <w:b w:val="0"/>
          <w:bCs/>
          <w:sz w:val="24"/>
        </w:rPr>
        <w:t>比选编号</w:t>
      </w:r>
      <w:r>
        <w:rPr>
          <w:rFonts w:hint="eastAsia"/>
          <w:b w:val="0"/>
          <w:bCs/>
          <w:sz w:val="24"/>
          <w:u w:val="single"/>
        </w:rPr>
        <w:t>：                      )</w:t>
      </w:r>
      <w:r>
        <w:rPr>
          <w:rFonts w:hint="eastAsia"/>
          <w:b w:val="0"/>
          <w:bCs/>
          <w:sz w:val="24"/>
        </w:rPr>
        <w:t>服务项目中选结果和比选文件的要求，并经双方协商一致，订立本合同。</w:t>
      </w:r>
    </w:p>
    <w:p>
      <w:pPr>
        <w:spacing w:line="440" w:lineRule="exact"/>
        <w:ind w:firstLine="480" w:firstLineChars="200"/>
        <w:rPr>
          <w:b w:val="0"/>
          <w:bCs/>
          <w:color w:val="000000"/>
          <w:sz w:val="24"/>
        </w:rPr>
      </w:pPr>
      <w:r>
        <w:rPr>
          <w:rFonts w:hint="eastAsia"/>
          <w:b w:val="0"/>
          <w:bCs/>
          <w:color w:val="000000"/>
          <w:sz w:val="24"/>
        </w:rPr>
        <w:t>1.1义乌文化广场剧院(以下均称剧院）指：本合同项下甲方委托乙方进行合作经营管理的具体项目，包含剧院以及各附属功能设施。义乌文化广场剧院所有资产属于甲方（政府）所有。</w:t>
      </w:r>
    </w:p>
    <w:p>
      <w:pPr>
        <w:spacing w:line="440" w:lineRule="exact"/>
        <w:ind w:firstLine="480" w:firstLineChars="200"/>
        <w:rPr>
          <w:b w:val="0"/>
          <w:bCs/>
          <w:color w:val="auto"/>
          <w:sz w:val="24"/>
          <w:highlight w:val="none"/>
        </w:rPr>
      </w:pPr>
      <w:r>
        <w:rPr>
          <w:rFonts w:hint="eastAsia"/>
          <w:b w:val="0"/>
          <w:bCs/>
          <w:color w:val="000000"/>
          <w:sz w:val="24"/>
          <w:highlight w:val="none"/>
        </w:rPr>
        <w:t>1.2义乌文化广场剧院管理采用</w:t>
      </w:r>
      <w:r>
        <w:rPr>
          <w:rFonts w:hint="eastAsia"/>
          <w:b w:val="0"/>
          <w:bCs/>
          <w:color w:val="auto"/>
          <w:sz w:val="24"/>
          <w:highlight w:val="none"/>
        </w:rPr>
        <w:t>“甲方监管和目标考核，乙方自主经营”的方式。</w:t>
      </w:r>
    </w:p>
    <w:p>
      <w:pPr>
        <w:spacing w:line="440" w:lineRule="exact"/>
        <w:ind w:firstLine="480" w:firstLineChars="200"/>
        <w:rPr>
          <w:b w:val="0"/>
          <w:bCs/>
          <w:color w:val="000000"/>
          <w:sz w:val="24"/>
          <w:highlight w:val="none"/>
        </w:rPr>
      </w:pPr>
      <w:r>
        <w:rPr>
          <w:rFonts w:hint="eastAsia"/>
          <w:b w:val="0"/>
          <w:bCs/>
          <w:color w:val="000000"/>
          <w:sz w:val="24"/>
          <w:highlight w:val="none"/>
        </w:rPr>
        <w:t>1.3义乌文化广场剧院的经营管理坚持以社会效益为主，兼顾经济效益，两个效益并重的原则。</w:t>
      </w:r>
    </w:p>
    <w:p>
      <w:pPr>
        <w:spacing w:line="440" w:lineRule="exact"/>
        <w:ind w:firstLine="480" w:firstLineChars="200"/>
        <w:rPr>
          <w:b w:val="0"/>
          <w:bCs/>
          <w:color w:val="000000"/>
          <w:sz w:val="24"/>
        </w:rPr>
      </w:pPr>
      <w:r>
        <w:rPr>
          <w:rFonts w:hint="eastAsia"/>
          <w:b w:val="0"/>
          <w:bCs/>
          <w:color w:val="000000"/>
          <w:sz w:val="24"/>
          <w:highlight w:val="none"/>
        </w:rPr>
        <w:t>1.4在合同经营期内，围绕使义乌文化广场剧院达到“专业水平高、管理标准高、服</w:t>
      </w:r>
      <w:r>
        <w:rPr>
          <w:rFonts w:hint="eastAsia"/>
          <w:b w:val="0"/>
          <w:bCs/>
          <w:color w:val="000000"/>
          <w:sz w:val="24"/>
        </w:rPr>
        <w:t>务品位高、经营效益好、社会形象好”的管理目标，行使本合同规定的甲乙双方的权利，履行本合同规定的甲乙双方的义务。</w:t>
      </w:r>
    </w:p>
    <w:p>
      <w:pPr>
        <w:spacing w:line="440" w:lineRule="exact"/>
        <w:ind w:firstLine="480" w:firstLineChars="200"/>
        <w:rPr>
          <w:rFonts w:ascii="宋体" w:hAnsi="宋体"/>
          <w:b w:val="0"/>
          <w:bCs/>
          <w:color w:val="000000"/>
          <w:sz w:val="24"/>
          <w:u w:val="single"/>
        </w:rPr>
      </w:pPr>
      <w:r>
        <w:rPr>
          <w:rFonts w:hint="eastAsia" w:ascii="宋体" w:hAnsi="Courier New"/>
          <w:b w:val="0"/>
          <w:bCs/>
          <w:color w:val="000000"/>
          <w:kern w:val="0"/>
          <w:sz w:val="24"/>
        </w:rPr>
        <w:t>1.5</w:t>
      </w:r>
      <w:r>
        <w:rPr>
          <w:rFonts w:hint="eastAsia"/>
          <w:b w:val="0"/>
          <w:bCs/>
          <w:color w:val="000000"/>
          <w:sz w:val="24"/>
        </w:rPr>
        <w:t>招标文件、投标文件及其补充文件、澄清文件的所有内容均是构成本合同不可分割的部分。</w:t>
      </w:r>
      <w:r>
        <w:rPr>
          <w:rFonts w:hint="eastAsia" w:ascii="宋体" w:hAnsi="宋体"/>
          <w:b w:val="0"/>
          <w:bCs/>
          <w:color w:val="000000"/>
          <w:sz w:val="24"/>
          <w:u w:val="single"/>
        </w:rPr>
        <w:t xml:space="preserve">                                                                         </w:t>
      </w:r>
    </w:p>
    <w:p>
      <w:pPr>
        <w:spacing w:line="430" w:lineRule="exact"/>
        <w:ind w:firstLine="480"/>
        <w:rPr>
          <w:rFonts w:ascii="宋体" w:hAnsi="宋体"/>
          <w:b w:val="0"/>
          <w:bCs/>
          <w:color w:val="000000"/>
          <w:sz w:val="24"/>
        </w:rPr>
      </w:pPr>
      <w:r>
        <w:rPr>
          <w:rFonts w:hint="eastAsia" w:ascii="宋体" w:hAnsi="宋体"/>
          <w:b w:val="0"/>
          <w:bCs/>
          <w:color w:val="000000"/>
          <w:sz w:val="24"/>
        </w:rPr>
        <w:t>第二条 合同主体</w:t>
      </w:r>
    </w:p>
    <w:p>
      <w:pPr>
        <w:spacing w:line="430" w:lineRule="exact"/>
        <w:ind w:firstLine="480"/>
        <w:rPr>
          <w:rFonts w:ascii="宋体" w:hAnsi="宋体"/>
          <w:b w:val="0"/>
          <w:bCs/>
          <w:color w:val="000000"/>
          <w:sz w:val="24"/>
        </w:rPr>
      </w:pPr>
      <w:r>
        <w:rPr>
          <w:rFonts w:hint="eastAsia" w:ascii="宋体" w:hAnsi="宋体"/>
          <w:b w:val="0"/>
          <w:bCs/>
          <w:color w:val="000000"/>
          <w:sz w:val="24"/>
        </w:rPr>
        <w:t>2.1义乌市文化馆为本合同的签约甲方（以下简称甲方），系经义乌市文化和广电旅游体育局授权，行使义乌文化广场剧院所有者权利的业主方，负责监管乙方对义乌文化广场剧院的资产保值和功能作用发挥的履行情况。</w:t>
      </w:r>
    </w:p>
    <w:p>
      <w:pPr>
        <w:spacing w:line="430" w:lineRule="exact"/>
        <w:ind w:firstLine="480"/>
        <w:rPr>
          <w:rFonts w:ascii="宋体" w:hAnsi="宋体"/>
          <w:b w:val="0"/>
          <w:bCs/>
          <w:color w:val="000000"/>
          <w:sz w:val="24"/>
        </w:rPr>
      </w:pPr>
      <w:r>
        <w:rPr>
          <w:rFonts w:hint="eastAsia" w:ascii="宋体" w:hAnsi="宋体"/>
          <w:b w:val="0"/>
          <w:bCs/>
          <w:color w:val="000000"/>
          <w:sz w:val="24"/>
        </w:rPr>
        <w:t>2.2***公司为本合同的签约乙方（以下简称乙方）。乙方系一家在国内注册</w:t>
      </w:r>
      <w:bookmarkStart w:id="44" w:name="图书馆"/>
      <w:bookmarkEnd w:id="44"/>
      <w:r>
        <w:rPr>
          <w:rFonts w:hint="eastAsia" w:ascii="宋体" w:hAnsi="宋体"/>
          <w:b w:val="0"/>
          <w:bCs/>
          <w:color w:val="000000"/>
          <w:sz w:val="24"/>
        </w:rPr>
        <w:t>成立的剧院管理公司。乙方在本合同项下</w:t>
      </w:r>
      <w:r>
        <w:rPr>
          <w:rFonts w:hint="eastAsia" w:ascii="宋体" w:hAnsi="宋体"/>
          <w:b w:val="0"/>
          <w:bCs/>
          <w:color w:val="000000"/>
          <w:sz w:val="24"/>
          <w:lang w:val="en-US" w:eastAsia="zh-CN"/>
        </w:rPr>
        <w:t>承担</w:t>
      </w:r>
      <w:r>
        <w:rPr>
          <w:rFonts w:hint="eastAsia" w:ascii="宋体" w:hAnsi="宋体"/>
          <w:b w:val="0"/>
          <w:bCs/>
          <w:color w:val="000000"/>
          <w:sz w:val="24"/>
        </w:rPr>
        <w:t>对义乌文化广场剧院资产保值和功能发挥的应尽义务，同时享有在满足社会效益的前提下，取得一定的经济收益的权利。</w:t>
      </w:r>
    </w:p>
    <w:p>
      <w:pPr>
        <w:spacing w:line="430" w:lineRule="exact"/>
        <w:ind w:firstLine="480"/>
        <w:rPr>
          <w:rFonts w:ascii="宋体" w:hAnsi="宋体"/>
          <w:b w:val="0"/>
          <w:bCs/>
          <w:color w:val="000000"/>
          <w:sz w:val="24"/>
        </w:rPr>
      </w:pPr>
      <w:r>
        <w:rPr>
          <w:rFonts w:hint="eastAsia" w:ascii="宋体" w:hAnsi="宋体"/>
          <w:b w:val="0"/>
          <w:bCs/>
          <w:color w:val="000000"/>
          <w:sz w:val="24"/>
        </w:rPr>
        <w:t>2.3双方签约后，由乙方出资在义乌注册成立剧院经营管理公司（以下亦称项目公司）。乙方承担项目公司经营风险及享受项目公司收益。</w:t>
      </w:r>
    </w:p>
    <w:p>
      <w:pPr>
        <w:spacing w:line="430" w:lineRule="exact"/>
        <w:ind w:firstLine="480"/>
        <w:rPr>
          <w:rFonts w:ascii="宋体" w:hAnsi="宋体"/>
          <w:b w:val="0"/>
          <w:bCs/>
          <w:color w:val="000000"/>
          <w:sz w:val="24"/>
        </w:rPr>
      </w:pPr>
      <w:r>
        <w:rPr>
          <w:rFonts w:hint="eastAsia" w:ascii="宋体" w:hAnsi="宋体"/>
          <w:b w:val="0"/>
          <w:bCs/>
          <w:color w:val="000000"/>
          <w:sz w:val="24"/>
        </w:rPr>
        <w:t>2.4项目公司注册成立后负责具体执行本合作经营管理合同，且本合同中乙方作为合作经营的受托方的权利义务一并转让给项目公司。双方同意以项目公司的名义对外开展经营管理活动（具体经营由乙方负责），负责义乌文化广场剧院的演出经营、人员调配、内部分配和舞台设施管理等经营管理工作，完成双方确定的经营管理指标。乙方应作为项目公司的担保人，为项目公司履行合同提供担保。</w:t>
      </w:r>
    </w:p>
    <w:p>
      <w:pPr>
        <w:spacing w:line="430" w:lineRule="exact"/>
        <w:ind w:firstLine="480"/>
        <w:rPr>
          <w:rFonts w:ascii="宋体" w:hAnsi="宋体"/>
          <w:b w:val="0"/>
          <w:bCs/>
          <w:color w:val="000000"/>
          <w:sz w:val="24"/>
        </w:rPr>
      </w:pPr>
      <w:r>
        <w:rPr>
          <w:rFonts w:hint="eastAsia" w:ascii="宋体" w:hAnsi="宋体"/>
          <w:b w:val="0"/>
          <w:bCs/>
          <w:color w:val="000000"/>
          <w:sz w:val="24"/>
        </w:rPr>
        <w:t>第三条  经营管理范围及期限</w:t>
      </w:r>
    </w:p>
    <w:p>
      <w:pPr>
        <w:spacing w:line="430" w:lineRule="exact"/>
        <w:ind w:firstLine="480"/>
        <w:rPr>
          <w:rFonts w:ascii="宋体" w:hAnsi="宋体"/>
          <w:b w:val="0"/>
          <w:bCs/>
          <w:color w:val="000000"/>
          <w:sz w:val="24"/>
        </w:rPr>
      </w:pPr>
      <w:r>
        <w:rPr>
          <w:rFonts w:hint="eastAsia" w:ascii="宋体" w:hAnsi="宋体"/>
          <w:b w:val="0"/>
          <w:bCs/>
          <w:color w:val="000000"/>
          <w:sz w:val="24"/>
        </w:rPr>
        <w:t>3.1经营管理项目名称：义乌文化广场剧院（含剧院以及各附属功能设施）</w:t>
      </w:r>
    </w:p>
    <w:p>
      <w:pPr>
        <w:spacing w:line="430" w:lineRule="exact"/>
        <w:ind w:firstLine="480"/>
        <w:rPr>
          <w:rFonts w:ascii="宋体" w:hAnsi="宋体"/>
          <w:b w:val="0"/>
          <w:bCs/>
          <w:color w:val="000000"/>
          <w:sz w:val="24"/>
        </w:rPr>
      </w:pPr>
      <w:r>
        <w:rPr>
          <w:rFonts w:hint="eastAsia" w:ascii="宋体" w:hAnsi="宋体"/>
          <w:b w:val="0"/>
          <w:bCs/>
          <w:color w:val="000000"/>
          <w:sz w:val="24"/>
        </w:rPr>
        <w:t>3.2经营管理项目地点: 义乌市新科路2号。</w:t>
      </w:r>
    </w:p>
    <w:p>
      <w:pPr>
        <w:spacing w:line="430" w:lineRule="exact"/>
        <w:ind w:firstLine="480"/>
        <w:rPr>
          <w:rFonts w:ascii="宋体" w:hAnsi="宋体"/>
          <w:b w:val="0"/>
          <w:bCs/>
          <w:color w:val="000000"/>
          <w:sz w:val="24"/>
        </w:rPr>
      </w:pPr>
      <w:r>
        <w:rPr>
          <w:rFonts w:hint="eastAsia" w:ascii="宋体" w:hAnsi="宋体"/>
          <w:b w:val="0"/>
          <w:bCs/>
          <w:color w:val="000000"/>
          <w:sz w:val="24"/>
        </w:rPr>
        <w:t>3.3经营管理范围：</w:t>
      </w:r>
    </w:p>
    <w:p>
      <w:pPr>
        <w:spacing w:line="430" w:lineRule="exact"/>
        <w:ind w:firstLine="480"/>
        <w:rPr>
          <w:rFonts w:ascii="宋体" w:hAnsi="宋体"/>
          <w:b w:val="0"/>
          <w:bCs/>
          <w:color w:val="000000"/>
          <w:sz w:val="24"/>
        </w:rPr>
      </w:pPr>
      <w:r>
        <w:rPr>
          <w:rFonts w:hint="eastAsia" w:ascii="宋体" w:hAnsi="宋体"/>
          <w:b w:val="0"/>
          <w:bCs/>
          <w:color w:val="000000"/>
          <w:sz w:val="24"/>
        </w:rPr>
        <w:t>义乌文化广场主剧场、剧院大厅、剧院贵宾室、化妆间、会议室（二楼）、办公室（二楼）、库房及相关公共空间；舞台专业设备设施等。</w:t>
      </w:r>
    </w:p>
    <w:p>
      <w:pPr>
        <w:spacing w:line="430" w:lineRule="exact"/>
        <w:ind w:firstLine="480"/>
        <w:rPr>
          <w:rFonts w:ascii="宋体" w:hAnsi="宋体"/>
          <w:b w:val="0"/>
          <w:bCs/>
          <w:color w:val="000000"/>
          <w:sz w:val="24"/>
        </w:rPr>
      </w:pPr>
      <w:r>
        <w:rPr>
          <w:rFonts w:hint="eastAsia" w:ascii="宋体" w:hAnsi="宋体"/>
          <w:b w:val="0"/>
          <w:bCs/>
          <w:color w:val="000000"/>
          <w:sz w:val="24"/>
        </w:rPr>
        <w:t>3.4经营内容：以组织经营高雅艺术演出为主,以艺术普及、艺术教育、培育高雅艺术演出市场和服务观众的经营活动以及场地租赁活动为辅。其它辅助经营项目须报经甲方同意后方可实施，原则上艺术教育收费必须低于市场价。</w:t>
      </w:r>
    </w:p>
    <w:p>
      <w:pPr>
        <w:spacing w:line="430" w:lineRule="exact"/>
        <w:ind w:firstLine="480"/>
        <w:rPr>
          <w:rFonts w:ascii="宋体" w:hAnsi="宋体"/>
          <w:b w:val="0"/>
          <w:bCs/>
          <w:color w:val="000000"/>
          <w:sz w:val="24"/>
        </w:rPr>
      </w:pPr>
      <w:r>
        <w:rPr>
          <w:rFonts w:hint="eastAsia" w:ascii="宋体" w:hAnsi="宋体"/>
          <w:b w:val="0"/>
          <w:bCs/>
          <w:color w:val="000000"/>
          <w:sz w:val="24"/>
        </w:rPr>
        <w:t>3.5义乌文化广场剧院经营管理期限为3年，自 年 月 日始至 年 月 日止。</w:t>
      </w:r>
    </w:p>
    <w:p>
      <w:pPr>
        <w:spacing w:line="430" w:lineRule="exact"/>
        <w:ind w:firstLine="480"/>
        <w:rPr>
          <w:rFonts w:ascii="宋体" w:hAnsi="宋体"/>
          <w:b w:val="0"/>
          <w:bCs/>
          <w:color w:val="auto"/>
          <w:sz w:val="24"/>
          <w:highlight w:val="none"/>
        </w:rPr>
      </w:pPr>
      <w:r>
        <w:rPr>
          <w:rFonts w:hint="eastAsia" w:ascii="宋体" w:hAnsi="宋体"/>
          <w:b w:val="0"/>
          <w:bCs/>
          <w:color w:val="auto"/>
          <w:sz w:val="24"/>
          <w:highlight w:val="none"/>
        </w:rPr>
        <w:t>3.6在本合同履行过程中，如甲、乙双方同意采用其它经营管理方式，应另行签署合同，新的合同生效之日起，本合同自动终止。</w:t>
      </w:r>
    </w:p>
    <w:p>
      <w:pPr>
        <w:spacing w:line="430" w:lineRule="exact"/>
        <w:rPr>
          <w:rFonts w:ascii="宋体" w:hAnsi="宋体"/>
          <w:b w:val="0"/>
          <w:bCs/>
          <w:color w:val="000000"/>
          <w:sz w:val="24"/>
        </w:rPr>
      </w:pPr>
      <w:r>
        <w:rPr>
          <w:rFonts w:hint="eastAsia" w:ascii="宋体" w:hAnsi="宋体"/>
          <w:b w:val="0"/>
          <w:bCs/>
          <w:color w:val="000000"/>
          <w:sz w:val="24"/>
        </w:rPr>
        <w:t xml:space="preserve">  第四条 剧目资金及其他费用</w:t>
      </w:r>
    </w:p>
    <w:p>
      <w:pPr>
        <w:spacing w:line="430" w:lineRule="exact"/>
        <w:ind w:firstLine="480"/>
        <w:rPr>
          <w:rFonts w:ascii="宋体" w:hAnsi="宋体"/>
          <w:b w:val="0"/>
          <w:bCs/>
          <w:color w:val="000000"/>
          <w:sz w:val="24"/>
        </w:rPr>
      </w:pPr>
      <w:r>
        <w:rPr>
          <w:rFonts w:hint="eastAsia" w:ascii="宋体" w:hAnsi="宋体"/>
          <w:b w:val="0"/>
          <w:bCs/>
          <w:color w:val="000000"/>
          <w:sz w:val="24"/>
        </w:rPr>
        <w:t>4.1义乌文化广场剧院剧目采购经费按每年市财政实际拨付为准（该费用含剧场设施设备日常维护）。</w:t>
      </w:r>
    </w:p>
    <w:p>
      <w:pPr>
        <w:spacing w:line="430" w:lineRule="exact"/>
        <w:ind w:firstLine="480"/>
        <w:rPr>
          <w:rFonts w:ascii="宋体" w:hAnsi="宋体"/>
          <w:b w:val="0"/>
          <w:bCs/>
          <w:strike/>
          <w:color w:val="000000"/>
          <w:sz w:val="24"/>
        </w:rPr>
      </w:pPr>
      <w:r>
        <w:rPr>
          <w:rFonts w:hint="eastAsia" w:ascii="宋体" w:hAnsi="宋体"/>
          <w:b w:val="0"/>
          <w:bCs/>
          <w:color w:val="000000"/>
          <w:sz w:val="24"/>
        </w:rPr>
        <w:t>4.2从 年 月 日开始，由乙方代为支付剧目采购经费400万元</w:t>
      </w:r>
      <w:r>
        <w:rPr>
          <w:rFonts w:hint="eastAsia" w:ascii="宋体" w:hAnsi="宋体"/>
          <w:b w:val="0"/>
          <w:bCs/>
          <w:color w:val="auto"/>
          <w:sz w:val="24"/>
        </w:rPr>
        <w:t>(2024财政年度)</w:t>
      </w:r>
      <w:r>
        <w:rPr>
          <w:rFonts w:hint="eastAsia" w:ascii="宋体" w:hAnsi="宋体"/>
          <w:b w:val="0"/>
          <w:bCs/>
          <w:color w:val="000000"/>
          <w:sz w:val="24"/>
        </w:rPr>
        <w:t>; 乙方负责文化馆水电能耗超出130万元之外</w:t>
      </w:r>
      <w:r>
        <w:rPr>
          <w:rFonts w:hint="eastAsia" w:ascii="宋体" w:hAnsi="宋体"/>
          <w:b w:val="0"/>
          <w:bCs/>
          <w:color w:val="000000"/>
          <w:sz w:val="24"/>
          <w:lang w:val="zh-CN"/>
        </w:rPr>
        <w:t>的水电能耗费</w:t>
      </w:r>
      <w:r>
        <w:rPr>
          <w:rFonts w:hint="eastAsia" w:ascii="宋体" w:hAnsi="宋体"/>
          <w:b w:val="0"/>
          <w:bCs/>
          <w:color w:val="000000"/>
          <w:sz w:val="24"/>
        </w:rPr>
        <w:t>部分、剧院天然气购置费、设备日常维护费、耗材、管理团队人员工资、剧院内保洁保安费、行政办公等其他开支，由乙方通过演出经营、社会赞助、租场及其它商业经营收入予以开支。</w:t>
      </w:r>
    </w:p>
    <w:p>
      <w:pPr>
        <w:spacing w:line="430" w:lineRule="exact"/>
        <w:ind w:firstLine="480"/>
        <w:rPr>
          <w:rFonts w:ascii="宋体" w:hAnsi="宋体"/>
          <w:b w:val="0"/>
          <w:bCs/>
          <w:color w:val="000000"/>
          <w:sz w:val="24"/>
        </w:rPr>
      </w:pPr>
      <w:r>
        <w:rPr>
          <w:rFonts w:hint="eastAsia" w:ascii="宋体" w:hAnsi="宋体"/>
          <w:b w:val="0"/>
          <w:bCs/>
          <w:color w:val="000000"/>
          <w:sz w:val="24"/>
        </w:rPr>
        <w:t>4.3乙方每年需购买不低于500万元的公众责任险，确保剧场内外的人员及设备安全。</w:t>
      </w:r>
    </w:p>
    <w:p>
      <w:pPr>
        <w:spacing w:line="430" w:lineRule="exact"/>
        <w:ind w:firstLine="480"/>
        <w:rPr>
          <w:rFonts w:ascii="宋体" w:hAnsi="宋体"/>
          <w:b w:val="0"/>
          <w:bCs/>
          <w:color w:val="000000"/>
          <w:sz w:val="24"/>
        </w:rPr>
      </w:pPr>
      <w:r>
        <w:rPr>
          <w:rFonts w:hint="eastAsia" w:ascii="宋体" w:hAnsi="宋体"/>
          <w:b w:val="0"/>
          <w:bCs/>
          <w:color w:val="000000"/>
          <w:sz w:val="24"/>
        </w:rPr>
        <w:t>4.4剧目采购经费每半年支付一次，分别为每年4月底、9月底，每次支付剧目采购经费的50%。若遇法定节假日或特殊情况则支付时间顺延但不超过15天。合同期最后一年剧目采购经费的支付方式为分4次支付，分别为4月、6月、8月、11月。</w:t>
      </w:r>
    </w:p>
    <w:p>
      <w:pPr>
        <w:spacing w:line="430" w:lineRule="exact"/>
        <w:ind w:firstLine="480"/>
        <w:rPr>
          <w:rFonts w:ascii="宋体" w:hAnsi="宋体"/>
          <w:b w:val="0"/>
          <w:bCs/>
          <w:color w:val="000000"/>
          <w:sz w:val="24"/>
        </w:rPr>
      </w:pPr>
      <w:r>
        <w:rPr>
          <w:rFonts w:hint="eastAsia" w:ascii="宋体" w:hAnsi="宋体"/>
          <w:b w:val="0"/>
          <w:bCs/>
          <w:color w:val="000000"/>
          <w:sz w:val="24"/>
        </w:rPr>
        <w:t>第五条 经营管理指标与场次</w:t>
      </w:r>
    </w:p>
    <w:p>
      <w:pPr>
        <w:spacing w:line="430" w:lineRule="exact"/>
        <w:ind w:firstLine="480"/>
        <w:rPr>
          <w:rFonts w:ascii="宋体" w:hAnsi="宋体"/>
          <w:b w:val="0"/>
          <w:bCs/>
          <w:color w:val="000000"/>
          <w:sz w:val="24"/>
        </w:rPr>
      </w:pPr>
      <w:r>
        <w:rPr>
          <w:rFonts w:hint="eastAsia" w:ascii="宋体" w:hAnsi="宋体"/>
          <w:b w:val="0"/>
          <w:bCs/>
          <w:color w:val="000000"/>
          <w:sz w:val="24"/>
        </w:rPr>
        <w:t>5.1管理规范</w:t>
      </w:r>
    </w:p>
    <w:p>
      <w:pPr>
        <w:spacing w:line="430" w:lineRule="exact"/>
        <w:ind w:firstLine="480"/>
        <w:rPr>
          <w:rFonts w:ascii="宋体" w:hAnsi="宋体"/>
          <w:b w:val="0"/>
          <w:bCs/>
          <w:color w:val="000000"/>
          <w:sz w:val="24"/>
        </w:rPr>
      </w:pPr>
      <w:r>
        <w:rPr>
          <w:rFonts w:hint="eastAsia" w:ascii="宋体" w:hAnsi="宋体"/>
          <w:b w:val="0"/>
          <w:bCs/>
          <w:color w:val="000000"/>
          <w:sz w:val="24"/>
        </w:rPr>
        <w:t>5.1.1乙方在签约后的4个月内制定出《义乌文化广场剧院管理规范》并获得法定演出机构所有一切相关合法批文，报甲方备案，包括但不限于以下内容：</w:t>
      </w:r>
    </w:p>
    <w:p>
      <w:pPr>
        <w:spacing w:line="430" w:lineRule="exact"/>
        <w:ind w:firstLine="480"/>
        <w:rPr>
          <w:rFonts w:ascii="宋体" w:hAnsi="宋体"/>
          <w:b w:val="0"/>
          <w:bCs/>
          <w:color w:val="000000"/>
          <w:sz w:val="24"/>
        </w:rPr>
      </w:pPr>
      <w:r>
        <w:rPr>
          <w:rFonts w:hint="eastAsia" w:ascii="宋体" w:hAnsi="宋体"/>
          <w:b w:val="0"/>
          <w:bCs/>
          <w:color w:val="000000"/>
          <w:sz w:val="24"/>
        </w:rPr>
        <w:t>5.1.1.1 业务运作规范：</w:t>
      </w:r>
    </w:p>
    <w:p>
      <w:pPr>
        <w:spacing w:line="430" w:lineRule="exact"/>
        <w:ind w:firstLine="480"/>
        <w:rPr>
          <w:rFonts w:ascii="宋体" w:hAnsi="宋体"/>
          <w:b w:val="0"/>
          <w:bCs/>
          <w:color w:val="000000"/>
          <w:sz w:val="24"/>
        </w:rPr>
      </w:pPr>
      <w:r>
        <w:rPr>
          <w:rFonts w:hint="eastAsia" w:ascii="宋体" w:hAnsi="宋体"/>
          <w:b w:val="0"/>
          <w:bCs/>
          <w:color w:val="000000"/>
          <w:sz w:val="24"/>
        </w:rPr>
        <w:t>（1）演出策划运作制度；</w:t>
      </w:r>
    </w:p>
    <w:p>
      <w:pPr>
        <w:spacing w:line="430" w:lineRule="exact"/>
        <w:ind w:firstLine="480"/>
        <w:rPr>
          <w:rFonts w:ascii="宋体" w:hAnsi="宋体"/>
          <w:b w:val="0"/>
          <w:bCs/>
          <w:color w:val="000000"/>
          <w:sz w:val="24"/>
        </w:rPr>
      </w:pPr>
      <w:r>
        <w:rPr>
          <w:rFonts w:hint="eastAsia" w:ascii="宋体" w:hAnsi="宋体"/>
          <w:b w:val="0"/>
          <w:bCs/>
          <w:color w:val="000000"/>
          <w:sz w:val="24"/>
        </w:rPr>
        <w:t>（2）宣传推介运作制度；</w:t>
      </w:r>
    </w:p>
    <w:p>
      <w:pPr>
        <w:spacing w:line="430" w:lineRule="exact"/>
        <w:ind w:firstLine="480"/>
        <w:rPr>
          <w:rFonts w:ascii="宋体" w:hAnsi="宋体"/>
          <w:b w:val="0"/>
          <w:bCs/>
          <w:color w:val="000000"/>
          <w:sz w:val="24"/>
        </w:rPr>
      </w:pPr>
      <w:r>
        <w:rPr>
          <w:rFonts w:hint="eastAsia" w:ascii="宋体" w:hAnsi="宋体"/>
          <w:b w:val="0"/>
          <w:bCs/>
          <w:color w:val="000000"/>
          <w:sz w:val="24"/>
        </w:rPr>
        <w:t>（3）市场营销运作制度；</w:t>
      </w:r>
    </w:p>
    <w:p>
      <w:pPr>
        <w:spacing w:line="430" w:lineRule="exact"/>
        <w:ind w:firstLine="480"/>
        <w:rPr>
          <w:rFonts w:ascii="宋体" w:hAnsi="宋体"/>
          <w:b w:val="0"/>
          <w:bCs/>
          <w:color w:val="000000"/>
          <w:sz w:val="24"/>
        </w:rPr>
      </w:pPr>
      <w:r>
        <w:rPr>
          <w:rFonts w:hint="eastAsia" w:ascii="宋体" w:hAnsi="宋体"/>
          <w:b w:val="0"/>
          <w:bCs/>
          <w:color w:val="000000"/>
          <w:sz w:val="24"/>
        </w:rPr>
        <w:t>（4）演职人员管理规定；</w:t>
      </w:r>
    </w:p>
    <w:p>
      <w:pPr>
        <w:spacing w:line="430" w:lineRule="exact"/>
        <w:ind w:firstLine="480"/>
        <w:rPr>
          <w:rFonts w:ascii="宋体" w:hAnsi="宋体"/>
          <w:b w:val="0"/>
          <w:bCs/>
          <w:color w:val="000000"/>
          <w:sz w:val="24"/>
        </w:rPr>
      </w:pPr>
      <w:r>
        <w:rPr>
          <w:rFonts w:hint="eastAsia" w:ascii="宋体" w:hAnsi="宋体"/>
          <w:b w:val="0"/>
          <w:bCs/>
          <w:color w:val="000000"/>
          <w:sz w:val="24"/>
        </w:rPr>
        <w:t>（5）观众须知；</w:t>
      </w:r>
    </w:p>
    <w:p>
      <w:pPr>
        <w:spacing w:line="430" w:lineRule="exact"/>
        <w:ind w:firstLine="480"/>
        <w:rPr>
          <w:rFonts w:ascii="宋体" w:hAnsi="宋体"/>
          <w:b w:val="0"/>
          <w:bCs/>
          <w:color w:val="000000"/>
          <w:sz w:val="24"/>
        </w:rPr>
      </w:pPr>
      <w:r>
        <w:rPr>
          <w:rFonts w:hint="eastAsia" w:ascii="宋体" w:hAnsi="宋体"/>
          <w:b w:val="0"/>
          <w:bCs/>
          <w:color w:val="000000"/>
          <w:sz w:val="24"/>
        </w:rPr>
        <w:t>（6）演出项目（业务接待）管理制度；</w:t>
      </w:r>
    </w:p>
    <w:p>
      <w:pPr>
        <w:spacing w:line="430" w:lineRule="exact"/>
        <w:ind w:firstLine="480"/>
        <w:rPr>
          <w:rFonts w:ascii="宋体" w:hAnsi="宋体"/>
          <w:b w:val="0"/>
          <w:bCs/>
          <w:color w:val="000000"/>
          <w:sz w:val="24"/>
        </w:rPr>
      </w:pPr>
      <w:r>
        <w:rPr>
          <w:rFonts w:hint="eastAsia" w:ascii="宋体" w:hAnsi="宋体"/>
          <w:b w:val="0"/>
          <w:bCs/>
          <w:color w:val="000000"/>
          <w:sz w:val="24"/>
        </w:rPr>
        <w:t>（7）音响专业（包括：主扩声系统、视频监控系统、可变建声装置）工作程序和规范；</w:t>
      </w:r>
    </w:p>
    <w:p>
      <w:pPr>
        <w:spacing w:line="430" w:lineRule="exact"/>
        <w:ind w:firstLine="480"/>
        <w:rPr>
          <w:rFonts w:ascii="宋体" w:hAnsi="宋体"/>
          <w:b w:val="0"/>
          <w:bCs/>
          <w:color w:val="000000"/>
          <w:sz w:val="24"/>
        </w:rPr>
      </w:pPr>
      <w:r>
        <w:rPr>
          <w:rFonts w:hint="eastAsia" w:ascii="宋体" w:hAnsi="宋体"/>
          <w:b w:val="0"/>
          <w:bCs/>
          <w:color w:val="000000"/>
          <w:sz w:val="24"/>
        </w:rPr>
        <w:t>（8）灯光专业（包括：灯光控制台、调光控制台、舞台灯具、字幕机等灯光专业设备）操作程序和规范；</w:t>
      </w:r>
    </w:p>
    <w:p>
      <w:pPr>
        <w:spacing w:line="430" w:lineRule="exact"/>
        <w:ind w:firstLine="480"/>
        <w:rPr>
          <w:rFonts w:ascii="宋体" w:hAnsi="宋体"/>
          <w:b w:val="0"/>
          <w:bCs/>
          <w:color w:val="000000"/>
          <w:sz w:val="24"/>
        </w:rPr>
      </w:pPr>
      <w:r>
        <w:rPr>
          <w:rFonts w:hint="eastAsia" w:ascii="宋体" w:hAnsi="宋体"/>
          <w:b w:val="0"/>
          <w:bCs/>
          <w:color w:val="000000"/>
          <w:sz w:val="24"/>
        </w:rPr>
        <w:t>（9）舞台机械专业（包括：主升降台、乐池、转台、大幕、侧台、防火幕、反音罩、电动吊杆、手动吊杆等舞台机械）操作程序和规范；</w:t>
      </w:r>
    </w:p>
    <w:p>
      <w:pPr>
        <w:spacing w:line="430" w:lineRule="exact"/>
        <w:ind w:firstLine="480"/>
        <w:rPr>
          <w:rFonts w:ascii="宋体" w:hAnsi="宋体"/>
          <w:b w:val="0"/>
          <w:bCs/>
          <w:color w:val="000000"/>
          <w:sz w:val="24"/>
        </w:rPr>
      </w:pPr>
      <w:r>
        <w:rPr>
          <w:rFonts w:hint="eastAsia" w:ascii="宋体" w:hAnsi="宋体"/>
          <w:b w:val="0"/>
          <w:bCs/>
          <w:color w:val="000000"/>
          <w:sz w:val="24"/>
        </w:rPr>
        <w:t>（10）演出设备（包括：机械设备、音响设备、灯光设备、钢琴等设备）检修保养制度；</w:t>
      </w:r>
    </w:p>
    <w:p>
      <w:pPr>
        <w:spacing w:line="430" w:lineRule="exact"/>
        <w:ind w:firstLine="480"/>
        <w:rPr>
          <w:rFonts w:ascii="宋体" w:hAnsi="宋体"/>
          <w:b w:val="0"/>
          <w:bCs/>
          <w:color w:val="000000"/>
          <w:sz w:val="24"/>
        </w:rPr>
      </w:pPr>
      <w:r>
        <w:rPr>
          <w:rFonts w:hint="eastAsia" w:ascii="宋体" w:hAnsi="宋体"/>
          <w:b w:val="0"/>
          <w:bCs/>
          <w:color w:val="000000"/>
          <w:sz w:val="24"/>
        </w:rPr>
        <w:t>（11）票务销售（包括：电脑售票系统、演出票券管理、会员购票预订管理、票务推广）工作程序和规范；</w:t>
      </w:r>
    </w:p>
    <w:p>
      <w:pPr>
        <w:spacing w:line="430" w:lineRule="exact"/>
        <w:ind w:firstLine="480"/>
        <w:rPr>
          <w:rFonts w:ascii="宋体" w:hAnsi="宋体"/>
          <w:b w:val="0"/>
          <w:bCs/>
          <w:color w:val="000000"/>
          <w:sz w:val="24"/>
        </w:rPr>
      </w:pPr>
      <w:r>
        <w:rPr>
          <w:rFonts w:hint="eastAsia" w:ascii="宋体" w:hAnsi="宋体"/>
          <w:b w:val="0"/>
          <w:bCs/>
          <w:color w:val="000000"/>
          <w:sz w:val="24"/>
        </w:rPr>
        <w:t>（12）演出服务（包括：剧场服务、贵宾厅服务、后台服务）工作程序与规范；</w:t>
      </w:r>
    </w:p>
    <w:p>
      <w:pPr>
        <w:spacing w:line="430" w:lineRule="exact"/>
        <w:ind w:firstLine="480"/>
        <w:rPr>
          <w:rFonts w:ascii="宋体" w:hAnsi="宋体"/>
          <w:b w:val="0"/>
          <w:bCs/>
          <w:color w:val="000000"/>
          <w:sz w:val="24"/>
        </w:rPr>
      </w:pPr>
      <w:r>
        <w:rPr>
          <w:rFonts w:hint="eastAsia" w:ascii="宋体" w:hAnsi="宋体"/>
          <w:b w:val="0"/>
          <w:bCs/>
          <w:color w:val="000000"/>
          <w:sz w:val="24"/>
        </w:rPr>
        <w:t>（13）钢琴、乐队谱架、乐队平台工作程序与规范；</w:t>
      </w:r>
    </w:p>
    <w:p>
      <w:pPr>
        <w:spacing w:line="430" w:lineRule="exact"/>
        <w:ind w:firstLine="480"/>
        <w:rPr>
          <w:rFonts w:ascii="宋体" w:hAnsi="宋体"/>
          <w:b w:val="0"/>
          <w:bCs/>
          <w:color w:val="000000"/>
          <w:sz w:val="24"/>
        </w:rPr>
      </w:pPr>
      <w:r>
        <w:rPr>
          <w:rFonts w:hint="eastAsia" w:ascii="宋体" w:hAnsi="宋体"/>
          <w:b w:val="0"/>
          <w:bCs/>
          <w:color w:val="000000"/>
          <w:sz w:val="24"/>
        </w:rPr>
        <w:t>（14）装台、演出、卸台工作程序和规范；</w:t>
      </w:r>
    </w:p>
    <w:p>
      <w:pPr>
        <w:spacing w:line="430" w:lineRule="exact"/>
        <w:ind w:firstLine="480"/>
        <w:rPr>
          <w:rFonts w:ascii="宋体" w:hAnsi="宋体"/>
          <w:b w:val="0"/>
          <w:bCs/>
          <w:color w:val="000000"/>
          <w:sz w:val="24"/>
        </w:rPr>
      </w:pPr>
      <w:r>
        <w:rPr>
          <w:rFonts w:hint="eastAsia" w:ascii="宋体" w:hAnsi="宋体"/>
          <w:b w:val="0"/>
          <w:bCs/>
          <w:color w:val="000000"/>
          <w:sz w:val="24"/>
        </w:rPr>
        <w:t>（15）演出设备、场地租借管理制度；</w:t>
      </w:r>
    </w:p>
    <w:p>
      <w:pPr>
        <w:spacing w:line="430" w:lineRule="exact"/>
        <w:ind w:firstLine="480"/>
        <w:rPr>
          <w:rFonts w:ascii="宋体" w:hAnsi="宋体"/>
          <w:b w:val="0"/>
          <w:bCs/>
          <w:color w:val="000000"/>
          <w:sz w:val="24"/>
        </w:rPr>
      </w:pPr>
      <w:r>
        <w:rPr>
          <w:rFonts w:hint="eastAsia" w:ascii="宋体" w:hAnsi="宋体"/>
          <w:b w:val="0"/>
          <w:bCs/>
          <w:color w:val="000000"/>
          <w:sz w:val="24"/>
        </w:rPr>
        <w:t>（16）工程通用设备的物业管理规范；</w:t>
      </w:r>
    </w:p>
    <w:p>
      <w:pPr>
        <w:spacing w:line="430" w:lineRule="exact"/>
        <w:ind w:firstLine="480"/>
        <w:rPr>
          <w:rFonts w:ascii="宋体" w:hAnsi="宋体"/>
          <w:b w:val="0"/>
          <w:bCs/>
          <w:color w:val="000000"/>
          <w:sz w:val="24"/>
        </w:rPr>
      </w:pPr>
      <w:r>
        <w:rPr>
          <w:rFonts w:hint="eastAsia" w:ascii="宋体" w:hAnsi="宋体"/>
          <w:b w:val="0"/>
          <w:bCs/>
          <w:color w:val="000000"/>
          <w:sz w:val="24"/>
        </w:rPr>
        <w:t>（17）影院运营管理规范；</w:t>
      </w:r>
    </w:p>
    <w:p>
      <w:pPr>
        <w:spacing w:line="430" w:lineRule="exact"/>
        <w:ind w:firstLine="480"/>
        <w:rPr>
          <w:rFonts w:ascii="宋体" w:hAnsi="宋体"/>
          <w:b w:val="0"/>
          <w:bCs/>
          <w:color w:val="000000"/>
          <w:sz w:val="24"/>
        </w:rPr>
      </w:pPr>
      <w:r>
        <w:rPr>
          <w:rFonts w:hint="eastAsia" w:ascii="宋体" w:hAnsi="宋体"/>
          <w:b w:val="0"/>
          <w:bCs/>
          <w:color w:val="000000"/>
          <w:sz w:val="24"/>
        </w:rPr>
        <w:t>（18）应急预案。</w:t>
      </w:r>
    </w:p>
    <w:p>
      <w:pPr>
        <w:spacing w:line="430" w:lineRule="exact"/>
        <w:ind w:firstLine="480"/>
        <w:rPr>
          <w:rFonts w:ascii="宋体" w:hAnsi="宋体"/>
          <w:b w:val="0"/>
          <w:bCs/>
          <w:color w:val="000000"/>
          <w:sz w:val="24"/>
        </w:rPr>
      </w:pPr>
      <w:r>
        <w:rPr>
          <w:rFonts w:hint="eastAsia" w:ascii="宋体" w:hAnsi="宋体"/>
          <w:b w:val="0"/>
          <w:bCs/>
          <w:color w:val="000000"/>
          <w:sz w:val="24"/>
        </w:rPr>
        <w:t>5.1.1.2内部管理制度</w:t>
      </w:r>
    </w:p>
    <w:p>
      <w:pPr>
        <w:spacing w:line="430" w:lineRule="exact"/>
        <w:ind w:firstLine="480"/>
        <w:rPr>
          <w:rFonts w:ascii="宋体" w:hAnsi="宋体"/>
          <w:b w:val="0"/>
          <w:bCs/>
          <w:color w:val="000000"/>
          <w:sz w:val="24"/>
        </w:rPr>
      </w:pPr>
      <w:r>
        <w:rPr>
          <w:rFonts w:hint="eastAsia" w:ascii="宋体" w:hAnsi="宋体"/>
          <w:b w:val="0"/>
          <w:bCs/>
          <w:color w:val="000000"/>
          <w:sz w:val="24"/>
        </w:rPr>
        <w:t>（1）员工守则；</w:t>
      </w:r>
    </w:p>
    <w:p>
      <w:pPr>
        <w:spacing w:line="430" w:lineRule="exact"/>
        <w:ind w:firstLine="480"/>
        <w:rPr>
          <w:rFonts w:ascii="宋体" w:hAnsi="宋体"/>
          <w:b w:val="0"/>
          <w:bCs/>
          <w:color w:val="000000"/>
          <w:sz w:val="24"/>
        </w:rPr>
      </w:pPr>
      <w:r>
        <w:rPr>
          <w:rFonts w:hint="eastAsia" w:ascii="宋体" w:hAnsi="宋体"/>
          <w:b w:val="0"/>
          <w:bCs/>
          <w:color w:val="000000"/>
          <w:sz w:val="24"/>
        </w:rPr>
        <w:t>（2）工作人员岗位职责；</w:t>
      </w:r>
    </w:p>
    <w:p>
      <w:pPr>
        <w:spacing w:line="430" w:lineRule="exact"/>
        <w:ind w:firstLine="480"/>
        <w:rPr>
          <w:rFonts w:ascii="宋体" w:hAnsi="宋体"/>
          <w:b w:val="0"/>
          <w:bCs/>
          <w:color w:val="000000"/>
          <w:sz w:val="24"/>
        </w:rPr>
      </w:pPr>
      <w:r>
        <w:rPr>
          <w:rFonts w:hint="eastAsia" w:ascii="宋体" w:hAnsi="宋体"/>
          <w:b w:val="0"/>
          <w:bCs/>
          <w:color w:val="000000"/>
          <w:sz w:val="24"/>
        </w:rPr>
        <w:t>（3）人事管理制度；</w:t>
      </w:r>
    </w:p>
    <w:p>
      <w:pPr>
        <w:spacing w:line="430" w:lineRule="exact"/>
        <w:ind w:firstLine="480"/>
        <w:rPr>
          <w:rFonts w:ascii="宋体" w:hAnsi="宋体"/>
          <w:b w:val="0"/>
          <w:bCs/>
          <w:color w:val="000000"/>
          <w:sz w:val="24"/>
        </w:rPr>
      </w:pPr>
      <w:r>
        <w:rPr>
          <w:rFonts w:hint="eastAsia" w:ascii="宋体" w:hAnsi="宋体"/>
          <w:b w:val="0"/>
          <w:bCs/>
          <w:color w:val="000000"/>
          <w:sz w:val="24"/>
        </w:rPr>
        <w:t>（4）财务管理制度；</w:t>
      </w:r>
    </w:p>
    <w:p>
      <w:pPr>
        <w:spacing w:line="430" w:lineRule="exact"/>
        <w:ind w:firstLine="480"/>
        <w:rPr>
          <w:rFonts w:ascii="宋体" w:hAnsi="宋体"/>
          <w:b w:val="0"/>
          <w:bCs/>
          <w:color w:val="000000"/>
          <w:sz w:val="24"/>
        </w:rPr>
      </w:pPr>
      <w:r>
        <w:rPr>
          <w:rFonts w:hint="eastAsia" w:ascii="宋体" w:hAnsi="宋体"/>
          <w:b w:val="0"/>
          <w:bCs/>
          <w:color w:val="000000"/>
          <w:sz w:val="24"/>
        </w:rPr>
        <w:t>（5）工资福利制度；</w:t>
      </w:r>
    </w:p>
    <w:p>
      <w:pPr>
        <w:spacing w:line="430" w:lineRule="exact"/>
        <w:ind w:firstLine="480"/>
        <w:rPr>
          <w:rFonts w:ascii="宋体" w:hAnsi="宋体"/>
          <w:b w:val="0"/>
          <w:bCs/>
          <w:color w:val="000000"/>
          <w:sz w:val="24"/>
        </w:rPr>
      </w:pPr>
      <w:r>
        <w:rPr>
          <w:rFonts w:hint="eastAsia" w:ascii="宋体" w:hAnsi="宋体"/>
          <w:b w:val="0"/>
          <w:bCs/>
          <w:color w:val="000000"/>
          <w:sz w:val="24"/>
        </w:rPr>
        <w:t>（6）培训考核制度；</w:t>
      </w:r>
    </w:p>
    <w:p>
      <w:pPr>
        <w:spacing w:line="430" w:lineRule="exact"/>
        <w:ind w:firstLine="480"/>
        <w:rPr>
          <w:rFonts w:ascii="宋体" w:hAnsi="宋体"/>
          <w:b w:val="0"/>
          <w:bCs/>
          <w:color w:val="000000"/>
          <w:sz w:val="24"/>
        </w:rPr>
      </w:pPr>
      <w:r>
        <w:rPr>
          <w:rFonts w:hint="eastAsia" w:ascii="宋体" w:hAnsi="宋体"/>
          <w:b w:val="0"/>
          <w:bCs/>
          <w:color w:val="000000"/>
          <w:sz w:val="24"/>
        </w:rPr>
        <w:t>（7）考勤管理制度；</w:t>
      </w:r>
    </w:p>
    <w:p>
      <w:pPr>
        <w:spacing w:line="430" w:lineRule="exact"/>
        <w:ind w:firstLine="480"/>
        <w:rPr>
          <w:rFonts w:ascii="宋体" w:hAnsi="宋体"/>
          <w:b w:val="0"/>
          <w:bCs/>
          <w:color w:val="000000"/>
          <w:sz w:val="24"/>
        </w:rPr>
      </w:pPr>
      <w:r>
        <w:rPr>
          <w:rFonts w:hint="eastAsia" w:ascii="宋体" w:hAnsi="宋体"/>
          <w:b w:val="0"/>
          <w:bCs/>
          <w:color w:val="000000"/>
          <w:sz w:val="24"/>
        </w:rPr>
        <w:t>（8）检查讲评制度；</w:t>
      </w:r>
    </w:p>
    <w:p>
      <w:pPr>
        <w:spacing w:line="430" w:lineRule="exact"/>
        <w:ind w:firstLine="480"/>
        <w:rPr>
          <w:rFonts w:ascii="宋体" w:hAnsi="宋体"/>
          <w:b w:val="0"/>
          <w:bCs/>
          <w:color w:val="000000"/>
          <w:sz w:val="24"/>
        </w:rPr>
      </w:pPr>
      <w:r>
        <w:rPr>
          <w:rFonts w:hint="eastAsia" w:ascii="宋体" w:hAnsi="宋体"/>
          <w:b w:val="0"/>
          <w:bCs/>
          <w:color w:val="000000"/>
          <w:sz w:val="24"/>
        </w:rPr>
        <w:t>（9）工作奖惩制度；</w:t>
      </w:r>
    </w:p>
    <w:p>
      <w:pPr>
        <w:spacing w:line="430" w:lineRule="exact"/>
        <w:ind w:firstLine="480"/>
        <w:rPr>
          <w:rFonts w:ascii="宋体" w:hAnsi="宋体"/>
          <w:b w:val="0"/>
          <w:bCs/>
          <w:color w:val="000000"/>
          <w:sz w:val="24"/>
        </w:rPr>
      </w:pPr>
      <w:r>
        <w:rPr>
          <w:rFonts w:hint="eastAsia" w:ascii="宋体" w:hAnsi="宋体"/>
          <w:b w:val="0"/>
          <w:bCs/>
          <w:color w:val="000000"/>
          <w:sz w:val="24"/>
        </w:rPr>
        <w:t>（10）档案管理制度；</w:t>
      </w:r>
    </w:p>
    <w:p>
      <w:pPr>
        <w:spacing w:line="430" w:lineRule="exact"/>
        <w:ind w:firstLine="480"/>
        <w:rPr>
          <w:rFonts w:ascii="宋体" w:hAnsi="宋体"/>
          <w:b w:val="0"/>
          <w:bCs/>
          <w:color w:val="000000"/>
          <w:sz w:val="24"/>
        </w:rPr>
      </w:pPr>
      <w:r>
        <w:rPr>
          <w:rFonts w:hint="eastAsia" w:ascii="宋体" w:hAnsi="宋体"/>
          <w:b w:val="0"/>
          <w:bCs/>
          <w:color w:val="000000"/>
          <w:sz w:val="24"/>
        </w:rPr>
        <w:t>（11）观众满意程度指标和检测制度；</w:t>
      </w:r>
    </w:p>
    <w:p>
      <w:pPr>
        <w:spacing w:line="430" w:lineRule="exact"/>
        <w:ind w:firstLine="480"/>
        <w:rPr>
          <w:rFonts w:ascii="宋体" w:hAnsi="宋体"/>
          <w:b w:val="0"/>
          <w:bCs/>
          <w:color w:val="000000"/>
          <w:sz w:val="24"/>
        </w:rPr>
      </w:pPr>
      <w:r>
        <w:rPr>
          <w:rFonts w:hint="eastAsia" w:ascii="宋体" w:hAnsi="宋体"/>
          <w:b w:val="0"/>
          <w:bCs/>
          <w:color w:val="000000"/>
          <w:sz w:val="24"/>
        </w:rPr>
        <w:t>（12）财产安全、捡拾物品、重要部位、演职人员出入口等管理规定；</w:t>
      </w:r>
    </w:p>
    <w:p>
      <w:pPr>
        <w:spacing w:line="430" w:lineRule="exact"/>
        <w:ind w:firstLine="480"/>
        <w:rPr>
          <w:rFonts w:ascii="宋体" w:hAnsi="宋体"/>
          <w:b w:val="0"/>
          <w:bCs/>
          <w:color w:val="000000"/>
          <w:sz w:val="24"/>
        </w:rPr>
      </w:pPr>
      <w:r>
        <w:rPr>
          <w:rFonts w:hint="eastAsia" w:ascii="宋体" w:hAnsi="宋体"/>
          <w:b w:val="0"/>
          <w:bCs/>
          <w:color w:val="000000"/>
          <w:sz w:val="24"/>
        </w:rPr>
        <w:t>（13）剧院消防安全管理制度。</w:t>
      </w:r>
    </w:p>
    <w:p>
      <w:pPr>
        <w:spacing w:line="430" w:lineRule="exact"/>
        <w:ind w:firstLine="480"/>
        <w:rPr>
          <w:rFonts w:ascii="宋体" w:hAnsi="宋体"/>
          <w:b w:val="0"/>
          <w:bCs/>
          <w:color w:val="000000"/>
          <w:sz w:val="24"/>
        </w:rPr>
      </w:pPr>
      <w:r>
        <w:rPr>
          <w:rFonts w:hint="eastAsia" w:ascii="宋体" w:hAnsi="宋体"/>
          <w:b w:val="0"/>
          <w:bCs/>
          <w:color w:val="000000"/>
          <w:sz w:val="24"/>
        </w:rPr>
        <w:t>5.1.2乙方承诺在 年 月 日前，建立一套先进的规范化管理体系。</w:t>
      </w:r>
    </w:p>
    <w:p>
      <w:pPr>
        <w:spacing w:line="430" w:lineRule="exact"/>
        <w:ind w:firstLine="480"/>
        <w:rPr>
          <w:rFonts w:ascii="宋体" w:hAnsi="宋体"/>
          <w:b w:val="0"/>
          <w:bCs/>
          <w:color w:val="000000"/>
          <w:sz w:val="24"/>
          <w:highlight w:val="none"/>
        </w:rPr>
      </w:pPr>
      <w:r>
        <w:rPr>
          <w:rFonts w:hint="eastAsia" w:ascii="宋体" w:hAnsi="宋体"/>
          <w:b w:val="0"/>
          <w:bCs/>
          <w:color w:val="000000"/>
          <w:sz w:val="24"/>
          <w:highlight w:val="none"/>
        </w:rPr>
        <w:t>5.2演出场次</w:t>
      </w:r>
    </w:p>
    <w:p>
      <w:pPr>
        <w:spacing w:line="430" w:lineRule="exact"/>
        <w:ind w:firstLine="480"/>
        <w:rPr>
          <w:rFonts w:ascii="宋体" w:hAnsi="宋体"/>
          <w:b w:val="0"/>
          <w:bCs/>
          <w:color w:val="000000"/>
          <w:sz w:val="24"/>
          <w:highlight w:val="none"/>
        </w:rPr>
      </w:pPr>
      <w:r>
        <w:rPr>
          <w:rFonts w:hint="eastAsia" w:ascii="宋体" w:hAnsi="宋体"/>
          <w:b w:val="0"/>
          <w:bCs/>
          <w:color w:val="000000"/>
          <w:sz w:val="24"/>
          <w:highlight w:val="none"/>
        </w:rPr>
        <w:t>5.2.1演出分为公益演出、自营演出、租场演出等。</w:t>
      </w:r>
    </w:p>
    <w:p>
      <w:pPr>
        <w:spacing w:line="430" w:lineRule="exact"/>
        <w:ind w:firstLine="480"/>
        <w:rPr>
          <w:rFonts w:ascii="宋体" w:hAnsi="宋体"/>
          <w:b w:val="0"/>
          <w:bCs/>
          <w:color w:val="000000"/>
          <w:sz w:val="24"/>
          <w:highlight w:val="none"/>
        </w:rPr>
      </w:pPr>
      <w:r>
        <w:rPr>
          <w:rFonts w:hint="eastAsia" w:ascii="宋体" w:hAnsi="宋体"/>
          <w:b w:val="0"/>
          <w:bCs/>
          <w:color w:val="000000"/>
          <w:sz w:val="24"/>
          <w:highlight w:val="none"/>
        </w:rPr>
        <w:t>5.2.2乙方承诺：从  年  月  日起，每年在义乌文化广场剧院组织的演出不低于100场，其中政府采购公益演出不低于</w:t>
      </w:r>
      <w:r>
        <w:rPr>
          <w:rFonts w:hint="eastAsia" w:ascii="宋体" w:hAnsi="宋体"/>
          <w:b w:val="0"/>
          <w:bCs/>
          <w:color w:val="000000"/>
          <w:sz w:val="24"/>
          <w:highlight w:val="none"/>
          <w:lang w:val="en-US" w:eastAsia="zh-CN"/>
        </w:rPr>
        <w:t>40</w:t>
      </w:r>
      <w:r>
        <w:rPr>
          <w:rFonts w:hint="eastAsia" w:ascii="宋体" w:hAnsi="宋体"/>
          <w:b w:val="0"/>
          <w:bCs/>
          <w:color w:val="000000"/>
          <w:sz w:val="24"/>
          <w:highlight w:val="none"/>
        </w:rPr>
        <w:t>场，自营演出不低于</w:t>
      </w:r>
      <w:r>
        <w:rPr>
          <w:rFonts w:hint="eastAsia" w:ascii="宋体" w:hAnsi="宋体"/>
          <w:b w:val="0"/>
          <w:bCs/>
          <w:color w:val="000000"/>
          <w:sz w:val="24"/>
          <w:highlight w:val="none"/>
          <w:lang w:val="en-US" w:eastAsia="zh-CN"/>
        </w:rPr>
        <w:t>60</w:t>
      </w:r>
      <w:r>
        <w:rPr>
          <w:rFonts w:hint="eastAsia" w:ascii="宋体" w:hAnsi="宋体"/>
          <w:b w:val="0"/>
          <w:bCs/>
          <w:color w:val="000000"/>
          <w:sz w:val="24"/>
          <w:highlight w:val="none"/>
        </w:rPr>
        <w:t>场，并积极推进文化艺术讲座、论坛、公益惠民活动等</w:t>
      </w:r>
      <w:r>
        <w:rPr>
          <w:rFonts w:hint="eastAsia" w:ascii="宋体" w:hAnsi="宋体"/>
          <w:b w:val="0"/>
          <w:bCs/>
          <w:color w:val="000000"/>
          <w:sz w:val="24"/>
          <w:highlight w:val="none"/>
          <w:lang w:val="en-US" w:eastAsia="zh-CN"/>
        </w:rPr>
        <w:t>30</w:t>
      </w:r>
      <w:r>
        <w:rPr>
          <w:rFonts w:hint="eastAsia" w:ascii="宋体" w:hAnsi="宋体"/>
          <w:b w:val="0"/>
          <w:bCs/>
          <w:color w:val="000000"/>
          <w:sz w:val="24"/>
          <w:highlight w:val="none"/>
        </w:rPr>
        <w:t>场全公益艺术普及相关活动。</w:t>
      </w:r>
    </w:p>
    <w:p>
      <w:pPr>
        <w:spacing w:line="430" w:lineRule="exact"/>
        <w:ind w:firstLine="480"/>
        <w:rPr>
          <w:rFonts w:ascii="宋体" w:hAnsi="宋体"/>
          <w:b w:val="0"/>
          <w:bCs/>
          <w:color w:val="000000"/>
          <w:sz w:val="24"/>
        </w:rPr>
      </w:pPr>
      <w:r>
        <w:rPr>
          <w:rFonts w:hint="eastAsia" w:ascii="宋体" w:hAnsi="宋体"/>
          <w:b w:val="0"/>
          <w:bCs/>
          <w:color w:val="000000"/>
          <w:sz w:val="24"/>
        </w:rPr>
        <w:t>政府每年免费使用剧院场地为不超过25场（或50天）时间（含装台、排练、会议时间），超出50天以外的时间，按照实际发生的费用进行结算。</w:t>
      </w:r>
    </w:p>
    <w:p>
      <w:pPr>
        <w:spacing w:line="430" w:lineRule="exact"/>
        <w:ind w:firstLine="480"/>
        <w:rPr>
          <w:rFonts w:ascii="宋体" w:hAnsi="宋体"/>
          <w:b w:val="0"/>
          <w:bCs/>
          <w:color w:val="000000"/>
          <w:sz w:val="24"/>
        </w:rPr>
      </w:pPr>
      <w:r>
        <w:rPr>
          <w:rFonts w:hint="eastAsia" w:ascii="宋体" w:hAnsi="宋体"/>
          <w:b w:val="0"/>
          <w:bCs/>
          <w:color w:val="000000"/>
          <w:sz w:val="24"/>
        </w:rPr>
        <w:t>凡市委市政府及党政单位有重大会议和大型活动需使用剧院场地，甲方须提前30天通知乙方，乙方凭甲方书面通知应予以确保。如场地在此之前已签订出租协议或演出协议，乙方应积极协助解决，由于场地腾退产生的租金或违约金及相应实际损失由甲方承担。</w:t>
      </w:r>
    </w:p>
    <w:p>
      <w:pPr>
        <w:spacing w:line="430" w:lineRule="exact"/>
        <w:ind w:firstLine="480"/>
        <w:rPr>
          <w:rFonts w:ascii="宋体" w:hAnsi="宋体"/>
          <w:b w:val="0"/>
          <w:bCs/>
          <w:color w:val="000000"/>
          <w:sz w:val="24"/>
        </w:rPr>
      </w:pPr>
      <w:r>
        <w:rPr>
          <w:rFonts w:hint="eastAsia" w:ascii="宋体" w:hAnsi="宋体"/>
          <w:b w:val="0"/>
          <w:bCs/>
          <w:color w:val="000000"/>
          <w:sz w:val="24"/>
        </w:rPr>
        <w:t>5.3演出档次</w:t>
      </w:r>
    </w:p>
    <w:p>
      <w:pPr>
        <w:spacing w:line="430" w:lineRule="exact"/>
        <w:ind w:firstLine="480"/>
        <w:rPr>
          <w:rFonts w:ascii="宋体" w:hAnsi="宋体"/>
          <w:b w:val="0"/>
          <w:bCs/>
          <w:color w:val="000000"/>
          <w:sz w:val="24"/>
        </w:rPr>
      </w:pPr>
      <w:r>
        <w:rPr>
          <w:rFonts w:hint="eastAsia" w:ascii="宋体" w:hAnsi="宋体"/>
          <w:b w:val="0"/>
          <w:bCs/>
          <w:color w:val="000000"/>
          <w:sz w:val="24"/>
        </w:rPr>
        <w:t>5.3.1剧院的演出档次分为A、B、C三类：</w:t>
      </w:r>
    </w:p>
    <w:p>
      <w:pPr>
        <w:spacing w:line="430" w:lineRule="exact"/>
        <w:ind w:firstLine="480"/>
        <w:rPr>
          <w:rFonts w:ascii="宋体" w:hAnsi="宋体"/>
          <w:b w:val="0"/>
          <w:bCs/>
          <w:color w:val="000000"/>
          <w:sz w:val="24"/>
        </w:rPr>
      </w:pPr>
      <w:r>
        <w:rPr>
          <w:rFonts w:hint="eastAsia" w:ascii="宋体" w:hAnsi="宋体"/>
          <w:b w:val="0"/>
          <w:bCs/>
          <w:color w:val="000000"/>
          <w:sz w:val="24"/>
        </w:rPr>
        <w:t>（1）A类演出指：</w:t>
      </w:r>
    </w:p>
    <w:p>
      <w:pPr>
        <w:spacing w:line="430" w:lineRule="exact"/>
        <w:ind w:firstLine="480"/>
        <w:rPr>
          <w:rFonts w:ascii="宋体" w:hAnsi="宋体"/>
          <w:b w:val="0"/>
          <w:bCs/>
          <w:color w:val="000000"/>
          <w:sz w:val="24"/>
        </w:rPr>
      </w:pPr>
      <w:r>
        <w:rPr>
          <w:rFonts w:hint="eastAsia" w:ascii="宋体" w:hAnsi="宋体"/>
          <w:b w:val="0"/>
          <w:bCs/>
          <w:color w:val="000000"/>
          <w:sz w:val="24"/>
        </w:rPr>
        <w:t>a、欧美地区演出团体名称中带有国家、皇家、首都城市名称、广播字样的演出团体；</w:t>
      </w:r>
    </w:p>
    <w:p>
      <w:pPr>
        <w:spacing w:line="430" w:lineRule="exact"/>
        <w:ind w:firstLine="480"/>
        <w:rPr>
          <w:rFonts w:ascii="宋体" w:hAnsi="宋体"/>
          <w:b w:val="0"/>
          <w:bCs/>
          <w:color w:val="000000"/>
          <w:sz w:val="24"/>
        </w:rPr>
      </w:pPr>
      <w:r>
        <w:rPr>
          <w:rFonts w:hint="eastAsia" w:ascii="宋体" w:hAnsi="宋体"/>
          <w:b w:val="0"/>
          <w:bCs/>
          <w:color w:val="000000"/>
          <w:sz w:val="24"/>
        </w:rPr>
        <w:t>b、在国际艺术比赛中获得奖项的国内外演出团体；</w:t>
      </w:r>
    </w:p>
    <w:p>
      <w:pPr>
        <w:spacing w:line="430" w:lineRule="exact"/>
        <w:ind w:firstLine="480"/>
        <w:rPr>
          <w:rFonts w:ascii="宋体" w:hAnsi="宋体"/>
          <w:b w:val="0"/>
          <w:bCs/>
          <w:color w:val="000000"/>
          <w:sz w:val="24"/>
        </w:rPr>
      </w:pPr>
      <w:r>
        <w:rPr>
          <w:rFonts w:hint="eastAsia" w:ascii="宋体" w:hAnsi="宋体"/>
          <w:b w:val="0"/>
          <w:bCs/>
          <w:color w:val="000000"/>
          <w:sz w:val="24"/>
        </w:rPr>
        <w:t>c、国内演出团体中直属国家文化部、广播电影电视总局及带有中国、中央字样的艺术团体；</w:t>
      </w:r>
    </w:p>
    <w:p>
      <w:pPr>
        <w:spacing w:line="430" w:lineRule="exact"/>
        <w:ind w:firstLine="480"/>
        <w:rPr>
          <w:rFonts w:ascii="宋体" w:hAnsi="宋体"/>
          <w:b w:val="0"/>
          <w:bCs/>
          <w:color w:val="000000"/>
          <w:sz w:val="24"/>
        </w:rPr>
      </w:pPr>
      <w:r>
        <w:rPr>
          <w:rFonts w:hint="eastAsia" w:ascii="宋体" w:hAnsi="宋体"/>
          <w:b w:val="0"/>
          <w:bCs/>
          <w:color w:val="000000"/>
          <w:sz w:val="24"/>
        </w:rPr>
        <w:t>d、获国家舞台艺术精品工程入选剧目、获文化部“文华奖”节目、获中宣部“五个一工程奖”的优秀舞台艺术佳作的演出；</w:t>
      </w:r>
    </w:p>
    <w:p>
      <w:pPr>
        <w:spacing w:line="430" w:lineRule="exact"/>
        <w:ind w:firstLine="480"/>
        <w:rPr>
          <w:rFonts w:ascii="宋体" w:hAnsi="宋体"/>
          <w:b w:val="0"/>
          <w:bCs/>
          <w:color w:val="000000"/>
          <w:sz w:val="24"/>
        </w:rPr>
      </w:pPr>
      <w:r>
        <w:rPr>
          <w:rFonts w:hint="eastAsia" w:ascii="宋体" w:hAnsi="宋体"/>
          <w:b w:val="0"/>
          <w:bCs/>
          <w:color w:val="000000"/>
          <w:sz w:val="24"/>
        </w:rPr>
        <w:t>e、获国际专业艺术比赛大奖或国家授予荣誉称号的艺术家为主演的剧（节）目；</w:t>
      </w:r>
    </w:p>
    <w:p>
      <w:pPr>
        <w:spacing w:line="430" w:lineRule="exact"/>
        <w:ind w:firstLine="480"/>
        <w:rPr>
          <w:rFonts w:ascii="宋体" w:hAnsi="宋体"/>
          <w:b w:val="0"/>
          <w:bCs/>
          <w:color w:val="000000"/>
          <w:sz w:val="24"/>
        </w:rPr>
      </w:pPr>
      <w:r>
        <w:rPr>
          <w:rFonts w:hint="eastAsia" w:ascii="宋体" w:hAnsi="宋体"/>
          <w:b w:val="0"/>
          <w:bCs/>
          <w:color w:val="000000"/>
          <w:sz w:val="24"/>
        </w:rPr>
        <w:t>f、中国人民解放军总政治部直属艺术团体。</w:t>
      </w:r>
    </w:p>
    <w:p>
      <w:pPr>
        <w:spacing w:line="430" w:lineRule="exact"/>
        <w:ind w:firstLine="480"/>
        <w:rPr>
          <w:rFonts w:ascii="宋体" w:hAnsi="宋体"/>
          <w:b w:val="0"/>
          <w:bCs/>
          <w:color w:val="000000"/>
          <w:sz w:val="24"/>
        </w:rPr>
      </w:pPr>
      <w:r>
        <w:rPr>
          <w:rFonts w:hint="eastAsia" w:ascii="宋体" w:hAnsi="宋体"/>
          <w:b w:val="0"/>
          <w:bCs/>
          <w:color w:val="000000"/>
          <w:sz w:val="24"/>
        </w:rPr>
        <w:t>g、国内省级艺术院团获得中宣部、国家文化部、中国文联主办的各单项舞台艺术最高奖项的演出项目。</w:t>
      </w:r>
    </w:p>
    <w:p>
      <w:pPr>
        <w:spacing w:line="430" w:lineRule="exact"/>
        <w:ind w:firstLine="480"/>
        <w:rPr>
          <w:rFonts w:ascii="宋体" w:hAnsi="宋体"/>
          <w:b w:val="0"/>
          <w:bCs/>
          <w:color w:val="000000"/>
          <w:sz w:val="24"/>
        </w:rPr>
      </w:pPr>
      <w:r>
        <w:rPr>
          <w:rFonts w:hint="eastAsia" w:ascii="宋体" w:hAnsi="宋体"/>
          <w:b w:val="0"/>
          <w:bCs/>
          <w:color w:val="000000"/>
          <w:sz w:val="24"/>
        </w:rPr>
        <w:t>（2）B类演出指：</w:t>
      </w:r>
    </w:p>
    <w:p>
      <w:pPr>
        <w:spacing w:line="430" w:lineRule="exact"/>
        <w:ind w:firstLine="480"/>
        <w:rPr>
          <w:rFonts w:ascii="宋体" w:hAnsi="宋体"/>
          <w:b w:val="0"/>
          <w:bCs/>
          <w:color w:val="000000"/>
          <w:sz w:val="24"/>
        </w:rPr>
      </w:pPr>
      <w:r>
        <w:rPr>
          <w:rFonts w:hint="eastAsia" w:ascii="宋体" w:hAnsi="宋体"/>
          <w:b w:val="0"/>
          <w:bCs/>
          <w:color w:val="000000"/>
          <w:sz w:val="24"/>
        </w:rPr>
        <w:t>a、北京、上海及各省所属的艺术院团演出；</w:t>
      </w:r>
    </w:p>
    <w:p>
      <w:pPr>
        <w:spacing w:line="430" w:lineRule="exact"/>
        <w:ind w:firstLine="480"/>
        <w:rPr>
          <w:rFonts w:ascii="宋体" w:hAnsi="宋体"/>
          <w:b w:val="0"/>
          <w:bCs/>
          <w:color w:val="000000"/>
          <w:sz w:val="24"/>
        </w:rPr>
      </w:pPr>
      <w:r>
        <w:rPr>
          <w:rFonts w:hint="eastAsia" w:ascii="宋体" w:hAnsi="宋体"/>
          <w:b w:val="0"/>
          <w:bCs/>
          <w:color w:val="000000"/>
          <w:sz w:val="24"/>
        </w:rPr>
        <w:t>b、中国人民解放军各军区所属的艺术团体演出的剧目；</w:t>
      </w:r>
    </w:p>
    <w:p>
      <w:pPr>
        <w:spacing w:line="430" w:lineRule="exact"/>
        <w:ind w:firstLine="480"/>
        <w:rPr>
          <w:rFonts w:ascii="宋体" w:hAnsi="宋体"/>
          <w:b w:val="0"/>
          <w:bCs/>
          <w:color w:val="000000"/>
          <w:sz w:val="24"/>
        </w:rPr>
      </w:pPr>
      <w:r>
        <w:rPr>
          <w:rFonts w:hint="eastAsia" w:ascii="宋体" w:hAnsi="宋体"/>
          <w:b w:val="0"/>
          <w:bCs/>
          <w:color w:val="000000"/>
          <w:sz w:val="24"/>
        </w:rPr>
        <w:t>c、以著名古典艺术家命名的国外艺术团体演出的剧目；</w:t>
      </w:r>
    </w:p>
    <w:p>
      <w:pPr>
        <w:spacing w:line="430" w:lineRule="exact"/>
        <w:ind w:firstLine="480"/>
        <w:rPr>
          <w:rFonts w:ascii="宋体" w:hAnsi="宋体"/>
          <w:b w:val="0"/>
          <w:bCs/>
          <w:color w:val="000000"/>
          <w:sz w:val="24"/>
        </w:rPr>
      </w:pPr>
      <w:r>
        <w:rPr>
          <w:rFonts w:hint="eastAsia" w:ascii="宋体" w:hAnsi="宋体"/>
          <w:b w:val="0"/>
          <w:bCs/>
          <w:color w:val="000000"/>
          <w:sz w:val="24"/>
        </w:rPr>
        <w:t>d、国外艺术团体名称中带有青年字样或冠以洲际名称的艺术团体；</w:t>
      </w:r>
    </w:p>
    <w:p>
      <w:pPr>
        <w:spacing w:line="430" w:lineRule="exact"/>
        <w:ind w:firstLine="480"/>
        <w:rPr>
          <w:rFonts w:ascii="宋体" w:hAnsi="宋体"/>
          <w:b w:val="0"/>
          <w:bCs/>
          <w:color w:val="000000"/>
          <w:sz w:val="24"/>
        </w:rPr>
      </w:pPr>
      <w:r>
        <w:rPr>
          <w:rFonts w:hint="eastAsia" w:ascii="宋体" w:hAnsi="宋体"/>
          <w:b w:val="0"/>
          <w:bCs/>
          <w:color w:val="000000"/>
          <w:sz w:val="24"/>
        </w:rPr>
        <w:t>e、其它城市艺术院团中有地方特色的以及获得省委宣传部、省文化厅或省文联主办的省级以上舞台艺术专业评奖最高奖项的优秀剧（节）目的演出。</w:t>
      </w:r>
    </w:p>
    <w:p>
      <w:pPr>
        <w:spacing w:line="430" w:lineRule="exact"/>
        <w:ind w:firstLine="480"/>
        <w:rPr>
          <w:rFonts w:ascii="宋体" w:hAnsi="宋体"/>
          <w:b w:val="0"/>
          <w:bCs/>
          <w:color w:val="000000"/>
          <w:sz w:val="24"/>
        </w:rPr>
      </w:pPr>
      <w:r>
        <w:rPr>
          <w:rFonts w:hint="eastAsia" w:ascii="宋体" w:hAnsi="宋体"/>
          <w:b w:val="0"/>
          <w:bCs/>
          <w:color w:val="000000"/>
          <w:sz w:val="24"/>
        </w:rPr>
        <w:t>（3）C类演出是指A、B类演出以外的演出、实验话剧及小型艺术表演。</w:t>
      </w:r>
    </w:p>
    <w:p>
      <w:pPr>
        <w:spacing w:line="430" w:lineRule="exact"/>
        <w:ind w:firstLine="480"/>
        <w:rPr>
          <w:rFonts w:ascii="宋体" w:hAnsi="宋体"/>
          <w:b w:val="0"/>
          <w:bCs/>
          <w:color w:val="000000"/>
          <w:sz w:val="24"/>
        </w:rPr>
      </w:pPr>
      <w:r>
        <w:rPr>
          <w:rFonts w:hint="eastAsia" w:ascii="宋体" w:hAnsi="宋体"/>
          <w:b w:val="0"/>
          <w:bCs/>
          <w:color w:val="000000"/>
          <w:sz w:val="24"/>
        </w:rPr>
        <w:t>5.3.2  乙方承诺，义乌文化广场剧院的演出比例：</w:t>
      </w:r>
    </w:p>
    <w:p>
      <w:pPr>
        <w:spacing w:line="430" w:lineRule="exact"/>
        <w:ind w:firstLine="480"/>
        <w:rPr>
          <w:rFonts w:hint="eastAsia" w:ascii="宋体" w:hAnsi="宋体"/>
          <w:b w:val="0"/>
          <w:bCs/>
          <w:color w:val="auto"/>
          <w:sz w:val="24"/>
          <w:lang w:val="en-US" w:eastAsia="zh-CN"/>
        </w:rPr>
      </w:pPr>
      <w:r>
        <w:rPr>
          <w:rFonts w:hint="eastAsia" w:ascii="宋体" w:hAnsi="宋体"/>
          <w:b w:val="0"/>
          <w:bCs/>
          <w:color w:val="000000"/>
          <w:sz w:val="24"/>
        </w:rPr>
        <w:t>政府采购公益演出部分</w:t>
      </w:r>
      <w:r>
        <w:rPr>
          <w:rFonts w:hint="eastAsia" w:ascii="宋体" w:hAnsi="宋体"/>
          <w:b w:val="0"/>
          <w:bCs/>
          <w:color w:val="auto"/>
          <w:sz w:val="24"/>
        </w:rPr>
        <w:t>：A类演出占总场次的</w:t>
      </w:r>
      <w:r>
        <w:rPr>
          <w:rFonts w:hint="eastAsia" w:ascii="宋体" w:hAnsi="宋体"/>
          <w:b w:val="0"/>
          <w:bCs/>
          <w:color w:val="auto"/>
          <w:sz w:val="24"/>
          <w:lang w:val="en-US" w:eastAsia="zh-CN"/>
        </w:rPr>
        <w:t>23%</w:t>
      </w:r>
    </w:p>
    <w:p>
      <w:pPr>
        <w:spacing w:line="430" w:lineRule="exact"/>
        <w:ind w:firstLine="3050" w:firstLineChars="1271"/>
        <w:rPr>
          <w:rFonts w:hint="eastAsia" w:ascii="宋体" w:hAnsi="宋体"/>
          <w:b w:val="0"/>
          <w:bCs/>
          <w:color w:val="auto"/>
          <w:sz w:val="24"/>
          <w:lang w:val="en-US" w:eastAsia="zh-CN"/>
        </w:rPr>
      </w:pPr>
      <w:r>
        <w:rPr>
          <w:rFonts w:hint="eastAsia" w:ascii="宋体" w:hAnsi="宋体"/>
          <w:b w:val="0"/>
          <w:bCs/>
          <w:color w:val="auto"/>
          <w:sz w:val="24"/>
        </w:rPr>
        <w:t>B类演出占演出总场次</w:t>
      </w:r>
      <w:r>
        <w:rPr>
          <w:rFonts w:hint="eastAsia" w:ascii="宋体" w:hAnsi="宋体"/>
          <w:b w:val="0"/>
          <w:bCs/>
          <w:color w:val="auto"/>
          <w:sz w:val="24"/>
          <w:lang w:val="en-US" w:eastAsia="zh-CN"/>
        </w:rPr>
        <w:t>35%</w:t>
      </w:r>
    </w:p>
    <w:p>
      <w:pPr>
        <w:spacing w:line="430" w:lineRule="exact"/>
        <w:ind w:firstLine="3050" w:firstLineChars="1271"/>
        <w:rPr>
          <w:rFonts w:hint="eastAsia" w:ascii="宋体" w:hAnsi="宋体"/>
          <w:b w:val="0"/>
          <w:bCs/>
          <w:color w:val="auto"/>
          <w:sz w:val="24"/>
          <w:lang w:val="en-US" w:eastAsia="zh-CN"/>
        </w:rPr>
      </w:pPr>
      <w:r>
        <w:rPr>
          <w:rFonts w:hint="eastAsia" w:ascii="宋体" w:hAnsi="宋体"/>
          <w:b w:val="0"/>
          <w:bCs/>
          <w:color w:val="auto"/>
          <w:sz w:val="24"/>
        </w:rPr>
        <w:t>C类演出占演出总场次</w:t>
      </w:r>
      <w:r>
        <w:rPr>
          <w:rFonts w:hint="eastAsia" w:ascii="宋体" w:hAnsi="宋体"/>
          <w:b w:val="0"/>
          <w:bCs/>
          <w:color w:val="auto"/>
          <w:sz w:val="24"/>
          <w:lang w:val="en-US" w:eastAsia="zh-CN"/>
        </w:rPr>
        <w:t>42%</w:t>
      </w:r>
    </w:p>
    <w:p>
      <w:pPr>
        <w:spacing w:line="430" w:lineRule="exact"/>
        <w:ind w:firstLine="480"/>
        <w:rPr>
          <w:rFonts w:ascii="宋体" w:hAnsi="宋体"/>
          <w:b w:val="0"/>
          <w:bCs/>
          <w:color w:val="000000"/>
          <w:sz w:val="24"/>
        </w:rPr>
      </w:pPr>
      <w:r>
        <w:rPr>
          <w:rFonts w:hint="eastAsia" w:ascii="宋体" w:hAnsi="宋体"/>
          <w:b w:val="0"/>
          <w:bCs/>
          <w:color w:val="000000"/>
          <w:sz w:val="24"/>
        </w:rPr>
        <w:t xml:space="preserve">  自营部分的场地出租，必须是舞台表演艺术类的、公开演出性的。对外场租费由运营方提出出租标准、定价方案，报甲方备案后方可执行。严格规范准入条件，在满足“企业法人及企业工商行政无不良记录”前提下，有详细的活动策划、流程及说明，内容需由艺术委员会审议通过，与社会主义核心价值观主旋律相符，拒绝纯粹以商业营利为目的的纯商业行为。</w:t>
      </w:r>
    </w:p>
    <w:p>
      <w:pPr>
        <w:spacing w:line="430" w:lineRule="exact"/>
        <w:ind w:firstLine="480"/>
        <w:rPr>
          <w:rFonts w:ascii="宋体" w:hAnsi="宋体"/>
          <w:b w:val="0"/>
          <w:bCs/>
          <w:color w:val="000000"/>
          <w:sz w:val="24"/>
        </w:rPr>
      </w:pPr>
      <w:r>
        <w:rPr>
          <w:rFonts w:hint="eastAsia" w:ascii="宋体" w:hAnsi="宋体"/>
          <w:b w:val="0"/>
          <w:bCs/>
          <w:color w:val="000000"/>
          <w:sz w:val="24"/>
        </w:rPr>
        <w:t xml:space="preserve">  租场经营中，要以标准化的现场布置方案和设施设备使用方案，要求承租活动方，严格要求品质，按规执行。</w:t>
      </w:r>
    </w:p>
    <w:p>
      <w:pPr>
        <w:spacing w:line="430" w:lineRule="exact"/>
        <w:ind w:firstLine="480"/>
        <w:rPr>
          <w:rFonts w:ascii="宋体" w:hAnsi="宋体"/>
          <w:b w:val="0"/>
          <w:bCs/>
          <w:color w:val="000000"/>
          <w:sz w:val="24"/>
        </w:rPr>
      </w:pPr>
      <w:r>
        <w:rPr>
          <w:rFonts w:hint="eastAsia" w:ascii="宋体" w:hAnsi="宋体"/>
          <w:b w:val="0"/>
          <w:bCs/>
          <w:color w:val="000000"/>
          <w:sz w:val="24"/>
        </w:rPr>
        <w:t>5.4关于上座率（出票率）的承诺：</w:t>
      </w:r>
    </w:p>
    <w:p>
      <w:pPr>
        <w:spacing w:line="430" w:lineRule="exact"/>
        <w:ind w:firstLine="480"/>
        <w:rPr>
          <w:rFonts w:ascii="宋体" w:hAnsi="宋体"/>
          <w:b w:val="0"/>
          <w:bCs/>
          <w:color w:val="000000"/>
          <w:sz w:val="24"/>
        </w:rPr>
      </w:pPr>
      <w:r>
        <w:rPr>
          <w:rFonts w:hint="eastAsia" w:ascii="宋体" w:hAnsi="宋体"/>
          <w:b w:val="0"/>
          <w:bCs/>
          <w:color w:val="000000"/>
          <w:sz w:val="24"/>
        </w:rPr>
        <w:t>5.4.1上座率的计算不包含租场演出以及租场活动。</w:t>
      </w:r>
    </w:p>
    <w:p>
      <w:pPr>
        <w:spacing w:line="430" w:lineRule="exact"/>
        <w:ind w:firstLine="480"/>
        <w:rPr>
          <w:rFonts w:ascii="宋体" w:hAnsi="宋体"/>
          <w:b w:val="0"/>
          <w:bCs/>
          <w:color w:val="000000"/>
          <w:sz w:val="24"/>
        </w:rPr>
      </w:pPr>
      <w:r>
        <w:rPr>
          <w:rFonts w:hint="eastAsia" w:ascii="宋体" w:hAnsi="宋体"/>
          <w:b w:val="0"/>
          <w:bCs/>
          <w:color w:val="000000"/>
          <w:sz w:val="24"/>
        </w:rPr>
        <w:t>5.4.2乙方承诺年上座率平均不低于65%（上座率以出票数为依据进行统计）。</w:t>
      </w:r>
    </w:p>
    <w:p>
      <w:pPr>
        <w:spacing w:line="430" w:lineRule="exact"/>
        <w:ind w:firstLine="480"/>
        <w:rPr>
          <w:rFonts w:ascii="宋体" w:hAnsi="宋体"/>
          <w:b w:val="0"/>
          <w:bCs/>
          <w:color w:val="000000"/>
          <w:sz w:val="24"/>
        </w:rPr>
      </w:pPr>
      <w:r>
        <w:rPr>
          <w:rFonts w:hint="eastAsia" w:ascii="宋体" w:hAnsi="宋体"/>
          <w:b w:val="0"/>
          <w:bCs/>
          <w:color w:val="000000"/>
          <w:sz w:val="24"/>
        </w:rPr>
        <w:t>5.5平均票价</w:t>
      </w:r>
    </w:p>
    <w:p>
      <w:pPr>
        <w:spacing w:line="430" w:lineRule="exact"/>
        <w:ind w:firstLine="480"/>
        <w:rPr>
          <w:rFonts w:ascii="宋体" w:hAnsi="宋体"/>
          <w:b w:val="0"/>
          <w:bCs/>
          <w:color w:val="000000"/>
          <w:sz w:val="24"/>
        </w:rPr>
      </w:pPr>
      <w:r>
        <w:rPr>
          <w:rFonts w:hint="eastAsia" w:ascii="宋体" w:hAnsi="宋体"/>
          <w:b w:val="0"/>
          <w:bCs/>
          <w:color w:val="000000"/>
          <w:sz w:val="24"/>
        </w:rPr>
        <w:t>5.5.1平均票价是指全年的演出票价的平均值，年终按票房实际销售票价的平均值来计算。</w:t>
      </w:r>
    </w:p>
    <w:p>
      <w:pPr>
        <w:spacing w:line="430" w:lineRule="exact"/>
        <w:ind w:firstLine="480"/>
        <w:rPr>
          <w:rFonts w:ascii="宋体" w:hAnsi="宋体"/>
          <w:b w:val="0"/>
          <w:bCs/>
          <w:color w:val="000000"/>
          <w:sz w:val="24"/>
          <w:highlight w:val="none"/>
        </w:rPr>
      </w:pPr>
      <w:r>
        <w:rPr>
          <w:rFonts w:hint="eastAsia" w:ascii="宋体" w:hAnsi="宋体"/>
          <w:b w:val="0"/>
          <w:bCs/>
          <w:color w:val="000000"/>
          <w:sz w:val="24"/>
          <w:highlight w:val="none"/>
        </w:rPr>
        <w:t>5.5.2乙方承诺义乌文化广场剧院经营为体现公益性为前提，全年平均票价不超过200元；艺术教育普及活动票价不超过50元。</w:t>
      </w:r>
    </w:p>
    <w:p>
      <w:pPr>
        <w:spacing w:line="430" w:lineRule="exact"/>
        <w:ind w:firstLine="480"/>
        <w:rPr>
          <w:rFonts w:ascii="宋体" w:hAnsi="宋体"/>
          <w:b w:val="0"/>
          <w:bCs/>
          <w:color w:val="000000"/>
          <w:sz w:val="24"/>
          <w:highlight w:val="none"/>
        </w:rPr>
      </w:pPr>
      <w:r>
        <w:rPr>
          <w:rFonts w:hint="eastAsia" w:ascii="宋体" w:hAnsi="宋体"/>
          <w:b w:val="0"/>
          <w:bCs/>
          <w:color w:val="000000"/>
          <w:sz w:val="24"/>
          <w:highlight w:val="none"/>
        </w:rPr>
        <w:t>5.6其他</w:t>
      </w:r>
    </w:p>
    <w:p>
      <w:pPr>
        <w:spacing w:line="430" w:lineRule="exact"/>
        <w:ind w:firstLine="480"/>
        <w:rPr>
          <w:rFonts w:ascii="宋体" w:hAnsi="宋体"/>
          <w:b w:val="0"/>
          <w:bCs/>
          <w:color w:val="000000"/>
          <w:sz w:val="24"/>
        </w:rPr>
      </w:pPr>
      <w:r>
        <w:rPr>
          <w:rFonts w:hint="eastAsia" w:ascii="宋体" w:hAnsi="宋体"/>
          <w:b w:val="0"/>
          <w:bCs/>
          <w:color w:val="000000"/>
          <w:sz w:val="24"/>
          <w:highlight w:val="none"/>
        </w:rPr>
        <w:t>5.6.1义乌文化广场剧院举行的市民免费开放日活动每年</w:t>
      </w:r>
      <w:r>
        <w:rPr>
          <w:rFonts w:hint="eastAsia" w:ascii="宋体" w:hAnsi="宋体"/>
          <w:b w:val="0"/>
          <w:bCs/>
          <w:color w:val="000000"/>
          <w:sz w:val="24"/>
        </w:rPr>
        <w:t>不少于12次,打造有品牌影响力的公益活动，让全市市民共同参与。</w:t>
      </w:r>
    </w:p>
    <w:p>
      <w:pPr>
        <w:spacing w:line="430" w:lineRule="exact"/>
        <w:ind w:firstLine="480"/>
        <w:rPr>
          <w:rFonts w:ascii="宋体" w:hAnsi="宋体"/>
          <w:b w:val="0"/>
          <w:bCs/>
          <w:color w:val="000000"/>
          <w:sz w:val="24"/>
        </w:rPr>
      </w:pPr>
      <w:r>
        <w:rPr>
          <w:rFonts w:hint="eastAsia" w:ascii="宋体" w:hAnsi="宋体"/>
          <w:b w:val="0"/>
          <w:bCs/>
          <w:color w:val="000000"/>
          <w:sz w:val="24"/>
        </w:rPr>
        <w:t>第六条  甲方的权利与责任</w:t>
      </w:r>
    </w:p>
    <w:p>
      <w:pPr>
        <w:spacing w:line="430" w:lineRule="exact"/>
        <w:ind w:firstLine="480"/>
        <w:rPr>
          <w:rFonts w:ascii="宋体" w:hAnsi="宋体"/>
          <w:b w:val="0"/>
          <w:bCs/>
          <w:color w:val="000000"/>
          <w:sz w:val="24"/>
        </w:rPr>
      </w:pPr>
      <w:r>
        <w:rPr>
          <w:rFonts w:hint="eastAsia" w:ascii="宋体" w:hAnsi="宋体"/>
          <w:b w:val="0"/>
          <w:bCs/>
          <w:color w:val="000000"/>
          <w:sz w:val="24"/>
        </w:rPr>
        <w:t>6.1甲方权利</w:t>
      </w:r>
    </w:p>
    <w:p>
      <w:pPr>
        <w:spacing w:line="430" w:lineRule="exact"/>
        <w:ind w:firstLine="480"/>
        <w:rPr>
          <w:rFonts w:ascii="宋体" w:hAnsi="宋体"/>
          <w:b w:val="0"/>
          <w:bCs/>
          <w:color w:val="000000"/>
          <w:sz w:val="24"/>
        </w:rPr>
      </w:pPr>
      <w:r>
        <w:rPr>
          <w:rFonts w:hint="eastAsia" w:ascii="宋体" w:hAnsi="宋体"/>
          <w:b w:val="0"/>
          <w:bCs/>
          <w:color w:val="000000"/>
          <w:sz w:val="24"/>
        </w:rPr>
        <w:t>6.1.1甲方有权对乙方制定考核办法并组织考核,对义乌文化广场剧院经营、管理、服务进行监督；甲方与乙方共同成立艺术委员会（单数制），审定乙方制定的年度演出经营工作计划(包含剧目类别A、B、C类的档次的预审制度）。</w:t>
      </w:r>
    </w:p>
    <w:p>
      <w:pPr>
        <w:spacing w:line="430" w:lineRule="exact"/>
        <w:ind w:firstLine="480"/>
        <w:rPr>
          <w:rFonts w:ascii="宋体" w:hAnsi="宋体"/>
          <w:b w:val="0"/>
          <w:bCs/>
          <w:color w:val="000000"/>
          <w:sz w:val="24"/>
        </w:rPr>
      </w:pPr>
      <w:r>
        <w:rPr>
          <w:rFonts w:hint="eastAsia" w:ascii="宋体" w:hAnsi="宋体"/>
          <w:b w:val="0"/>
          <w:bCs/>
          <w:color w:val="000000"/>
          <w:sz w:val="24"/>
        </w:rPr>
        <w:t>6.1.2甲方有权制定设备设施大中维修保养条件及审核程序。在甲方审定的范围之外，乙方有合理理由确需另行安排大中维修保养项目的，须提前以书面形式报告甲方，由甲方请示经费拨付部门同意后实施。情况紧急报修，由乙方独立承担费用。</w:t>
      </w:r>
    </w:p>
    <w:p>
      <w:pPr>
        <w:spacing w:line="430" w:lineRule="exact"/>
        <w:ind w:firstLine="480"/>
        <w:rPr>
          <w:rFonts w:ascii="宋体" w:hAnsi="宋体"/>
          <w:b w:val="0"/>
          <w:bCs/>
          <w:color w:val="000000"/>
          <w:sz w:val="24"/>
        </w:rPr>
      </w:pPr>
      <w:r>
        <w:rPr>
          <w:rFonts w:hint="eastAsia" w:ascii="宋体" w:hAnsi="宋体"/>
          <w:b w:val="0"/>
          <w:bCs/>
          <w:color w:val="000000"/>
          <w:sz w:val="24"/>
        </w:rPr>
        <w:t>6.1.3甲方有权要求乙方派出具有高级职称或管理经验丰富的人员担任项目公司总经理，保证有三年以上剧院管理经验的人员担任演出技术部、票务部经理、策划部经理、服务部经理(以下统称经营管理骨干)，乙方如对义乌文化广场剧院经营管理人员的调动，应事先通报甲方，并在保证义乌文化广场剧院经营管理不受影响的前提下进行。</w:t>
      </w:r>
    </w:p>
    <w:p>
      <w:pPr>
        <w:spacing w:line="430" w:lineRule="exact"/>
        <w:ind w:firstLine="480"/>
        <w:rPr>
          <w:rFonts w:ascii="宋体" w:hAnsi="宋体"/>
          <w:b w:val="0"/>
          <w:bCs/>
          <w:color w:val="000000"/>
          <w:sz w:val="24"/>
        </w:rPr>
      </w:pPr>
      <w:r>
        <w:rPr>
          <w:rFonts w:hint="eastAsia" w:ascii="宋体" w:hAnsi="宋体"/>
          <w:b w:val="0"/>
          <w:bCs/>
          <w:color w:val="000000"/>
          <w:sz w:val="24"/>
        </w:rPr>
        <w:t>6.1.4当甲方认为乙方所派经营管理骨干有不称职、不听从管理、严重违反甲方整体管理要求等情形，有权要求乙方更换，乙方应及时更换。</w:t>
      </w:r>
    </w:p>
    <w:p>
      <w:pPr>
        <w:spacing w:line="430" w:lineRule="exact"/>
        <w:ind w:firstLine="480"/>
        <w:rPr>
          <w:rFonts w:ascii="宋体" w:hAnsi="宋体"/>
          <w:b w:val="0"/>
          <w:bCs/>
          <w:color w:val="000000"/>
          <w:sz w:val="24"/>
        </w:rPr>
      </w:pPr>
      <w:r>
        <w:rPr>
          <w:rFonts w:hint="eastAsia" w:ascii="宋体" w:hAnsi="宋体"/>
          <w:b w:val="0"/>
          <w:bCs/>
          <w:color w:val="000000"/>
          <w:sz w:val="24"/>
        </w:rPr>
        <w:t>6.1.5甲方有权要求乙方妥善使用和保管资产移交清单中的全部资产（包括8.1条采购的资产），确保在经营管理期限届满时资产的完整性、安全性以及功能使用的完好性。</w:t>
      </w:r>
    </w:p>
    <w:p>
      <w:pPr>
        <w:spacing w:line="430" w:lineRule="exact"/>
        <w:ind w:firstLine="480"/>
        <w:rPr>
          <w:rFonts w:ascii="宋体" w:hAnsi="宋体"/>
          <w:b w:val="0"/>
          <w:bCs/>
          <w:color w:val="000000"/>
          <w:sz w:val="24"/>
        </w:rPr>
      </w:pPr>
      <w:r>
        <w:rPr>
          <w:rFonts w:hint="eastAsia" w:ascii="宋体" w:hAnsi="宋体"/>
          <w:b w:val="0"/>
          <w:bCs/>
          <w:color w:val="000000"/>
          <w:sz w:val="24"/>
        </w:rPr>
        <w:t>6.1.6 “义乌文化广场剧院”的名称权（含更名权），属甲方所有，唯有甲方对“义乌文化广场剧院”的名称具有占有、使用、收益和处分的权利，包括但不限于宣传权、命名权、摄影和模型制作的许可权、名称权、标识及经营管理中产生的著作权、商标权等知识产权。未经甲方同意，乙方不得擅自使用，也不得擅自变更。甲方授权乙方在剧院经营管理活动期限内可以正常合法使用义乌文化广场剧院名称。</w:t>
      </w:r>
    </w:p>
    <w:p>
      <w:pPr>
        <w:spacing w:line="430" w:lineRule="exact"/>
        <w:ind w:firstLine="480"/>
        <w:rPr>
          <w:rFonts w:ascii="宋体" w:hAnsi="宋体"/>
          <w:b w:val="0"/>
          <w:bCs/>
          <w:color w:val="000000"/>
          <w:sz w:val="24"/>
        </w:rPr>
      </w:pPr>
      <w:r>
        <w:rPr>
          <w:rFonts w:hint="eastAsia" w:ascii="宋体" w:hAnsi="宋体"/>
          <w:b w:val="0"/>
          <w:bCs/>
          <w:color w:val="000000"/>
          <w:sz w:val="24"/>
        </w:rPr>
        <w:t>6.1.7乙方在经营管理期间如有重大违法违规违纪违约行为或完不成本合同约定的经营管理指标及甲方的考核目标，甲方有权依据本合同约定追究相应责任。</w:t>
      </w:r>
    </w:p>
    <w:p>
      <w:pPr>
        <w:spacing w:line="430" w:lineRule="exact"/>
        <w:ind w:firstLine="480"/>
        <w:rPr>
          <w:rFonts w:ascii="宋体" w:hAnsi="宋体"/>
          <w:b w:val="0"/>
          <w:bCs/>
          <w:color w:val="000000"/>
          <w:sz w:val="24"/>
        </w:rPr>
      </w:pPr>
      <w:r>
        <w:rPr>
          <w:rFonts w:hint="eastAsia" w:ascii="宋体" w:hAnsi="宋体"/>
          <w:b w:val="0"/>
          <w:bCs/>
          <w:color w:val="000000"/>
          <w:sz w:val="24"/>
        </w:rPr>
        <w:t>6.2甲方责任</w:t>
      </w:r>
    </w:p>
    <w:p>
      <w:pPr>
        <w:spacing w:line="430" w:lineRule="exact"/>
        <w:ind w:firstLine="480"/>
        <w:rPr>
          <w:rFonts w:ascii="宋体" w:hAnsi="宋体"/>
          <w:b w:val="0"/>
          <w:bCs/>
          <w:color w:val="000000"/>
          <w:sz w:val="24"/>
        </w:rPr>
      </w:pPr>
      <w:r>
        <w:rPr>
          <w:rFonts w:hint="eastAsia" w:ascii="宋体" w:hAnsi="宋体"/>
          <w:b w:val="0"/>
          <w:bCs/>
          <w:color w:val="000000"/>
          <w:sz w:val="24"/>
        </w:rPr>
        <w:t>6.2.1协助乙方取得剧院所必须的在经营、管理、服务等方面的法律手续；免费提供剧院作为项目公司经营管理办公场所和项目公司注册场所；协助乙方申请享受国家、省文化产业引导资金、用电价格政策、税收减免等相关优惠政策。</w:t>
      </w:r>
    </w:p>
    <w:p>
      <w:pPr>
        <w:spacing w:line="430" w:lineRule="exact"/>
        <w:ind w:firstLine="480"/>
        <w:rPr>
          <w:rFonts w:ascii="宋体" w:hAnsi="宋体"/>
          <w:b w:val="0"/>
          <w:bCs/>
          <w:color w:val="000000"/>
          <w:sz w:val="24"/>
        </w:rPr>
      </w:pPr>
      <w:r>
        <w:rPr>
          <w:rFonts w:hint="eastAsia" w:ascii="宋体" w:hAnsi="宋体"/>
          <w:b w:val="0"/>
          <w:bCs/>
          <w:color w:val="000000"/>
          <w:sz w:val="24"/>
        </w:rPr>
        <w:t>6.2.2协助乙方争取义乌市委、市政府及有关部门在经营管理、宣传推介、行政服务等方面的支持。协助乙方在开业之前开展剧院的公益形象宣传；协助乙方在市区各主要干道上等设置体现“义乌文化广场剧院”作为“义乌市文化地标”的标识标牌指引及导向标识。</w:t>
      </w:r>
    </w:p>
    <w:p>
      <w:pPr>
        <w:spacing w:line="430" w:lineRule="exact"/>
        <w:ind w:firstLine="480"/>
        <w:rPr>
          <w:rFonts w:ascii="宋体" w:hAnsi="宋体"/>
          <w:b w:val="0"/>
          <w:bCs/>
          <w:color w:val="000000"/>
          <w:sz w:val="24"/>
        </w:rPr>
      </w:pPr>
      <w:r>
        <w:rPr>
          <w:rFonts w:hint="eastAsia" w:ascii="宋体" w:hAnsi="宋体"/>
          <w:b w:val="0"/>
          <w:bCs/>
          <w:color w:val="000000"/>
          <w:sz w:val="24"/>
        </w:rPr>
        <w:t>6.2.3负责按合同规定向义乌市政府申请政府补贴，并按补贴标准及时拨付给乙方。</w:t>
      </w:r>
    </w:p>
    <w:p>
      <w:pPr>
        <w:spacing w:line="430" w:lineRule="exact"/>
        <w:ind w:firstLine="480"/>
        <w:rPr>
          <w:rFonts w:ascii="宋体" w:hAnsi="宋体"/>
          <w:b w:val="0"/>
          <w:bCs/>
          <w:color w:val="000000"/>
          <w:sz w:val="24"/>
        </w:rPr>
      </w:pPr>
      <w:r>
        <w:rPr>
          <w:rFonts w:hint="eastAsia" w:ascii="宋体" w:hAnsi="宋体"/>
          <w:b w:val="0"/>
          <w:bCs/>
          <w:color w:val="000000"/>
          <w:sz w:val="24"/>
        </w:rPr>
        <w:t>6.2.4甲方负责义乌文化广场剧院舞台设备设施、工程通用设备设施（以下统称：设备设施）由厂家提供的大中修维护保养工作，每年年底由乙方根据设备设施具体情况制定义乌文化广场剧院的设备设施下一年度大中修项目计划，报甲方审定后，由甲方将大中修项目的费用预算报请义乌市经济开发区、义乌市财政局审核、申拨。设备设施大修是指每五年一次的舞台机械、灯光音响、智能化系统、工程通用设备等常规性大检修；设备设施中修是指剧院舞台设备及工程通用设备两年的厂家免费维护保养到期后，由舞台机械、灯光、音响系统及工程通用设备的原厂家提供的每年度综合维护保养；设备设施大中修期限以厂家设备验收交付之日起计算，所有权人与有关第三方订立的合同有特殊约定的从其约定。在设备设施大中修期限的上一年度10月份前，由乙方向甲方提出大中修计划和经费预算。甲方监督设备设施大中修经费专款专用。</w:t>
      </w:r>
    </w:p>
    <w:p>
      <w:pPr>
        <w:spacing w:line="430" w:lineRule="exact"/>
        <w:ind w:firstLine="480"/>
        <w:rPr>
          <w:rFonts w:ascii="宋体" w:hAnsi="宋体"/>
          <w:b w:val="0"/>
          <w:bCs/>
          <w:color w:val="000000"/>
          <w:sz w:val="24"/>
        </w:rPr>
      </w:pPr>
      <w:r>
        <w:rPr>
          <w:rFonts w:hint="eastAsia" w:ascii="宋体" w:hAnsi="宋体"/>
          <w:b w:val="0"/>
          <w:bCs/>
          <w:color w:val="000000"/>
          <w:sz w:val="24"/>
        </w:rPr>
        <w:t>6.2.5甲方免费提供剧院的设施设备给乙方使用（斯坦威钢琴由甲方保管）。</w:t>
      </w:r>
    </w:p>
    <w:p>
      <w:pPr>
        <w:spacing w:line="430" w:lineRule="exact"/>
        <w:ind w:firstLine="480"/>
        <w:rPr>
          <w:rFonts w:ascii="宋体" w:hAnsi="宋体"/>
          <w:b w:val="0"/>
          <w:bCs/>
          <w:color w:val="000000"/>
          <w:sz w:val="24"/>
        </w:rPr>
      </w:pPr>
      <w:r>
        <w:rPr>
          <w:rFonts w:hint="eastAsia" w:ascii="宋体" w:hAnsi="宋体"/>
          <w:b w:val="0"/>
          <w:bCs/>
          <w:color w:val="000000"/>
          <w:sz w:val="24"/>
        </w:rPr>
        <w:t>6.2.6甲方配合乙方进行宣传活动，在剧院周边设置广告宣传位，并协调利用政府宣传资源平台如主流媒体、网站、户外大屏等宣传平台对剧院的演出剧目、文化惠民活动等公共文化服务信息进行免费发布。</w:t>
      </w:r>
    </w:p>
    <w:p>
      <w:pPr>
        <w:spacing w:line="430" w:lineRule="exact"/>
        <w:ind w:firstLine="480"/>
        <w:rPr>
          <w:rFonts w:ascii="宋体" w:hAnsi="宋体"/>
          <w:b w:val="0"/>
          <w:bCs/>
          <w:color w:val="000000"/>
          <w:sz w:val="24"/>
        </w:rPr>
      </w:pPr>
      <w:r>
        <w:rPr>
          <w:rFonts w:hint="eastAsia" w:ascii="宋体" w:hAnsi="宋体"/>
          <w:b w:val="0"/>
          <w:bCs/>
          <w:color w:val="000000"/>
          <w:sz w:val="24"/>
        </w:rPr>
        <w:t>6.2.7乙方向有关部门借阅、复印经营管理所需的竣工图纸等有关资料，甲方应积极配合，但乙方要妥善保管，且只能用于经营管理所用，不得另做它用，所复印的竣工图纸等有关资料在本合同终止之日起三十日内归还。</w:t>
      </w:r>
    </w:p>
    <w:p>
      <w:pPr>
        <w:spacing w:line="430" w:lineRule="exact"/>
        <w:ind w:firstLine="480"/>
        <w:rPr>
          <w:rFonts w:ascii="宋体" w:hAnsi="宋体"/>
          <w:b w:val="0"/>
          <w:bCs/>
          <w:color w:val="000000"/>
          <w:sz w:val="24"/>
        </w:rPr>
      </w:pPr>
      <w:r>
        <w:rPr>
          <w:rFonts w:hint="eastAsia" w:ascii="宋体" w:hAnsi="宋体"/>
          <w:b w:val="0"/>
          <w:bCs/>
          <w:color w:val="000000"/>
          <w:sz w:val="24"/>
        </w:rPr>
        <w:t>6.2.8甲方确保剧院自身拥有对外进行演出信息发布的平台</w:t>
      </w:r>
    </w:p>
    <w:p>
      <w:pPr>
        <w:spacing w:line="430" w:lineRule="exact"/>
        <w:ind w:firstLine="480"/>
        <w:rPr>
          <w:rFonts w:ascii="宋体" w:hAnsi="宋体"/>
          <w:b w:val="0"/>
          <w:bCs/>
          <w:color w:val="000000"/>
          <w:sz w:val="24"/>
        </w:rPr>
      </w:pPr>
      <w:r>
        <w:rPr>
          <w:rFonts w:hint="eastAsia" w:ascii="宋体" w:hAnsi="宋体"/>
          <w:b w:val="0"/>
          <w:bCs/>
          <w:color w:val="000000"/>
          <w:sz w:val="24"/>
        </w:rPr>
        <w:t>6.2.9甲方与文化广场物业管理公司协调落实乙方工作人员车辆在地下停车场的车辆停放。</w:t>
      </w:r>
    </w:p>
    <w:p>
      <w:pPr>
        <w:spacing w:line="430" w:lineRule="exact"/>
        <w:ind w:firstLine="480"/>
        <w:rPr>
          <w:rFonts w:ascii="宋体" w:hAnsi="宋体"/>
          <w:b w:val="0"/>
          <w:bCs/>
          <w:color w:val="000000"/>
          <w:sz w:val="24"/>
        </w:rPr>
      </w:pPr>
      <w:r>
        <w:rPr>
          <w:rFonts w:hint="eastAsia" w:ascii="宋体" w:hAnsi="宋体"/>
          <w:b w:val="0"/>
          <w:bCs/>
          <w:color w:val="000000"/>
          <w:sz w:val="24"/>
        </w:rPr>
        <w:t>第七条 乙方的权利与责任</w:t>
      </w:r>
    </w:p>
    <w:p>
      <w:pPr>
        <w:spacing w:line="430" w:lineRule="exact"/>
        <w:ind w:firstLine="480"/>
        <w:rPr>
          <w:rFonts w:ascii="宋体" w:hAnsi="宋体"/>
          <w:b w:val="0"/>
          <w:bCs/>
          <w:color w:val="000000"/>
          <w:sz w:val="24"/>
        </w:rPr>
      </w:pPr>
      <w:r>
        <w:rPr>
          <w:rFonts w:hint="eastAsia" w:ascii="宋体" w:hAnsi="宋体"/>
          <w:b w:val="0"/>
          <w:bCs/>
          <w:color w:val="000000"/>
          <w:sz w:val="24"/>
        </w:rPr>
        <w:t>7.1乙方权利</w:t>
      </w:r>
    </w:p>
    <w:p>
      <w:pPr>
        <w:spacing w:line="430" w:lineRule="exact"/>
        <w:ind w:firstLine="480"/>
        <w:rPr>
          <w:rFonts w:ascii="宋体" w:hAnsi="宋体"/>
          <w:b w:val="0"/>
          <w:bCs/>
          <w:color w:val="000000"/>
          <w:sz w:val="24"/>
        </w:rPr>
      </w:pPr>
      <w:r>
        <w:rPr>
          <w:rFonts w:hint="eastAsia" w:ascii="宋体" w:hAnsi="宋体"/>
          <w:b w:val="0"/>
          <w:bCs/>
          <w:color w:val="000000"/>
          <w:sz w:val="24"/>
        </w:rPr>
        <w:t>7.1.1乙方根据国家有关法律、法规和义乌市的有关规定及本合同约定的内容，行使义乌文化广场剧院日常经营管理权。乙方承担在经营管理过程中产生的经济、法律责任，这些经济、法律责任包括但不限于：</w:t>
      </w:r>
    </w:p>
    <w:p>
      <w:pPr>
        <w:spacing w:line="430" w:lineRule="exact"/>
        <w:ind w:firstLine="480"/>
        <w:rPr>
          <w:rFonts w:ascii="宋体" w:hAnsi="宋体"/>
          <w:b w:val="0"/>
          <w:bCs/>
          <w:color w:val="000000"/>
          <w:sz w:val="24"/>
        </w:rPr>
      </w:pPr>
      <w:r>
        <w:rPr>
          <w:rFonts w:hint="eastAsia" w:ascii="宋体" w:hAnsi="宋体"/>
          <w:b w:val="0"/>
          <w:bCs/>
          <w:color w:val="000000"/>
          <w:sz w:val="24"/>
        </w:rPr>
        <w:t>（1）因剧院经营管理所产生的债务；</w:t>
      </w:r>
    </w:p>
    <w:p>
      <w:pPr>
        <w:spacing w:line="430" w:lineRule="exact"/>
        <w:ind w:firstLine="480"/>
        <w:rPr>
          <w:rFonts w:ascii="宋体" w:hAnsi="宋体"/>
          <w:b w:val="0"/>
          <w:bCs/>
          <w:color w:val="000000"/>
          <w:sz w:val="24"/>
        </w:rPr>
      </w:pPr>
      <w:r>
        <w:rPr>
          <w:rFonts w:hint="eastAsia" w:ascii="宋体" w:hAnsi="宋体"/>
          <w:b w:val="0"/>
          <w:bCs/>
          <w:color w:val="000000"/>
          <w:sz w:val="24"/>
        </w:rPr>
        <w:t>（2）在剧院经营管理过程中产生的侵权责任；</w:t>
      </w:r>
    </w:p>
    <w:p>
      <w:pPr>
        <w:spacing w:line="430" w:lineRule="exact"/>
        <w:ind w:firstLine="480"/>
        <w:rPr>
          <w:rFonts w:ascii="宋体" w:hAnsi="宋体"/>
          <w:b w:val="0"/>
          <w:bCs/>
          <w:color w:val="000000"/>
          <w:sz w:val="24"/>
        </w:rPr>
      </w:pPr>
      <w:r>
        <w:rPr>
          <w:rFonts w:hint="eastAsia" w:ascii="宋体" w:hAnsi="宋体"/>
          <w:b w:val="0"/>
          <w:bCs/>
          <w:color w:val="000000"/>
          <w:sz w:val="24"/>
        </w:rPr>
        <w:t>（3）因剧院经营管理过程中承担的行政责任；</w:t>
      </w:r>
    </w:p>
    <w:p>
      <w:pPr>
        <w:spacing w:line="430" w:lineRule="exact"/>
        <w:ind w:firstLine="480"/>
        <w:rPr>
          <w:rFonts w:ascii="宋体" w:hAnsi="宋体"/>
          <w:b w:val="0"/>
          <w:bCs/>
          <w:color w:val="000000"/>
          <w:sz w:val="24"/>
        </w:rPr>
      </w:pPr>
      <w:r>
        <w:rPr>
          <w:rFonts w:hint="eastAsia" w:ascii="宋体" w:hAnsi="宋体"/>
          <w:b w:val="0"/>
          <w:bCs/>
          <w:color w:val="000000"/>
          <w:sz w:val="24"/>
        </w:rPr>
        <w:t>如甲方承担本条约定的经济、法律责任的，甲方有权向乙方追索，造成甲方损失的，甲方有权要求乙方追偿。</w:t>
      </w:r>
    </w:p>
    <w:p>
      <w:pPr>
        <w:spacing w:line="430" w:lineRule="exact"/>
        <w:ind w:firstLine="480"/>
        <w:rPr>
          <w:rFonts w:ascii="宋体" w:hAnsi="宋体"/>
          <w:b w:val="0"/>
          <w:bCs/>
          <w:color w:val="000000"/>
          <w:sz w:val="24"/>
        </w:rPr>
      </w:pPr>
      <w:r>
        <w:rPr>
          <w:rFonts w:hint="eastAsia" w:ascii="宋体" w:hAnsi="宋体"/>
          <w:b w:val="0"/>
          <w:bCs/>
          <w:color w:val="000000"/>
          <w:sz w:val="24"/>
        </w:rPr>
        <w:t>7.1.2乙方负责义乌文化广场剧院内剧院、贵宾厅、化妆间、办公室、库房、观众厅等内的设备设施及舞台区域专业设备设施的运行及日常维护，并确保设施设备的完好。</w:t>
      </w:r>
    </w:p>
    <w:p>
      <w:pPr>
        <w:spacing w:line="430" w:lineRule="exact"/>
        <w:ind w:firstLine="480"/>
        <w:rPr>
          <w:rFonts w:ascii="宋体" w:hAnsi="宋体"/>
          <w:b w:val="0"/>
          <w:bCs/>
          <w:color w:val="000000"/>
          <w:sz w:val="24"/>
        </w:rPr>
      </w:pPr>
      <w:r>
        <w:rPr>
          <w:rFonts w:hint="eastAsia" w:ascii="宋体" w:hAnsi="宋体"/>
          <w:b w:val="0"/>
          <w:bCs/>
          <w:color w:val="000000"/>
          <w:sz w:val="24"/>
        </w:rPr>
        <w:t>7.1.3乙方负责义乌文化广场剧院的经营管理，票务、场租费、艺术教育收入等一切合法广告收入归乙方公司所有。</w:t>
      </w:r>
    </w:p>
    <w:p>
      <w:pPr>
        <w:spacing w:line="430" w:lineRule="exact"/>
        <w:ind w:firstLine="480"/>
        <w:rPr>
          <w:rFonts w:ascii="宋体" w:hAnsi="宋体"/>
          <w:b w:val="0"/>
          <w:bCs/>
          <w:color w:val="000000"/>
          <w:sz w:val="24"/>
        </w:rPr>
      </w:pPr>
      <w:r>
        <w:rPr>
          <w:rFonts w:hint="eastAsia" w:ascii="宋体" w:hAnsi="宋体"/>
          <w:b w:val="0"/>
          <w:bCs/>
          <w:color w:val="000000"/>
          <w:sz w:val="24"/>
        </w:rPr>
        <w:t>7.1.4乙方自行组建不少于12人的全职运营团队（6名专业技术人员除外），负责演出运营、剧院管理、宣传策划、落地推广等工作。乙方负责招聘、安排、选拔、考核、辞退项目公司所有的工作人员。</w:t>
      </w:r>
    </w:p>
    <w:p>
      <w:pPr>
        <w:spacing w:line="430" w:lineRule="exact"/>
        <w:ind w:firstLine="480"/>
        <w:rPr>
          <w:rFonts w:ascii="宋体" w:hAnsi="宋体"/>
          <w:b w:val="0"/>
          <w:bCs/>
          <w:color w:val="000000"/>
          <w:sz w:val="24"/>
        </w:rPr>
      </w:pPr>
      <w:r>
        <w:rPr>
          <w:rFonts w:hint="eastAsia" w:ascii="宋体" w:hAnsi="宋体"/>
          <w:b w:val="0"/>
          <w:bCs/>
          <w:color w:val="000000"/>
          <w:sz w:val="24"/>
        </w:rPr>
        <w:t>7.1.5乙方负责对项目公司工作人员进行全方位的业务培训。</w:t>
      </w:r>
    </w:p>
    <w:p>
      <w:pPr>
        <w:spacing w:line="430" w:lineRule="exact"/>
        <w:ind w:firstLine="480"/>
        <w:rPr>
          <w:rFonts w:ascii="宋体" w:hAnsi="宋体"/>
          <w:b w:val="0"/>
          <w:bCs/>
          <w:color w:val="000000"/>
          <w:sz w:val="24"/>
        </w:rPr>
      </w:pPr>
      <w:r>
        <w:rPr>
          <w:rFonts w:hint="eastAsia" w:ascii="宋体" w:hAnsi="宋体"/>
          <w:b w:val="0"/>
          <w:bCs/>
          <w:color w:val="000000"/>
          <w:sz w:val="24"/>
        </w:rPr>
        <w:t>7.1.6乙方根据甲方提供的所有装修、设备和设施等清单对义乌文化广场剧院内主剧场、贵宾厅、化妆间、会议室、办公室、库房、观众厅内设备设施及舞台区域专业设备设施进行日常管理。将剧院的设备与甲方进行交接和清点。乙方一旦签收交接单，甲方交由乙方经营管理的剧院设施、设备等全部财产的保管、管理、日常维护等义务从交接之日起均由乙方负责。乙方须配合甲方做好资产定期盘点工作。</w:t>
      </w:r>
    </w:p>
    <w:p>
      <w:pPr>
        <w:spacing w:line="430" w:lineRule="exact"/>
        <w:ind w:firstLine="480"/>
        <w:rPr>
          <w:rFonts w:ascii="宋体" w:hAnsi="宋体"/>
          <w:b w:val="0"/>
          <w:bCs/>
          <w:color w:val="000000"/>
          <w:sz w:val="24"/>
        </w:rPr>
      </w:pPr>
      <w:r>
        <w:rPr>
          <w:rFonts w:hint="eastAsia" w:ascii="宋体" w:hAnsi="宋体"/>
          <w:b w:val="0"/>
          <w:bCs/>
          <w:color w:val="000000"/>
          <w:sz w:val="24"/>
        </w:rPr>
        <w:t>7.1.7本合同期限内，由乙方出资添加的相关设备及办公用品等财产，其所有权属乙方，在本合同终止后由乙方取回，除非甲方愿意按折旧价格购回。</w:t>
      </w:r>
    </w:p>
    <w:p>
      <w:pPr>
        <w:spacing w:line="430" w:lineRule="exact"/>
        <w:ind w:firstLine="480"/>
        <w:rPr>
          <w:rFonts w:ascii="宋体" w:hAnsi="宋体"/>
          <w:b w:val="0"/>
          <w:bCs/>
          <w:color w:val="000000"/>
          <w:sz w:val="24"/>
        </w:rPr>
      </w:pPr>
      <w:r>
        <w:rPr>
          <w:rFonts w:hint="eastAsia" w:ascii="宋体" w:hAnsi="宋体"/>
          <w:b w:val="0"/>
          <w:bCs/>
          <w:color w:val="000000"/>
          <w:sz w:val="24"/>
        </w:rPr>
        <w:t>7.1.8在本合同期内，乙方可以在含有“义乌文化广场剧院”字样的印刷品、纪念品、宣传品等文化衍生品中同时出现项目公司名称。</w:t>
      </w:r>
    </w:p>
    <w:p>
      <w:pPr>
        <w:spacing w:line="430" w:lineRule="exact"/>
        <w:ind w:firstLine="480"/>
        <w:rPr>
          <w:rFonts w:ascii="宋体" w:hAnsi="宋体"/>
          <w:b w:val="0"/>
          <w:bCs/>
          <w:color w:val="000000"/>
          <w:sz w:val="24"/>
        </w:rPr>
      </w:pPr>
      <w:r>
        <w:rPr>
          <w:rFonts w:hint="eastAsia" w:ascii="宋体" w:hAnsi="宋体"/>
          <w:b w:val="0"/>
          <w:bCs/>
          <w:color w:val="000000"/>
          <w:sz w:val="24"/>
        </w:rPr>
        <w:t>7.2乙方责任</w:t>
      </w:r>
    </w:p>
    <w:p>
      <w:pPr>
        <w:spacing w:line="430" w:lineRule="exact"/>
        <w:ind w:firstLine="480"/>
        <w:rPr>
          <w:rFonts w:ascii="宋体" w:hAnsi="宋体"/>
          <w:b w:val="0"/>
          <w:bCs/>
          <w:color w:val="000000"/>
          <w:sz w:val="24"/>
        </w:rPr>
      </w:pPr>
      <w:r>
        <w:rPr>
          <w:rFonts w:hint="eastAsia" w:ascii="宋体" w:hAnsi="宋体"/>
          <w:b w:val="0"/>
          <w:bCs/>
          <w:color w:val="000000"/>
          <w:sz w:val="24"/>
        </w:rPr>
        <w:t>7.2.1完成本合同第五条所规定的经营管理指标。</w:t>
      </w:r>
    </w:p>
    <w:p>
      <w:pPr>
        <w:spacing w:line="430" w:lineRule="exact"/>
        <w:ind w:firstLine="480"/>
        <w:rPr>
          <w:rFonts w:ascii="宋体" w:hAnsi="宋体"/>
          <w:b w:val="0"/>
          <w:bCs/>
          <w:color w:val="000000"/>
          <w:sz w:val="24"/>
        </w:rPr>
      </w:pPr>
      <w:r>
        <w:rPr>
          <w:rFonts w:hint="eastAsia" w:ascii="宋体" w:hAnsi="宋体"/>
          <w:b w:val="0"/>
          <w:bCs/>
          <w:color w:val="000000"/>
          <w:sz w:val="24"/>
        </w:rPr>
        <w:t>7.2.2本合同期限内，乙方按照国家相关法律法规规定聘用人员并承担相应责任，接受义乌相关职能部门的监督，按国家规定办理相关保险，并承担费用；6名技术人员由乙方统一管理。合同期内和合同范围内因乙方原因造成的安全事故由乙方负全责；因建筑及设备安装、设备质量造成的安全事故责任由建设及设备安装单位承担。</w:t>
      </w:r>
    </w:p>
    <w:p>
      <w:pPr>
        <w:spacing w:line="430" w:lineRule="exact"/>
        <w:ind w:firstLine="480"/>
        <w:rPr>
          <w:rFonts w:ascii="宋体" w:hAnsi="宋体"/>
          <w:b w:val="0"/>
          <w:bCs/>
          <w:color w:val="000000"/>
          <w:sz w:val="24"/>
        </w:rPr>
      </w:pPr>
      <w:r>
        <w:rPr>
          <w:rFonts w:hint="eastAsia" w:ascii="宋体" w:hAnsi="宋体"/>
          <w:b w:val="0"/>
          <w:bCs/>
          <w:color w:val="000000"/>
          <w:sz w:val="24"/>
        </w:rPr>
        <w:t>7.2.3乙方承诺，在义乌文化广场剧院乙方经营活动中保证甲方免受第三方关于侵犯其知识产权的诉讼。若因乙方原因产生的法律诉讼，责任由乙方承担，并负责所有赔偿费用。</w:t>
      </w:r>
    </w:p>
    <w:p>
      <w:pPr>
        <w:spacing w:line="430" w:lineRule="exact"/>
        <w:ind w:firstLine="480"/>
        <w:rPr>
          <w:rFonts w:ascii="宋体" w:hAnsi="宋体"/>
          <w:b w:val="0"/>
          <w:bCs/>
          <w:color w:val="000000"/>
          <w:sz w:val="24"/>
        </w:rPr>
      </w:pPr>
      <w:r>
        <w:rPr>
          <w:rFonts w:hint="eastAsia" w:ascii="宋体" w:hAnsi="宋体"/>
          <w:b w:val="0"/>
          <w:bCs/>
          <w:color w:val="000000"/>
          <w:sz w:val="24"/>
        </w:rPr>
        <w:t>7.2.4遵守当地政府职能部门的各项法律、法规、规章、制度，自觉接受检查和监督，若违反有关规定，由乙方承担责任。</w:t>
      </w:r>
    </w:p>
    <w:p>
      <w:pPr>
        <w:spacing w:line="430" w:lineRule="exact"/>
        <w:ind w:firstLine="480"/>
        <w:rPr>
          <w:rFonts w:ascii="宋体" w:hAnsi="宋体"/>
          <w:b w:val="0"/>
          <w:bCs/>
          <w:color w:val="000000"/>
          <w:sz w:val="24"/>
        </w:rPr>
      </w:pPr>
      <w:r>
        <w:rPr>
          <w:rFonts w:hint="eastAsia" w:ascii="宋体" w:hAnsi="宋体"/>
          <w:b w:val="0"/>
          <w:bCs/>
          <w:color w:val="000000"/>
          <w:sz w:val="24"/>
        </w:rPr>
        <w:t>7.2.5所聘工作人员在享受国家政策规定的待遇外, 最低工资标准不低于义乌市人民政府制定的最低工资标准规定。</w:t>
      </w:r>
    </w:p>
    <w:p>
      <w:pPr>
        <w:spacing w:line="430" w:lineRule="exact"/>
        <w:ind w:firstLine="480"/>
        <w:rPr>
          <w:rFonts w:ascii="宋体" w:hAnsi="宋体"/>
          <w:b w:val="0"/>
          <w:bCs/>
          <w:color w:val="000000"/>
          <w:sz w:val="24"/>
        </w:rPr>
      </w:pPr>
      <w:r>
        <w:rPr>
          <w:rFonts w:hint="eastAsia" w:ascii="宋体" w:hAnsi="宋体"/>
          <w:b w:val="0"/>
          <w:bCs/>
          <w:color w:val="000000"/>
          <w:sz w:val="24"/>
        </w:rPr>
        <w:t>7.2.6乙方保证在自主经营过程中，若因乙方原因造成义乌文化广场剧院资产损失，乙方要照价赔偿，并承担相关责任。若非乙方原因造成的资产流失及损失，经甲方授权乙方在维护剧院设备设施正常运转的条件下代甲方向责任方进行追偿，应承担责任的，按照合同及相关法律法规规定承担责任。</w:t>
      </w:r>
    </w:p>
    <w:p>
      <w:pPr>
        <w:spacing w:line="430" w:lineRule="exact"/>
        <w:ind w:firstLine="480"/>
        <w:rPr>
          <w:rFonts w:ascii="宋体" w:hAnsi="宋体"/>
          <w:b w:val="0"/>
          <w:bCs/>
          <w:color w:val="000000"/>
          <w:sz w:val="24"/>
        </w:rPr>
      </w:pPr>
      <w:r>
        <w:rPr>
          <w:rFonts w:hint="eastAsia" w:ascii="宋体" w:hAnsi="宋体"/>
          <w:b w:val="0"/>
          <w:bCs/>
          <w:color w:val="000000"/>
          <w:sz w:val="24"/>
        </w:rPr>
        <w:t>7.2.7乙方不得以甲方以及义乌文化广场剧院的名义对外借款、提供担保或作其他财务承诺，不得有其他利用甲方信用的行为，不得处分甲方资产,确保甲方资产不会因为乙方原因而遭到冻结、查封、折价抵债或拍卖，也不得以甲方以及义乌文化广场剧院的任何财产作抵押或作其他形式的担保。</w:t>
      </w:r>
    </w:p>
    <w:p>
      <w:pPr>
        <w:spacing w:line="430" w:lineRule="exact"/>
        <w:ind w:firstLine="480"/>
        <w:rPr>
          <w:rFonts w:ascii="宋体" w:hAnsi="宋体"/>
          <w:b w:val="0"/>
          <w:bCs/>
          <w:color w:val="000000"/>
          <w:sz w:val="24"/>
        </w:rPr>
      </w:pPr>
      <w:r>
        <w:rPr>
          <w:rFonts w:hint="eastAsia" w:ascii="宋体" w:hAnsi="宋体"/>
          <w:b w:val="0"/>
          <w:bCs/>
          <w:color w:val="000000"/>
          <w:sz w:val="24"/>
        </w:rPr>
        <w:t>7.2.8在本合同的经营管理期限内，乙方不得在剧院内从事任何违法、违规活动。</w:t>
      </w:r>
    </w:p>
    <w:p>
      <w:pPr>
        <w:spacing w:line="430" w:lineRule="exact"/>
        <w:ind w:firstLine="480"/>
        <w:rPr>
          <w:rFonts w:ascii="宋体" w:hAnsi="宋体"/>
          <w:b w:val="0"/>
          <w:bCs/>
          <w:color w:val="000000"/>
          <w:sz w:val="24"/>
        </w:rPr>
      </w:pPr>
      <w:bookmarkStart w:id="65" w:name="_GoBack"/>
      <w:r>
        <w:rPr>
          <w:rFonts w:hint="eastAsia" w:ascii="宋体" w:hAnsi="宋体"/>
          <w:b w:val="0"/>
          <w:bCs/>
          <w:color w:val="auto"/>
          <w:sz w:val="24"/>
        </w:rPr>
        <w:t>7.2.9在本合同期满或终止之日起，乙方应立即停止印刷、制作、销售、发放含有“义乌文化广场剧院”字样名称的印刷品、旅游纪念品、其他物品和广告宣传，并终止使用“义乌文化广场剧院”的名称及属于甲方所有的全部知识产权</w:t>
      </w:r>
      <w:r>
        <w:rPr>
          <w:rFonts w:hint="eastAsia" w:ascii="宋体" w:hAnsi="宋体"/>
          <w:b w:val="0"/>
          <w:bCs/>
          <w:color w:val="auto"/>
          <w:sz w:val="24"/>
          <w:lang w:eastAsia="zh-CN"/>
        </w:rPr>
        <w:t>，</w:t>
      </w:r>
      <w:r>
        <w:rPr>
          <w:rFonts w:hint="eastAsia" w:ascii="宋体" w:hAnsi="宋体"/>
          <w:b w:val="0"/>
          <w:bCs/>
          <w:color w:val="auto"/>
          <w:sz w:val="24"/>
          <w:lang w:val="en-US" w:eastAsia="zh-CN"/>
        </w:rPr>
        <w:t>并将以“义乌文化广场剧院”的名称运营的公众号、视频号等主体无偿交给甲方</w:t>
      </w:r>
      <w:r>
        <w:rPr>
          <w:rFonts w:hint="eastAsia" w:ascii="宋体" w:hAnsi="宋体"/>
          <w:b w:val="0"/>
          <w:bCs/>
          <w:color w:val="auto"/>
          <w:sz w:val="24"/>
        </w:rPr>
        <w:t>。已印制的</w:t>
      </w:r>
      <w:bookmarkEnd w:id="65"/>
      <w:r>
        <w:rPr>
          <w:rFonts w:hint="eastAsia" w:ascii="宋体" w:hAnsi="宋体"/>
          <w:b w:val="0"/>
          <w:bCs/>
          <w:color w:val="000000"/>
          <w:sz w:val="24"/>
        </w:rPr>
        <w:t>上述物品全部交由甲方处理。7.2.10负责剧院经营管理范围内（合同3.3条款）的设备设施日常维护管理，并承担低值易耗、日常维护费用；剧院的设施设备在使用过程中，人为因素造成损坏的，要照价赔偿（含第三方）。</w:t>
      </w:r>
    </w:p>
    <w:p>
      <w:pPr>
        <w:spacing w:line="430" w:lineRule="exact"/>
        <w:ind w:firstLine="480"/>
        <w:rPr>
          <w:rFonts w:ascii="宋体" w:hAnsi="宋体"/>
          <w:b w:val="0"/>
          <w:bCs/>
          <w:color w:val="000000"/>
          <w:sz w:val="24"/>
        </w:rPr>
      </w:pPr>
      <w:r>
        <w:rPr>
          <w:rFonts w:hint="eastAsia" w:ascii="宋体" w:hAnsi="宋体"/>
          <w:b w:val="0"/>
          <w:bCs/>
          <w:color w:val="000000"/>
          <w:sz w:val="24"/>
        </w:rPr>
        <w:t>7.2.11在本合同有效期内，乙方不得与第三方签订违规合同。</w:t>
      </w:r>
    </w:p>
    <w:p>
      <w:pPr>
        <w:spacing w:line="430" w:lineRule="exact"/>
        <w:ind w:firstLine="480"/>
        <w:rPr>
          <w:rFonts w:ascii="宋体" w:hAnsi="宋体"/>
          <w:b w:val="0"/>
          <w:bCs/>
          <w:color w:val="000000"/>
          <w:sz w:val="24"/>
        </w:rPr>
      </w:pPr>
      <w:r>
        <w:rPr>
          <w:rFonts w:hint="eastAsia" w:ascii="宋体" w:hAnsi="宋体"/>
          <w:b w:val="0"/>
          <w:bCs/>
          <w:color w:val="000000"/>
          <w:sz w:val="24"/>
        </w:rPr>
        <w:t>7.2.12在本合同有效期内，承担本合同规定范围内的一切经营、管理所产生的税费。</w:t>
      </w:r>
    </w:p>
    <w:p>
      <w:pPr>
        <w:spacing w:line="430" w:lineRule="exact"/>
        <w:ind w:firstLine="480"/>
        <w:rPr>
          <w:rFonts w:ascii="宋体" w:hAnsi="宋体"/>
          <w:b w:val="0"/>
          <w:bCs/>
          <w:color w:val="000000"/>
          <w:sz w:val="24"/>
        </w:rPr>
      </w:pPr>
      <w:r>
        <w:rPr>
          <w:rFonts w:hint="eastAsia" w:ascii="宋体" w:hAnsi="宋体"/>
          <w:b w:val="0"/>
          <w:bCs/>
          <w:color w:val="000000"/>
          <w:sz w:val="24"/>
        </w:rPr>
        <w:t>7.2.13在本合同期内对剧院经营范围内建筑物、设备、附属设施发挥功能作用。</w:t>
      </w:r>
    </w:p>
    <w:p>
      <w:pPr>
        <w:spacing w:line="430" w:lineRule="exact"/>
        <w:ind w:firstLine="480"/>
        <w:rPr>
          <w:rFonts w:ascii="宋体" w:hAnsi="宋体"/>
          <w:b w:val="0"/>
          <w:bCs/>
          <w:color w:val="000000"/>
          <w:sz w:val="24"/>
        </w:rPr>
      </w:pPr>
      <w:r>
        <w:rPr>
          <w:rFonts w:hint="eastAsia" w:ascii="宋体" w:hAnsi="宋体"/>
          <w:b w:val="0"/>
          <w:bCs/>
          <w:color w:val="000000"/>
          <w:sz w:val="24"/>
        </w:rPr>
        <w:t>7.2.1</w:t>
      </w:r>
      <w:r>
        <w:rPr>
          <w:rFonts w:ascii="宋体" w:hAnsi="宋体"/>
          <w:b w:val="0"/>
          <w:bCs/>
          <w:color w:val="000000"/>
          <w:sz w:val="24"/>
        </w:rPr>
        <w:t>4</w:t>
      </w:r>
      <w:r>
        <w:rPr>
          <w:rFonts w:hint="eastAsia" w:ascii="宋体" w:hAnsi="宋体"/>
          <w:b w:val="0"/>
          <w:bCs/>
          <w:color w:val="000000"/>
          <w:sz w:val="24"/>
        </w:rPr>
        <w:t>乙方将在有条件时与义乌市地方艺术团队展开积极合作，打造义乌文化广场剧院原创艺术剧目，并利用剧院的平台优势将义乌特色优秀的原创剧目引进剧院舞台演出，共同推广，共摊成本，演出场次可纳入政府考核场次内。</w:t>
      </w:r>
    </w:p>
    <w:p>
      <w:pPr>
        <w:spacing w:line="430" w:lineRule="exact"/>
        <w:ind w:firstLine="480"/>
        <w:rPr>
          <w:rFonts w:ascii="宋体" w:hAnsi="宋体"/>
          <w:b w:val="0"/>
          <w:bCs/>
          <w:color w:val="000000"/>
          <w:sz w:val="24"/>
        </w:rPr>
      </w:pPr>
      <w:r>
        <w:rPr>
          <w:rFonts w:hint="eastAsia" w:ascii="宋体" w:hAnsi="宋体"/>
          <w:b w:val="0"/>
          <w:bCs/>
          <w:color w:val="000000"/>
          <w:sz w:val="24"/>
        </w:rPr>
        <w:t>7.2.1</w:t>
      </w:r>
      <w:r>
        <w:rPr>
          <w:rFonts w:ascii="宋体" w:hAnsi="宋体"/>
          <w:b w:val="0"/>
          <w:bCs/>
          <w:color w:val="000000"/>
          <w:sz w:val="24"/>
        </w:rPr>
        <w:t>5</w:t>
      </w:r>
      <w:r>
        <w:rPr>
          <w:rFonts w:hint="eastAsia" w:ascii="宋体" w:hAnsi="宋体"/>
          <w:b w:val="0"/>
          <w:bCs/>
          <w:color w:val="000000"/>
          <w:sz w:val="24"/>
        </w:rPr>
        <w:t>乙方承诺向义乌文化广场剧院提供剧院经营管理的技能、知识培训，舞台机械、灯光、音响等设备的咨询服务。</w:t>
      </w:r>
    </w:p>
    <w:p>
      <w:pPr>
        <w:spacing w:line="430" w:lineRule="exact"/>
        <w:ind w:firstLine="480"/>
        <w:rPr>
          <w:rFonts w:ascii="宋体" w:hAnsi="宋体"/>
          <w:b w:val="0"/>
          <w:bCs/>
          <w:color w:val="000000"/>
          <w:sz w:val="24"/>
        </w:rPr>
      </w:pPr>
      <w:r>
        <w:rPr>
          <w:rFonts w:hint="eastAsia" w:ascii="宋体" w:hAnsi="宋体"/>
          <w:b w:val="0"/>
          <w:bCs/>
          <w:color w:val="000000"/>
          <w:sz w:val="24"/>
        </w:rPr>
        <w:t>第八条 设备设施维护</w:t>
      </w:r>
    </w:p>
    <w:p>
      <w:pPr>
        <w:spacing w:line="430" w:lineRule="exact"/>
        <w:ind w:firstLine="480"/>
        <w:rPr>
          <w:rFonts w:ascii="宋体" w:hAnsi="宋体"/>
          <w:b w:val="0"/>
          <w:bCs/>
          <w:color w:val="000000"/>
          <w:sz w:val="24"/>
        </w:rPr>
      </w:pPr>
      <w:r>
        <w:rPr>
          <w:rFonts w:hint="eastAsia" w:ascii="宋体" w:hAnsi="宋体"/>
          <w:b w:val="0"/>
          <w:bCs/>
          <w:color w:val="000000"/>
          <w:sz w:val="24"/>
        </w:rPr>
        <w:t>8.1乙方承担剧院舞台设备设施（包括各类专用设备）、通用设备的日常维护责任。根据各类设备设施使用、维护、保养周期的技术规范要求及实际需要，负责对设备设施进行日常维护和年度检修工作；舞台专业设备设施的综合保养及大中修由甲方委托厂家进行，并签定舞台设备设施年度维护保养协议，乙方协助监督厂家的维保过程，确保设备设施的完好、安全和功能的正常使用。维护保养项目包括但不限于以下内容：</w:t>
      </w:r>
    </w:p>
    <w:p>
      <w:pPr>
        <w:spacing w:line="430" w:lineRule="exact"/>
        <w:ind w:firstLine="480"/>
        <w:rPr>
          <w:rFonts w:ascii="宋体" w:hAnsi="宋体"/>
          <w:b w:val="0"/>
          <w:bCs/>
          <w:color w:val="000000"/>
          <w:sz w:val="24"/>
        </w:rPr>
      </w:pPr>
      <w:r>
        <w:rPr>
          <w:rFonts w:hint="eastAsia" w:ascii="宋体" w:hAnsi="宋体"/>
          <w:b w:val="0"/>
          <w:bCs/>
          <w:color w:val="000000"/>
          <w:sz w:val="24"/>
        </w:rPr>
        <w:t>8.1.1日常维护。乙方负责对舞台机械、音视频系统、灯光背投等专用设备，反音罩、乐队平台、大幕、座椅等专用设施，通用设备等进行日常检修、维护和保养，发现问题及时解决，保持设备设施的完好使用率。</w:t>
      </w:r>
    </w:p>
    <w:p>
      <w:pPr>
        <w:spacing w:line="430" w:lineRule="exact"/>
        <w:ind w:firstLine="480"/>
        <w:rPr>
          <w:rFonts w:ascii="宋体" w:hAnsi="宋体"/>
          <w:b w:val="0"/>
          <w:bCs/>
          <w:color w:val="000000"/>
          <w:sz w:val="24"/>
        </w:rPr>
      </w:pPr>
      <w:r>
        <w:rPr>
          <w:rFonts w:hint="eastAsia" w:ascii="宋体" w:hAnsi="宋体"/>
          <w:b w:val="0"/>
          <w:bCs/>
          <w:color w:val="000000"/>
          <w:sz w:val="24"/>
        </w:rPr>
        <w:t>8.1.2年度检修。乙方在每年的演出淡季负责对舞台各类设备设施、通用设备以及观众席座椅进行全面系统的检测维修，保持设备设施的安全稳定性。</w:t>
      </w:r>
    </w:p>
    <w:p>
      <w:pPr>
        <w:spacing w:line="430" w:lineRule="exact"/>
        <w:ind w:firstLine="480"/>
        <w:rPr>
          <w:rFonts w:ascii="宋体" w:hAnsi="宋体"/>
          <w:b w:val="0"/>
          <w:bCs/>
          <w:color w:val="000000"/>
          <w:sz w:val="24"/>
        </w:rPr>
      </w:pPr>
      <w:r>
        <w:rPr>
          <w:rFonts w:hint="eastAsia" w:ascii="宋体" w:hAnsi="宋体"/>
          <w:b w:val="0"/>
          <w:bCs/>
          <w:color w:val="000000"/>
          <w:sz w:val="24"/>
        </w:rPr>
        <w:t>8.1.3综合保养。在舞台各类设备设施、通用设备超出厂方承诺的保修期后，乙方协助甲方严格按照各类设备设施的运行使用规范要求，在不同年限要求厂方分别进行年度综合保养，对系统进行全面的检测调试，确保各类设备设施的使用功能长期处于良好状态。</w:t>
      </w:r>
    </w:p>
    <w:p>
      <w:pPr>
        <w:spacing w:line="430" w:lineRule="exact"/>
        <w:ind w:firstLine="480"/>
        <w:rPr>
          <w:rFonts w:ascii="宋体" w:hAnsi="宋体"/>
          <w:b w:val="0"/>
          <w:bCs/>
          <w:color w:val="000000"/>
          <w:sz w:val="24"/>
        </w:rPr>
      </w:pPr>
      <w:r>
        <w:rPr>
          <w:rFonts w:hint="eastAsia" w:ascii="宋体" w:hAnsi="宋体"/>
          <w:b w:val="0"/>
          <w:bCs/>
          <w:color w:val="000000"/>
          <w:sz w:val="24"/>
        </w:rPr>
        <w:t>8.1.4大中修（合同6.1.2条款）。舞台专业设备设施、通用设备超出厂方承诺的保修期后，按照国家、行业标准或设备设施的运行使用规范，需要进行系统大中修，或各类重要设备设施在正常使用中发生自然损坏，将严重影响系统设备的正常运行，需要进行专项大修，由乙方按年度向甲方提出维护维修计划和费用预算，经甲方评估、审批拨款后实施。</w:t>
      </w:r>
    </w:p>
    <w:p>
      <w:pPr>
        <w:spacing w:line="430" w:lineRule="exact"/>
        <w:ind w:firstLine="480"/>
        <w:rPr>
          <w:rFonts w:ascii="宋体" w:hAnsi="宋体"/>
          <w:b w:val="0"/>
          <w:bCs/>
          <w:color w:val="000000"/>
          <w:sz w:val="24"/>
        </w:rPr>
      </w:pPr>
      <w:r>
        <w:rPr>
          <w:rFonts w:hint="eastAsia" w:ascii="宋体" w:hAnsi="宋体"/>
          <w:b w:val="0"/>
          <w:bCs/>
          <w:color w:val="000000"/>
          <w:sz w:val="24"/>
        </w:rPr>
        <w:t>8.1.5自签收资产交接单之时起，乙方的所有资产管理工作必须有计划，保留记录，建立台帐。</w:t>
      </w:r>
    </w:p>
    <w:p>
      <w:pPr>
        <w:spacing w:line="430" w:lineRule="exact"/>
        <w:ind w:firstLine="480"/>
        <w:rPr>
          <w:rFonts w:ascii="宋体" w:hAnsi="宋体"/>
          <w:b w:val="0"/>
          <w:bCs/>
          <w:color w:val="000000"/>
          <w:sz w:val="24"/>
        </w:rPr>
      </w:pPr>
      <w:r>
        <w:rPr>
          <w:rFonts w:hint="eastAsia" w:ascii="宋体" w:hAnsi="宋体"/>
          <w:b w:val="0"/>
          <w:bCs/>
          <w:color w:val="000000"/>
          <w:sz w:val="24"/>
        </w:rPr>
        <w:t>8.2剧院演出设施设备不能出租、出借给第三方在剧院外使用。</w:t>
      </w:r>
    </w:p>
    <w:p>
      <w:pPr>
        <w:spacing w:line="430" w:lineRule="exact"/>
        <w:ind w:firstLine="480"/>
        <w:rPr>
          <w:rFonts w:ascii="宋体" w:hAnsi="宋体"/>
          <w:b w:val="0"/>
          <w:bCs/>
          <w:color w:val="000000"/>
          <w:sz w:val="24"/>
        </w:rPr>
      </w:pPr>
      <w:r>
        <w:rPr>
          <w:rFonts w:hint="eastAsia" w:ascii="宋体" w:hAnsi="宋体"/>
          <w:b w:val="0"/>
          <w:bCs/>
          <w:color w:val="000000"/>
          <w:sz w:val="24"/>
        </w:rPr>
        <w:t>第九条  经营管理考核</w:t>
      </w:r>
    </w:p>
    <w:p>
      <w:pPr>
        <w:spacing w:line="430" w:lineRule="exact"/>
        <w:ind w:firstLine="480"/>
        <w:rPr>
          <w:rFonts w:ascii="宋体" w:hAnsi="宋体"/>
          <w:b w:val="0"/>
          <w:bCs/>
          <w:color w:val="000000"/>
          <w:sz w:val="24"/>
        </w:rPr>
      </w:pPr>
      <w:r>
        <w:rPr>
          <w:rFonts w:hint="eastAsia" w:ascii="宋体" w:hAnsi="宋体"/>
          <w:b w:val="0"/>
          <w:bCs/>
          <w:color w:val="000000"/>
          <w:sz w:val="24"/>
        </w:rPr>
        <w:t>9.1甲方每年对乙方当年度的经营管理情况进行考评，最后一年分季度考核。考核细则另行议定。考核不合格，甲方有权终止合同。</w:t>
      </w:r>
    </w:p>
    <w:p>
      <w:pPr>
        <w:spacing w:line="430" w:lineRule="exact"/>
        <w:ind w:firstLine="480"/>
        <w:rPr>
          <w:rFonts w:ascii="宋体" w:hAnsi="宋体"/>
          <w:b w:val="0"/>
          <w:bCs/>
          <w:color w:val="000000"/>
          <w:sz w:val="24"/>
        </w:rPr>
      </w:pPr>
      <w:r>
        <w:rPr>
          <w:rFonts w:hint="eastAsia" w:ascii="宋体" w:hAnsi="宋体"/>
          <w:b w:val="0"/>
          <w:bCs/>
          <w:color w:val="000000"/>
          <w:sz w:val="24"/>
        </w:rPr>
        <w:t>9.2年度考核时间：当年的12月31日前。</w:t>
      </w:r>
    </w:p>
    <w:p>
      <w:pPr>
        <w:spacing w:line="430" w:lineRule="exact"/>
        <w:ind w:firstLine="480"/>
        <w:rPr>
          <w:rFonts w:ascii="宋体" w:hAnsi="宋体"/>
          <w:b w:val="0"/>
          <w:bCs/>
          <w:color w:val="000000"/>
          <w:sz w:val="24"/>
        </w:rPr>
      </w:pPr>
      <w:r>
        <w:rPr>
          <w:rFonts w:hint="eastAsia" w:ascii="宋体" w:hAnsi="宋体"/>
          <w:b w:val="0"/>
          <w:bCs/>
          <w:color w:val="000000"/>
          <w:sz w:val="24"/>
        </w:rPr>
        <w:t>9.3主要考核内容：</w:t>
      </w:r>
    </w:p>
    <w:p>
      <w:pPr>
        <w:spacing w:line="430" w:lineRule="exact"/>
        <w:ind w:firstLine="480"/>
        <w:rPr>
          <w:rFonts w:ascii="宋体" w:hAnsi="宋体"/>
          <w:b w:val="0"/>
          <w:bCs/>
          <w:color w:val="000000"/>
          <w:sz w:val="24"/>
        </w:rPr>
      </w:pPr>
      <w:r>
        <w:rPr>
          <w:rFonts w:hint="eastAsia" w:ascii="宋体" w:hAnsi="宋体"/>
          <w:b w:val="0"/>
          <w:bCs/>
          <w:color w:val="000000"/>
          <w:sz w:val="24"/>
        </w:rPr>
        <w:t>9.3.1实现了本合同第五条规定的全部经营管理指标；</w:t>
      </w:r>
    </w:p>
    <w:p>
      <w:pPr>
        <w:spacing w:line="430" w:lineRule="exact"/>
        <w:ind w:firstLine="480"/>
        <w:rPr>
          <w:rFonts w:ascii="宋体" w:hAnsi="宋体"/>
          <w:b w:val="0"/>
          <w:bCs/>
          <w:color w:val="000000"/>
          <w:sz w:val="24"/>
        </w:rPr>
      </w:pPr>
      <w:r>
        <w:rPr>
          <w:rFonts w:hint="eastAsia" w:ascii="宋体" w:hAnsi="宋体"/>
          <w:b w:val="0"/>
          <w:bCs/>
          <w:color w:val="000000"/>
          <w:sz w:val="24"/>
        </w:rPr>
        <w:t>9.3.2观众满意度95%以上；</w:t>
      </w:r>
    </w:p>
    <w:p>
      <w:pPr>
        <w:spacing w:line="430" w:lineRule="exact"/>
        <w:ind w:firstLine="480"/>
        <w:rPr>
          <w:rFonts w:ascii="宋体" w:hAnsi="宋体"/>
          <w:b w:val="0"/>
          <w:bCs/>
          <w:color w:val="000000"/>
          <w:sz w:val="24"/>
        </w:rPr>
      </w:pPr>
      <w:r>
        <w:rPr>
          <w:rFonts w:hint="eastAsia" w:ascii="宋体" w:hAnsi="宋体"/>
          <w:b w:val="0"/>
          <w:bCs/>
          <w:color w:val="000000"/>
          <w:sz w:val="24"/>
        </w:rPr>
        <w:t>9.3.3全年无较大及较大以上责任事故(较大责任事故的界定以国务院的文件规定为准)；</w:t>
      </w:r>
    </w:p>
    <w:p>
      <w:pPr>
        <w:spacing w:line="430" w:lineRule="exact"/>
        <w:ind w:firstLine="480"/>
        <w:rPr>
          <w:rFonts w:ascii="宋体" w:hAnsi="宋体"/>
          <w:b w:val="0"/>
          <w:bCs/>
          <w:color w:val="000000"/>
          <w:sz w:val="24"/>
        </w:rPr>
      </w:pPr>
      <w:r>
        <w:rPr>
          <w:rFonts w:hint="eastAsia" w:ascii="宋体" w:hAnsi="宋体"/>
          <w:b w:val="0"/>
          <w:bCs/>
          <w:color w:val="000000"/>
          <w:sz w:val="24"/>
        </w:rPr>
        <w:t>9.3.4全年无违法违规行为；</w:t>
      </w:r>
    </w:p>
    <w:p>
      <w:pPr>
        <w:spacing w:line="430" w:lineRule="exact"/>
        <w:ind w:firstLine="480"/>
        <w:rPr>
          <w:rFonts w:ascii="宋体" w:hAnsi="宋体"/>
          <w:b w:val="0"/>
          <w:bCs/>
          <w:color w:val="000000"/>
          <w:sz w:val="24"/>
        </w:rPr>
      </w:pPr>
      <w:r>
        <w:rPr>
          <w:rFonts w:hint="eastAsia" w:ascii="宋体" w:hAnsi="宋体"/>
          <w:b w:val="0"/>
          <w:bCs/>
          <w:color w:val="000000"/>
          <w:sz w:val="24"/>
        </w:rPr>
        <w:t>9.3.5乙方任命的义乌文化广场剧院的经营管理骨干在工作中无违法违规行为；</w:t>
      </w:r>
    </w:p>
    <w:p>
      <w:pPr>
        <w:spacing w:line="430" w:lineRule="exact"/>
        <w:ind w:firstLine="480"/>
        <w:rPr>
          <w:rFonts w:ascii="宋体" w:hAnsi="宋体"/>
          <w:b w:val="0"/>
          <w:bCs/>
          <w:color w:val="000000"/>
          <w:sz w:val="24"/>
        </w:rPr>
      </w:pPr>
      <w:r>
        <w:rPr>
          <w:rFonts w:hint="eastAsia" w:ascii="宋体" w:hAnsi="宋体"/>
          <w:b w:val="0"/>
          <w:bCs/>
          <w:color w:val="000000"/>
          <w:sz w:val="24"/>
        </w:rPr>
        <w:t>9.3.6做好设备设施的维护和资产保管工作。</w:t>
      </w:r>
    </w:p>
    <w:p>
      <w:pPr>
        <w:spacing w:line="430" w:lineRule="exact"/>
        <w:ind w:firstLine="480"/>
        <w:rPr>
          <w:rFonts w:ascii="宋体" w:hAnsi="宋体"/>
          <w:b w:val="0"/>
          <w:bCs/>
          <w:color w:val="000000"/>
          <w:sz w:val="24"/>
        </w:rPr>
      </w:pPr>
      <w:r>
        <w:rPr>
          <w:rFonts w:hint="eastAsia" w:ascii="宋体" w:hAnsi="宋体"/>
          <w:b w:val="0"/>
          <w:bCs/>
          <w:color w:val="000000"/>
          <w:sz w:val="24"/>
        </w:rPr>
        <w:t>9.4乙方在全年公开售票演出场次中平均上座率（出票率）第一年不低于60%，如未达标，则甲方有权在次年的演出补贴中扣减相应费用，上座率每降低1%上缴财政2万元，以此类推。</w:t>
      </w:r>
    </w:p>
    <w:p>
      <w:pPr>
        <w:spacing w:line="430" w:lineRule="exact"/>
        <w:ind w:firstLine="480"/>
        <w:rPr>
          <w:rFonts w:ascii="宋体" w:hAnsi="宋体"/>
          <w:b w:val="0"/>
          <w:bCs/>
          <w:color w:val="000000"/>
          <w:sz w:val="24"/>
        </w:rPr>
      </w:pPr>
      <w:r>
        <w:rPr>
          <w:rFonts w:hint="eastAsia" w:ascii="宋体" w:hAnsi="宋体"/>
          <w:b w:val="0"/>
          <w:bCs/>
          <w:color w:val="000000"/>
          <w:sz w:val="24"/>
        </w:rPr>
        <w:t>9.5甲方在经营考核中如发现乙方未完成上述考核指标，则将从次年的补贴中扣除相应补贴。剧院每少一场次自营演出或活动，甲方有权在次年的演出补贴中扣减相应费用（平均每场10万元）。最后一年分季度给予相应考核，如乙方未能完成季度经营管理相关指标，甲方有权在考核后从下个季度的补贴中扣除，最后一个季度需要扣回的补贴在合同终止后十个工作日内由乙方支付给甲方。</w:t>
      </w:r>
    </w:p>
    <w:p>
      <w:pPr>
        <w:spacing w:line="430" w:lineRule="exact"/>
        <w:ind w:firstLine="480"/>
        <w:rPr>
          <w:rFonts w:ascii="宋体" w:hAnsi="宋体"/>
          <w:b w:val="0"/>
          <w:bCs/>
          <w:color w:val="000000"/>
          <w:sz w:val="24"/>
        </w:rPr>
      </w:pPr>
      <w:r>
        <w:rPr>
          <w:rFonts w:hint="eastAsia" w:ascii="宋体" w:hAnsi="宋体"/>
          <w:b w:val="0"/>
          <w:bCs/>
          <w:color w:val="000000"/>
          <w:sz w:val="24"/>
        </w:rPr>
        <w:t>第十条违约责任</w:t>
      </w:r>
    </w:p>
    <w:p>
      <w:pPr>
        <w:spacing w:line="430" w:lineRule="exact"/>
        <w:ind w:firstLine="480"/>
        <w:rPr>
          <w:rFonts w:ascii="宋体" w:hAnsi="宋体"/>
          <w:b w:val="0"/>
          <w:bCs/>
          <w:color w:val="000000"/>
          <w:sz w:val="24"/>
        </w:rPr>
      </w:pPr>
      <w:r>
        <w:rPr>
          <w:rFonts w:hint="eastAsia" w:ascii="宋体" w:hAnsi="宋体"/>
          <w:b w:val="0"/>
          <w:bCs/>
          <w:color w:val="000000"/>
          <w:sz w:val="24"/>
        </w:rPr>
        <w:t>10.1甲方违约</w:t>
      </w:r>
    </w:p>
    <w:p>
      <w:pPr>
        <w:spacing w:line="430" w:lineRule="exact"/>
        <w:ind w:firstLine="480"/>
        <w:rPr>
          <w:rFonts w:ascii="宋体" w:hAnsi="宋体"/>
          <w:b w:val="0"/>
          <w:bCs/>
          <w:color w:val="000000"/>
          <w:sz w:val="24"/>
        </w:rPr>
      </w:pPr>
      <w:r>
        <w:rPr>
          <w:rFonts w:hint="eastAsia" w:ascii="宋体" w:hAnsi="宋体"/>
          <w:b w:val="0"/>
          <w:bCs/>
          <w:color w:val="000000"/>
          <w:sz w:val="24"/>
        </w:rPr>
        <w:t>10.1.1甲方不得无故终止已经签订并生效的合同，否则，应赔偿乙方的直接经济损失。</w:t>
      </w:r>
    </w:p>
    <w:p>
      <w:pPr>
        <w:spacing w:line="430" w:lineRule="exact"/>
        <w:ind w:firstLine="480"/>
        <w:rPr>
          <w:rFonts w:ascii="宋体" w:hAnsi="宋体"/>
          <w:b w:val="0"/>
          <w:bCs/>
          <w:color w:val="000000"/>
          <w:sz w:val="24"/>
        </w:rPr>
      </w:pPr>
      <w:r>
        <w:rPr>
          <w:rFonts w:hint="eastAsia" w:ascii="宋体" w:hAnsi="宋体"/>
          <w:b w:val="0"/>
          <w:bCs/>
          <w:color w:val="000000"/>
          <w:sz w:val="24"/>
        </w:rPr>
        <w:t>10.1.2由于甲方不能及时支付剧目采购经费的，导致乙方无法完成剧目上演约定数量的，乙方不承担违约责任，甲方应支付一定数额的违约金。</w:t>
      </w:r>
    </w:p>
    <w:p>
      <w:pPr>
        <w:spacing w:line="430" w:lineRule="exact"/>
        <w:ind w:firstLine="480"/>
        <w:rPr>
          <w:rFonts w:ascii="宋体" w:hAnsi="宋体"/>
          <w:b w:val="0"/>
          <w:bCs/>
          <w:color w:val="000000"/>
          <w:sz w:val="24"/>
        </w:rPr>
      </w:pPr>
      <w:r>
        <w:rPr>
          <w:rFonts w:hint="eastAsia" w:ascii="宋体" w:hAnsi="宋体"/>
          <w:b w:val="0"/>
          <w:bCs/>
          <w:color w:val="000000"/>
          <w:sz w:val="24"/>
        </w:rPr>
        <w:t>10.2乙方违约</w:t>
      </w:r>
    </w:p>
    <w:p>
      <w:pPr>
        <w:spacing w:line="430" w:lineRule="exact"/>
        <w:ind w:firstLine="480"/>
        <w:rPr>
          <w:rFonts w:ascii="宋体" w:hAnsi="宋体"/>
          <w:b w:val="0"/>
          <w:bCs/>
          <w:color w:val="000000"/>
          <w:sz w:val="24"/>
        </w:rPr>
      </w:pPr>
      <w:r>
        <w:rPr>
          <w:rFonts w:hint="eastAsia" w:ascii="宋体" w:hAnsi="宋体"/>
          <w:b w:val="0"/>
          <w:bCs/>
          <w:color w:val="000000"/>
          <w:sz w:val="24"/>
        </w:rPr>
        <w:t>10.2.1乙方未能实现本合同规定的经营指标中5.1、5.2、5.3条，甲方有权终止合同；若由此造成甲方直接经济损失的，乙方应予以赔偿。</w:t>
      </w:r>
    </w:p>
    <w:p>
      <w:pPr>
        <w:spacing w:line="430" w:lineRule="exact"/>
        <w:ind w:firstLine="480"/>
        <w:rPr>
          <w:rFonts w:ascii="宋体" w:hAnsi="宋体"/>
          <w:b w:val="0"/>
          <w:bCs/>
          <w:color w:val="000000"/>
          <w:sz w:val="24"/>
        </w:rPr>
      </w:pPr>
      <w:r>
        <w:rPr>
          <w:rFonts w:hint="eastAsia" w:ascii="宋体" w:hAnsi="宋体"/>
          <w:b w:val="0"/>
          <w:bCs/>
          <w:color w:val="000000"/>
          <w:sz w:val="24"/>
        </w:rPr>
        <w:t>10.2.2乙方违法经营及有违反本协议7.2条、8.1条的约定情形的，经甲方书面通知后30日内仍未改正的，甲方有权解除合同。乙方支付一定数额的违约金给甲方，若由此造成甲方直接经济损失的，乙方也应予以赔偿。</w:t>
      </w:r>
    </w:p>
    <w:p>
      <w:pPr>
        <w:spacing w:line="430" w:lineRule="exact"/>
        <w:ind w:firstLine="480"/>
        <w:rPr>
          <w:rFonts w:ascii="宋体" w:hAnsi="宋体"/>
          <w:b w:val="0"/>
          <w:bCs/>
          <w:color w:val="000000"/>
          <w:sz w:val="24"/>
        </w:rPr>
      </w:pPr>
      <w:r>
        <w:rPr>
          <w:rFonts w:hint="eastAsia" w:ascii="宋体" w:hAnsi="宋体"/>
          <w:b w:val="0"/>
          <w:bCs/>
          <w:color w:val="000000"/>
          <w:sz w:val="24"/>
        </w:rPr>
        <w:t>10.2.3若乙方未尽合理管理义务，导致受托经营管理的资产造成损毁、丢失、下落不明等情形，乙方应赔偿相应的损失。</w:t>
      </w:r>
    </w:p>
    <w:p>
      <w:pPr>
        <w:spacing w:line="430" w:lineRule="exact"/>
        <w:ind w:firstLine="480"/>
        <w:rPr>
          <w:rFonts w:ascii="宋体" w:hAnsi="宋体"/>
          <w:b w:val="0"/>
          <w:bCs/>
          <w:color w:val="000000"/>
          <w:sz w:val="24"/>
        </w:rPr>
      </w:pPr>
      <w:r>
        <w:rPr>
          <w:rFonts w:hint="eastAsia" w:ascii="宋体" w:hAnsi="宋体"/>
          <w:b w:val="0"/>
          <w:bCs/>
          <w:color w:val="000000"/>
          <w:sz w:val="24"/>
        </w:rPr>
        <w:t>10.2.4乙方如单方面终止合同,每提前终止合同一年（每12个月）支付30万元的违约金给甲方。</w:t>
      </w:r>
    </w:p>
    <w:p>
      <w:pPr>
        <w:spacing w:line="430" w:lineRule="exact"/>
        <w:ind w:firstLine="480"/>
        <w:rPr>
          <w:rFonts w:ascii="宋体" w:hAnsi="宋体"/>
          <w:b w:val="0"/>
          <w:bCs/>
          <w:color w:val="000000"/>
          <w:sz w:val="24"/>
        </w:rPr>
      </w:pPr>
      <w:r>
        <w:rPr>
          <w:rFonts w:hint="eastAsia" w:ascii="宋体" w:hAnsi="宋体"/>
          <w:b w:val="0"/>
          <w:bCs/>
          <w:color w:val="000000"/>
          <w:sz w:val="24"/>
        </w:rPr>
        <w:t>第十一条 其他</w:t>
      </w:r>
    </w:p>
    <w:p>
      <w:pPr>
        <w:spacing w:line="430" w:lineRule="exact"/>
        <w:ind w:firstLine="480"/>
        <w:rPr>
          <w:rFonts w:ascii="宋体" w:hAnsi="宋体"/>
          <w:b w:val="0"/>
          <w:bCs/>
          <w:color w:val="000000"/>
          <w:sz w:val="24"/>
        </w:rPr>
      </w:pPr>
      <w:r>
        <w:rPr>
          <w:rFonts w:hint="eastAsia" w:ascii="宋体" w:hAnsi="宋体"/>
          <w:b w:val="0"/>
          <w:bCs/>
          <w:color w:val="000000"/>
          <w:sz w:val="24"/>
        </w:rPr>
        <w:t>11.1因政策变化、或者因不可抗力导致义乌文化广场剧院不能持续正常经营达6个月以上的，本合同可提前终止。不可抗力是指本合同履行过程中发生的任何一方不能预见及避免的客观情况，如战争、暴乱、地震、瘟疫、火灾或其他灾害气候等。</w:t>
      </w:r>
    </w:p>
    <w:p>
      <w:pPr>
        <w:spacing w:line="430" w:lineRule="exact"/>
        <w:ind w:firstLine="480"/>
        <w:rPr>
          <w:rFonts w:ascii="宋体" w:hAnsi="宋体"/>
          <w:b w:val="0"/>
          <w:bCs/>
          <w:color w:val="000000"/>
          <w:sz w:val="24"/>
        </w:rPr>
      </w:pPr>
      <w:r>
        <w:rPr>
          <w:rFonts w:hint="eastAsia" w:ascii="宋体" w:hAnsi="宋体"/>
          <w:b w:val="0"/>
          <w:bCs/>
          <w:color w:val="000000"/>
          <w:sz w:val="24"/>
        </w:rPr>
        <w:t>11.2在本合同期满或提前终止时，乙方应按国家政策和义乌有关规定对义乌文化广场剧院所有工作人员的工资、福利、保险等进行结算。应在终止合同后的30天内完成对义乌文化广场剧院的相关财务结算工作。应按乙方接收甲方的设施、设备等清单在10天内移交给甲方，若造成损坏或遗失，乙方应照价赔偿，并承担一定数额的违约金。乙方应妥善安置其聘用的工作人员，若造成工作人员的工资拖欠、福利保险待遇等的劳资纠纷，由乙方负责处理并承担全部责任。乙方需将工程建设中的相关资料一并移交给甲方。</w:t>
      </w:r>
    </w:p>
    <w:p>
      <w:pPr>
        <w:spacing w:line="430" w:lineRule="exact"/>
        <w:ind w:firstLine="480"/>
        <w:rPr>
          <w:rFonts w:hint="default" w:ascii="宋体" w:hAnsi="宋体" w:eastAsia="宋体"/>
          <w:b w:val="0"/>
          <w:bCs/>
          <w:color w:val="000000"/>
          <w:sz w:val="24"/>
          <w:highlight w:val="none"/>
          <w:lang w:val="en-US" w:eastAsia="zh-CN"/>
        </w:rPr>
      </w:pPr>
      <w:r>
        <w:rPr>
          <w:rFonts w:hint="eastAsia" w:ascii="宋体" w:hAnsi="宋体"/>
          <w:b w:val="0"/>
          <w:bCs/>
          <w:color w:val="000000"/>
          <w:sz w:val="24"/>
        </w:rPr>
        <w:t>11.3在本合同期满或提前终止时，乙方在经营管理期间自行购置的设备、设施，由乙方在10天内自行处理，在自行处理时，不得损坏甲方的设备、设施。逾期未作处理的，视为乙方的遗弃物</w:t>
      </w:r>
      <w:r>
        <w:rPr>
          <w:rFonts w:hint="eastAsia" w:ascii="宋体" w:hAnsi="宋体"/>
          <w:b w:val="0"/>
          <w:bCs/>
          <w:color w:val="000000"/>
          <w:sz w:val="24"/>
          <w:highlight w:val="none"/>
        </w:rPr>
        <w:t>，由甲方所有和处置。</w:t>
      </w:r>
    </w:p>
    <w:p>
      <w:pPr>
        <w:spacing w:line="460" w:lineRule="exact"/>
        <w:ind w:firstLine="480"/>
        <w:rPr>
          <w:rFonts w:ascii="宋体" w:hAnsi="宋体"/>
          <w:b w:val="0"/>
          <w:bCs/>
          <w:color w:val="auto"/>
          <w:sz w:val="24"/>
          <w:highlight w:val="none"/>
        </w:rPr>
      </w:pPr>
      <w:r>
        <w:rPr>
          <w:rFonts w:hint="eastAsia" w:ascii="宋体" w:hAnsi="Courier New"/>
          <w:b w:val="0"/>
          <w:bCs/>
          <w:color w:val="000000"/>
          <w:kern w:val="0"/>
          <w:sz w:val="24"/>
          <w:highlight w:val="none"/>
        </w:rPr>
        <w:t>第十</w:t>
      </w:r>
      <w:r>
        <w:rPr>
          <w:rFonts w:hint="eastAsia" w:ascii="宋体" w:hAnsi="Courier New"/>
          <w:b w:val="0"/>
          <w:bCs/>
          <w:color w:val="auto"/>
          <w:kern w:val="0"/>
          <w:sz w:val="24"/>
          <w:highlight w:val="none"/>
        </w:rPr>
        <w:t xml:space="preserve">二条  </w:t>
      </w:r>
      <w:r>
        <w:rPr>
          <w:rFonts w:hint="eastAsia" w:ascii="宋体" w:hAnsi="宋体"/>
          <w:b w:val="0"/>
          <w:bCs/>
          <w:color w:val="auto"/>
          <w:sz w:val="24"/>
          <w:highlight w:val="none"/>
        </w:rPr>
        <w:t>履约保证金： 无。</w:t>
      </w:r>
    </w:p>
    <w:p>
      <w:pPr>
        <w:spacing w:line="460" w:lineRule="exact"/>
        <w:ind w:firstLine="480" w:firstLineChars="200"/>
        <w:rPr>
          <w:rFonts w:ascii="宋体" w:hAnsi="宋体"/>
          <w:b w:val="0"/>
          <w:bCs/>
          <w:color w:val="auto"/>
          <w:sz w:val="24"/>
          <w:highlight w:val="none"/>
        </w:rPr>
      </w:pPr>
      <w:r>
        <w:rPr>
          <w:rFonts w:ascii="宋体" w:hAnsi="宋体"/>
          <w:b w:val="0"/>
          <w:bCs/>
          <w:color w:val="auto"/>
          <w:sz w:val="24"/>
          <w:highlight w:val="none"/>
        </w:rPr>
        <w:t>第</w:t>
      </w:r>
      <w:r>
        <w:rPr>
          <w:rFonts w:hint="eastAsia" w:ascii="宋体" w:hAnsi="宋体"/>
          <w:b w:val="0"/>
          <w:bCs/>
          <w:color w:val="auto"/>
          <w:sz w:val="24"/>
          <w:highlight w:val="none"/>
        </w:rPr>
        <w:t>十三</w:t>
      </w:r>
      <w:r>
        <w:rPr>
          <w:rFonts w:ascii="宋体" w:hAnsi="宋体"/>
          <w:b w:val="0"/>
          <w:bCs/>
          <w:color w:val="auto"/>
          <w:sz w:val="24"/>
          <w:highlight w:val="none"/>
        </w:rPr>
        <w:t>条</w:t>
      </w:r>
      <w:r>
        <w:rPr>
          <w:rFonts w:hint="eastAsia" w:ascii="宋体" w:hAnsi="宋体"/>
          <w:b w:val="0"/>
          <w:bCs/>
          <w:color w:val="auto"/>
          <w:sz w:val="24"/>
          <w:highlight w:val="none"/>
          <w:lang w:val="en-US" w:eastAsia="zh-CN"/>
        </w:rPr>
        <w:t xml:space="preserve">  </w:t>
      </w:r>
      <w:r>
        <w:rPr>
          <w:rFonts w:ascii="宋体" w:hAnsi="宋体"/>
          <w:b w:val="0"/>
          <w:bCs/>
          <w:color w:val="auto"/>
          <w:sz w:val="24"/>
          <w:highlight w:val="none"/>
        </w:rPr>
        <w:t>不可抗力事件处理</w:t>
      </w:r>
    </w:p>
    <w:p>
      <w:pPr>
        <w:spacing w:line="460" w:lineRule="exact"/>
        <w:ind w:firstLine="480" w:firstLineChars="200"/>
        <w:rPr>
          <w:rFonts w:ascii="宋体" w:hAnsi="宋体"/>
          <w:b w:val="0"/>
          <w:bCs/>
          <w:color w:val="000000"/>
          <w:sz w:val="24"/>
        </w:rPr>
      </w:pPr>
      <w:r>
        <w:rPr>
          <w:rFonts w:ascii="宋体" w:hAnsi="宋体"/>
          <w:b w:val="0"/>
          <w:bCs/>
          <w:color w:val="000000"/>
          <w:sz w:val="24"/>
        </w:rPr>
        <w:t>13.1在合同有效期内，任何一方因不可抗力事件导致不能履行合同，则合同履行期可延长，其延长期与不可抗力影响期相同。</w:t>
      </w:r>
    </w:p>
    <w:p>
      <w:pPr>
        <w:spacing w:line="460" w:lineRule="exact"/>
        <w:ind w:firstLine="480" w:firstLineChars="200"/>
        <w:rPr>
          <w:rFonts w:ascii="宋体" w:hAnsi="宋体"/>
          <w:b w:val="0"/>
          <w:bCs/>
          <w:color w:val="000000"/>
          <w:sz w:val="24"/>
        </w:rPr>
      </w:pPr>
      <w:r>
        <w:rPr>
          <w:rFonts w:ascii="宋体" w:hAnsi="宋体"/>
          <w:b w:val="0"/>
          <w:bCs/>
          <w:color w:val="000000"/>
          <w:sz w:val="24"/>
        </w:rPr>
        <w:t>13.2不可抗力事件发生后，应立即通知对方，并寄送有关权威机构出具的证明。</w:t>
      </w:r>
    </w:p>
    <w:p>
      <w:pPr>
        <w:spacing w:line="460" w:lineRule="exact"/>
        <w:ind w:firstLine="480" w:firstLineChars="200"/>
        <w:rPr>
          <w:rFonts w:ascii="宋体" w:hAnsi="宋体"/>
          <w:b w:val="0"/>
          <w:bCs/>
          <w:color w:val="000000"/>
          <w:sz w:val="24"/>
        </w:rPr>
      </w:pPr>
      <w:r>
        <w:rPr>
          <w:rFonts w:ascii="宋体" w:hAnsi="宋体"/>
          <w:b w:val="0"/>
          <w:bCs/>
          <w:color w:val="000000"/>
          <w:sz w:val="24"/>
        </w:rPr>
        <w:t>13.3不可抗力事件延续</w:t>
      </w:r>
      <w:r>
        <w:rPr>
          <w:rFonts w:hint="eastAsia" w:ascii="宋体" w:hAnsi="宋体"/>
          <w:b w:val="0"/>
          <w:bCs/>
          <w:color w:val="000000"/>
          <w:sz w:val="24"/>
        </w:rPr>
        <w:t>_____</w:t>
      </w:r>
      <w:r>
        <w:rPr>
          <w:rFonts w:ascii="宋体" w:hAnsi="宋体"/>
          <w:b w:val="0"/>
          <w:bCs/>
          <w:color w:val="000000"/>
          <w:sz w:val="24"/>
        </w:rPr>
        <w:t>天以上，双方应通过友好协商，确定是否继续履行合同。</w:t>
      </w:r>
    </w:p>
    <w:p>
      <w:pPr>
        <w:spacing w:line="460" w:lineRule="exact"/>
        <w:ind w:firstLine="480" w:firstLineChars="200"/>
        <w:rPr>
          <w:rFonts w:ascii="宋体" w:hAnsi="宋体"/>
          <w:b w:val="0"/>
          <w:bCs/>
          <w:color w:val="000000"/>
          <w:sz w:val="24"/>
        </w:rPr>
      </w:pPr>
      <w:r>
        <w:rPr>
          <w:rFonts w:ascii="宋体" w:hAnsi="宋体"/>
          <w:b w:val="0"/>
          <w:bCs/>
          <w:color w:val="000000"/>
          <w:sz w:val="24"/>
        </w:rPr>
        <w:t>第</w:t>
      </w:r>
      <w:r>
        <w:rPr>
          <w:rFonts w:hint="eastAsia" w:ascii="宋体" w:hAnsi="宋体"/>
          <w:b w:val="0"/>
          <w:bCs/>
          <w:color w:val="000000"/>
          <w:sz w:val="24"/>
        </w:rPr>
        <w:t>十四</w:t>
      </w:r>
      <w:r>
        <w:rPr>
          <w:rFonts w:ascii="宋体" w:hAnsi="宋体"/>
          <w:b w:val="0"/>
          <w:bCs/>
          <w:color w:val="000000"/>
          <w:sz w:val="24"/>
        </w:rPr>
        <w:t>条</w:t>
      </w:r>
      <w:r>
        <w:rPr>
          <w:rFonts w:hint="eastAsia" w:ascii="宋体" w:hAnsi="宋体"/>
          <w:b w:val="0"/>
          <w:bCs/>
          <w:color w:val="000000"/>
          <w:sz w:val="24"/>
        </w:rPr>
        <w:t xml:space="preserve">  </w:t>
      </w:r>
      <w:r>
        <w:rPr>
          <w:rFonts w:ascii="宋体" w:hAnsi="宋体"/>
          <w:b w:val="0"/>
          <w:bCs/>
          <w:color w:val="000000"/>
          <w:sz w:val="24"/>
        </w:rPr>
        <w:t>诉讼</w:t>
      </w:r>
    </w:p>
    <w:p>
      <w:pPr>
        <w:spacing w:line="460" w:lineRule="exact"/>
        <w:ind w:firstLine="480" w:firstLineChars="200"/>
        <w:rPr>
          <w:rFonts w:ascii="宋体" w:hAnsi="宋体"/>
          <w:b w:val="0"/>
          <w:bCs/>
          <w:color w:val="000000"/>
          <w:sz w:val="24"/>
        </w:rPr>
      </w:pPr>
      <w:r>
        <w:rPr>
          <w:rFonts w:hint="eastAsia" w:ascii="宋体" w:hAnsi="宋体"/>
          <w:b w:val="0"/>
          <w:bCs/>
          <w:color w:val="000000"/>
          <w:sz w:val="24"/>
        </w:rPr>
        <w:t>本合同项目所在地为义乌市，本合同发生争议产生的诉讼，可向项目所在地有管辖权的法院提起诉讼。</w:t>
      </w:r>
    </w:p>
    <w:p>
      <w:pPr>
        <w:spacing w:line="460" w:lineRule="exact"/>
        <w:ind w:firstLine="480" w:firstLineChars="200"/>
        <w:rPr>
          <w:rFonts w:ascii="宋体" w:hAnsi="宋体"/>
          <w:b w:val="0"/>
          <w:bCs/>
          <w:color w:val="000000"/>
          <w:sz w:val="24"/>
        </w:rPr>
      </w:pPr>
      <w:r>
        <w:rPr>
          <w:rFonts w:ascii="宋体" w:hAnsi="宋体"/>
          <w:b w:val="0"/>
          <w:bCs/>
          <w:color w:val="000000"/>
          <w:sz w:val="24"/>
        </w:rPr>
        <w:t>第</w:t>
      </w:r>
      <w:r>
        <w:rPr>
          <w:rFonts w:hint="eastAsia" w:ascii="宋体" w:hAnsi="宋体"/>
          <w:b w:val="0"/>
          <w:bCs/>
          <w:color w:val="000000"/>
          <w:sz w:val="24"/>
        </w:rPr>
        <w:t>十五</w:t>
      </w:r>
      <w:r>
        <w:rPr>
          <w:rFonts w:ascii="宋体" w:hAnsi="宋体"/>
          <w:b w:val="0"/>
          <w:bCs/>
          <w:color w:val="000000"/>
          <w:sz w:val="24"/>
        </w:rPr>
        <w:t>条</w:t>
      </w:r>
      <w:r>
        <w:rPr>
          <w:rFonts w:hint="eastAsia" w:ascii="宋体" w:hAnsi="宋体"/>
          <w:b w:val="0"/>
          <w:bCs/>
          <w:color w:val="000000"/>
          <w:sz w:val="24"/>
        </w:rPr>
        <w:t xml:space="preserve">  </w:t>
      </w:r>
      <w:r>
        <w:rPr>
          <w:rFonts w:ascii="宋体" w:hAnsi="宋体"/>
          <w:b w:val="0"/>
          <w:bCs/>
          <w:color w:val="000000"/>
          <w:sz w:val="24"/>
        </w:rPr>
        <w:t>合同双方确认，本合同及合同约定的其它文件组成部分中的各项约定都是通过法定招标过程形成的合法成果，如果</w:t>
      </w:r>
      <w:r>
        <w:rPr>
          <w:rFonts w:hint="eastAsia" w:ascii="宋体" w:hAnsi="宋体"/>
          <w:b w:val="0"/>
          <w:bCs/>
          <w:color w:val="000000"/>
          <w:sz w:val="24"/>
        </w:rPr>
        <w:t>乙方的投标文件与招标文件要求不一致的，履约时应以有利于甲方的条款执行</w:t>
      </w:r>
      <w:r>
        <w:rPr>
          <w:rFonts w:ascii="宋体" w:hAnsi="宋体"/>
          <w:b w:val="0"/>
          <w:bCs/>
          <w:color w:val="000000"/>
          <w:sz w:val="24"/>
        </w:rPr>
        <w:t>。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spacing w:line="460" w:lineRule="exact"/>
        <w:ind w:firstLine="480" w:firstLineChars="200"/>
        <w:rPr>
          <w:rFonts w:ascii="宋体" w:hAnsi="宋体"/>
          <w:b w:val="0"/>
          <w:bCs/>
          <w:color w:val="000000"/>
          <w:sz w:val="24"/>
        </w:rPr>
      </w:pPr>
      <w:r>
        <w:rPr>
          <w:rFonts w:ascii="宋体" w:hAnsi="宋体"/>
          <w:b w:val="0"/>
          <w:bCs/>
          <w:color w:val="000000"/>
          <w:sz w:val="24"/>
        </w:rPr>
        <w:t>第</w:t>
      </w:r>
      <w:r>
        <w:rPr>
          <w:rFonts w:hint="eastAsia" w:ascii="宋体" w:hAnsi="宋体"/>
          <w:b w:val="0"/>
          <w:bCs/>
          <w:color w:val="000000"/>
          <w:sz w:val="24"/>
        </w:rPr>
        <w:t>十六</w:t>
      </w:r>
      <w:r>
        <w:rPr>
          <w:rFonts w:ascii="宋体" w:hAnsi="宋体"/>
          <w:b w:val="0"/>
          <w:bCs/>
          <w:color w:val="000000"/>
          <w:sz w:val="24"/>
        </w:rPr>
        <w:t>条</w:t>
      </w:r>
      <w:r>
        <w:rPr>
          <w:rFonts w:hint="eastAsia" w:ascii="宋体" w:hAnsi="宋体"/>
          <w:b w:val="0"/>
          <w:bCs/>
          <w:color w:val="000000"/>
          <w:sz w:val="24"/>
        </w:rPr>
        <w:t xml:space="preserve">  </w:t>
      </w:r>
      <w:r>
        <w:rPr>
          <w:rFonts w:ascii="宋体" w:hAnsi="宋体"/>
          <w:b w:val="0"/>
          <w:bCs/>
          <w:color w:val="000000"/>
          <w:sz w:val="24"/>
        </w:rPr>
        <w:t>合同生效及其它</w:t>
      </w:r>
    </w:p>
    <w:p>
      <w:pPr>
        <w:spacing w:line="460" w:lineRule="exact"/>
        <w:ind w:firstLine="480" w:firstLineChars="200"/>
        <w:rPr>
          <w:rFonts w:ascii="宋体" w:hAnsi="宋体"/>
          <w:b w:val="0"/>
          <w:bCs/>
          <w:color w:val="000000"/>
          <w:sz w:val="24"/>
        </w:rPr>
      </w:pPr>
      <w:r>
        <w:rPr>
          <w:rFonts w:ascii="宋体" w:hAnsi="宋体"/>
          <w:b w:val="0"/>
          <w:bCs/>
          <w:color w:val="000000"/>
          <w:sz w:val="24"/>
        </w:rPr>
        <w:t>16.1合同经双方法定代表人或授权代表签字并加盖单位公章后生效。</w:t>
      </w:r>
    </w:p>
    <w:p>
      <w:pPr>
        <w:spacing w:line="460" w:lineRule="exact"/>
        <w:ind w:firstLine="480" w:firstLineChars="200"/>
        <w:rPr>
          <w:rFonts w:ascii="宋体" w:hAnsi="宋体"/>
          <w:b w:val="0"/>
          <w:bCs/>
          <w:color w:val="000000"/>
          <w:sz w:val="24"/>
        </w:rPr>
      </w:pPr>
      <w:r>
        <w:rPr>
          <w:rFonts w:ascii="宋体" w:hAnsi="宋体"/>
          <w:b w:val="0"/>
          <w:bCs/>
          <w:color w:val="000000"/>
          <w:sz w:val="24"/>
        </w:rPr>
        <w:t>16.2本合同未尽事宜，遵照《</w:t>
      </w:r>
      <w:r>
        <w:rPr>
          <w:rFonts w:hint="eastAsia" w:ascii="宋体" w:hAnsi="宋体"/>
          <w:b w:val="0"/>
          <w:bCs/>
          <w:color w:val="000000"/>
          <w:sz w:val="24"/>
        </w:rPr>
        <w:t>中华人民共和国民法典</w:t>
      </w:r>
      <w:r>
        <w:rPr>
          <w:rFonts w:ascii="宋体" w:hAnsi="宋体"/>
          <w:b w:val="0"/>
          <w:bCs/>
          <w:color w:val="000000"/>
          <w:sz w:val="24"/>
        </w:rPr>
        <w:t>》有关条文执行。</w:t>
      </w:r>
    </w:p>
    <w:p>
      <w:pPr>
        <w:spacing w:line="460" w:lineRule="exact"/>
        <w:ind w:firstLine="480" w:firstLineChars="200"/>
        <w:rPr>
          <w:rFonts w:ascii="宋体" w:hAnsi="宋体" w:cs="Arial"/>
          <w:b w:val="0"/>
          <w:bCs/>
          <w:color w:val="000000"/>
          <w:kern w:val="0"/>
          <w:sz w:val="24"/>
        </w:rPr>
      </w:pPr>
      <w:r>
        <w:rPr>
          <w:rFonts w:ascii="宋体" w:hAnsi="宋体"/>
          <w:b w:val="0"/>
          <w:bCs/>
          <w:color w:val="000000"/>
          <w:sz w:val="24"/>
        </w:rPr>
        <w:t>第</w:t>
      </w:r>
      <w:r>
        <w:rPr>
          <w:rFonts w:hint="eastAsia" w:ascii="宋体" w:hAnsi="宋体"/>
          <w:b w:val="0"/>
          <w:bCs/>
          <w:color w:val="000000"/>
          <w:sz w:val="24"/>
        </w:rPr>
        <w:t>十七</w:t>
      </w:r>
      <w:r>
        <w:rPr>
          <w:rFonts w:ascii="宋体" w:hAnsi="宋体"/>
          <w:b w:val="0"/>
          <w:bCs/>
          <w:color w:val="000000"/>
          <w:sz w:val="24"/>
        </w:rPr>
        <w:t>条、</w:t>
      </w:r>
      <w:r>
        <w:rPr>
          <w:rFonts w:hint="eastAsia" w:ascii="宋体" w:hAnsi="宋体"/>
          <w:b w:val="0"/>
          <w:bCs/>
          <w:color w:val="000000"/>
          <w:sz w:val="24"/>
        </w:rPr>
        <w:t>本合同一式____份，甲乙双方各执____份，义乌产权交易所有限公司招投标中心执一份，均具同等效力。</w:t>
      </w:r>
    </w:p>
    <w:p>
      <w:pPr>
        <w:spacing w:line="460" w:lineRule="exact"/>
        <w:ind w:firstLine="480" w:firstLineChars="200"/>
        <w:rPr>
          <w:rFonts w:ascii="宋体" w:hAnsi="宋体" w:cs="Arial"/>
          <w:b w:val="0"/>
          <w:bCs/>
          <w:kern w:val="0"/>
          <w:sz w:val="24"/>
        </w:rPr>
      </w:pPr>
    </w:p>
    <w:p>
      <w:pPr>
        <w:widowControl/>
        <w:spacing w:line="360" w:lineRule="auto"/>
        <w:ind w:firstLine="240" w:firstLineChars="100"/>
        <w:jc w:val="left"/>
        <w:rPr>
          <w:rFonts w:ascii="宋体" w:hAnsi="宋体" w:cs="Arial"/>
          <w:b w:val="0"/>
          <w:bCs/>
          <w:kern w:val="0"/>
          <w:sz w:val="24"/>
        </w:rPr>
      </w:pPr>
      <w:r>
        <w:rPr>
          <w:rFonts w:hint="eastAsia" w:ascii="宋体" w:hAnsi="宋体" w:cs="Arial"/>
          <w:b w:val="0"/>
          <w:bCs/>
          <w:kern w:val="0"/>
          <w:sz w:val="24"/>
        </w:rPr>
        <w:t>甲</w:t>
      </w:r>
      <w:r>
        <w:rPr>
          <w:rFonts w:ascii="宋体" w:hAnsi="宋体" w:cs="Arial"/>
          <w:b w:val="0"/>
          <w:bCs/>
          <w:kern w:val="0"/>
          <w:sz w:val="24"/>
        </w:rPr>
        <w:t xml:space="preserve">    方：________________________  </w:t>
      </w:r>
      <w:r>
        <w:rPr>
          <w:rFonts w:hint="eastAsia" w:ascii="宋体" w:hAnsi="宋体" w:cs="Arial"/>
          <w:b w:val="0"/>
          <w:bCs/>
          <w:kern w:val="0"/>
          <w:sz w:val="24"/>
        </w:rPr>
        <w:t>乙</w:t>
      </w:r>
      <w:r>
        <w:rPr>
          <w:rFonts w:ascii="宋体" w:hAnsi="宋体" w:cs="Arial"/>
          <w:b w:val="0"/>
          <w:bCs/>
          <w:kern w:val="0"/>
          <w:sz w:val="24"/>
        </w:rPr>
        <w:t xml:space="preserve">    方：________________________</w:t>
      </w:r>
    </w:p>
    <w:p>
      <w:pPr>
        <w:widowControl/>
        <w:spacing w:line="360" w:lineRule="auto"/>
        <w:ind w:firstLine="240" w:firstLineChars="100"/>
        <w:jc w:val="left"/>
        <w:rPr>
          <w:rFonts w:ascii="宋体" w:hAnsi="宋体" w:cs="Arial"/>
          <w:b w:val="0"/>
          <w:bCs/>
          <w:kern w:val="0"/>
          <w:sz w:val="24"/>
        </w:rPr>
      </w:pPr>
      <w:r>
        <w:rPr>
          <w:rFonts w:ascii="宋体" w:hAnsi="宋体" w:cs="Arial"/>
          <w:b w:val="0"/>
          <w:bCs/>
          <w:kern w:val="0"/>
          <w:sz w:val="24"/>
        </w:rPr>
        <w:t>地    址：________________________  地    址：________________________</w:t>
      </w:r>
    </w:p>
    <w:p>
      <w:pPr>
        <w:widowControl/>
        <w:spacing w:line="360" w:lineRule="auto"/>
        <w:ind w:firstLine="240" w:firstLineChars="100"/>
        <w:jc w:val="left"/>
        <w:rPr>
          <w:rFonts w:ascii="宋体" w:hAnsi="宋体"/>
          <w:b w:val="0"/>
          <w:bCs/>
          <w:kern w:val="0"/>
          <w:sz w:val="24"/>
        </w:rPr>
      </w:pPr>
      <w:r>
        <w:rPr>
          <w:rFonts w:ascii="宋体" w:hAnsi="宋体" w:cs="Arial"/>
          <w:b w:val="0"/>
          <w:bCs/>
          <w:kern w:val="0"/>
          <w:sz w:val="24"/>
        </w:rPr>
        <w:t>法定代表人：______________________  法定代表人：______________________</w:t>
      </w:r>
    </w:p>
    <w:p>
      <w:pPr>
        <w:widowControl/>
        <w:spacing w:line="360" w:lineRule="auto"/>
        <w:ind w:firstLine="240" w:firstLineChars="100"/>
        <w:jc w:val="left"/>
        <w:rPr>
          <w:rFonts w:ascii="宋体" w:hAnsi="宋体"/>
          <w:b w:val="0"/>
          <w:bCs/>
          <w:kern w:val="0"/>
          <w:sz w:val="24"/>
        </w:rPr>
      </w:pPr>
      <w:r>
        <w:rPr>
          <w:rFonts w:ascii="宋体" w:hAnsi="宋体" w:cs="Arial"/>
          <w:b w:val="0"/>
          <w:bCs/>
          <w:kern w:val="0"/>
          <w:sz w:val="24"/>
        </w:rPr>
        <w:t>授权代表：_____________________</w:t>
      </w:r>
      <w:r>
        <w:rPr>
          <w:rFonts w:ascii="宋体" w:hAnsi="宋体" w:cs="Arial"/>
          <w:b w:val="0"/>
          <w:bCs/>
          <w:kern w:val="0"/>
          <w:sz w:val="24"/>
          <w:u w:val="single"/>
        </w:rPr>
        <w:t xml:space="preserve">  _</w:t>
      </w:r>
      <w:r>
        <w:rPr>
          <w:rFonts w:ascii="宋体" w:hAnsi="宋体" w:cs="Arial"/>
          <w:b w:val="0"/>
          <w:bCs/>
          <w:kern w:val="0"/>
          <w:sz w:val="24"/>
        </w:rPr>
        <w:t xml:space="preserve">  授权代表：____________________</w:t>
      </w:r>
      <w:r>
        <w:rPr>
          <w:rFonts w:ascii="宋体" w:hAnsi="宋体" w:cs="Arial"/>
          <w:b w:val="0"/>
          <w:bCs/>
          <w:kern w:val="0"/>
          <w:sz w:val="24"/>
          <w:u w:val="single"/>
        </w:rPr>
        <w:t xml:space="preserve">    </w:t>
      </w:r>
    </w:p>
    <w:p>
      <w:pPr>
        <w:widowControl/>
        <w:spacing w:line="360" w:lineRule="auto"/>
        <w:ind w:firstLine="240" w:firstLineChars="100"/>
        <w:jc w:val="left"/>
        <w:rPr>
          <w:rFonts w:ascii="宋体" w:hAnsi="宋体" w:cs="Arial"/>
          <w:b w:val="0"/>
          <w:bCs/>
          <w:kern w:val="0"/>
          <w:sz w:val="24"/>
        </w:rPr>
      </w:pPr>
      <w:r>
        <w:rPr>
          <w:rFonts w:ascii="宋体" w:hAnsi="宋体" w:cs="Arial"/>
          <w:b w:val="0"/>
          <w:bCs/>
          <w:kern w:val="0"/>
          <w:sz w:val="24"/>
        </w:rPr>
        <w:t>电    话：________________________  电    话：________________________</w:t>
      </w:r>
    </w:p>
    <w:p>
      <w:pPr>
        <w:widowControl/>
        <w:spacing w:line="360" w:lineRule="auto"/>
        <w:ind w:firstLine="240" w:firstLineChars="100"/>
        <w:jc w:val="left"/>
        <w:rPr>
          <w:rFonts w:ascii="宋体" w:hAnsi="宋体"/>
          <w:b w:val="0"/>
          <w:bCs/>
          <w:kern w:val="0"/>
          <w:sz w:val="24"/>
        </w:rPr>
      </w:pPr>
      <w:r>
        <w:rPr>
          <w:rFonts w:hint="eastAsia" w:ascii="宋体" w:hAnsi="宋体" w:cs="Arial"/>
          <w:b w:val="0"/>
          <w:bCs/>
          <w:kern w:val="0"/>
          <w:sz w:val="24"/>
        </w:rPr>
        <w:t>账户</w:t>
      </w:r>
      <w:r>
        <w:rPr>
          <w:rFonts w:ascii="宋体" w:hAnsi="宋体" w:cs="Arial"/>
          <w:b w:val="0"/>
          <w:bCs/>
          <w:kern w:val="0"/>
          <w:sz w:val="24"/>
        </w:rPr>
        <w:t xml:space="preserve">名称：________________________  </w:t>
      </w:r>
      <w:r>
        <w:rPr>
          <w:rFonts w:hint="eastAsia" w:ascii="宋体" w:hAnsi="宋体" w:cs="Arial"/>
          <w:b w:val="0"/>
          <w:bCs/>
          <w:kern w:val="0"/>
          <w:sz w:val="24"/>
        </w:rPr>
        <w:t>账</w:t>
      </w:r>
      <w:r>
        <w:rPr>
          <w:rFonts w:ascii="宋体" w:hAnsi="宋体" w:cs="Arial"/>
          <w:b w:val="0"/>
          <w:bCs/>
          <w:kern w:val="0"/>
          <w:sz w:val="24"/>
        </w:rPr>
        <w:t>户名称：________________________</w:t>
      </w:r>
    </w:p>
    <w:p>
      <w:pPr>
        <w:widowControl/>
        <w:spacing w:line="360" w:lineRule="auto"/>
        <w:ind w:firstLine="240" w:firstLineChars="100"/>
        <w:jc w:val="left"/>
        <w:rPr>
          <w:rFonts w:ascii="宋体" w:hAnsi="宋体" w:cs="Arial"/>
          <w:b w:val="0"/>
          <w:bCs/>
          <w:kern w:val="0"/>
          <w:sz w:val="24"/>
        </w:rPr>
      </w:pPr>
      <w:r>
        <w:rPr>
          <w:rFonts w:ascii="宋体" w:hAnsi="宋体" w:cs="Arial"/>
          <w:b w:val="0"/>
          <w:bCs/>
          <w:kern w:val="0"/>
          <w:sz w:val="24"/>
        </w:rPr>
        <w:t>开户银行：________________________  开户银行：________________________</w:t>
      </w:r>
    </w:p>
    <w:p>
      <w:pPr>
        <w:widowControl/>
        <w:spacing w:line="360" w:lineRule="auto"/>
        <w:ind w:firstLine="240" w:firstLineChars="100"/>
        <w:jc w:val="left"/>
        <w:rPr>
          <w:rFonts w:ascii="宋体" w:hAnsi="宋体" w:cs="Arial"/>
          <w:b w:val="0"/>
          <w:bCs/>
          <w:kern w:val="0"/>
          <w:sz w:val="24"/>
        </w:rPr>
      </w:pPr>
      <w:r>
        <w:rPr>
          <w:rFonts w:hint="eastAsia" w:ascii="宋体" w:hAnsi="宋体" w:cs="Arial"/>
          <w:b w:val="0"/>
          <w:bCs/>
          <w:kern w:val="0"/>
          <w:sz w:val="24"/>
        </w:rPr>
        <w:t>账</w:t>
      </w:r>
      <w:r>
        <w:rPr>
          <w:rFonts w:ascii="宋体" w:hAnsi="宋体" w:cs="Arial"/>
          <w:b w:val="0"/>
          <w:bCs/>
          <w:kern w:val="0"/>
          <w:sz w:val="24"/>
        </w:rPr>
        <w:t xml:space="preserve">    号：________________________  </w:t>
      </w:r>
      <w:r>
        <w:rPr>
          <w:rFonts w:hint="eastAsia" w:ascii="宋体" w:hAnsi="宋体" w:cs="Arial"/>
          <w:b w:val="0"/>
          <w:bCs/>
          <w:kern w:val="0"/>
          <w:sz w:val="24"/>
        </w:rPr>
        <w:t>账</w:t>
      </w:r>
      <w:r>
        <w:rPr>
          <w:rFonts w:ascii="宋体" w:hAnsi="宋体" w:cs="Arial"/>
          <w:b w:val="0"/>
          <w:bCs/>
          <w:kern w:val="0"/>
          <w:sz w:val="24"/>
        </w:rPr>
        <w:t xml:space="preserve">    号：________________________</w:t>
      </w:r>
    </w:p>
    <w:p>
      <w:pPr>
        <w:spacing w:line="420" w:lineRule="exact"/>
        <w:ind w:firstLine="240" w:firstLineChars="100"/>
        <w:rPr>
          <w:rFonts w:ascii="宋体" w:hAnsi="宋体" w:cs="宋体"/>
          <w:color w:val="000000"/>
          <w:kern w:val="0"/>
          <w:sz w:val="24"/>
        </w:rPr>
      </w:pPr>
      <w:r>
        <w:rPr>
          <w:rFonts w:ascii="宋体" w:hAnsi="宋体" w:cs="Arial"/>
          <w:b w:val="0"/>
          <w:bCs/>
          <w:kern w:val="0"/>
          <w:sz w:val="24"/>
        </w:rPr>
        <w:t>签约时间：________________________  签约地点：</w:t>
      </w:r>
      <w:r>
        <w:rPr>
          <w:rFonts w:ascii="宋体" w:hAnsi="宋体" w:cs="Arial"/>
          <w:b w:val="0"/>
          <w:bCs/>
          <w:kern w:val="0"/>
          <w:sz w:val="24"/>
          <w:u w:val="single"/>
        </w:rPr>
        <w:t xml:space="preserve">                        </w:t>
      </w:r>
      <w:r>
        <w:rPr>
          <w:rFonts w:hint="eastAsia" w:ascii="宋体" w:hAnsi="宋体" w:cs="宋体"/>
          <w:b w:val="0"/>
          <w:bCs/>
          <w:color w:val="000000"/>
          <w:kern w:val="0"/>
          <w:sz w:val="24"/>
          <w:u w:val="single"/>
        </w:rPr>
        <w:t xml:space="preserve">   </w:t>
      </w:r>
      <w:r>
        <w:rPr>
          <w:rFonts w:hint="eastAsia" w:ascii="宋体" w:hAnsi="宋体" w:cs="宋体"/>
          <w:b w:val="0"/>
          <w:bCs/>
          <w:color w:val="000000"/>
          <w:kern w:val="0"/>
          <w:sz w:val="24"/>
        </w:rPr>
        <w:t xml:space="preserve"> </w:t>
      </w:r>
    </w:p>
    <w:p>
      <w:pPr>
        <w:widowControl/>
        <w:snapToGrid w:val="0"/>
        <w:spacing w:line="360" w:lineRule="auto"/>
        <w:ind w:firstLine="560"/>
        <w:jc w:val="left"/>
        <w:rPr>
          <w:rFonts w:ascii="宋体" w:hAnsi="宋体" w:cs="宋体"/>
          <w:b w:val="0"/>
          <w:kern w:val="0"/>
          <w:sz w:val="24"/>
        </w:rPr>
      </w:pPr>
    </w:p>
    <w:p>
      <w:pPr>
        <w:widowControl/>
        <w:jc w:val="left"/>
        <w:rPr>
          <w:rFonts w:ascii="宋体" w:hAnsi="宋体" w:cs="宋体"/>
          <w:bCs/>
          <w:sz w:val="24"/>
          <w:highlight w:val="lightGray"/>
        </w:rPr>
      </w:pPr>
      <w:bookmarkStart w:id="45" w:name="_Toc134695729"/>
      <w:r>
        <w:rPr>
          <w:rFonts w:ascii="宋体" w:hAnsi="宋体" w:cs="宋体"/>
          <w:sz w:val="24"/>
          <w:highlight w:val="lightGray"/>
        </w:rPr>
        <w:br w:type="page"/>
      </w:r>
    </w:p>
    <w:p>
      <w:pPr>
        <w:pStyle w:val="32"/>
        <w:numPr>
          <w:ilvl w:val="0"/>
          <w:numId w:val="0"/>
        </w:numPr>
        <w:spacing w:before="156" w:after="156"/>
        <w:rPr>
          <w:rFonts w:ascii="宋体" w:hAnsi="宋体" w:cs="宋体"/>
          <w:sz w:val="24"/>
          <w:szCs w:val="24"/>
        </w:rPr>
      </w:pPr>
      <w:r>
        <w:rPr>
          <w:rFonts w:hint="eastAsia" w:ascii="宋体" w:hAnsi="宋体" w:cs="宋体"/>
          <w:sz w:val="24"/>
          <w:szCs w:val="24"/>
        </w:rPr>
        <w:t xml:space="preserve"> </w:t>
      </w:r>
      <w:bookmarkStart w:id="46" w:name="_Toc138603038"/>
      <w:r>
        <w:rPr>
          <w:rFonts w:hint="eastAsia" w:ascii="宋体" w:hAnsi="宋体" w:cs="宋体"/>
          <w:sz w:val="24"/>
          <w:szCs w:val="24"/>
        </w:rPr>
        <w:t xml:space="preserve">第六章 </w:t>
      </w:r>
      <w:r>
        <w:rPr>
          <w:rFonts w:ascii="宋体" w:hAnsi="宋体" w:cs="宋体"/>
          <w:sz w:val="24"/>
          <w:szCs w:val="24"/>
        </w:rPr>
        <w:t xml:space="preserve"> </w:t>
      </w:r>
      <w:r>
        <w:rPr>
          <w:rFonts w:hint="eastAsia" w:ascii="宋体" w:hAnsi="宋体" w:cs="宋体"/>
          <w:sz w:val="24"/>
          <w:szCs w:val="24"/>
        </w:rPr>
        <w:t>参选文件部分格式</w:t>
      </w:r>
      <w:bookmarkEnd w:id="45"/>
      <w:bookmarkEnd w:id="46"/>
    </w:p>
    <w:p>
      <w:pPr>
        <w:pStyle w:val="4"/>
        <w:spacing w:before="156" w:after="156"/>
        <w:rPr>
          <w:rFonts w:ascii="宋体" w:hAnsi="宋体" w:cs="宋体"/>
          <w:sz w:val="24"/>
          <w:szCs w:val="24"/>
        </w:rPr>
      </w:pPr>
      <w:bookmarkStart w:id="47" w:name="_Toc138603039"/>
      <w:bookmarkStart w:id="48" w:name="_Toc134695730"/>
      <w:r>
        <w:rPr>
          <w:rFonts w:hint="eastAsia" w:ascii="宋体" w:hAnsi="宋体" w:cs="宋体"/>
          <w:sz w:val="24"/>
          <w:szCs w:val="24"/>
        </w:rPr>
        <w:t>一、技术标</w:t>
      </w:r>
      <w:bookmarkEnd w:id="47"/>
      <w:bookmarkEnd w:id="48"/>
    </w:p>
    <w:p>
      <w:pPr>
        <w:pStyle w:val="31"/>
        <w:adjustRightInd w:val="0"/>
        <w:spacing w:before="156" w:after="156" w:line="280" w:lineRule="exact"/>
        <w:ind w:left="403"/>
        <w:rPr>
          <w:rFonts w:ascii="宋体" w:hAnsi="宋体" w:cs="宋体"/>
          <w:b w:val="0"/>
        </w:rPr>
      </w:pPr>
      <w:r>
        <w:rPr>
          <w:rFonts w:hint="eastAsia" w:ascii="宋体" w:hAnsi="宋体" w:cs="宋体"/>
          <w:b w:val="0"/>
        </w:rPr>
        <w:t>（1）参选单位情况介绍；</w:t>
      </w:r>
    </w:p>
    <w:p>
      <w:pPr>
        <w:pStyle w:val="31"/>
        <w:adjustRightInd w:val="0"/>
        <w:spacing w:before="156" w:after="156" w:line="280" w:lineRule="exact"/>
        <w:ind w:left="403"/>
        <w:rPr>
          <w:rFonts w:ascii="宋体" w:hAnsi="宋体" w:cs="宋体"/>
          <w:b w:val="0"/>
        </w:rPr>
      </w:pPr>
      <w:r>
        <w:rPr>
          <w:rFonts w:hint="eastAsia" w:ascii="宋体" w:hAnsi="宋体" w:cs="宋体"/>
          <w:b w:val="0"/>
        </w:rPr>
        <w:t>（2）有效的营业执照副本复印件；</w:t>
      </w:r>
    </w:p>
    <w:p>
      <w:pPr>
        <w:pStyle w:val="31"/>
        <w:adjustRightInd w:val="0"/>
        <w:spacing w:before="156" w:after="156" w:line="280" w:lineRule="exact"/>
        <w:ind w:left="403"/>
        <w:rPr>
          <w:rFonts w:ascii="宋体" w:hAnsi="宋体" w:cs="宋体"/>
          <w:b w:val="0"/>
        </w:rPr>
      </w:pPr>
      <w:r>
        <w:rPr>
          <w:rFonts w:hint="eastAsia" w:ascii="宋体" w:hAnsi="宋体" w:cs="宋体"/>
          <w:b w:val="0"/>
        </w:rPr>
        <w:t>（3）法定代表人资格证明书及授权委托书（如法定代表人出席参选会的不须提供授权委托书）；</w:t>
      </w:r>
    </w:p>
    <w:p>
      <w:pPr>
        <w:pStyle w:val="31"/>
        <w:adjustRightInd w:val="0"/>
        <w:spacing w:before="156" w:after="156" w:line="280" w:lineRule="exact"/>
        <w:ind w:left="403"/>
        <w:rPr>
          <w:rFonts w:ascii="宋体" w:hAnsi="宋体" w:cs="宋体"/>
          <w:b w:val="0"/>
        </w:rPr>
      </w:pPr>
      <w:r>
        <w:rPr>
          <w:rFonts w:hint="eastAsia" w:ascii="宋体" w:hAnsi="宋体" w:cs="宋体"/>
          <w:b w:val="0"/>
        </w:rPr>
        <w:t>（4）法定代表人身份证复印件和授权代表身份证复印件；</w:t>
      </w:r>
    </w:p>
    <w:p>
      <w:pPr>
        <w:pStyle w:val="31"/>
        <w:adjustRightInd w:val="0"/>
        <w:spacing w:before="156" w:after="156" w:line="280" w:lineRule="exact"/>
        <w:ind w:left="403"/>
        <w:rPr>
          <w:rFonts w:ascii="宋体" w:hAnsi="宋体" w:cs="宋体"/>
          <w:b w:val="0"/>
        </w:rPr>
      </w:pPr>
      <w:r>
        <w:rPr>
          <w:rFonts w:hint="eastAsia" w:ascii="宋体" w:hAnsi="宋体" w:cs="宋体"/>
          <w:b w:val="0"/>
        </w:rPr>
        <w:t>（5）</w:t>
      </w:r>
      <w:r>
        <w:rPr>
          <w:rFonts w:hint="eastAsia" w:ascii="宋体" w:hAnsi="宋体" w:cs="宋体"/>
          <w:b w:val="0"/>
          <w:lang w:val="zh-CN"/>
        </w:rPr>
        <w:t>拟投入本项目运营团队人员一览表</w:t>
      </w:r>
      <w:r>
        <w:rPr>
          <w:rFonts w:hint="eastAsia" w:ascii="宋体" w:hAnsi="宋体" w:cs="宋体"/>
          <w:b w:val="0"/>
        </w:rPr>
        <w:t>格式；</w:t>
      </w:r>
    </w:p>
    <w:p>
      <w:pPr>
        <w:pStyle w:val="31"/>
        <w:adjustRightInd w:val="0"/>
        <w:spacing w:before="156" w:after="156" w:line="280" w:lineRule="exact"/>
        <w:ind w:left="403"/>
        <w:rPr>
          <w:rFonts w:ascii="宋体" w:hAnsi="宋体" w:cs="宋体"/>
          <w:b w:val="0"/>
        </w:rPr>
      </w:pPr>
      <w:r>
        <w:rPr>
          <w:rFonts w:hint="eastAsia" w:ascii="宋体" w:hAnsi="宋体" w:cs="宋体"/>
          <w:b w:val="0"/>
        </w:rPr>
        <w:t>（6）技术标评审要求提供的文件；</w:t>
      </w:r>
    </w:p>
    <w:p>
      <w:pPr>
        <w:pStyle w:val="31"/>
        <w:adjustRightInd w:val="0"/>
        <w:spacing w:before="156" w:after="156" w:line="280" w:lineRule="exact"/>
        <w:ind w:left="403"/>
        <w:rPr>
          <w:rFonts w:ascii="宋体" w:hAnsi="宋体" w:cs="宋体"/>
          <w:b w:val="0"/>
        </w:rPr>
      </w:pPr>
      <w:r>
        <w:rPr>
          <w:rFonts w:hint="eastAsia" w:ascii="宋体" w:hAnsi="宋体" w:cs="宋体"/>
          <w:b w:val="0"/>
        </w:rPr>
        <w:t>（7）参选人认为须提供的其他资料。</w:t>
      </w:r>
    </w:p>
    <w:p>
      <w:pPr>
        <w:spacing w:before="156" w:after="156" w:line="280" w:lineRule="exact"/>
        <w:ind w:firstLine="472" w:firstLineChars="196"/>
        <w:rPr>
          <w:rFonts w:ascii="宋体" w:hAnsi="宋体" w:cs="宋体"/>
          <w:sz w:val="24"/>
        </w:rPr>
      </w:pPr>
    </w:p>
    <w:p>
      <w:pPr>
        <w:spacing w:before="156" w:after="156" w:line="540" w:lineRule="auto"/>
        <w:rPr>
          <w:rFonts w:ascii="宋体" w:hAnsi="宋体" w:cs="宋体"/>
          <w:sz w:val="24"/>
        </w:rPr>
      </w:pPr>
    </w:p>
    <w:p>
      <w:pPr>
        <w:spacing w:before="156" w:after="156" w:line="540" w:lineRule="auto"/>
        <w:rPr>
          <w:rFonts w:ascii="宋体" w:hAnsi="宋体" w:cs="宋体"/>
          <w:sz w:val="24"/>
        </w:rPr>
      </w:pPr>
    </w:p>
    <w:p>
      <w:pPr>
        <w:widowControl/>
        <w:spacing w:before="156" w:after="156"/>
        <w:jc w:val="left"/>
        <w:rPr>
          <w:rFonts w:ascii="宋体" w:hAnsi="宋体" w:cs="宋体"/>
          <w:sz w:val="24"/>
        </w:rPr>
      </w:pPr>
    </w:p>
    <w:p>
      <w:pPr>
        <w:widowControl/>
        <w:spacing w:before="156" w:after="156"/>
        <w:jc w:val="left"/>
        <w:rPr>
          <w:rFonts w:ascii="宋体" w:hAnsi="宋体" w:cs="宋体"/>
          <w:sz w:val="24"/>
        </w:rPr>
      </w:pPr>
    </w:p>
    <w:p>
      <w:pPr>
        <w:widowControl/>
        <w:spacing w:before="156" w:after="156"/>
        <w:jc w:val="left"/>
        <w:rPr>
          <w:rFonts w:ascii="宋体" w:hAnsi="宋体" w:cs="宋体"/>
          <w:sz w:val="24"/>
        </w:rPr>
      </w:pPr>
    </w:p>
    <w:p>
      <w:pPr>
        <w:widowControl/>
        <w:spacing w:before="156" w:after="156"/>
        <w:jc w:val="left"/>
        <w:rPr>
          <w:rFonts w:ascii="宋体" w:hAnsi="宋体" w:cs="宋体"/>
          <w:sz w:val="24"/>
        </w:rPr>
      </w:pPr>
    </w:p>
    <w:p>
      <w:pPr>
        <w:widowControl/>
        <w:spacing w:before="156" w:after="156"/>
        <w:jc w:val="left"/>
        <w:rPr>
          <w:rFonts w:ascii="宋体" w:hAnsi="宋体" w:cs="宋体"/>
          <w:sz w:val="24"/>
        </w:rPr>
      </w:pPr>
    </w:p>
    <w:p>
      <w:pPr>
        <w:widowControl/>
        <w:spacing w:before="156" w:after="156"/>
        <w:jc w:val="left"/>
        <w:rPr>
          <w:rFonts w:ascii="宋体" w:hAnsi="宋体" w:cs="宋体"/>
          <w:sz w:val="24"/>
        </w:rPr>
      </w:pPr>
    </w:p>
    <w:p>
      <w:pPr>
        <w:widowControl/>
        <w:spacing w:before="156" w:after="156"/>
        <w:jc w:val="left"/>
        <w:rPr>
          <w:rFonts w:ascii="宋体" w:hAnsi="宋体" w:cs="宋体"/>
          <w:sz w:val="24"/>
        </w:rPr>
      </w:pPr>
    </w:p>
    <w:p>
      <w:pPr>
        <w:rPr>
          <w:rFonts w:ascii="宋体" w:hAnsi="宋体" w:cs="宋体"/>
          <w:sz w:val="24"/>
        </w:rPr>
      </w:pPr>
      <w:bookmarkStart w:id="49" w:name="_Toc134695732"/>
      <w:bookmarkStart w:id="50" w:name="_Toc138603041"/>
      <w:r>
        <w:rPr>
          <w:rFonts w:hint="eastAsia" w:ascii="宋体" w:hAnsi="宋体" w:cs="宋体"/>
          <w:sz w:val="24"/>
        </w:rPr>
        <w:br w:type="page"/>
      </w:r>
    </w:p>
    <w:p>
      <w:pPr>
        <w:pStyle w:val="4"/>
        <w:spacing w:before="156" w:after="156"/>
        <w:rPr>
          <w:rFonts w:ascii="宋体" w:hAnsi="宋体" w:cs="宋体"/>
          <w:sz w:val="24"/>
          <w:szCs w:val="24"/>
        </w:rPr>
      </w:pPr>
      <w:r>
        <w:rPr>
          <w:rFonts w:hint="eastAsia" w:ascii="宋体" w:hAnsi="宋体" w:cs="宋体"/>
          <w:sz w:val="24"/>
          <w:szCs w:val="24"/>
        </w:rPr>
        <w:t>附件1：</w:t>
      </w:r>
      <w:bookmarkEnd w:id="49"/>
      <w:bookmarkEnd w:id="50"/>
    </w:p>
    <w:p>
      <w:pPr>
        <w:spacing w:before="156" w:after="156" w:line="540" w:lineRule="auto"/>
        <w:jc w:val="center"/>
        <w:rPr>
          <w:rFonts w:ascii="宋体" w:hAnsi="宋体" w:cs="宋体"/>
          <w:bCs/>
          <w:sz w:val="24"/>
        </w:rPr>
      </w:pPr>
      <w:r>
        <w:rPr>
          <w:rFonts w:hint="eastAsia" w:ascii="宋体" w:hAnsi="宋体" w:cs="宋体"/>
          <w:bCs/>
          <w:sz w:val="24"/>
        </w:rPr>
        <w:t>参选文件</w:t>
      </w:r>
    </w:p>
    <w:p>
      <w:pPr>
        <w:spacing w:before="156" w:after="156" w:line="540" w:lineRule="auto"/>
        <w:jc w:val="center"/>
        <w:rPr>
          <w:rFonts w:ascii="宋体" w:hAnsi="宋体" w:cs="宋体"/>
          <w:b w:val="0"/>
          <w:sz w:val="24"/>
        </w:rPr>
      </w:pPr>
      <w:r>
        <w:rPr>
          <w:rFonts w:hint="eastAsia" w:ascii="宋体" w:hAnsi="宋体" w:cs="宋体"/>
          <w:b w:val="0"/>
          <w:sz w:val="24"/>
        </w:rPr>
        <w:t>（封面）</w:t>
      </w:r>
    </w:p>
    <w:p>
      <w:pPr>
        <w:spacing w:before="468" w:beforeLines="150" w:after="468" w:afterLines="150" w:line="540" w:lineRule="auto"/>
        <w:rPr>
          <w:rFonts w:ascii="宋体" w:hAnsi="宋体" w:cs="宋体"/>
          <w:b w:val="0"/>
          <w:sz w:val="24"/>
        </w:rPr>
      </w:pPr>
    </w:p>
    <w:p>
      <w:pPr>
        <w:spacing w:before="468" w:beforeLines="150" w:after="468" w:afterLines="150" w:line="540" w:lineRule="auto"/>
        <w:rPr>
          <w:rFonts w:ascii="宋体" w:hAnsi="宋体" w:cs="宋体"/>
          <w:b w:val="0"/>
          <w:sz w:val="24"/>
          <w:u w:val="single"/>
        </w:rPr>
      </w:pPr>
      <w:r>
        <w:rPr>
          <w:rFonts w:hint="eastAsia" w:ascii="宋体" w:hAnsi="宋体" w:cs="宋体"/>
          <w:b w:val="0"/>
          <w:sz w:val="24"/>
        </w:rPr>
        <w:t>项目名称：</w:t>
      </w:r>
      <w:r>
        <w:rPr>
          <w:rFonts w:hint="eastAsia" w:ascii="宋体" w:hAnsi="宋体" w:cs="宋体"/>
          <w:b w:val="0"/>
          <w:sz w:val="24"/>
          <w:u w:val="single"/>
        </w:rPr>
        <w:t xml:space="preserve">  项目</w:t>
      </w:r>
    </w:p>
    <w:p>
      <w:pPr>
        <w:spacing w:before="468" w:beforeLines="150" w:after="468" w:afterLines="150" w:line="540" w:lineRule="auto"/>
        <w:rPr>
          <w:rFonts w:ascii="宋体" w:hAnsi="宋体" w:cs="宋体"/>
          <w:b w:val="0"/>
          <w:sz w:val="24"/>
          <w:u w:val="single"/>
        </w:rPr>
      </w:pPr>
      <w:r>
        <w:rPr>
          <w:rFonts w:hint="eastAsia" w:ascii="宋体" w:hAnsi="宋体" w:cs="宋体"/>
          <w:b w:val="0"/>
          <w:sz w:val="24"/>
        </w:rPr>
        <w:t>参选文件内容：</w:t>
      </w:r>
      <w:r>
        <w:rPr>
          <w:rFonts w:hint="eastAsia" w:ascii="宋体" w:hAnsi="宋体" w:cs="宋体"/>
          <w:b w:val="0"/>
          <w:sz w:val="24"/>
          <w:u w:val="single"/>
        </w:rPr>
        <w:t>项目资料</w:t>
      </w:r>
    </w:p>
    <w:p>
      <w:pPr>
        <w:spacing w:before="468" w:beforeLines="150" w:after="468" w:afterLines="150" w:line="540" w:lineRule="auto"/>
        <w:rPr>
          <w:rFonts w:ascii="宋体" w:hAnsi="宋体" w:cs="宋体"/>
          <w:b w:val="0"/>
          <w:sz w:val="24"/>
          <w:u w:val="single"/>
        </w:rPr>
      </w:pPr>
      <w:r>
        <w:rPr>
          <w:rFonts w:hint="eastAsia" w:ascii="宋体" w:hAnsi="宋体" w:cs="宋体"/>
          <w:b w:val="0"/>
          <w:sz w:val="24"/>
        </w:rPr>
        <w:t>参选人：</w:t>
      </w:r>
      <w:r>
        <w:rPr>
          <w:rFonts w:hint="eastAsia" w:ascii="宋体" w:hAnsi="宋体" w:cs="宋体"/>
          <w:b w:val="0"/>
          <w:sz w:val="24"/>
          <w:u w:val="single"/>
        </w:rPr>
        <w:t>（盖公章）</w:t>
      </w:r>
    </w:p>
    <w:p>
      <w:pPr>
        <w:spacing w:before="468" w:beforeLines="150" w:after="468" w:afterLines="150" w:line="540" w:lineRule="auto"/>
        <w:rPr>
          <w:rFonts w:ascii="宋体" w:hAnsi="宋体" w:cs="宋体"/>
          <w:b w:val="0"/>
          <w:sz w:val="24"/>
          <w:u w:val="single"/>
        </w:rPr>
      </w:pPr>
      <w:r>
        <w:rPr>
          <w:rFonts w:hint="eastAsia" w:ascii="宋体" w:hAnsi="宋体" w:cs="宋体"/>
          <w:b w:val="0"/>
          <w:sz w:val="24"/>
        </w:rPr>
        <w:t>法定代表人或委托代理人：</w:t>
      </w:r>
      <w:r>
        <w:rPr>
          <w:rFonts w:hint="eastAsia" w:ascii="宋体" w:hAnsi="宋体" w:cs="宋体"/>
          <w:b w:val="0"/>
          <w:sz w:val="24"/>
          <w:u w:val="single"/>
        </w:rPr>
        <w:t>（签字或盖章）</w:t>
      </w:r>
    </w:p>
    <w:p>
      <w:pPr>
        <w:spacing w:before="468" w:beforeLines="150" w:after="468" w:afterLines="150" w:line="540" w:lineRule="auto"/>
        <w:rPr>
          <w:rFonts w:ascii="宋体" w:hAnsi="宋体" w:cs="宋体"/>
          <w:b w:val="0"/>
          <w:sz w:val="24"/>
          <w:u w:val="single"/>
        </w:rPr>
      </w:pPr>
      <w:r>
        <w:rPr>
          <w:rFonts w:hint="eastAsia" w:ascii="宋体" w:hAnsi="宋体" w:cs="宋体"/>
          <w:b w:val="0"/>
          <w:kern w:val="0"/>
          <w:sz w:val="24"/>
        </w:rPr>
        <w:t>参选人地址：</w:t>
      </w:r>
    </w:p>
    <w:p>
      <w:pPr>
        <w:spacing w:before="468" w:beforeLines="150" w:after="468" w:afterLines="150" w:line="540" w:lineRule="auto"/>
        <w:jc w:val="center"/>
        <w:rPr>
          <w:rFonts w:ascii="宋体" w:hAnsi="宋体" w:cs="宋体"/>
          <w:b w:val="0"/>
          <w:sz w:val="24"/>
          <w:u w:val="single"/>
        </w:rPr>
      </w:pPr>
    </w:p>
    <w:p>
      <w:pPr>
        <w:spacing w:before="156" w:after="156" w:line="540" w:lineRule="auto"/>
        <w:jc w:val="center"/>
        <w:rPr>
          <w:rFonts w:ascii="宋体" w:hAnsi="宋体" w:cs="宋体"/>
          <w:b w:val="0"/>
          <w:sz w:val="24"/>
          <w:u w:val="single"/>
        </w:rPr>
      </w:pPr>
      <w:r>
        <w:rPr>
          <w:rFonts w:hint="eastAsia" w:ascii="宋体" w:hAnsi="宋体" w:cs="宋体"/>
          <w:b w:val="0"/>
          <w:sz w:val="24"/>
        </w:rPr>
        <w:t xml:space="preserve">日期：    </w:t>
      </w:r>
      <w:r>
        <w:rPr>
          <w:rFonts w:hint="eastAsia" w:ascii="宋体" w:hAnsi="宋体" w:cs="宋体"/>
          <w:b w:val="0"/>
          <w:sz w:val="24"/>
          <w:u w:val="single"/>
        </w:rPr>
        <w:t>年  月  日</w:t>
      </w:r>
    </w:p>
    <w:p>
      <w:pPr>
        <w:pStyle w:val="4"/>
        <w:spacing w:before="156" w:after="156"/>
        <w:rPr>
          <w:rFonts w:ascii="宋体" w:hAnsi="宋体" w:cs="宋体"/>
          <w:sz w:val="24"/>
          <w:szCs w:val="24"/>
        </w:rPr>
      </w:pPr>
      <w:r>
        <w:rPr>
          <w:rFonts w:hint="eastAsia" w:ascii="宋体" w:hAnsi="宋体" w:cs="宋体"/>
          <w:sz w:val="24"/>
          <w:szCs w:val="24"/>
        </w:rPr>
        <w:br w:type="page"/>
      </w:r>
      <w:bookmarkStart w:id="51" w:name="_Toc138603042"/>
      <w:bookmarkStart w:id="52" w:name="_Toc134695733"/>
      <w:r>
        <w:rPr>
          <w:rFonts w:hint="eastAsia" w:ascii="宋体" w:hAnsi="宋体" w:cs="宋体"/>
          <w:sz w:val="24"/>
          <w:szCs w:val="24"/>
        </w:rPr>
        <w:t>附件2：</w:t>
      </w:r>
      <w:bookmarkEnd w:id="51"/>
      <w:bookmarkEnd w:id="52"/>
    </w:p>
    <w:p>
      <w:pPr>
        <w:spacing w:before="156" w:after="156" w:line="540" w:lineRule="auto"/>
        <w:jc w:val="center"/>
        <w:rPr>
          <w:rFonts w:ascii="宋体" w:hAnsi="宋体" w:cs="宋体"/>
          <w:bCs/>
          <w:sz w:val="24"/>
        </w:rPr>
      </w:pPr>
    </w:p>
    <w:p>
      <w:pPr>
        <w:pStyle w:val="34"/>
        <w:spacing w:before="156" w:after="156"/>
        <w:ind w:firstLine="0" w:firstLineChars="0"/>
        <w:jc w:val="center"/>
        <w:rPr>
          <w:rFonts w:ascii="宋体" w:hAnsi="宋体" w:cs="宋体"/>
          <w:b/>
          <w:sz w:val="24"/>
          <w:szCs w:val="24"/>
        </w:rPr>
      </w:pPr>
      <w:r>
        <w:rPr>
          <w:rFonts w:hint="eastAsia" w:ascii="宋体" w:hAnsi="宋体" w:cs="宋体"/>
          <w:b/>
          <w:sz w:val="24"/>
          <w:szCs w:val="24"/>
        </w:rPr>
        <w:t>法定代表人资格证明书</w:t>
      </w:r>
    </w:p>
    <w:p>
      <w:pPr>
        <w:spacing w:before="156" w:after="156" w:line="540" w:lineRule="auto"/>
        <w:rPr>
          <w:rFonts w:ascii="宋体" w:hAnsi="宋体" w:cs="宋体"/>
          <w:b w:val="0"/>
          <w:sz w:val="24"/>
        </w:rPr>
      </w:pPr>
    </w:p>
    <w:p>
      <w:pPr>
        <w:spacing w:before="156" w:after="156" w:line="540" w:lineRule="auto"/>
        <w:rPr>
          <w:rFonts w:ascii="宋体" w:hAnsi="宋体" w:cs="宋体"/>
          <w:b w:val="0"/>
          <w:sz w:val="24"/>
        </w:rPr>
      </w:pPr>
      <w:r>
        <w:rPr>
          <w:rFonts w:hint="eastAsia" w:ascii="宋体" w:hAnsi="宋体" w:cs="宋体"/>
          <w:b w:val="0"/>
          <w:sz w:val="24"/>
        </w:rPr>
        <w:t>单位名称：</w:t>
      </w:r>
    </w:p>
    <w:p>
      <w:pPr>
        <w:spacing w:before="156" w:after="156" w:line="540" w:lineRule="auto"/>
        <w:rPr>
          <w:rFonts w:ascii="宋体" w:hAnsi="宋体" w:cs="宋体"/>
          <w:b w:val="0"/>
          <w:sz w:val="24"/>
        </w:rPr>
      </w:pPr>
      <w:r>
        <w:rPr>
          <w:rFonts w:hint="eastAsia" w:ascii="宋体" w:hAnsi="宋体" w:cs="宋体"/>
          <w:b w:val="0"/>
          <w:sz w:val="24"/>
        </w:rPr>
        <w:t>地址：</w:t>
      </w:r>
    </w:p>
    <w:p>
      <w:pPr>
        <w:spacing w:before="156" w:after="156" w:line="540" w:lineRule="auto"/>
        <w:rPr>
          <w:rFonts w:ascii="宋体" w:hAnsi="宋体" w:cs="宋体"/>
          <w:b w:val="0"/>
          <w:sz w:val="24"/>
        </w:rPr>
      </w:pPr>
      <w:r>
        <w:rPr>
          <w:rFonts w:hint="eastAsia" w:ascii="宋体" w:hAnsi="宋体" w:cs="宋体"/>
          <w:b w:val="0"/>
          <w:sz w:val="24"/>
        </w:rPr>
        <w:t xml:space="preserve">姓名：     性别：      年龄：     职务：        </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系的法定代表人。为本项目进行协议谈判、签署协议和处理与之有关的一切事务的法定代表人。</w:t>
      </w:r>
    </w:p>
    <w:p>
      <w:pPr>
        <w:spacing w:before="156" w:after="156" w:line="540" w:lineRule="auto"/>
        <w:rPr>
          <w:rFonts w:ascii="宋体" w:hAnsi="宋体" w:cs="宋体"/>
          <w:b w:val="0"/>
          <w:sz w:val="24"/>
        </w:rPr>
      </w:pPr>
    </w:p>
    <w:p>
      <w:pPr>
        <w:spacing w:before="156" w:after="156" w:line="540" w:lineRule="auto"/>
        <w:rPr>
          <w:rFonts w:ascii="宋体" w:hAnsi="宋体" w:cs="宋体"/>
          <w:b w:val="0"/>
          <w:sz w:val="24"/>
        </w:rPr>
      </w:pPr>
    </w:p>
    <w:p>
      <w:pPr>
        <w:spacing w:before="156" w:after="156" w:line="540" w:lineRule="auto"/>
        <w:rPr>
          <w:rFonts w:ascii="宋体" w:hAnsi="宋体" w:cs="宋体"/>
          <w:b w:val="0"/>
          <w:sz w:val="24"/>
        </w:rPr>
      </w:pPr>
    </w:p>
    <w:p>
      <w:pPr>
        <w:spacing w:before="156" w:after="156" w:line="540" w:lineRule="auto"/>
        <w:rPr>
          <w:rFonts w:ascii="宋体" w:hAnsi="宋体" w:cs="宋体"/>
          <w:b w:val="0"/>
          <w:sz w:val="24"/>
        </w:rPr>
      </w:pPr>
      <w:r>
        <w:rPr>
          <w:rFonts w:hint="eastAsia" w:ascii="宋体" w:hAnsi="宋体" w:cs="宋体"/>
          <w:b w:val="0"/>
          <w:sz w:val="24"/>
        </w:rPr>
        <w:t>特此证明：</w:t>
      </w:r>
    </w:p>
    <w:p>
      <w:pPr>
        <w:spacing w:before="156" w:after="156" w:line="540" w:lineRule="auto"/>
        <w:rPr>
          <w:rFonts w:ascii="宋体" w:hAnsi="宋体" w:cs="宋体"/>
          <w:b w:val="0"/>
          <w:sz w:val="24"/>
        </w:rPr>
      </w:pPr>
      <w:r>
        <w:rPr>
          <w:rFonts w:hint="eastAsia" w:ascii="宋体" w:hAnsi="宋体" w:cs="宋体"/>
          <w:b w:val="0"/>
          <w:sz w:val="24"/>
        </w:rPr>
        <w:t>参选人：</w:t>
      </w:r>
      <w:r>
        <w:rPr>
          <w:rFonts w:hint="eastAsia" w:ascii="宋体" w:hAnsi="宋体" w:cs="宋体"/>
          <w:b w:val="0"/>
          <w:sz w:val="24"/>
          <w:u w:val="single"/>
        </w:rPr>
        <w:t>（盖公章）</w:t>
      </w:r>
    </w:p>
    <w:p>
      <w:pPr>
        <w:spacing w:before="156" w:after="156" w:line="540" w:lineRule="auto"/>
        <w:rPr>
          <w:rFonts w:ascii="宋体" w:hAnsi="宋体" w:cs="宋体"/>
          <w:b w:val="0"/>
          <w:sz w:val="24"/>
          <w:u w:val="single"/>
        </w:rPr>
      </w:pPr>
      <w:r>
        <w:rPr>
          <w:rFonts w:hint="eastAsia" w:ascii="宋体" w:hAnsi="宋体" w:cs="宋体"/>
          <w:b w:val="0"/>
          <w:sz w:val="24"/>
        </w:rPr>
        <w:t>日期：年月日</w:t>
      </w:r>
    </w:p>
    <w:p>
      <w:pPr>
        <w:widowControl/>
        <w:spacing w:before="156" w:after="156"/>
        <w:jc w:val="left"/>
        <w:rPr>
          <w:rFonts w:ascii="宋体" w:hAnsi="宋体" w:cs="宋体"/>
          <w:b w:val="0"/>
          <w:bCs/>
          <w:sz w:val="24"/>
        </w:rPr>
      </w:pPr>
    </w:p>
    <w:p>
      <w:pPr>
        <w:pStyle w:val="4"/>
        <w:spacing w:before="156" w:after="156"/>
        <w:rPr>
          <w:rFonts w:ascii="宋体" w:hAnsi="宋体" w:cs="宋体"/>
          <w:sz w:val="24"/>
          <w:szCs w:val="24"/>
        </w:rPr>
      </w:pPr>
      <w:r>
        <w:rPr>
          <w:rFonts w:hint="eastAsia" w:ascii="宋体" w:hAnsi="宋体" w:cs="宋体"/>
          <w:sz w:val="24"/>
          <w:szCs w:val="24"/>
        </w:rPr>
        <w:br w:type="page"/>
      </w:r>
      <w:bookmarkStart w:id="53" w:name="_Toc134695734"/>
      <w:bookmarkStart w:id="54" w:name="_Toc138603043"/>
      <w:r>
        <w:rPr>
          <w:rFonts w:hint="eastAsia" w:ascii="宋体" w:hAnsi="宋体" w:cs="宋体"/>
          <w:sz w:val="24"/>
          <w:szCs w:val="24"/>
        </w:rPr>
        <w:t>附件3：</w:t>
      </w:r>
      <w:bookmarkEnd w:id="53"/>
      <w:bookmarkEnd w:id="54"/>
    </w:p>
    <w:p>
      <w:pPr>
        <w:spacing w:before="156" w:after="156" w:line="480" w:lineRule="exact"/>
        <w:jc w:val="center"/>
        <w:rPr>
          <w:rFonts w:ascii="宋体" w:hAnsi="宋体" w:cs="宋体"/>
          <w:sz w:val="24"/>
        </w:rPr>
      </w:pPr>
      <w:r>
        <w:rPr>
          <w:rFonts w:hint="eastAsia" w:ascii="宋体" w:hAnsi="宋体" w:cs="宋体"/>
          <w:sz w:val="24"/>
        </w:rPr>
        <w:t>参选人法定代表人授权书（格式）</w:t>
      </w:r>
    </w:p>
    <w:p>
      <w:pPr>
        <w:spacing w:before="156" w:after="156" w:line="480" w:lineRule="exact"/>
        <w:jc w:val="center"/>
        <w:rPr>
          <w:rFonts w:ascii="宋体" w:hAnsi="宋体" w:cs="宋体"/>
          <w:b w:val="0"/>
          <w:sz w:val="24"/>
        </w:rPr>
      </w:pPr>
    </w:p>
    <w:p>
      <w:pPr>
        <w:spacing w:before="156" w:after="156" w:line="480" w:lineRule="exact"/>
        <w:rPr>
          <w:rFonts w:ascii="宋体" w:hAnsi="宋体" w:cs="宋体"/>
          <w:b w:val="0"/>
          <w:sz w:val="24"/>
          <w:u w:val="single"/>
        </w:rPr>
      </w:pPr>
      <w:r>
        <w:rPr>
          <w:rFonts w:hint="eastAsia" w:ascii="宋体" w:hAnsi="宋体" w:cs="宋体"/>
          <w:b w:val="0"/>
          <w:sz w:val="24"/>
        </w:rPr>
        <w:t>项目名称：</w:t>
      </w:r>
    </w:p>
    <w:p>
      <w:pPr>
        <w:spacing w:before="156" w:after="156" w:line="480" w:lineRule="exact"/>
        <w:rPr>
          <w:rFonts w:ascii="宋体" w:hAnsi="宋体" w:cs="宋体"/>
          <w:b w:val="0"/>
          <w:sz w:val="24"/>
          <w:u w:val="single"/>
        </w:rPr>
      </w:pPr>
      <w:r>
        <w:rPr>
          <w:rFonts w:hint="eastAsia" w:ascii="宋体" w:hAnsi="宋体" w:cs="宋体"/>
          <w:b w:val="0"/>
          <w:sz w:val="24"/>
        </w:rPr>
        <w:t>日期：</w:t>
      </w:r>
    </w:p>
    <w:p>
      <w:pPr>
        <w:spacing w:before="156" w:after="156" w:line="480" w:lineRule="exact"/>
        <w:rPr>
          <w:rFonts w:ascii="宋体" w:hAnsi="宋体" w:cs="宋体"/>
          <w:b w:val="0"/>
          <w:sz w:val="24"/>
          <w:u w:val="single"/>
        </w:rPr>
      </w:pPr>
      <w:r>
        <w:rPr>
          <w:rFonts w:hint="eastAsia" w:ascii="宋体" w:hAnsi="宋体" w:cs="宋体"/>
          <w:b w:val="0"/>
          <w:sz w:val="24"/>
        </w:rPr>
        <w:t>致：</w:t>
      </w:r>
      <w:r>
        <w:rPr>
          <w:rFonts w:hint="eastAsia" w:ascii="宋体" w:hAnsi="宋体" w:cs="宋体"/>
          <w:b w:val="0"/>
          <w:sz w:val="24"/>
          <w:u w:val="single"/>
        </w:rPr>
        <w:t>（比选人名称）</w:t>
      </w:r>
    </w:p>
    <w:p>
      <w:pPr>
        <w:spacing w:before="156" w:after="156" w:line="480" w:lineRule="exact"/>
        <w:ind w:firstLine="480" w:firstLineChars="200"/>
        <w:rPr>
          <w:rFonts w:ascii="宋体" w:hAnsi="宋体" w:cs="宋体"/>
          <w:b w:val="0"/>
          <w:sz w:val="24"/>
          <w:u w:val="single"/>
        </w:rPr>
      </w:pPr>
      <w:r>
        <w:rPr>
          <w:rFonts w:hint="eastAsia" w:ascii="宋体" w:hAnsi="宋体" w:cs="宋体"/>
          <w:b w:val="0"/>
          <w:sz w:val="24"/>
          <w:u w:val="single"/>
        </w:rPr>
        <w:t>（代理机构名称）</w:t>
      </w:r>
    </w:p>
    <w:p>
      <w:pPr>
        <w:spacing w:before="156" w:after="156" w:line="480" w:lineRule="exact"/>
        <w:ind w:firstLine="480" w:firstLineChars="200"/>
        <w:jc w:val="left"/>
        <w:rPr>
          <w:rFonts w:ascii="宋体" w:hAnsi="宋体" w:cs="宋体"/>
          <w:b w:val="0"/>
          <w:sz w:val="24"/>
          <w:u w:val="single"/>
        </w:rPr>
      </w:pPr>
      <w:r>
        <w:rPr>
          <w:rFonts w:hint="eastAsia" w:ascii="宋体" w:hAnsi="宋体" w:cs="宋体"/>
          <w:b w:val="0"/>
          <w:sz w:val="24"/>
        </w:rPr>
        <w:t>注册于（注册地址）的</w:t>
      </w:r>
    </w:p>
    <w:p>
      <w:pPr>
        <w:spacing w:before="156" w:after="156" w:line="480" w:lineRule="exact"/>
        <w:jc w:val="left"/>
        <w:rPr>
          <w:rFonts w:ascii="宋体" w:hAnsi="宋体" w:cs="宋体"/>
          <w:b w:val="0"/>
          <w:sz w:val="24"/>
        </w:rPr>
      </w:pPr>
      <w:r>
        <w:rPr>
          <w:rFonts w:hint="eastAsia" w:ascii="宋体" w:hAnsi="宋体" w:cs="宋体"/>
          <w:b w:val="0"/>
          <w:sz w:val="24"/>
        </w:rPr>
        <w:t>（参选人名称）；本人（授权人姓名）系本单位的法定代表人。现特授权本单位的（被授权人姓名）（身份证号码）为我合法代理人，全权代表我单位办理就项目的比选、谈判、签约等具体工作，并签署全部有关的文件、协议及合同。</w:t>
      </w:r>
    </w:p>
    <w:p>
      <w:pPr>
        <w:spacing w:before="156" w:after="156" w:line="480" w:lineRule="exact"/>
        <w:ind w:firstLine="480" w:firstLineChars="200"/>
        <w:rPr>
          <w:rFonts w:ascii="宋体" w:hAnsi="宋体" w:cs="宋体"/>
          <w:b w:val="0"/>
          <w:sz w:val="24"/>
        </w:rPr>
      </w:pPr>
      <w:r>
        <w:rPr>
          <w:rFonts w:hint="eastAsia" w:ascii="宋体" w:hAnsi="宋体" w:cs="宋体"/>
          <w:b w:val="0"/>
          <w:sz w:val="24"/>
        </w:rPr>
        <w:t>我单位对被授权人的签名负全部责任。</w:t>
      </w:r>
    </w:p>
    <w:p>
      <w:pPr>
        <w:spacing w:before="156" w:after="156" w:line="480" w:lineRule="exact"/>
        <w:ind w:firstLine="480" w:firstLineChars="200"/>
        <w:rPr>
          <w:rFonts w:ascii="宋体" w:hAnsi="宋体" w:cs="宋体"/>
          <w:b w:val="0"/>
          <w:sz w:val="24"/>
        </w:rPr>
      </w:pPr>
      <w:r>
        <w:rPr>
          <w:rFonts w:hint="eastAsia" w:ascii="宋体" w:hAnsi="宋体" w:cs="宋体"/>
          <w:b w:val="0"/>
          <w:sz w:val="24"/>
        </w:rPr>
        <w:t>在撤销授权的书面通知以前，本授权书一直有效。被授权人签署的所有文件（在授权书有效期内签署的）不因授权的撤销而失效。被授权人无转委托。特此声明。</w:t>
      </w:r>
    </w:p>
    <w:p>
      <w:pPr>
        <w:spacing w:before="156" w:after="156" w:line="480" w:lineRule="exact"/>
        <w:rPr>
          <w:rFonts w:ascii="宋体" w:hAnsi="宋体" w:cs="宋体"/>
          <w:b w:val="0"/>
          <w:sz w:val="24"/>
        </w:rPr>
      </w:pPr>
      <w:r>
        <w:rPr>
          <w:rFonts w:hint="eastAsia" w:ascii="宋体" w:hAnsi="宋体" w:cs="宋体"/>
          <w:b w:val="0"/>
          <w:sz w:val="24"/>
        </w:rPr>
        <w:t>被授权人身份证复印件：</w:t>
      </w:r>
    </w:p>
    <w:p>
      <w:pPr>
        <w:spacing w:before="156" w:after="156" w:line="480" w:lineRule="exact"/>
        <w:rPr>
          <w:rFonts w:ascii="宋体" w:hAnsi="宋体" w:cs="宋体"/>
          <w:sz w:val="24"/>
        </w:rPr>
      </w:pPr>
    </w:p>
    <w:p>
      <w:pPr>
        <w:spacing w:before="156" w:after="156" w:line="480" w:lineRule="exact"/>
        <w:rPr>
          <w:rFonts w:ascii="宋体" w:hAnsi="宋体" w:cs="宋体"/>
          <w:b w:val="0"/>
          <w:sz w:val="24"/>
        </w:rPr>
      </w:pPr>
    </w:p>
    <w:p>
      <w:pPr>
        <w:spacing w:before="156" w:after="156" w:line="480" w:lineRule="exact"/>
        <w:rPr>
          <w:rFonts w:ascii="宋体" w:hAnsi="宋体" w:cs="宋体"/>
          <w:b w:val="0"/>
          <w:sz w:val="24"/>
        </w:rPr>
      </w:pPr>
      <w:r>
        <w:rPr>
          <w:rFonts w:hint="eastAsia" w:ascii="宋体" w:hAnsi="宋体" w:cs="宋体"/>
          <w:b w:val="0"/>
          <w:sz w:val="24"/>
        </w:rPr>
        <w:t>参选人公章：</w:t>
      </w:r>
    </w:p>
    <w:p>
      <w:pPr>
        <w:spacing w:before="156" w:after="156" w:line="480" w:lineRule="exact"/>
        <w:rPr>
          <w:rFonts w:ascii="宋体" w:hAnsi="宋体" w:cs="宋体"/>
          <w:b w:val="0"/>
          <w:sz w:val="24"/>
          <w:u w:val="single"/>
        </w:rPr>
      </w:pPr>
      <w:r>
        <w:rPr>
          <w:rFonts w:hint="eastAsia" w:ascii="宋体" w:hAnsi="宋体" w:cs="宋体"/>
          <w:b w:val="0"/>
          <w:sz w:val="24"/>
        </w:rPr>
        <w:t>授权人签名：                                 职务：</w:t>
      </w:r>
    </w:p>
    <w:p>
      <w:pPr>
        <w:spacing w:before="156" w:after="156" w:line="480" w:lineRule="exact"/>
        <w:rPr>
          <w:rFonts w:ascii="宋体" w:hAnsi="宋体" w:cs="宋体"/>
          <w:b w:val="0"/>
          <w:sz w:val="24"/>
        </w:rPr>
      </w:pPr>
      <w:r>
        <w:rPr>
          <w:rFonts w:hint="eastAsia" w:ascii="宋体" w:hAnsi="宋体" w:cs="宋体"/>
          <w:b w:val="0"/>
          <w:sz w:val="24"/>
        </w:rPr>
        <w:t>被授权人签名：</w:t>
      </w:r>
    </w:p>
    <w:p>
      <w:pPr>
        <w:spacing w:before="156" w:after="156" w:line="480" w:lineRule="exact"/>
        <w:rPr>
          <w:rFonts w:ascii="宋体" w:hAnsi="宋体" w:cs="宋体"/>
          <w:sz w:val="24"/>
        </w:rPr>
      </w:pPr>
    </w:p>
    <w:p>
      <w:pPr>
        <w:spacing w:before="156" w:after="156" w:line="480" w:lineRule="exact"/>
        <w:rPr>
          <w:rFonts w:ascii="宋体" w:hAnsi="宋体" w:cs="宋体"/>
          <w:sz w:val="24"/>
        </w:rPr>
      </w:pPr>
      <w:r>
        <w:rPr>
          <w:rFonts w:hint="eastAsia" w:ascii="宋体" w:hAnsi="宋体" w:cs="宋体"/>
          <w:sz w:val="24"/>
        </w:rPr>
        <w:t>注：参选人法定代表人参选的，提供法定代表人证明书和身份证明即可。</w:t>
      </w:r>
    </w:p>
    <w:p>
      <w:pPr>
        <w:pStyle w:val="4"/>
        <w:spacing w:before="156" w:after="156"/>
        <w:rPr>
          <w:rFonts w:ascii="宋体" w:hAnsi="宋体" w:cs="宋体"/>
          <w:sz w:val="24"/>
          <w:szCs w:val="24"/>
        </w:rPr>
      </w:pPr>
      <w:bookmarkStart w:id="55" w:name="_Toc134695735"/>
      <w:bookmarkStart w:id="56" w:name="_Toc138603044"/>
      <w:r>
        <w:rPr>
          <w:rFonts w:hint="eastAsia" w:ascii="宋体" w:hAnsi="宋体" w:cs="宋体"/>
          <w:sz w:val="24"/>
          <w:szCs w:val="24"/>
        </w:rPr>
        <w:t>附件4：</w:t>
      </w:r>
      <w:bookmarkEnd w:id="55"/>
      <w:bookmarkEnd w:id="56"/>
    </w:p>
    <w:p>
      <w:pPr>
        <w:spacing w:before="156" w:after="156" w:line="540" w:lineRule="auto"/>
        <w:jc w:val="center"/>
        <w:rPr>
          <w:rFonts w:ascii="宋体" w:hAnsi="宋体" w:cs="宋体"/>
          <w:bCs/>
          <w:sz w:val="24"/>
        </w:rPr>
      </w:pPr>
      <w:r>
        <w:rPr>
          <w:rFonts w:hint="eastAsia" w:ascii="宋体" w:hAnsi="宋体" w:cs="宋体"/>
          <w:bCs/>
          <w:sz w:val="24"/>
        </w:rPr>
        <w:t>参选函</w:t>
      </w:r>
    </w:p>
    <w:p>
      <w:pPr>
        <w:spacing w:before="156" w:after="156" w:line="400" w:lineRule="exact"/>
        <w:rPr>
          <w:rFonts w:ascii="宋体" w:hAnsi="宋体" w:cs="宋体"/>
          <w:b w:val="0"/>
          <w:sz w:val="24"/>
        </w:rPr>
      </w:pPr>
    </w:p>
    <w:p>
      <w:pPr>
        <w:spacing w:before="156" w:after="156" w:line="460" w:lineRule="exact"/>
        <w:rPr>
          <w:rFonts w:ascii="宋体" w:hAnsi="宋体" w:cs="宋体"/>
          <w:b w:val="0"/>
          <w:sz w:val="24"/>
          <w:u w:val="single"/>
        </w:rPr>
      </w:pPr>
      <w:r>
        <w:rPr>
          <w:rFonts w:hint="eastAsia" w:ascii="宋体" w:hAnsi="宋体" w:cs="宋体"/>
          <w:b w:val="0"/>
          <w:sz w:val="24"/>
        </w:rPr>
        <w:t>致</w:t>
      </w:r>
      <w:r>
        <w:rPr>
          <w:rFonts w:hint="eastAsia" w:ascii="宋体" w:hAnsi="宋体" w:cs="宋体"/>
          <w:b w:val="0"/>
          <w:sz w:val="24"/>
          <w:u w:val="single"/>
        </w:rPr>
        <w:t xml:space="preserve">                                </w:t>
      </w:r>
      <w:r>
        <w:rPr>
          <w:rFonts w:hint="eastAsia" w:ascii="宋体" w:hAnsi="宋体" w:cs="宋体"/>
          <w:b w:val="0"/>
          <w:sz w:val="24"/>
        </w:rPr>
        <w:t>：</w:t>
      </w:r>
    </w:p>
    <w:p>
      <w:pPr>
        <w:spacing w:before="156" w:after="156" w:line="460" w:lineRule="exact"/>
        <w:rPr>
          <w:rFonts w:ascii="宋体" w:hAnsi="宋体" w:cs="宋体"/>
          <w:b w:val="0"/>
          <w:sz w:val="24"/>
        </w:rPr>
      </w:pPr>
      <w:r>
        <w:rPr>
          <w:rFonts w:hint="eastAsia" w:ascii="宋体" w:hAnsi="宋体" w:cs="宋体"/>
          <w:b w:val="0"/>
          <w:sz w:val="24"/>
        </w:rPr>
        <w:t xml:space="preserve">    1.根据已收到贵方的义乌市文化广场剧院运营团队项目比选文件，我单位经考察现场和研究上述比选文件的参选须知、协议条款、相关规范及其他有关文件后，我方自愿参与比选。</w:t>
      </w:r>
    </w:p>
    <w:p>
      <w:pPr>
        <w:spacing w:before="156" w:after="156" w:line="460" w:lineRule="exact"/>
        <w:rPr>
          <w:rFonts w:ascii="宋体" w:hAnsi="宋体" w:cs="宋体"/>
          <w:b w:val="0"/>
          <w:sz w:val="24"/>
        </w:rPr>
      </w:pPr>
      <w:r>
        <w:rPr>
          <w:rFonts w:hint="eastAsia" w:ascii="宋体" w:hAnsi="宋体" w:cs="宋体"/>
          <w:b w:val="0"/>
          <w:sz w:val="24"/>
        </w:rPr>
        <w:t xml:space="preserve">    2.我方已详细审核全部比选文件，包括修改文件（如果有的话）及相关附件，我方完全知道必须放弃提出含糊不清或误解的权力。</w:t>
      </w:r>
    </w:p>
    <w:p>
      <w:pPr>
        <w:spacing w:before="156" w:after="156" w:line="460" w:lineRule="exact"/>
        <w:rPr>
          <w:rFonts w:ascii="宋体" w:hAnsi="宋体" w:cs="宋体"/>
          <w:b w:val="0"/>
          <w:sz w:val="24"/>
        </w:rPr>
      </w:pPr>
      <w:r>
        <w:rPr>
          <w:rFonts w:hint="eastAsia" w:ascii="宋体" w:hAnsi="宋体" w:cs="宋体"/>
          <w:b w:val="0"/>
          <w:sz w:val="24"/>
        </w:rPr>
        <w:t xml:space="preserve">    3.一旦我方中选，我方保证按照义乌市文化广场剧院运营团队项目协议规定内容执行。</w:t>
      </w:r>
    </w:p>
    <w:p>
      <w:pPr>
        <w:spacing w:before="156" w:after="156" w:line="460" w:lineRule="exact"/>
        <w:rPr>
          <w:rFonts w:ascii="宋体" w:hAnsi="宋体" w:cs="宋体"/>
          <w:b w:val="0"/>
          <w:sz w:val="24"/>
        </w:rPr>
      </w:pPr>
      <w:r>
        <w:rPr>
          <w:rFonts w:hint="eastAsia" w:ascii="宋体" w:hAnsi="宋体" w:cs="宋体"/>
          <w:b w:val="0"/>
          <w:sz w:val="24"/>
        </w:rPr>
        <w:t xml:space="preserve">    4.我方同意所递交的参选文件在参选有效期内有效（本项目为日历天），在此期间内我方参选有可能中选，我方将受此约束。如果在参选有效期内撤回参选，参选保证金将全部没收。</w:t>
      </w:r>
    </w:p>
    <w:p>
      <w:pPr>
        <w:spacing w:before="156" w:after="156" w:line="460" w:lineRule="exact"/>
        <w:ind w:firstLine="480" w:firstLineChars="200"/>
        <w:rPr>
          <w:rFonts w:ascii="宋体" w:hAnsi="宋体" w:cs="宋体"/>
          <w:b w:val="0"/>
          <w:sz w:val="24"/>
        </w:rPr>
      </w:pPr>
      <w:r>
        <w:rPr>
          <w:rFonts w:hint="eastAsia" w:ascii="宋体" w:hAnsi="宋体" w:cs="宋体"/>
          <w:b w:val="0"/>
          <w:sz w:val="24"/>
        </w:rPr>
        <w:t>5.除非另外达成协议并生效，贵方的中选通知和本参选文件将成为我们双方的协议文件组成部分。</w:t>
      </w:r>
    </w:p>
    <w:p>
      <w:pPr>
        <w:spacing w:before="156" w:after="156" w:line="460" w:lineRule="exact"/>
        <w:ind w:firstLine="480" w:firstLineChars="200"/>
        <w:rPr>
          <w:rFonts w:ascii="宋体" w:hAnsi="宋体" w:cs="宋体"/>
          <w:b w:val="0"/>
          <w:sz w:val="24"/>
        </w:rPr>
      </w:pPr>
    </w:p>
    <w:p>
      <w:pPr>
        <w:spacing w:before="156" w:after="156" w:line="460" w:lineRule="exact"/>
        <w:rPr>
          <w:rFonts w:ascii="宋体" w:hAnsi="宋体" w:cs="宋体"/>
          <w:b w:val="0"/>
          <w:sz w:val="24"/>
        </w:rPr>
      </w:pPr>
      <w:r>
        <w:rPr>
          <w:rFonts w:hint="eastAsia" w:ascii="宋体" w:hAnsi="宋体" w:cs="宋体"/>
          <w:b w:val="0"/>
          <w:sz w:val="24"/>
        </w:rPr>
        <w:t>参选人：（盖章）                     单位地址：</w:t>
      </w:r>
    </w:p>
    <w:p>
      <w:pPr>
        <w:spacing w:before="156" w:after="156" w:line="460" w:lineRule="exact"/>
        <w:rPr>
          <w:rFonts w:ascii="宋体" w:hAnsi="宋体" w:cs="宋体"/>
          <w:b w:val="0"/>
          <w:sz w:val="24"/>
        </w:rPr>
      </w:pPr>
      <w:r>
        <w:rPr>
          <w:rFonts w:hint="eastAsia" w:ascii="宋体" w:hAnsi="宋体" w:cs="宋体"/>
          <w:b w:val="0"/>
          <w:sz w:val="24"/>
        </w:rPr>
        <w:t>法定代表人或其委托代理人：（签章或盖章）</w:t>
      </w:r>
    </w:p>
    <w:p>
      <w:pPr>
        <w:spacing w:before="156" w:after="156" w:line="460" w:lineRule="exact"/>
        <w:rPr>
          <w:rFonts w:ascii="宋体" w:hAnsi="宋体" w:cs="宋体"/>
          <w:b w:val="0"/>
          <w:sz w:val="24"/>
        </w:rPr>
      </w:pPr>
      <w:r>
        <w:rPr>
          <w:rFonts w:hint="eastAsia" w:ascii="宋体" w:hAnsi="宋体" w:cs="宋体"/>
          <w:b w:val="0"/>
          <w:sz w:val="24"/>
        </w:rPr>
        <w:t>邮政编码：                           电话：</w:t>
      </w:r>
    </w:p>
    <w:p>
      <w:pPr>
        <w:spacing w:before="156" w:after="156" w:line="460" w:lineRule="exact"/>
        <w:ind w:firstLine="6960" w:firstLineChars="2900"/>
        <w:jc w:val="left"/>
        <w:rPr>
          <w:rFonts w:ascii="宋体" w:hAnsi="宋体" w:cs="宋体"/>
          <w:b w:val="0"/>
          <w:sz w:val="24"/>
        </w:rPr>
      </w:pPr>
    </w:p>
    <w:p>
      <w:pPr>
        <w:spacing w:before="156" w:after="156" w:line="460" w:lineRule="exact"/>
        <w:ind w:firstLine="6960" w:firstLineChars="2900"/>
        <w:jc w:val="left"/>
        <w:rPr>
          <w:rFonts w:ascii="宋体" w:hAnsi="宋体" w:cs="宋体"/>
          <w:b w:val="0"/>
          <w:sz w:val="24"/>
        </w:rPr>
      </w:pPr>
      <w:r>
        <w:rPr>
          <w:rFonts w:hint="eastAsia" w:ascii="宋体" w:hAnsi="宋体" w:cs="宋体"/>
          <w:b w:val="0"/>
          <w:sz w:val="24"/>
        </w:rPr>
        <w:t>日期：    年  月  日</w:t>
      </w:r>
    </w:p>
    <w:p>
      <w:pPr>
        <w:rPr>
          <w:rFonts w:ascii="宋体" w:hAnsi="宋体" w:cs="宋体"/>
          <w:sz w:val="24"/>
        </w:rPr>
      </w:pPr>
      <w:bookmarkStart w:id="57" w:name="_Toc134695736"/>
      <w:bookmarkStart w:id="58" w:name="_Toc138603045"/>
      <w:r>
        <w:rPr>
          <w:rFonts w:hint="eastAsia" w:ascii="宋体" w:hAnsi="宋体" w:cs="宋体"/>
          <w:sz w:val="24"/>
        </w:rPr>
        <w:br w:type="page"/>
      </w:r>
    </w:p>
    <w:p>
      <w:pPr>
        <w:pStyle w:val="4"/>
        <w:spacing w:before="156" w:after="156"/>
        <w:rPr>
          <w:rFonts w:ascii="宋体" w:hAnsi="宋体" w:cs="宋体"/>
          <w:sz w:val="24"/>
          <w:szCs w:val="24"/>
        </w:rPr>
      </w:pPr>
      <w:r>
        <w:rPr>
          <w:rFonts w:hint="eastAsia" w:ascii="宋体" w:hAnsi="宋体" w:cs="宋体"/>
          <w:sz w:val="24"/>
          <w:szCs w:val="24"/>
        </w:rPr>
        <w:t>附件5：</w:t>
      </w:r>
      <w:bookmarkEnd w:id="57"/>
      <w:bookmarkEnd w:id="58"/>
    </w:p>
    <w:p>
      <w:pPr>
        <w:spacing w:before="156" w:after="156" w:line="540" w:lineRule="auto"/>
        <w:jc w:val="center"/>
        <w:rPr>
          <w:rFonts w:ascii="宋体" w:hAnsi="宋体" w:cs="宋体"/>
          <w:bCs/>
          <w:sz w:val="24"/>
        </w:rPr>
      </w:pPr>
      <w:r>
        <w:rPr>
          <w:rFonts w:hint="eastAsia" w:ascii="宋体" w:hAnsi="宋体" w:cs="宋体"/>
          <w:bCs/>
          <w:sz w:val="24"/>
        </w:rPr>
        <w:t>参选承诺书</w:t>
      </w:r>
    </w:p>
    <w:p>
      <w:pPr>
        <w:spacing w:before="156" w:after="156" w:line="540" w:lineRule="auto"/>
        <w:rPr>
          <w:rFonts w:ascii="宋体" w:hAnsi="宋体" w:cs="宋体"/>
          <w:b w:val="0"/>
          <w:sz w:val="24"/>
        </w:rPr>
      </w:pPr>
      <w:r>
        <w:rPr>
          <w:rFonts w:hint="eastAsia" w:ascii="宋体" w:hAnsi="宋体" w:cs="宋体"/>
          <w:b w:val="0"/>
          <w:sz w:val="24"/>
        </w:rPr>
        <w:t xml:space="preserve"> 义乌市文化馆：</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本单位已详细阅读《</w:t>
      </w:r>
      <w:r>
        <w:rPr>
          <w:rFonts w:hint="eastAsia" w:ascii="宋体" w:hAnsi="宋体" w:cs="宋体"/>
          <w:b w:val="0"/>
          <w:bCs/>
          <w:sz w:val="24"/>
        </w:rPr>
        <w:t>比选文件</w:t>
      </w:r>
      <w:r>
        <w:rPr>
          <w:rFonts w:hint="eastAsia" w:ascii="宋体" w:hAnsi="宋体" w:cs="宋体"/>
          <w:b w:val="0"/>
          <w:sz w:val="24"/>
        </w:rPr>
        <w:t>》，现自愿就参加该项目参选有关事项向比选人郑重承诺如下：</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1.遵守中华人民共和国、浙江省有关的法律法规规定，自觉维护市场的正常秩序。</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2.参选文件无虚假不实的内容。若评标过程中查有虚假，同意按照比选文件规定处理，若中选之后查有虚假，同意按照比选文件规定处理。</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3.保证上述材料的真实性，承诺承担材料虚假的违约责任。</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本单位若违反以上承诺，将无条件接受项目主管部门和有关监督管理部门的调查，并愿意承担取消中选资格及限制在义乌市参选等一切法律责任。</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法定代表人（签名）：                      项目负责人（签名）：</w:t>
      </w:r>
    </w:p>
    <w:p>
      <w:pPr>
        <w:spacing w:before="156" w:after="156" w:line="540" w:lineRule="auto"/>
        <w:ind w:firstLine="480" w:firstLineChars="200"/>
        <w:rPr>
          <w:rFonts w:ascii="宋体" w:hAnsi="宋体" w:cs="宋体"/>
          <w:b w:val="0"/>
          <w:sz w:val="24"/>
        </w:rPr>
      </w:pPr>
      <w:r>
        <w:rPr>
          <w:rFonts w:hint="eastAsia" w:ascii="宋体" w:hAnsi="宋体" w:cs="宋体"/>
          <w:b w:val="0"/>
          <w:sz w:val="24"/>
        </w:rPr>
        <w:t>参选单位（盖章）：</w:t>
      </w:r>
    </w:p>
    <w:p>
      <w:pPr>
        <w:spacing w:before="156" w:after="156" w:line="540" w:lineRule="auto"/>
        <w:ind w:firstLine="482" w:firstLineChars="200"/>
        <w:rPr>
          <w:rFonts w:ascii="宋体" w:hAnsi="宋体" w:cs="宋体"/>
          <w:sz w:val="24"/>
        </w:rPr>
      </w:pPr>
    </w:p>
    <w:p>
      <w:pPr>
        <w:spacing w:before="156" w:after="156" w:line="540" w:lineRule="auto"/>
        <w:ind w:firstLine="482" w:firstLineChars="200"/>
        <w:rPr>
          <w:rFonts w:ascii="宋体" w:hAnsi="宋体" w:cs="宋体"/>
          <w:sz w:val="24"/>
        </w:rPr>
      </w:pPr>
    </w:p>
    <w:p>
      <w:pPr>
        <w:rPr>
          <w:rFonts w:ascii="宋体" w:hAnsi="宋体" w:cs="宋体"/>
          <w:sz w:val="24"/>
        </w:rPr>
      </w:pPr>
      <w:bookmarkStart w:id="59" w:name="_Toc486320970"/>
      <w:bookmarkStart w:id="60" w:name="_Toc201116273"/>
      <w:bookmarkStart w:id="61" w:name="_Toc134695737"/>
      <w:bookmarkStart w:id="62" w:name="_Toc432526132"/>
      <w:bookmarkStart w:id="63" w:name="_Toc138603046"/>
      <w:r>
        <w:rPr>
          <w:rFonts w:hint="eastAsia" w:ascii="宋体" w:hAnsi="宋体" w:cs="宋体"/>
          <w:sz w:val="24"/>
        </w:rPr>
        <w:br w:type="page"/>
      </w:r>
    </w:p>
    <w:p>
      <w:pPr>
        <w:jc w:val="center"/>
        <w:rPr>
          <w:bCs/>
          <w:color w:val="000000"/>
          <w:sz w:val="36"/>
        </w:rPr>
      </w:pPr>
      <w:r>
        <w:rPr>
          <w:rFonts w:hint="eastAsia"/>
          <w:bCs/>
          <w:color w:val="000000"/>
          <w:sz w:val="36"/>
          <w:lang w:val="zh-CN"/>
        </w:rPr>
        <w:t>拟投入本项目运营团队人员一览表</w:t>
      </w:r>
      <w:r>
        <w:rPr>
          <w:rFonts w:hint="eastAsia"/>
          <w:bCs/>
          <w:color w:val="000000"/>
          <w:sz w:val="36"/>
        </w:rPr>
        <w:t>格式</w:t>
      </w:r>
    </w:p>
    <w:p>
      <w:pPr>
        <w:tabs>
          <w:tab w:val="left" w:pos="360"/>
        </w:tabs>
        <w:spacing w:line="360" w:lineRule="auto"/>
        <w:rPr>
          <w:rFonts w:hAnsi="宋体"/>
          <w:bCs/>
          <w:sz w:val="24"/>
          <w:szCs w:val="28"/>
        </w:rPr>
      </w:pPr>
    </w:p>
    <w:p>
      <w:pPr>
        <w:tabs>
          <w:tab w:val="left" w:pos="360"/>
        </w:tabs>
        <w:spacing w:line="360" w:lineRule="auto"/>
        <w:rPr>
          <w:b w:val="0"/>
        </w:rPr>
      </w:pPr>
      <w:r>
        <w:rPr>
          <w:rFonts w:hint="eastAsia" w:hAnsi="宋体"/>
          <w:b w:val="0"/>
          <w:sz w:val="24"/>
          <w:szCs w:val="28"/>
        </w:rPr>
        <w:t>参选人（公章）：</w:t>
      </w:r>
      <w:r>
        <w:rPr>
          <w:rFonts w:hint="eastAsia" w:hAnsi="宋体"/>
          <w:b w:val="0"/>
          <w:sz w:val="24"/>
          <w:szCs w:val="28"/>
          <w:u w:val="single"/>
        </w:rPr>
        <w:t xml:space="preserve">                          </w:t>
      </w:r>
    </w:p>
    <w:tbl>
      <w:tblPr>
        <w:tblStyle w:val="3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1440"/>
        <w:gridCol w:w="1460"/>
        <w:gridCol w:w="268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r>
              <w:rPr>
                <w:rFonts w:hint="eastAsia"/>
                <w:b w:val="0"/>
                <w:sz w:val="24"/>
              </w:rPr>
              <w:t>姓名</w:t>
            </w:r>
          </w:p>
        </w:tc>
        <w:tc>
          <w:tcPr>
            <w:tcW w:w="900" w:type="dxa"/>
            <w:vAlign w:val="center"/>
          </w:tcPr>
          <w:p>
            <w:pPr>
              <w:tabs>
                <w:tab w:val="left" w:pos="360"/>
              </w:tabs>
              <w:spacing w:line="460" w:lineRule="exact"/>
              <w:jc w:val="center"/>
              <w:rPr>
                <w:b w:val="0"/>
                <w:sz w:val="24"/>
              </w:rPr>
            </w:pPr>
            <w:r>
              <w:rPr>
                <w:rFonts w:hint="eastAsia"/>
                <w:b w:val="0"/>
                <w:sz w:val="24"/>
              </w:rPr>
              <w:t>性别</w:t>
            </w:r>
          </w:p>
        </w:tc>
        <w:tc>
          <w:tcPr>
            <w:tcW w:w="1440" w:type="dxa"/>
            <w:vAlign w:val="center"/>
          </w:tcPr>
          <w:p>
            <w:pPr>
              <w:tabs>
                <w:tab w:val="left" w:pos="360"/>
              </w:tabs>
              <w:spacing w:line="460" w:lineRule="exact"/>
              <w:jc w:val="center"/>
              <w:rPr>
                <w:b w:val="0"/>
                <w:sz w:val="24"/>
              </w:rPr>
            </w:pPr>
            <w:r>
              <w:rPr>
                <w:rFonts w:hint="eastAsia"/>
                <w:b w:val="0"/>
                <w:sz w:val="24"/>
              </w:rPr>
              <w:t>职称</w:t>
            </w:r>
          </w:p>
        </w:tc>
        <w:tc>
          <w:tcPr>
            <w:tcW w:w="1460" w:type="dxa"/>
            <w:vAlign w:val="center"/>
          </w:tcPr>
          <w:p>
            <w:pPr>
              <w:tabs>
                <w:tab w:val="left" w:pos="360"/>
              </w:tabs>
              <w:spacing w:line="460" w:lineRule="exact"/>
              <w:jc w:val="center"/>
              <w:rPr>
                <w:b w:val="0"/>
                <w:sz w:val="24"/>
              </w:rPr>
            </w:pPr>
            <w:r>
              <w:rPr>
                <w:rFonts w:hint="eastAsia"/>
                <w:b w:val="0"/>
                <w:sz w:val="24"/>
              </w:rPr>
              <w:t>从事岗位</w:t>
            </w:r>
          </w:p>
        </w:tc>
        <w:tc>
          <w:tcPr>
            <w:tcW w:w="2680" w:type="dxa"/>
            <w:vAlign w:val="center"/>
          </w:tcPr>
          <w:p>
            <w:pPr>
              <w:tabs>
                <w:tab w:val="left" w:pos="360"/>
              </w:tabs>
              <w:spacing w:line="460" w:lineRule="exact"/>
              <w:jc w:val="center"/>
              <w:rPr>
                <w:b w:val="0"/>
                <w:sz w:val="24"/>
              </w:rPr>
            </w:pPr>
            <w:r>
              <w:rPr>
                <w:rFonts w:hint="eastAsia"/>
                <w:b w:val="0"/>
                <w:sz w:val="24"/>
              </w:rPr>
              <w:t>联系电话</w:t>
            </w:r>
          </w:p>
        </w:tc>
        <w:tc>
          <w:tcPr>
            <w:tcW w:w="1542" w:type="dxa"/>
            <w:vAlign w:val="center"/>
          </w:tcPr>
          <w:p>
            <w:pPr>
              <w:tabs>
                <w:tab w:val="left" w:pos="360"/>
              </w:tabs>
              <w:jc w:val="center"/>
              <w:rPr>
                <w:b w:val="0"/>
                <w:sz w:val="24"/>
              </w:rPr>
            </w:pPr>
            <w:r>
              <w:rPr>
                <w:rFonts w:hint="eastAsia"/>
                <w:b w:val="0"/>
                <w:sz w:val="24"/>
              </w:rPr>
              <w:t>从事</w:t>
            </w:r>
          </w:p>
          <w:p>
            <w:pPr>
              <w:tabs>
                <w:tab w:val="left" w:pos="360"/>
              </w:tabs>
              <w:jc w:val="center"/>
              <w:rPr>
                <w:b w:val="0"/>
                <w:sz w:val="24"/>
              </w:rPr>
            </w:pPr>
            <w:r>
              <w:rPr>
                <w:rFonts w:hint="eastAsia"/>
                <w:b w:val="0"/>
                <w:sz w:val="24"/>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tabs>
                <w:tab w:val="left" w:pos="360"/>
              </w:tabs>
              <w:spacing w:line="460" w:lineRule="exact"/>
              <w:jc w:val="center"/>
              <w:rPr>
                <w:b w:val="0"/>
                <w:sz w:val="24"/>
              </w:rPr>
            </w:pPr>
          </w:p>
        </w:tc>
        <w:tc>
          <w:tcPr>
            <w:tcW w:w="900" w:type="dxa"/>
            <w:vAlign w:val="center"/>
          </w:tcPr>
          <w:p>
            <w:pPr>
              <w:tabs>
                <w:tab w:val="left" w:pos="360"/>
              </w:tabs>
              <w:spacing w:line="460" w:lineRule="exact"/>
              <w:jc w:val="center"/>
              <w:rPr>
                <w:b w:val="0"/>
                <w:sz w:val="24"/>
              </w:rPr>
            </w:pPr>
          </w:p>
        </w:tc>
        <w:tc>
          <w:tcPr>
            <w:tcW w:w="1440" w:type="dxa"/>
            <w:vAlign w:val="center"/>
          </w:tcPr>
          <w:p>
            <w:pPr>
              <w:tabs>
                <w:tab w:val="left" w:pos="360"/>
              </w:tabs>
              <w:spacing w:line="460" w:lineRule="exact"/>
              <w:jc w:val="center"/>
              <w:rPr>
                <w:b w:val="0"/>
                <w:sz w:val="24"/>
              </w:rPr>
            </w:pPr>
          </w:p>
        </w:tc>
        <w:tc>
          <w:tcPr>
            <w:tcW w:w="1460" w:type="dxa"/>
            <w:vAlign w:val="center"/>
          </w:tcPr>
          <w:p>
            <w:pPr>
              <w:tabs>
                <w:tab w:val="left" w:pos="360"/>
              </w:tabs>
              <w:spacing w:line="460" w:lineRule="exact"/>
              <w:jc w:val="center"/>
              <w:rPr>
                <w:b w:val="0"/>
                <w:sz w:val="24"/>
              </w:rPr>
            </w:pPr>
          </w:p>
        </w:tc>
        <w:tc>
          <w:tcPr>
            <w:tcW w:w="2680" w:type="dxa"/>
            <w:vAlign w:val="center"/>
          </w:tcPr>
          <w:p>
            <w:pPr>
              <w:tabs>
                <w:tab w:val="left" w:pos="360"/>
              </w:tabs>
              <w:spacing w:line="460" w:lineRule="exact"/>
              <w:jc w:val="center"/>
              <w:rPr>
                <w:b w:val="0"/>
                <w:sz w:val="24"/>
              </w:rPr>
            </w:pPr>
          </w:p>
        </w:tc>
        <w:tc>
          <w:tcPr>
            <w:tcW w:w="1542" w:type="dxa"/>
            <w:vAlign w:val="center"/>
          </w:tcPr>
          <w:p>
            <w:pPr>
              <w:tabs>
                <w:tab w:val="left" w:pos="360"/>
              </w:tabs>
              <w:spacing w:line="460" w:lineRule="exact"/>
              <w:jc w:val="center"/>
              <w:rPr>
                <w:b w:val="0"/>
                <w:sz w:val="24"/>
              </w:rPr>
            </w:pPr>
          </w:p>
        </w:tc>
      </w:tr>
    </w:tbl>
    <w:p>
      <w:pPr>
        <w:tabs>
          <w:tab w:val="left" w:pos="360"/>
        </w:tabs>
        <w:spacing w:line="500" w:lineRule="exact"/>
        <w:rPr>
          <w:b w:val="0"/>
          <w:sz w:val="24"/>
        </w:rPr>
      </w:pPr>
    </w:p>
    <w:p>
      <w:pPr>
        <w:tabs>
          <w:tab w:val="left" w:pos="360"/>
        </w:tabs>
        <w:spacing w:line="500" w:lineRule="exact"/>
        <w:rPr>
          <w:b w:val="0"/>
          <w:sz w:val="24"/>
          <w:u w:val="single"/>
        </w:rPr>
      </w:pPr>
      <w:r>
        <w:rPr>
          <w:rFonts w:hint="eastAsia"/>
          <w:b w:val="0"/>
          <w:sz w:val="24"/>
        </w:rPr>
        <w:t>全权代表签字（或盖章）：                        职 务：          日 期：</w:t>
      </w:r>
      <w:r>
        <w:rPr>
          <w:rFonts w:hint="eastAsia"/>
          <w:b w:val="0"/>
          <w:sz w:val="24"/>
          <w:u w:val="single"/>
        </w:rPr>
        <w:t xml:space="preserve">           </w:t>
      </w:r>
    </w:p>
    <w:p>
      <w:pPr>
        <w:tabs>
          <w:tab w:val="left" w:pos="360"/>
        </w:tabs>
        <w:spacing w:line="460" w:lineRule="exact"/>
        <w:rPr>
          <w:b w:val="0"/>
          <w:sz w:val="24"/>
        </w:rPr>
      </w:pPr>
      <w:r>
        <w:rPr>
          <w:rFonts w:hint="eastAsia"/>
          <w:b w:val="0"/>
          <w:sz w:val="24"/>
        </w:rPr>
        <w:t>注：1.此表在不改变表式的情况下，可自行制作。</w:t>
      </w:r>
    </w:p>
    <w:p>
      <w:pPr>
        <w:tabs>
          <w:tab w:val="left" w:pos="360"/>
        </w:tabs>
        <w:spacing w:line="460" w:lineRule="exact"/>
        <w:ind w:firstLine="480" w:firstLineChars="200"/>
        <w:rPr>
          <w:b w:val="0"/>
          <w:sz w:val="24"/>
        </w:rPr>
      </w:pPr>
      <w:r>
        <w:rPr>
          <w:rFonts w:hint="eastAsia"/>
          <w:b w:val="0"/>
          <w:sz w:val="24"/>
        </w:rPr>
        <w:t>2.有资格、职称人员须附相关职称证书和资格证书复印件（加盖公章）</w:t>
      </w:r>
      <w:bookmarkEnd w:id="59"/>
      <w:bookmarkEnd w:id="60"/>
      <w:bookmarkEnd w:id="61"/>
      <w:bookmarkEnd w:id="62"/>
      <w:bookmarkEnd w:id="63"/>
    </w:p>
    <w:p>
      <w:pPr>
        <w:rPr>
          <w:b w:val="0"/>
          <w:sz w:val="24"/>
        </w:rPr>
      </w:pPr>
    </w:p>
    <w:p>
      <w:pPr>
        <w:jc w:val="center"/>
        <w:rPr>
          <w:color w:val="000000"/>
          <w:sz w:val="44"/>
          <w:szCs w:val="44"/>
        </w:rPr>
      </w:pPr>
      <w:bookmarkStart w:id="64" w:name="OLE_LINK5"/>
      <w:r>
        <w:rPr>
          <w:rFonts w:hint="eastAsia"/>
          <w:bCs/>
          <w:color w:val="000000"/>
          <w:sz w:val="36"/>
          <w:lang w:val="zh-CN"/>
        </w:rPr>
        <w:t>义乌文化广场剧院运营团队考核办法</w:t>
      </w:r>
    </w:p>
    <w:p>
      <w:pPr>
        <w:rPr>
          <w:color w:val="000000"/>
          <w:sz w:val="32"/>
          <w:szCs w:val="32"/>
        </w:rPr>
      </w:pPr>
    </w:p>
    <w:p>
      <w:pPr>
        <w:spacing w:line="360" w:lineRule="auto"/>
        <w:rPr>
          <w:rFonts w:ascii="仿宋_GB2312" w:eastAsia="仿宋_GB2312"/>
          <w:b w:val="0"/>
          <w:color w:val="000000"/>
          <w:sz w:val="24"/>
        </w:rPr>
      </w:pPr>
      <w:r>
        <w:rPr>
          <w:rFonts w:hint="eastAsia" w:ascii="仿宋_GB2312" w:eastAsia="仿宋_GB2312"/>
          <w:b w:val="0"/>
          <w:color w:val="000000"/>
          <w:sz w:val="24"/>
        </w:rPr>
        <w:t>一、运营方表现及基础考核</w:t>
      </w:r>
    </w:p>
    <w:p>
      <w:pPr>
        <w:spacing w:line="360" w:lineRule="auto"/>
        <w:rPr>
          <w:rFonts w:ascii="仿宋_GB2312" w:eastAsia="仿宋_GB2312"/>
          <w:b w:val="0"/>
          <w:color w:val="000000"/>
          <w:sz w:val="24"/>
        </w:rPr>
      </w:pPr>
      <w:r>
        <w:rPr>
          <w:rFonts w:hint="eastAsia" w:ascii="仿宋_GB2312" w:eastAsia="仿宋_GB2312"/>
          <w:b w:val="0"/>
          <w:color w:val="000000"/>
          <w:sz w:val="24"/>
        </w:rPr>
        <w:t>1.演出场次是否达标     1-10分</w:t>
      </w:r>
    </w:p>
    <w:p>
      <w:pPr>
        <w:spacing w:line="360" w:lineRule="auto"/>
        <w:rPr>
          <w:rFonts w:ascii="仿宋_GB2312" w:eastAsia="仿宋_GB2312"/>
          <w:b w:val="0"/>
          <w:color w:val="000000"/>
          <w:sz w:val="24"/>
        </w:rPr>
      </w:pPr>
      <w:r>
        <w:rPr>
          <w:rFonts w:hint="eastAsia" w:ascii="仿宋_GB2312" w:eastAsia="仿宋_GB2312"/>
          <w:b w:val="0"/>
          <w:color w:val="000000"/>
          <w:sz w:val="24"/>
        </w:rPr>
        <w:t>每年完成公益演出</w:t>
      </w:r>
      <w:r>
        <w:rPr>
          <w:rFonts w:hint="eastAsia" w:ascii="仿宋_GB2312" w:eastAsia="仿宋_GB2312"/>
          <w:b w:val="0"/>
          <w:color w:val="000000"/>
          <w:sz w:val="24"/>
          <w:lang w:val="en-US" w:eastAsia="zh-CN"/>
        </w:rPr>
        <w:t>40</w:t>
      </w:r>
      <w:r>
        <w:rPr>
          <w:rFonts w:hint="eastAsia" w:ascii="仿宋_GB2312" w:eastAsia="仿宋_GB2312"/>
          <w:b w:val="0"/>
          <w:color w:val="000000"/>
          <w:sz w:val="24"/>
        </w:rPr>
        <w:t>场，自营演出</w:t>
      </w:r>
      <w:r>
        <w:rPr>
          <w:rFonts w:hint="eastAsia" w:ascii="仿宋_GB2312" w:eastAsia="仿宋_GB2312"/>
          <w:b w:val="0"/>
          <w:color w:val="000000"/>
          <w:sz w:val="24"/>
          <w:lang w:val="en-US" w:eastAsia="zh-CN"/>
        </w:rPr>
        <w:t>60</w:t>
      </w:r>
      <w:r>
        <w:rPr>
          <w:rFonts w:hint="eastAsia" w:ascii="仿宋_GB2312" w:eastAsia="仿宋_GB2312"/>
          <w:b w:val="0"/>
          <w:color w:val="000000"/>
          <w:sz w:val="24"/>
        </w:rPr>
        <w:t>场，每减少一场扣1分，完成90场以下不得分；</w:t>
      </w:r>
    </w:p>
    <w:p>
      <w:pPr>
        <w:spacing w:line="360" w:lineRule="auto"/>
        <w:rPr>
          <w:rFonts w:ascii="仿宋_GB2312" w:eastAsia="仿宋_GB2312"/>
          <w:b w:val="0"/>
          <w:color w:val="000000"/>
          <w:sz w:val="24"/>
        </w:rPr>
      </w:pPr>
      <w:r>
        <w:rPr>
          <w:rFonts w:hint="eastAsia" w:ascii="仿宋_GB2312" w:eastAsia="仿宋_GB2312"/>
          <w:b w:val="0"/>
          <w:color w:val="000000"/>
          <w:sz w:val="24"/>
        </w:rPr>
        <w:t>2.演出规格(A B C类) 是否达到标准  1-10分</w:t>
      </w:r>
    </w:p>
    <w:p>
      <w:pPr>
        <w:spacing w:line="360" w:lineRule="auto"/>
        <w:rPr>
          <w:rFonts w:ascii="仿宋_GB2312" w:eastAsia="仿宋_GB2312"/>
          <w:b w:val="0"/>
          <w:color w:val="000000"/>
          <w:sz w:val="24"/>
        </w:rPr>
      </w:pPr>
      <w:r>
        <w:rPr>
          <w:rFonts w:hint="eastAsia" w:ascii="仿宋_GB2312" w:eastAsia="仿宋_GB2312"/>
          <w:b w:val="0"/>
          <w:color w:val="000000"/>
          <w:sz w:val="24"/>
        </w:rPr>
        <w:t>按合同规定，A类演出每减少一场扣2分；B类演出每减少一场扣1.5分；C类演出每减少一场扣1分。</w:t>
      </w:r>
    </w:p>
    <w:p>
      <w:pPr>
        <w:spacing w:line="360" w:lineRule="auto"/>
        <w:rPr>
          <w:rFonts w:ascii="仿宋_GB2312" w:eastAsia="仿宋_GB2312"/>
          <w:b w:val="0"/>
          <w:color w:val="000000"/>
          <w:sz w:val="24"/>
        </w:rPr>
      </w:pPr>
      <w:r>
        <w:rPr>
          <w:rFonts w:hint="eastAsia" w:ascii="仿宋_GB2312" w:eastAsia="仿宋_GB2312"/>
          <w:b w:val="0"/>
          <w:color w:val="000000"/>
          <w:sz w:val="24"/>
        </w:rPr>
        <w:t>3.演出上座率50%以下不得分； 65%以上得10分；60% 得7分；50% 得5分。</w:t>
      </w:r>
    </w:p>
    <w:p>
      <w:pPr>
        <w:spacing w:line="360" w:lineRule="auto"/>
        <w:rPr>
          <w:rFonts w:ascii="仿宋_GB2312" w:eastAsia="仿宋_GB2312"/>
          <w:b w:val="0"/>
          <w:color w:val="000000"/>
          <w:sz w:val="24"/>
        </w:rPr>
      </w:pPr>
      <w:r>
        <w:rPr>
          <w:rFonts w:hint="eastAsia" w:ascii="仿宋_GB2312" w:eastAsia="仿宋_GB2312"/>
          <w:b w:val="0"/>
          <w:color w:val="000000"/>
          <w:sz w:val="24"/>
        </w:rPr>
        <w:t>4.观众满意度 1-10分</w:t>
      </w:r>
    </w:p>
    <w:p>
      <w:pPr>
        <w:spacing w:line="360" w:lineRule="auto"/>
        <w:rPr>
          <w:rFonts w:ascii="仿宋_GB2312" w:eastAsia="仿宋_GB2312"/>
          <w:b w:val="0"/>
          <w:color w:val="000000"/>
          <w:sz w:val="24"/>
        </w:rPr>
      </w:pPr>
      <w:r>
        <w:rPr>
          <w:rFonts w:hint="eastAsia" w:ascii="仿宋_GB2312" w:eastAsia="仿宋_GB2312"/>
          <w:b w:val="0"/>
          <w:color w:val="000000"/>
          <w:sz w:val="24"/>
        </w:rPr>
        <w:t>观众满意度95%得10分；每减少1%扣0.5分；70%以下不得分。</w:t>
      </w:r>
    </w:p>
    <w:p>
      <w:pPr>
        <w:spacing w:line="360" w:lineRule="auto"/>
        <w:rPr>
          <w:rFonts w:ascii="仿宋_GB2312" w:eastAsia="仿宋_GB2312"/>
          <w:b w:val="0"/>
          <w:color w:val="000000"/>
          <w:sz w:val="24"/>
        </w:rPr>
      </w:pPr>
      <w:r>
        <w:rPr>
          <w:rFonts w:hint="eastAsia" w:ascii="仿宋_GB2312" w:eastAsia="仿宋_GB2312"/>
          <w:b w:val="0"/>
          <w:color w:val="000000"/>
          <w:sz w:val="24"/>
        </w:rPr>
        <w:t>5.媒体证明反馈等社会影响1-10 分</w:t>
      </w:r>
    </w:p>
    <w:p>
      <w:pPr>
        <w:spacing w:line="360" w:lineRule="auto"/>
        <w:rPr>
          <w:rFonts w:ascii="仿宋_GB2312" w:eastAsia="仿宋_GB2312"/>
          <w:b w:val="0"/>
          <w:color w:val="000000"/>
          <w:sz w:val="24"/>
        </w:rPr>
      </w:pPr>
      <w:r>
        <w:rPr>
          <w:rFonts w:hint="eastAsia" w:eastAsia="仿宋_GB2312"/>
          <w:b w:val="0"/>
          <w:color w:val="000000"/>
          <w:sz w:val="24"/>
        </w:rPr>
        <w:t> 国家级媒体发表正面报道一篇得2分；省级发表一篇得1分；地市级发表一篇得0.5分；义乌市级发表一篇得0.2分。主流媒体负面报道发表一篇即考核不合格。</w:t>
      </w:r>
    </w:p>
    <w:p>
      <w:pPr>
        <w:spacing w:line="360" w:lineRule="auto"/>
        <w:rPr>
          <w:rFonts w:ascii="仿宋_GB2312" w:eastAsia="仿宋_GB2312"/>
          <w:b w:val="0"/>
          <w:color w:val="000000"/>
          <w:sz w:val="24"/>
        </w:rPr>
      </w:pPr>
      <w:r>
        <w:rPr>
          <w:rFonts w:hint="eastAsia" w:ascii="仿宋_GB2312" w:eastAsia="仿宋_GB2312"/>
          <w:b w:val="0"/>
          <w:color w:val="000000"/>
          <w:sz w:val="24"/>
        </w:rPr>
        <w:t>二、对演出市场的当下培育与对未来的培育</w:t>
      </w:r>
    </w:p>
    <w:p>
      <w:pPr>
        <w:spacing w:line="360" w:lineRule="auto"/>
        <w:rPr>
          <w:rFonts w:ascii="仿宋_GB2312" w:eastAsia="仿宋_GB2312"/>
          <w:b w:val="0"/>
          <w:color w:val="auto"/>
          <w:sz w:val="24"/>
          <w:highlight w:val="none"/>
        </w:rPr>
      </w:pPr>
      <w:r>
        <w:rPr>
          <w:rFonts w:hint="eastAsia" w:ascii="仿宋_GB2312" w:eastAsia="仿宋_GB2312"/>
          <w:b w:val="0"/>
          <w:color w:val="000000"/>
          <w:sz w:val="24"/>
        </w:rPr>
        <w:t>6.</w:t>
      </w:r>
      <w:r>
        <w:rPr>
          <w:rFonts w:hint="eastAsia" w:ascii="仿宋_GB2312" w:eastAsia="仿宋_GB2312"/>
          <w:b w:val="0"/>
          <w:color w:val="auto"/>
          <w:sz w:val="24"/>
          <w:highlight w:val="none"/>
        </w:rPr>
        <w:t>是否履行票价上限的承诺1-10分</w:t>
      </w:r>
    </w:p>
    <w:p>
      <w:pPr>
        <w:spacing w:line="360" w:lineRule="auto"/>
        <w:rPr>
          <w:rFonts w:ascii="仿宋_GB2312" w:eastAsia="仿宋_GB2312"/>
          <w:b w:val="0"/>
          <w:color w:val="000000"/>
          <w:sz w:val="24"/>
        </w:rPr>
      </w:pPr>
      <w:r>
        <w:rPr>
          <w:rFonts w:hint="eastAsia" w:ascii="仿宋_GB2312" w:eastAsia="仿宋_GB2312"/>
          <w:b w:val="0"/>
          <w:color w:val="auto"/>
          <w:sz w:val="24"/>
          <w:highlight w:val="none"/>
        </w:rPr>
        <w:t>年平均票价未超过200元的得10分，每</w:t>
      </w:r>
      <w:r>
        <w:rPr>
          <w:rFonts w:hint="eastAsia" w:ascii="仿宋_GB2312" w:eastAsia="仿宋_GB2312"/>
          <w:b w:val="0"/>
          <w:color w:val="000000"/>
          <w:sz w:val="24"/>
        </w:rPr>
        <w:t xml:space="preserve">增加1元扣1分。 </w:t>
      </w:r>
    </w:p>
    <w:p>
      <w:pPr>
        <w:spacing w:line="360" w:lineRule="auto"/>
        <w:rPr>
          <w:rFonts w:ascii="仿宋_GB2312" w:eastAsia="仿宋_GB2312"/>
          <w:b w:val="0"/>
          <w:color w:val="000000"/>
          <w:sz w:val="24"/>
        </w:rPr>
      </w:pPr>
      <w:r>
        <w:rPr>
          <w:rFonts w:hint="eastAsia" w:ascii="仿宋_GB2312" w:eastAsia="仿宋_GB2312"/>
          <w:b w:val="0"/>
          <w:color w:val="000000"/>
          <w:sz w:val="24"/>
        </w:rPr>
        <w:t>7.是否每年积累一定规模的会员1-10分</w:t>
      </w:r>
    </w:p>
    <w:p>
      <w:pPr>
        <w:spacing w:line="360" w:lineRule="auto"/>
        <w:rPr>
          <w:rFonts w:ascii="仿宋_GB2312" w:eastAsia="仿宋_GB2312"/>
          <w:b w:val="0"/>
          <w:color w:val="000000"/>
          <w:sz w:val="24"/>
        </w:rPr>
      </w:pPr>
      <w:r>
        <w:rPr>
          <w:rFonts w:hint="eastAsia" w:eastAsia="仿宋_GB2312"/>
          <w:b w:val="0"/>
          <w:color w:val="000000"/>
          <w:sz w:val="24"/>
        </w:rPr>
        <w:t> </w:t>
      </w:r>
      <w:r>
        <w:rPr>
          <w:rFonts w:hint="eastAsia" w:ascii="仿宋_GB2312" w:eastAsia="仿宋_GB2312"/>
          <w:b w:val="0"/>
          <w:color w:val="000000"/>
          <w:sz w:val="24"/>
        </w:rPr>
        <w:t>第一年积累会员500名不得分，每增加100名得1分。</w:t>
      </w:r>
    </w:p>
    <w:p>
      <w:pPr>
        <w:spacing w:line="360" w:lineRule="auto"/>
        <w:rPr>
          <w:rFonts w:ascii="仿宋_GB2312" w:eastAsia="仿宋_GB2312"/>
          <w:b w:val="0"/>
          <w:color w:val="000000"/>
          <w:sz w:val="24"/>
        </w:rPr>
      </w:pPr>
      <w:r>
        <w:rPr>
          <w:rFonts w:hint="eastAsia" w:ascii="仿宋_GB2312" w:eastAsia="仿宋_GB2312"/>
          <w:b w:val="0"/>
          <w:color w:val="000000"/>
          <w:sz w:val="24"/>
        </w:rPr>
        <w:t>8.是否开展年度大型文化戏剧主题活动 1-10分</w:t>
      </w:r>
    </w:p>
    <w:p>
      <w:pPr>
        <w:spacing w:line="360" w:lineRule="auto"/>
        <w:rPr>
          <w:rFonts w:ascii="仿宋_GB2312" w:eastAsia="仿宋_GB2312"/>
          <w:b w:val="0"/>
          <w:color w:val="000000"/>
          <w:sz w:val="24"/>
        </w:rPr>
      </w:pPr>
      <w:r>
        <w:rPr>
          <w:rFonts w:hint="eastAsia" w:ascii="仿宋_GB2312" w:eastAsia="仿宋_GB2312"/>
          <w:b w:val="0"/>
          <w:color w:val="000000"/>
          <w:sz w:val="24"/>
        </w:rPr>
        <w:t>每开展一次大型文化戏剧主题活动得5分。</w:t>
      </w:r>
    </w:p>
    <w:p>
      <w:pPr>
        <w:spacing w:line="360" w:lineRule="auto"/>
        <w:rPr>
          <w:rFonts w:ascii="仿宋_GB2312" w:eastAsia="仿宋_GB2312"/>
          <w:b w:val="0"/>
          <w:color w:val="000000"/>
          <w:sz w:val="24"/>
        </w:rPr>
      </w:pPr>
      <w:r>
        <w:rPr>
          <w:rFonts w:hint="eastAsia" w:ascii="仿宋_GB2312" w:eastAsia="仿宋_GB2312"/>
          <w:b w:val="0"/>
          <w:color w:val="000000"/>
          <w:sz w:val="24"/>
        </w:rPr>
        <w:t>三、对运营安全的基础考核</w:t>
      </w:r>
    </w:p>
    <w:p>
      <w:pPr>
        <w:spacing w:line="360" w:lineRule="auto"/>
        <w:rPr>
          <w:rFonts w:ascii="仿宋_GB2312" w:eastAsia="仿宋_GB2312"/>
          <w:b w:val="0"/>
          <w:color w:val="000000"/>
          <w:sz w:val="24"/>
        </w:rPr>
      </w:pPr>
      <w:r>
        <w:rPr>
          <w:rFonts w:hint="eastAsia" w:ascii="仿宋_GB2312" w:eastAsia="仿宋_GB2312"/>
          <w:b w:val="0"/>
          <w:color w:val="000000"/>
          <w:sz w:val="24"/>
        </w:rPr>
        <w:t>9.全年无重大安全事故1-10分</w:t>
      </w:r>
    </w:p>
    <w:p>
      <w:pPr>
        <w:spacing w:line="360" w:lineRule="auto"/>
        <w:rPr>
          <w:rFonts w:ascii="仿宋_GB2312" w:eastAsia="仿宋_GB2312"/>
          <w:b w:val="0"/>
          <w:color w:val="000000"/>
          <w:sz w:val="24"/>
        </w:rPr>
      </w:pPr>
      <w:r>
        <w:rPr>
          <w:rFonts w:hint="eastAsia" w:ascii="仿宋_GB2312" w:eastAsia="仿宋_GB2312"/>
          <w:b w:val="0"/>
          <w:color w:val="000000"/>
          <w:sz w:val="24"/>
        </w:rPr>
        <w:t>全年无安全事故得10分；发生一起重大安全事故，造成负面影响的考核不合格。</w:t>
      </w:r>
    </w:p>
    <w:p>
      <w:pPr>
        <w:spacing w:line="360" w:lineRule="auto"/>
        <w:rPr>
          <w:rFonts w:ascii="仿宋_GB2312" w:eastAsia="仿宋_GB2312"/>
          <w:b w:val="0"/>
          <w:color w:val="000000"/>
          <w:sz w:val="24"/>
        </w:rPr>
      </w:pPr>
      <w:r>
        <w:rPr>
          <w:rFonts w:hint="eastAsia" w:ascii="仿宋_GB2312" w:eastAsia="仿宋_GB2312"/>
          <w:b w:val="0"/>
          <w:color w:val="000000"/>
          <w:sz w:val="24"/>
        </w:rPr>
        <w:t>10.全年无违法违规经营活动1-10分</w:t>
      </w:r>
    </w:p>
    <w:p>
      <w:pPr>
        <w:spacing w:line="360" w:lineRule="auto"/>
        <w:rPr>
          <w:rFonts w:ascii="仿宋_GB2312" w:eastAsia="仿宋_GB2312"/>
          <w:b w:val="0"/>
          <w:color w:val="000000"/>
          <w:sz w:val="24"/>
        </w:rPr>
      </w:pPr>
      <w:r>
        <w:rPr>
          <w:rFonts w:hint="eastAsia" w:ascii="仿宋_GB2312" w:eastAsia="仿宋_GB2312"/>
          <w:b w:val="0"/>
          <w:color w:val="000000"/>
          <w:sz w:val="24"/>
        </w:rPr>
        <w:t>全年无违法违规经营活动得10分，发现一起扣5分。</w:t>
      </w:r>
    </w:p>
    <w:p>
      <w:pPr>
        <w:spacing w:line="360" w:lineRule="auto"/>
        <w:ind w:firstLine="360" w:firstLineChars="150"/>
        <w:rPr>
          <w:rFonts w:ascii="仿宋_GB2312" w:eastAsia="仿宋_GB2312"/>
          <w:b w:val="0"/>
          <w:color w:val="000000"/>
          <w:sz w:val="24"/>
        </w:rPr>
      </w:pPr>
      <w:r>
        <w:rPr>
          <w:rFonts w:hint="eastAsia" w:ascii="仿宋_GB2312" w:eastAsia="仿宋_GB2312"/>
          <w:b w:val="0"/>
          <w:color w:val="000000"/>
          <w:sz w:val="24"/>
        </w:rPr>
        <w:t>综合以上项目进行年度考核。考核小组由业主单位和主管单位组成，进行公平核定打分，60分为合格,70分为良好，80分以上为优秀。</w:t>
      </w:r>
    </w:p>
    <w:p>
      <w:pPr>
        <w:spacing w:line="600" w:lineRule="exact"/>
        <w:ind w:firstLine="3614" w:firstLineChars="1000"/>
        <w:rPr>
          <w:bCs/>
          <w:sz w:val="36"/>
          <w:szCs w:val="36"/>
        </w:rPr>
      </w:pPr>
      <w:r>
        <w:rPr>
          <w:rFonts w:hint="eastAsia"/>
          <w:bCs/>
          <w:sz w:val="36"/>
          <w:szCs w:val="36"/>
        </w:rPr>
        <w:t>报名登记表</w:t>
      </w:r>
    </w:p>
    <w:bookmarkEnd w:id="64"/>
    <w:tbl>
      <w:tblPr>
        <w:tblStyle w:val="36"/>
        <w:tblW w:w="907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704"/>
        <w:gridCol w:w="1704"/>
        <w:gridCol w:w="163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32" w:type="dxa"/>
            <w:vAlign w:val="center"/>
          </w:tcPr>
          <w:p>
            <w:pPr>
              <w:ind w:firstLine="281" w:firstLineChars="100"/>
              <w:rPr>
                <w:szCs w:val="28"/>
              </w:rPr>
            </w:pPr>
            <w:r>
              <w:rPr>
                <w:rFonts w:hint="eastAsia"/>
                <w:szCs w:val="28"/>
              </w:rPr>
              <w:t>项目名称</w:t>
            </w:r>
          </w:p>
        </w:tc>
        <w:tc>
          <w:tcPr>
            <w:tcW w:w="7243" w:type="dxa"/>
            <w:gridSpan w:val="4"/>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32" w:type="dxa"/>
            <w:vAlign w:val="center"/>
          </w:tcPr>
          <w:p>
            <w:pPr>
              <w:ind w:firstLine="275" w:firstLineChars="98"/>
              <w:rPr>
                <w:szCs w:val="28"/>
              </w:rPr>
            </w:pPr>
            <w:r>
              <w:rPr>
                <w:rFonts w:hint="eastAsia"/>
                <w:szCs w:val="28"/>
              </w:rPr>
              <w:t>编号</w:t>
            </w:r>
          </w:p>
        </w:tc>
        <w:tc>
          <w:tcPr>
            <w:tcW w:w="7243" w:type="dxa"/>
            <w:gridSpan w:val="4"/>
            <w:vAlign w:val="center"/>
          </w:tcPr>
          <w:p>
            <w:pPr>
              <w:jc w:val="center"/>
              <w:rPr>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restart"/>
            <w:vAlign w:val="center"/>
          </w:tcPr>
          <w:p>
            <w:pPr>
              <w:ind w:firstLine="538" w:firstLineChars="149"/>
              <w:jc w:val="center"/>
              <w:rPr>
                <w:sz w:val="36"/>
                <w:szCs w:val="36"/>
              </w:rPr>
            </w:pPr>
          </w:p>
          <w:p>
            <w:pPr>
              <w:jc w:val="center"/>
              <w:rPr>
                <w:sz w:val="36"/>
                <w:szCs w:val="36"/>
              </w:rPr>
            </w:pPr>
            <w:r>
              <w:rPr>
                <w:rFonts w:hint="eastAsia"/>
                <w:sz w:val="36"/>
                <w:szCs w:val="36"/>
              </w:rPr>
              <w:t>申</w:t>
            </w:r>
          </w:p>
          <w:p>
            <w:pPr>
              <w:jc w:val="center"/>
              <w:rPr>
                <w:sz w:val="36"/>
                <w:szCs w:val="36"/>
              </w:rPr>
            </w:pPr>
            <w:r>
              <w:rPr>
                <w:rFonts w:hint="eastAsia"/>
                <w:sz w:val="36"/>
                <w:szCs w:val="36"/>
              </w:rPr>
              <w:t>请</w:t>
            </w:r>
          </w:p>
          <w:p>
            <w:pPr>
              <w:jc w:val="center"/>
              <w:rPr>
                <w:sz w:val="36"/>
                <w:szCs w:val="36"/>
              </w:rPr>
            </w:pPr>
            <w:r>
              <w:rPr>
                <w:rFonts w:hint="eastAsia"/>
                <w:sz w:val="36"/>
                <w:szCs w:val="36"/>
              </w:rPr>
              <w:t>人</w:t>
            </w:r>
          </w:p>
          <w:p>
            <w:pPr>
              <w:jc w:val="center"/>
              <w:rPr>
                <w:sz w:val="36"/>
                <w:szCs w:val="36"/>
              </w:rPr>
            </w:pPr>
            <w:r>
              <w:rPr>
                <w:rFonts w:hint="eastAsia"/>
                <w:sz w:val="36"/>
                <w:szCs w:val="36"/>
              </w:rPr>
              <w:t>基</w:t>
            </w:r>
          </w:p>
          <w:p>
            <w:pPr>
              <w:jc w:val="center"/>
              <w:rPr>
                <w:sz w:val="36"/>
                <w:szCs w:val="36"/>
              </w:rPr>
            </w:pPr>
            <w:r>
              <w:rPr>
                <w:rFonts w:hint="eastAsia"/>
                <w:sz w:val="36"/>
                <w:szCs w:val="36"/>
              </w:rPr>
              <w:t>本</w:t>
            </w:r>
          </w:p>
          <w:p>
            <w:pPr>
              <w:jc w:val="center"/>
              <w:rPr>
                <w:sz w:val="36"/>
                <w:szCs w:val="36"/>
              </w:rPr>
            </w:pPr>
            <w:r>
              <w:rPr>
                <w:rFonts w:hint="eastAsia"/>
                <w:sz w:val="36"/>
                <w:szCs w:val="36"/>
              </w:rPr>
              <w:t>情</w:t>
            </w:r>
          </w:p>
          <w:p>
            <w:pPr>
              <w:jc w:val="center"/>
              <w:rPr>
                <w:sz w:val="36"/>
                <w:szCs w:val="36"/>
              </w:rPr>
            </w:pPr>
            <w:r>
              <w:rPr>
                <w:rFonts w:hint="eastAsia"/>
                <w:sz w:val="36"/>
                <w:szCs w:val="36"/>
              </w:rPr>
              <w:t>况</w:t>
            </w:r>
          </w:p>
          <w:p>
            <w:pPr>
              <w:rPr>
                <w:sz w:val="44"/>
                <w:szCs w:val="44"/>
              </w:rPr>
            </w:pPr>
          </w:p>
        </w:tc>
        <w:tc>
          <w:tcPr>
            <w:tcW w:w="1704" w:type="dxa"/>
            <w:vAlign w:val="center"/>
          </w:tcPr>
          <w:p>
            <w:pPr>
              <w:rPr>
                <w:rFonts w:ascii="宋体" w:hAnsi="宋体" w:cs="宋体"/>
                <w:szCs w:val="28"/>
              </w:rPr>
            </w:pPr>
            <w:r>
              <w:rPr>
                <w:rFonts w:hint="eastAsia" w:ascii="宋体" w:hAnsi="宋体" w:cs="宋体"/>
                <w:szCs w:val="28"/>
              </w:rPr>
              <w:t>名称（盖章）</w:t>
            </w:r>
          </w:p>
        </w:tc>
        <w:tc>
          <w:tcPr>
            <w:tcW w:w="5539" w:type="dxa"/>
            <w:gridSpan w:val="3"/>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32" w:type="dxa"/>
            <w:vMerge w:val="continue"/>
          </w:tcPr>
          <w:p>
            <w:pPr>
              <w:jc w:val="center"/>
              <w:rPr>
                <w:sz w:val="44"/>
                <w:szCs w:val="44"/>
              </w:rPr>
            </w:pPr>
          </w:p>
        </w:tc>
        <w:tc>
          <w:tcPr>
            <w:tcW w:w="1704" w:type="dxa"/>
            <w:vAlign w:val="center"/>
          </w:tcPr>
          <w:p>
            <w:pPr>
              <w:rPr>
                <w:rFonts w:ascii="宋体" w:hAnsi="宋体" w:cs="宋体"/>
                <w:szCs w:val="28"/>
              </w:rPr>
            </w:pPr>
            <w:r>
              <w:rPr>
                <w:rFonts w:hint="eastAsia" w:ascii="宋体" w:hAnsi="宋体" w:cs="宋体"/>
                <w:szCs w:val="28"/>
              </w:rPr>
              <w:t>法定代表人</w:t>
            </w:r>
          </w:p>
        </w:tc>
        <w:tc>
          <w:tcPr>
            <w:tcW w:w="1704" w:type="dxa"/>
            <w:vAlign w:val="center"/>
          </w:tcPr>
          <w:p>
            <w:pPr>
              <w:jc w:val="center"/>
              <w:rPr>
                <w:rFonts w:ascii="宋体" w:hAnsi="宋体" w:cs="宋体"/>
                <w:szCs w:val="28"/>
              </w:rPr>
            </w:pPr>
          </w:p>
        </w:tc>
        <w:tc>
          <w:tcPr>
            <w:tcW w:w="1630" w:type="dxa"/>
            <w:vAlign w:val="center"/>
          </w:tcPr>
          <w:p>
            <w:pPr>
              <w:jc w:val="center"/>
              <w:rPr>
                <w:rFonts w:ascii="宋体" w:hAnsi="宋体" w:cs="宋体"/>
                <w:szCs w:val="28"/>
              </w:rPr>
            </w:pPr>
            <w:r>
              <w:rPr>
                <w:rFonts w:hint="eastAsia" w:ascii="宋体" w:hAnsi="宋体" w:cs="宋体"/>
                <w:szCs w:val="28"/>
              </w:rPr>
              <w:t>身份证号码</w:t>
            </w:r>
          </w:p>
        </w:tc>
        <w:tc>
          <w:tcPr>
            <w:tcW w:w="2205" w:type="dxa"/>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32" w:type="dxa"/>
            <w:vMerge w:val="continue"/>
          </w:tcPr>
          <w:p>
            <w:pPr>
              <w:jc w:val="center"/>
              <w:rPr>
                <w:sz w:val="44"/>
                <w:szCs w:val="44"/>
              </w:rPr>
            </w:pPr>
          </w:p>
        </w:tc>
        <w:tc>
          <w:tcPr>
            <w:tcW w:w="1704" w:type="dxa"/>
            <w:vAlign w:val="center"/>
          </w:tcPr>
          <w:p>
            <w:pPr>
              <w:rPr>
                <w:rFonts w:ascii="宋体" w:hAnsi="宋体" w:cs="宋体"/>
                <w:szCs w:val="28"/>
              </w:rPr>
            </w:pPr>
            <w:r>
              <w:rPr>
                <w:rFonts w:hint="eastAsia" w:ascii="宋体" w:hAnsi="宋体" w:cs="宋体"/>
                <w:szCs w:val="28"/>
              </w:rPr>
              <w:t>注册资本</w:t>
            </w:r>
          </w:p>
        </w:tc>
        <w:tc>
          <w:tcPr>
            <w:tcW w:w="1704" w:type="dxa"/>
            <w:vAlign w:val="center"/>
          </w:tcPr>
          <w:p>
            <w:pPr>
              <w:jc w:val="center"/>
              <w:rPr>
                <w:rFonts w:ascii="宋体" w:hAnsi="宋体" w:cs="宋体"/>
                <w:szCs w:val="28"/>
              </w:rPr>
            </w:pPr>
          </w:p>
        </w:tc>
        <w:tc>
          <w:tcPr>
            <w:tcW w:w="1630" w:type="dxa"/>
            <w:vAlign w:val="center"/>
          </w:tcPr>
          <w:p>
            <w:pPr>
              <w:jc w:val="center"/>
              <w:rPr>
                <w:rFonts w:ascii="宋体" w:hAnsi="宋体" w:cs="宋体"/>
                <w:szCs w:val="28"/>
              </w:rPr>
            </w:pPr>
            <w:r>
              <w:rPr>
                <w:rFonts w:hint="eastAsia" w:ascii="宋体" w:hAnsi="宋体" w:cs="宋体"/>
                <w:szCs w:val="28"/>
              </w:rPr>
              <w:t>注册地</w:t>
            </w:r>
          </w:p>
        </w:tc>
        <w:tc>
          <w:tcPr>
            <w:tcW w:w="2205" w:type="dxa"/>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Pr>
          <w:p>
            <w:pPr>
              <w:jc w:val="center"/>
              <w:rPr>
                <w:sz w:val="44"/>
                <w:szCs w:val="44"/>
              </w:rPr>
            </w:pPr>
          </w:p>
        </w:tc>
        <w:tc>
          <w:tcPr>
            <w:tcW w:w="1704" w:type="dxa"/>
            <w:vAlign w:val="center"/>
          </w:tcPr>
          <w:p>
            <w:pPr>
              <w:rPr>
                <w:rFonts w:ascii="宋体" w:hAnsi="宋体" w:cs="宋体"/>
                <w:szCs w:val="28"/>
              </w:rPr>
            </w:pPr>
            <w:r>
              <w:rPr>
                <w:rFonts w:hint="eastAsia" w:ascii="宋体" w:hAnsi="宋体" w:cs="宋体"/>
                <w:szCs w:val="28"/>
              </w:rPr>
              <w:t>开户行</w:t>
            </w:r>
          </w:p>
        </w:tc>
        <w:tc>
          <w:tcPr>
            <w:tcW w:w="5539" w:type="dxa"/>
            <w:gridSpan w:val="3"/>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Pr>
          <w:p>
            <w:pPr>
              <w:jc w:val="center"/>
              <w:rPr>
                <w:sz w:val="44"/>
                <w:szCs w:val="44"/>
              </w:rPr>
            </w:pPr>
          </w:p>
        </w:tc>
        <w:tc>
          <w:tcPr>
            <w:tcW w:w="1704" w:type="dxa"/>
            <w:vAlign w:val="center"/>
          </w:tcPr>
          <w:p>
            <w:pPr>
              <w:rPr>
                <w:rFonts w:ascii="宋体" w:hAnsi="宋体" w:cs="宋体"/>
                <w:szCs w:val="28"/>
              </w:rPr>
            </w:pPr>
            <w:r>
              <w:rPr>
                <w:rFonts w:hint="eastAsia" w:ascii="宋体" w:hAnsi="宋体" w:cs="宋体"/>
                <w:szCs w:val="28"/>
              </w:rPr>
              <w:t>账号</w:t>
            </w:r>
          </w:p>
        </w:tc>
        <w:tc>
          <w:tcPr>
            <w:tcW w:w="5539" w:type="dxa"/>
            <w:gridSpan w:val="3"/>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Pr>
          <w:p>
            <w:pPr>
              <w:jc w:val="center"/>
              <w:rPr>
                <w:sz w:val="44"/>
                <w:szCs w:val="44"/>
              </w:rPr>
            </w:pPr>
          </w:p>
        </w:tc>
        <w:tc>
          <w:tcPr>
            <w:tcW w:w="1704" w:type="dxa"/>
            <w:vAlign w:val="center"/>
          </w:tcPr>
          <w:p>
            <w:pPr>
              <w:rPr>
                <w:rFonts w:ascii="宋体" w:hAnsi="宋体" w:cs="宋体"/>
                <w:szCs w:val="28"/>
              </w:rPr>
            </w:pPr>
            <w:r>
              <w:rPr>
                <w:rFonts w:hint="eastAsia" w:ascii="宋体" w:hAnsi="宋体" w:cs="宋体"/>
                <w:szCs w:val="28"/>
              </w:rPr>
              <w:t>联系人</w:t>
            </w:r>
          </w:p>
        </w:tc>
        <w:tc>
          <w:tcPr>
            <w:tcW w:w="1704" w:type="dxa"/>
            <w:vAlign w:val="center"/>
          </w:tcPr>
          <w:p>
            <w:pPr>
              <w:jc w:val="center"/>
              <w:rPr>
                <w:rFonts w:ascii="宋体" w:hAnsi="宋体" w:cs="宋体"/>
                <w:szCs w:val="28"/>
              </w:rPr>
            </w:pPr>
          </w:p>
        </w:tc>
        <w:tc>
          <w:tcPr>
            <w:tcW w:w="1630" w:type="dxa"/>
            <w:vAlign w:val="center"/>
          </w:tcPr>
          <w:p>
            <w:pPr>
              <w:jc w:val="center"/>
              <w:rPr>
                <w:rFonts w:ascii="宋体" w:hAnsi="宋体" w:cs="宋体"/>
                <w:szCs w:val="28"/>
              </w:rPr>
            </w:pPr>
            <w:r>
              <w:rPr>
                <w:rFonts w:hint="eastAsia" w:ascii="宋体" w:hAnsi="宋体" w:cs="宋体"/>
                <w:szCs w:val="28"/>
              </w:rPr>
              <w:t>邮箱</w:t>
            </w:r>
          </w:p>
        </w:tc>
        <w:tc>
          <w:tcPr>
            <w:tcW w:w="2205" w:type="dxa"/>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Pr>
          <w:p>
            <w:pPr>
              <w:jc w:val="center"/>
              <w:rPr>
                <w:sz w:val="44"/>
                <w:szCs w:val="44"/>
              </w:rPr>
            </w:pPr>
          </w:p>
        </w:tc>
        <w:tc>
          <w:tcPr>
            <w:tcW w:w="1704" w:type="dxa"/>
            <w:vAlign w:val="center"/>
          </w:tcPr>
          <w:p>
            <w:pPr>
              <w:rPr>
                <w:rFonts w:ascii="宋体" w:hAnsi="宋体" w:cs="宋体"/>
                <w:szCs w:val="28"/>
              </w:rPr>
            </w:pPr>
            <w:r>
              <w:rPr>
                <w:rFonts w:hint="eastAsia" w:ascii="宋体" w:hAnsi="宋体" w:cs="宋体"/>
                <w:szCs w:val="28"/>
              </w:rPr>
              <w:t>联系电话</w:t>
            </w:r>
          </w:p>
        </w:tc>
        <w:tc>
          <w:tcPr>
            <w:tcW w:w="1704" w:type="dxa"/>
            <w:vAlign w:val="center"/>
          </w:tcPr>
          <w:p>
            <w:pPr>
              <w:jc w:val="center"/>
              <w:rPr>
                <w:rFonts w:ascii="宋体" w:hAnsi="宋体" w:cs="宋体"/>
                <w:szCs w:val="28"/>
              </w:rPr>
            </w:pPr>
          </w:p>
        </w:tc>
        <w:tc>
          <w:tcPr>
            <w:tcW w:w="1630" w:type="dxa"/>
            <w:vAlign w:val="center"/>
          </w:tcPr>
          <w:p>
            <w:pPr>
              <w:jc w:val="center"/>
              <w:rPr>
                <w:rFonts w:ascii="宋体" w:hAnsi="宋体" w:cs="宋体"/>
                <w:szCs w:val="28"/>
              </w:rPr>
            </w:pPr>
            <w:r>
              <w:rPr>
                <w:rFonts w:hint="eastAsia" w:ascii="宋体" w:hAnsi="宋体" w:cs="宋体"/>
                <w:szCs w:val="28"/>
              </w:rPr>
              <w:t>联系人手机</w:t>
            </w:r>
          </w:p>
        </w:tc>
        <w:tc>
          <w:tcPr>
            <w:tcW w:w="2205" w:type="dxa"/>
            <w:vAlign w:val="center"/>
          </w:tcPr>
          <w:p>
            <w:pPr>
              <w:jc w:val="cente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832" w:type="dxa"/>
            <w:vMerge w:val="continue"/>
          </w:tcPr>
          <w:p>
            <w:pPr>
              <w:jc w:val="center"/>
              <w:rPr>
                <w:sz w:val="44"/>
                <w:szCs w:val="44"/>
              </w:rPr>
            </w:pPr>
          </w:p>
        </w:tc>
        <w:tc>
          <w:tcPr>
            <w:tcW w:w="1704" w:type="dxa"/>
            <w:vAlign w:val="center"/>
          </w:tcPr>
          <w:p>
            <w:pPr>
              <w:jc w:val="center"/>
              <w:rPr>
                <w:rFonts w:ascii="宋体" w:hAnsi="宋体" w:cs="宋体"/>
                <w:szCs w:val="28"/>
              </w:rPr>
            </w:pPr>
            <w:r>
              <w:rPr>
                <w:rFonts w:hint="eastAsia" w:ascii="宋体" w:hAnsi="宋体" w:cs="宋体"/>
                <w:szCs w:val="28"/>
              </w:rPr>
              <w:t>要求、说明</w:t>
            </w:r>
          </w:p>
        </w:tc>
        <w:tc>
          <w:tcPr>
            <w:tcW w:w="5539" w:type="dxa"/>
            <w:gridSpan w:val="3"/>
            <w:vAlign w:val="center"/>
          </w:tcPr>
          <w:p>
            <w:pPr>
              <w:rPr>
                <w:rFonts w:ascii="宋体" w:hAnsi="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trPr>
        <w:tc>
          <w:tcPr>
            <w:tcW w:w="9075" w:type="dxa"/>
            <w:gridSpan w:val="5"/>
          </w:tcPr>
          <w:p>
            <w:pPr>
              <w:autoSpaceDE w:val="0"/>
              <w:autoSpaceDN w:val="0"/>
              <w:adjustRightInd w:val="0"/>
              <w:spacing w:line="360" w:lineRule="auto"/>
              <w:outlineLvl w:val="0"/>
              <w:rPr>
                <w:szCs w:val="28"/>
              </w:rPr>
            </w:pPr>
            <w:r>
              <w:rPr>
                <w:rFonts w:hint="eastAsia"/>
                <w:szCs w:val="28"/>
              </w:rPr>
              <w:t>备注：</w:t>
            </w:r>
          </w:p>
          <w:p>
            <w:pPr>
              <w:spacing w:line="360" w:lineRule="auto"/>
              <w:rPr>
                <w:szCs w:val="28"/>
              </w:rPr>
            </w:pPr>
            <w:r>
              <w:rPr>
                <w:rFonts w:hint="eastAsia"/>
                <w:szCs w:val="28"/>
              </w:rPr>
              <w:t>法定代表人／被授权代表（签字、盖章）：</w:t>
            </w:r>
          </w:p>
          <w:p>
            <w:pPr>
              <w:spacing w:line="360" w:lineRule="auto"/>
              <w:rPr>
                <w:szCs w:val="28"/>
              </w:rPr>
            </w:pPr>
          </w:p>
          <w:p>
            <w:pPr>
              <w:spacing w:line="360" w:lineRule="auto"/>
              <w:rPr>
                <w:szCs w:val="28"/>
              </w:rPr>
            </w:pPr>
            <w:r>
              <w:rPr>
                <w:rFonts w:hint="eastAsia"/>
                <w:szCs w:val="28"/>
              </w:rPr>
              <w:t xml:space="preserve">                                              年     月      日</w:t>
            </w:r>
          </w:p>
          <w:p>
            <w:pPr>
              <w:spacing w:line="360" w:lineRule="auto"/>
              <w:rPr>
                <w:szCs w:val="28"/>
              </w:rPr>
            </w:pPr>
          </w:p>
        </w:tc>
      </w:tr>
    </w:tbl>
    <w:p>
      <w:pPr>
        <w:rPr>
          <w:rFonts w:ascii="宋体" w:hAnsi="宋体"/>
          <w:sz w:val="36"/>
          <w:szCs w:val="36"/>
        </w:rPr>
      </w:pPr>
      <w:r>
        <w:rPr>
          <w:rFonts w:hint="eastAsia" w:ascii="宋体" w:hAnsi="宋体"/>
          <w:sz w:val="36"/>
          <w:szCs w:val="36"/>
        </w:rPr>
        <w:br w:type="page"/>
      </w:r>
    </w:p>
    <w:p>
      <w:pPr>
        <w:jc w:val="center"/>
        <w:rPr>
          <w:rFonts w:ascii="宋体" w:hAnsi="宋体"/>
          <w:sz w:val="36"/>
          <w:szCs w:val="36"/>
        </w:rPr>
      </w:pPr>
      <w:r>
        <w:rPr>
          <w:rFonts w:hint="eastAsia" w:ascii="宋体" w:hAnsi="宋体"/>
          <w:sz w:val="36"/>
          <w:szCs w:val="36"/>
        </w:rPr>
        <w:t>快递邮寄面单格式（供参考）</w:t>
      </w:r>
    </w:p>
    <w:p>
      <w:pPr>
        <w:pStyle w:val="34"/>
        <w:ind w:firstLine="600"/>
        <w:rPr>
          <w:rFonts w:ascii="仿宋" w:hAnsi="仿宋" w:eastAsia="仿宋"/>
          <w:color w:val="auto"/>
          <w:sz w:val="30"/>
          <w:szCs w:val="30"/>
        </w:rPr>
      </w:pPr>
    </w:p>
    <w:p>
      <w:pPr>
        <w:pStyle w:val="34"/>
        <w:ind w:firstLine="600"/>
        <w:rPr>
          <w:rFonts w:ascii="仿宋" w:hAnsi="仿宋" w:eastAsia="仿宋"/>
          <w:color w:val="auto"/>
          <w:sz w:val="30"/>
          <w:szCs w:val="30"/>
        </w:rPr>
      </w:pPr>
      <w:r>
        <w:rPr>
          <w:rFonts w:hint="eastAsia" w:ascii="仿宋" w:hAnsi="仿宋" w:eastAsia="仿宋"/>
          <w:color w:val="auto"/>
          <w:sz w:val="30"/>
          <w:szCs w:val="30"/>
        </w:rPr>
        <w:t xml:space="preserve">寄件人： XXX </w:t>
      </w:r>
    </w:p>
    <w:p>
      <w:pPr>
        <w:pStyle w:val="34"/>
        <w:ind w:firstLine="600"/>
        <w:rPr>
          <w:rFonts w:ascii="仿宋" w:hAnsi="仿宋" w:eastAsia="仿宋"/>
          <w:color w:val="auto"/>
          <w:sz w:val="30"/>
          <w:szCs w:val="30"/>
        </w:rPr>
      </w:pPr>
      <w:r>
        <w:rPr>
          <w:rFonts w:hint="eastAsia" w:ascii="仿宋" w:hAnsi="仿宋" w:eastAsia="仿宋"/>
          <w:color w:val="auto"/>
          <w:sz w:val="30"/>
          <w:szCs w:val="30"/>
        </w:rPr>
        <w:t>手机：XXXXXXXXXXX</w:t>
      </w:r>
    </w:p>
    <w:p>
      <w:pPr>
        <w:pStyle w:val="34"/>
        <w:ind w:firstLine="600"/>
        <w:rPr>
          <w:rFonts w:ascii="仿宋" w:hAnsi="仿宋" w:eastAsia="仿宋"/>
          <w:color w:val="auto"/>
          <w:sz w:val="30"/>
          <w:szCs w:val="30"/>
        </w:rPr>
      </w:pPr>
      <w:r>
        <w:rPr>
          <w:rFonts w:hint="eastAsia" w:ascii="仿宋" w:hAnsi="仿宋" w:eastAsia="仿宋"/>
          <w:color w:val="auto"/>
          <w:sz w:val="30"/>
          <w:szCs w:val="30"/>
        </w:rPr>
        <w:t>寄件单位：（不得填写，快递外壳不得显示参选人名称）</w:t>
      </w:r>
    </w:p>
    <w:p>
      <w:pPr>
        <w:pStyle w:val="34"/>
        <w:ind w:firstLine="600"/>
        <w:rPr>
          <w:rFonts w:ascii="仿宋" w:hAnsi="仿宋" w:eastAsia="仿宋"/>
          <w:color w:val="auto"/>
          <w:sz w:val="30"/>
          <w:szCs w:val="30"/>
        </w:rPr>
      </w:pPr>
      <w:r>
        <w:rPr>
          <w:rFonts w:hint="eastAsia" w:ascii="仿宋" w:hAnsi="仿宋" w:eastAsia="仿宋"/>
          <w:color w:val="auto"/>
          <w:sz w:val="30"/>
          <w:szCs w:val="30"/>
        </w:rPr>
        <w:t>寄件地址：XXXXXXXXXXXXX</w:t>
      </w:r>
    </w:p>
    <w:p>
      <w:pPr>
        <w:pStyle w:val="34"/>
        <w:ind w:firstLine="600"/>
        <w:rPr>
          <w:rFonts w:ascii="仿宋" w:hAnsi="仿宋" w:eastAsia="仿宋"/>
          <w:color w:val="auto"/>
          <w:sz w:val="30"/>
          <w:szCs w:val="30"/>
        </w:rPr>
      </w:pPr>
    </w:p>
    <w:p>
      <w:pPr>
        <w:pStyle w:val="34"/>
        <w:ind w:firstLine="600"/>
        <w:rPr>
          <w:rFonts w:ascii="仿宋" w:hAnsi="仿宋" w:eastAsia="仿宋"/>
          <w:color w:val="auto"/>
          <w:sz w:val="30"/>
          <w:szCs w:val="30"/>
        </w:rPr>
      </w:pPr>
      <w:r>
        <w:rPr>
          <w:rFonts w:hint="eastAsia" w:ascii="仿宋" w:hAnsi="仿宋" w:eastAsia="仿宋"/>
          <w:color w:val="auto"/>
          <w:sz w:val="30"/>
          <w:szCs w:val="30"/>
        </w:rPr>
        <w:t>收件人：代理机构业务员</w:t>
      </w:r>
    </w:p>
    <w:p>
      <w:pPr>
        <w:pStyle w:val="34"/>
        <w:ind w:firstLine="600"/>
        <w:rPr>
          <w:rFonts w:ascii="仿宋" w:hAnsi="仿宋" w:eastAsia="仿宋"/>
          <w:color w:val="auto"/>
          <w:sz w:val="30"/>
          <w:szCs w:val="30"/>
        </w:rPr>
      </w:pPr>
      <w:r>
        <w:rPr>
          <w:rFonts w:hint="eastAsia" w:ascii="仿宋" w:hAnsi="仿宋" w:eastAsia="仿宋"/>
          <w:color w:val="auto"/>
          <w:sz w:val="30"/>
          <w:szCs w:val="30"/>
        </w:rPr>
        <w:t>手机：XXXXXXXXXXX</w:t>
      </w:r>
    </w:p>
    <w:p>
      <w:pPr>
        <w:pStyle w:val="34"/>
        <w:ind w:firstLine="600"/>
        <w:rPr>
          <w:rFonts w:ascii="仿宋" w:hAnsi="仿宋" w:eastAsia="仿宋"/>
          <w:color w:val="auto"/>
          <w:sz w:val="30"/>
          <w:szCs w:val="30"/>
        </w:rPr>
      </w:pPr>
      <w:r>
        <w:rPr>
          <w:rFonts w:hint="eastAsia" w:ascii="仿宋" w:hAnsi="仿宋" w:eastAsia="仿宋"/>
          <w:color w:val="auto"/>
          <w:sz w:val="30"/>
          <w:szCs w:val="30"/>
        </w:rPr>
        <w:t>收件单位：代理机构</w:t>
      </w:r>
    </w:p>
    <w:p>
      <w:pPr>
        <w:pStyle w:val="34"/>
        <w:ind w:firstLine="600"/>
        <w:rPr>
          <w:rFonts w:ascii="仿宋" w:hAnsi="仿宋" w:eastAsia="仿宋"/>
          <w:color w:val="auto"/>
          <w:sz w:val="30"/>
          <w:szCs w:val="30"/>
        </w:rPr>
      </w:pPr>
      <w:r>
        <w:rPr>
          <w:rFonts w:hint="eastAsia" w:ascii="仿宋" w:hAnsi="仿宋" w:eastAsia="仿宋"/>
          <w:color w:val="auto"/>
          <w:sz w:val="30"/>
          <w:szCs w:val="30"/>
        </w:rPr>
        <w:t>收件地址：XXXXXXXXXXX</w:t>
      </w:r>
    </w:p>
    <w:p>
      <w:pPr>
        <w:pStyle w:val="34"/>
        <w:ind w:firstLine="600"/>
        <w:rPr>
          <w:rFonts w:ascii="仿宋" w:hAnsi="仿宋" w:eastAsia="仿宋"/>
          <w:color w:val="auto"/>
          <w:sz w:val="30"/>
          <w:szCs w:val="30"/>
        </w:rPr>
      </w:pPr>
    </w:p>
    <w:p>
      <w:pPr>
        <w:pStyle w:val="34"/>
        <w:ind w:firstLine="600"/>
        <w:rPr>
          <w:rFonts w:ascii="仿宋" w:hAnsi="仿宋" w:eastAsia="仿宋"/>
          <w:color w:val="auto"/>
          <w:sz w:val="30"/>
          <w:szCs w:val="30"/>
        </w:rPr>
      </w:pPr>
    </w:p>
    <w:p>
      <w:pPr>
        <w:pStyle w:val="34"/>
        <w:ind w:firstLine="600"/>
        <w:rPr>
          <w:rFonts w:ascii="仿宋" w:hAnsi="仿宋" w:eastAsia="仿宋"/>
          <w:color w:val="auto"/>
          <w:sz w:val="30"/>
          <w:szCs w:val="30"/>
        </w:rPr>
      </w:pPr>
    </w:p>
    <w:p>
      <w:pPr>
        <w:pStyle w:val="34"/>
        <w:ind w:firstLine="600"/>
        <w:rPr>
          <w:rFonts w:ascii="仿宋" w:hAnsi="仿宋" w:eastAsia="仿宋"/>
          <w:color w:val="auto"/>
          <w:sz w:val="30"/>
          <w:szCs w:val="30"/>
        </w:rPr>
      </w:pPr>
      <w:r>
        <w:rPr>
          <w:rFonts w:hint="eastAsia" w:ascii="仿宋" w:hAnsi="仿宋" w:eastAsia="仿宋"/>
          <w:color w:val="auto"/>
          <w:sz w:val="30"/>
          <w:szCs w:val="30"/>
        </w:rPr>
        <w:t>备注：义乌市XXXX项目参选，请送至收件人亲收</w:t>
      </w:r>
    </w:p>
    <w:p>
      <w:pPr>
        <w:spacing w:line="360" w:lineRule="auto"/>
        <w:ind w:firstLine="703" w:firstLineChars="250"/>
        <w:rPr>
          <w:szCs w:val="21"/>
        </w:rPr>
      </w:pPr>
    </w:p>
    <w:p/>
    <w:sectPr>
      <w:headerReference r:id="rId10" w:type="default"/>
      <w:footerReference r:id="rId11"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rbel">
    <w:panose1 w:val="020B0503020204020204"/>
    <w:charset w:val="00"/>
    <w:family w:val="swiss"/>
    <w:pitch w:val="default"/>
    <w:sig w:usb0="A00002EF" w:usb1="4000A44B" w:usb2="0000000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005"/>
        <w:tab w:val="clear" w:pos="4153"/>
      </w:tabs>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56870"/>
              <wp:effectExtent l="0" t="0" r="0" b="0"/>
              <wp:wrapNone/>
              <wp:docPr id="676454177" name="文本框 6"/>
              <wp:cNvGraphicFramePr/>
              <a:graphic xmlns:a="http://schemas.openxmlformats.org/drawingml/2006/main">
                <a:graphicData uri="http://schemas.microsoft.com/office/word/2010/wordprocessingShape">
                  <wps:wsp>
                    <wps:cNvSpPr txBox="1"/>
                    <wps:spPr>
                      <a:xfrm>
                        <a:off x="0" y="0"/>
                        <a:ext cx="114935" cy="356870"/>
                      </a:xfrm>
                      <a:prstGeom prst="rect">
                        <a:avLst/>
                      </a:prstGeom>
                      <a:noFill/>
                      <a:ln w="9525">
                        <a:noFill/>
                      </a:ln>
                    </wps:spPr>
                    <wps:txbx>
                      <w:txbxContent>
                        <w:p>
                          <w:pPr>
                            <w:spacing w:before="120" w:after="120"/>
                          </w:pP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28.1pt;width:9.05pt;mso-position-horizontal:center;mso-position-horizontal-relative:margin;mso-wrap-style:none;z-index:251659264;mso-width-relative:page;mso-height-relative:page;" filled="f" stroked="f" coordsize="21600,21600" o:gfxdata="UEsDBAoAAAAAAIdO4kAAAAAAAAAAAAAAAAAEAAAAZHJzL1BLAwQUAAAACACHTuJAdHMwmt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DzutiDbRv5n&#10;b38AUEsDBBQAAAAIAIdO4kBcqy7B3wEAAKgDAAAOAAAAZHJzL2Uyb0RvYy54bWytU0tu2zAQ3Rfo&#10;HQjua1mOJSeC6aCFkaJA0RZIewCaoiwC/IGkLfkC7Q266qb7nsvnyJCSnCLZZJENNeTMvHlvZrS+&#10;7ZVER+68MJrgfDbHiGtmaqH3BP/4fvfuGiMfqK6pNJoTfOIe327evll3tuIL0xpZc4cARPuqswS3&#10;IdgqyzxruaJ+ZizX4GyMUzTA1e2z2tEO0JXMFvN5mXXG1dYZxr2H1+3gxCOiewmgaRrB+Nawg+I6&#10;DKiOSxpAkm+F9XiT2DYNZ+Fr03gekCQYlIZ0QhGwd/HMNmta7R21rWAjBfoSCk80KSo0FL1AbWmg&#10;6ODEMyglmDPeNGHGjMoGIakjoCKfP+nNfUstT1qg1d5emu5fD5Z9OX5zSNQEl6tyWSzz1QojTRUM&#10;/vz71/nPv/Pfn6iMbeqsryD63kJ86D+YHpZnevfwGNX3jVPxC7oQ+KHJp0uTeR8Qi0n58uaqwIiB&#10;66oor1dpCNljsnU+fORGoWgQ7GCGqbX0+NkHIAKhU0ispc2dkDLNUWrUEXxTLIqUcPFAhtSQGCUM&#10;VKMV+l0/6tqZ+gSyOtgDgjWsPUbyk4Y2x5WZDDcZu8k4WCf2LXDMUz1v3x8CsEkkY4UBdiwMA0zc&#10;x2WLG/L/PUU9/mCb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RzMJrRAAAAAwEAAA8AAAAAAAAA&#10;AQAgAAAAIgAAAGRycy9kb3ducmV2LnhtbFBLAQIUABQAAAAIAIdO4kBcqy7B3wEAAKgDAAAOAAAA&#10;AAAAAAEAIAAAACABAABkcnMvZTJvRG9jLnhtbFBLBQYAAAAABgAGAFkBAABxBQAAAAA=&#10;">
              <v:fill on="f" focussize="0,0"/>
              <v:stroke on="f"/>
              <v:imagedata o:title=""/>
              <o:lock v:ext="edit" aspectratio="f"/>
              <v:textbox inset="0mm,0mm,0mm,0mm" style="mso-fit-shape-to-text:t;">
                <w:txbxContent>
                  <w:p>
                    <w:pPr>
                      <w:spacing w:before="120" w:after="120"/>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pPr>
          <w:pStyle w:val="23"/>
          <w:spacing w:before="120" w:after="12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292100"/>
              <wp:effectExtent l="0" t="0" r="0" b="0"/>
              <wp:wrapNone/>
              <wp:docPr id="1247246567" name="文本框 2"/>
              <wp:cNvGraphicFramePr/>
              <a:graphic xmlns:a="http://schemas.openxmlformats.org/drawingml/2006/main">
                <a:graphicData uri="http://schemas.microsoft.com/office/word/2010/wordprocessingShape">
                  <wps:wsp>
                    <wps:cNvSpPr txBox="1"/>
                    <wps:spPr bwMode="auto">
                      <a:xfrm>
                        <a:off x="0" y="0"/>
                        <a:ext cx="116205" cy="292100"/>
                      </a:xfrm>
                      <a:prstGeom prst="rect">
                        <a:avLst/>
                      </a:prstGeom>
                      <a:noFill/>
                      <a:ln>
                        <a:noFill/>
                      </a:ln>
                    </wps:spPr>
                    <wps:txbx>
                      <w:txbxContent>
                        <w:p>
                          <w:pPr>
                            <w:pStyle w:val="23"/>
                            <w:spacing w:before="120" w:after="120"/>
                          </w:pPr>
                          <w:r>
                            <w:fldChar w:fldCharType="begin"/>
                          </w:r>
                          <w:r>
                            <w:instrText xml:space="preserve"> PAGE  \* MERGEFORMAT </w:instrText>
                          </w:r>
                          <w:r>
                            <w:fldChar w:fldCharType="separate"/>
                          </w:r>
                          <w:r>
                            <w:t>94</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3pt;width:9.15pt;mso-position-horizontal:center;mso-position-horizontal-relative:margin;mso-wrap-style:none;z-index:251661312;mso-width-relative:page;mso-height-relative:page;" filled="f" stroked="f" coordsize="21600,21600" o:gfxdata="UEsDBAoAAAAAAIdO4kAAAAAAAAAAAAAAAAAEAAAAZHJzL1BLAwQUAAAACACHTuJAmcBGrNAAAAAD&#10;AQAADwAAAGRycy9kb3ducmV2LnhtbE2PwU7DMBBE70j8g7VI3KhdQCUKcXqoxIUbBSFx28bbOMJe&#10;R7abJn+PywUuK41mNPO22c7eiYliGgJrWK8UCOIumIF7DR/vL3cViJSRDbrApGGhBNv2+qrB2oQz&#10;v9G0z70oJZxq1GBzHmspU2fJY1qFkbh4xxA95iJjL03Ecyn3Tt4rtZEeBy4LFkfaWeq+9yev4Wn+&#10;DDQm2tHXceqiHZbKvS5a396s1TOITHP+C8MFv6BDW5gO4cQmCaehPJJ/78WrHkAcNDxuFMi2kf/Z&#10;2x9QSwMEFAAAAAgAh07iQB8UKt33AQAA2wMAAA4AAABkcnMvZTJvRG9jLnhtbK1TzY7TMBC+I/EO&#10;lu80abTbhajpCqiKkPiTFh7AcZzGku2xbLdJeQB4A05cuPNcfQ7GTlJgueyBSzQZz3z+vm/G69tB&#10;K3IUzkswFV0uckqE4dBIs6/op4+7J08p8YGZhikwoqIn4ent5vGjdW9LUUAHqhGOIIjxZW8r2oVg&#10;yyzzvBOa+QVYYfCwBadZwF+3zxrHekTXKivyfJX14BrrgAvvMbsdD+mE6B4CCG0rudgCP2hhwojq&#10;hGIBJflOWk83iW3bCh7et60XgaiKotKQvngJxnX8Zps1K/eO2U7yiQJ7CIV7mjSTBi+9QG1ZYOTg&#10;5D9QWnIHHtqw4KCzUUhyBFUs83ve3HXMiqQFrfb2Yrr/f7D83fGDI7LBTSiuboqr1fXqhhLDNE7+&#10;/O3r+fvP848vpIg+9daXWH5nsSEML2DAnjnvY7Lu30KDfewQIJkxtE5HU1AmwWr0/HTxXAyB8Aix&#10;XBX5NSUcj4pnxTJPM8lYOTdb58MrAZrEoKIOR5rA2fGND0gLS+eSeJeBnVQqjVWZvxJYGDNZ1BH5&#10;jorCUA+TuBqaE8pwMG4JvhEMOnCfKelxQypq8EFQol4bHEBcpjlwc1DPATMcGysaKBnDl2FcuoN1&#10;ct8h7jKJ8PY5mrWTSUgkNnKYWOLMk75pP+NS/fmfqn6/yc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cBGrNAAAAADAQAADwAAAAAAAAABACAAAAAiAAAAZHJzL2Rvd25yZXYueG1sUEsBAhQAFAAA&#10;AAgAh07iQB8UKt33AQAA2wMAAA4AAAAAAAAAAQAgAAAAHwEAAGRycy9lMm9Eb2MueG1sUEsFBgAA&#10;AAAGAAYAWQEAAIgFAAAAAA==&#10;">
              <v:fill on="f" focussize="0,0"/>
              <v:stroke on="f"/>
              <v:imagedata o:title=""/>
              <o:lock v:ext="edit" aspectratio="f"/>
              <v:textbox inset="0mm,0mm,0mm,0mm" style="mso-fit-shape-to-text:t;">
                <w:txbxContent>
                  <w:p>
                    <w:pPr>
                      <w:pStyle w:val="23"/>
                      <w:spacing w:before="120" w:after="120"/>
                    </w:pPr>
                    <w:r>
                      <w:fldChar w:fldCharType="begin"/>
                    </w:r>
                    <w:r>
                      <w:instrText xml:space="preserve"> PAGE  \* MERGEFORMAT </w:instrText>
                    </w:r>
                    <w:r>
                      <w:fldChar w:fldCharType="separate"/>
                    </w:r>
                    <w:r>
                      <w:t>94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3845"/>
              <wp:effectExtent l="0" t="0" r="0" b="0"/>
              <wp:wrapNone/>
              <wp:docPr id="729017632" name="文本框 1"/>
              <wp:cNvGraphicFramePr/>
              <a:graphic xmlns:a="http://schemas.openxmlformats.org/drawingml/2006/main">
                <a:graphicData uri="http://schemas.microsoft.com/office/word/2010/wordprocessingShape">
                  <wps:wsp>
                    <wps:cNvSpPr txBox="1"/>
                    <wps:spPr bwMode="auto">
                      <a:xfrm>
                        <a:off x="0" y="0"/>
                        <a:ext cx="114935" cy="283845"/>
                      </a:xfrm>
                      <a:prstGeom prst="rect">
                        <a:avLst/>
                      </a:prstGeom>
                      <a:noFill/>
                      <a:ln>
                        <a:noFill/>
                      </a:ln>
                    </wps:spPr>
                    <wps:txbx>
                      <w:txbxContent>
                        <w:p>
                          <w:pPr>
                            <w:snapToGrid w:val="0"/>
                            <w:spacing w:before="120" w:after="120"/>
                            <w:rPr>
                              <w:sz w:val="18"/>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22.35pt;width:9.05pt;mso-position-horizontal:center;mso-position-horizontal-relative:margin;mso-wrap-style:none;z-index:251660288;mso-width-relative:page;mso-height-relative:page;" filled="f" stroked="f" coordsize="21600,21600" o:gfxdata="UEsDBAoAAAAAAIdO4kAAAAAAAAAAAAAAAAAEAAAAZHJzL1BLAwQUAAAACACHTuJA3Auu8dEAAAAD&#10;AQAADwAAAGRycy9kb3ducmV2LnhtbE2PwWrDMBBE74X8g9hAb43sEhrjWs4h0EtvTUuht421sUyl&#10;lZEUx/77Kr20l4Vhhpm3zX52VkwU4uBZQbkpQBB3Xg/cK/h4f3moQMSErNF6JgULRdi3q7sGa+2v&#10;/EbTMfUil3CsUYFJaayljJ0hh3HjR+LsnX1wmLIMvdQBr7ncWflYFE/S4cB5weBIB0Pd9/HiFOzm&#10;T09jpAN9nacumGGp7Oui1P26LJ5BJJrTXxhu+Bkd2sx08hfWUVgF+ZH0e29eVYI4KdhudyDbRv5n&#10;b38AUEsDBBQAAAAIAIdO4kCniWso+AEAANoDAAAOAAAAZHJzL2Uyb0RvYy54bWytU0uOEzEQ3SNx&#10;B8t70p/MJ9NKZwREQUh8RprhAI7bnbbUdlm2k+5wALgBKzbsOVfOQdndHWDYzIKNVS6Xn+u9el7e&#10;9qolB2GdBF3SbJZSIjSHSupdST89bF4sKHGe6Yq1oEVJj8LR29XzZ8vOFCKHBtpKWIIg2hWdKWnj&#10;vSmSxPFGKOZmYITGwxqsYh63dpdUlnWIrtokT9OrpANbGQtcOIfZ9XBIR0T7FECoa8nFGvheCe0H&#10;VCta5pGSa6RxdBW7rWvB/ce6dsKTtqTI1McVH8F4G9ZktWTFzjLTSD62wJ7SwiNOikmNj56h1swz&#10;srfyHygluQUHtZ9xUMlAJCqCLLL0kTb3DTMickGpnTmL7v4fLP9wuLNEViW9zm/S7PpqnlOimcLB&#10;n759PX3/efrxhWRBps64AqvvDdb7/hX0aJ4p70Jy272HCu+xvYeoRV9bFTRBlgSrUfLjWXLRe8ID&#10;RHZxM7+khONRvpgvLi4DZsKK6bKxzr8RoEgISmpxohGcHd45P5ROJeEtDRvZtnGqrf4rgZghkwQe&#10;od+Bke+3/UhuC9URaVgYTIJfBIMG7GdKOjRISTX+B0ratxr1D16aAjsF2ylgmuPFknpKhvC1Hzy3&#10;N1buGsTNIglnXqJYGxmJhMaGHsYuceRRitGewVN/7mPV7y+5+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C67x0QAAAAMBAAAPAAAAAAAAAAEAIAAAACIAAABkcnMvZG93bnJldi54bWxQSwECFAAU&#10;AAAACACHTuJAp4lrKPgBAADaAwAADgAAAAAAAAABACAAAAAgAQAAZHJzL2Uyb0RvYy54bWxQSwUG&#10;AAAAAAYABgBZAQAAigUAAAAA&#10;">
              <v:fill on="f" focussize="0,0"/>
              <v:stroke on="f"/>
              <v:imagedata o:title=""/>
              <o:lock v:ext="edit" aspectratio="f"/>
              <v:textbox inset="0mm,0mm,0mm,0mm" style="mso-fit-shape-to-text:t;">
                <w:txbxContent>
                  <w:p>
                    <w:pPr>
                      <w:snapToGrid w:val="0"/>
                      <w:spacing w:before="120" w:after="12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120" w:after="120" w:line="360" w:lineRule="auto"/>
      <w:ind w:firstLine="641"/>
      <w:jc w:val="right"/>
      <w:rPr>
        <w:rFonts w:ascii="Calibri" w:hAnsi="华文楷体"/>
        <w:b w:val="0"/>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45903"/>
    <w:multiLevelType w:val="singleLevel"/>
    <w:tmpl w:val="80A45903"/>
    <w:lvl w:ilvl="0" w:tentative="0">
      <w:start w:val="6"/>
      <w:numFmt w:val="decimal"/>
      <w:lvlText w:val="%1."/>
      <w:lvlJc w:val="left"/>
      <w:pPr>
        <w:tabs>
          <w:tab w:val="left" w:pos="312"/>
        </w:tabs>
      </w:pPr>
    </w:lvl>
  </w:abstractNum>
  <w:abstractNum w:abstractNumId="1">
    <w:nsid w:val="2BED5BF3"/>
    <w:multiLevelType w:val="multilevel"/>
    <w:tmpl w:val="2BED5BF3"/>
    <w:lvl w:ilvl="0" w:tentative="0">
      <w:start w:val="1"/>
      <w:numFmt w:val="chineseCountingThousand"/>
      <w:pStyle w:val="32"/>
      <w:lvlText w:val="第%1章"/>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4ZmNmZGVkM2I4Mjg4NzNjYjE4ZDNmN2Q1Y2ZlNTcifQ=="/>
  </w:docVars>
  <w:rsids>
    <w:rsidRoot w:val="00172A27"/>
    <w:rsid w:val="00003FA2"/>
    <w:rsid w:val="00010EF7"/>
    <w:rsid w:val="00014A3A"/>
    <w:rsid w:val="00023834"/>
    <w:rsid w:val="0002466B"/>
    <w:rsid w:val="000262B4"/>
    <w:rsid w:val="00034942"/>
    <w:rsid w:val="000402E6"/>
    <w:rsid w:val="00040A2A"/>
    <w:rsid w:val="000417D3"/>
    <w:rsid w:val="000521B2"/>
    <w:rsid w:val="00052ED0"/>
    <w:rsid w:val="00056E40"/>
    <w:rsid w:val="00061E7F"/>
    <w:rsid w:val="000675CC"/>
    <w:rsid w:val="00086AF8"/>
    <w:rsid w:val="00092AD5"/>
    <w:rsid w:val="00094DD8"/>
    <w:rsid w:val="00095EE1"/>
    <w:rsid w:val="00097B3F"/>
    <w:rsid w:val="000B178C"/>
    <w:rsid w:val="000B4AA4"/>
    <w:rsid w:val="000C0564"/>
    <w:rsid w:val="000D144D"/>
    <w:rsid w:val="000D2300"/>
    <w:rsid w:val="000F0104"/>
    <w:rsid w:val="000F308A"/>
    <w:rsid w:val="000F49FD"/>
    <w:rsid w:val="000F7713"/>
    <w:rsid w:val="000F7D85"/>
    <w:rsid w:val="00101FF7"/>
    <w:rsid w:val="00107D7A"/>
    <w:rsid w:val="0011253F"/>
    <w:rsid w:val="00113DA7"/>
    <w:rsid w:val="001239D1"/>
    <w:rsid w:val="00124B85"/>
    <w:rsid w:val="00124B94"/>
    <w:rsid w:val="00140141"/>
    <w:rsid w:val="0014063D"/>
    <w:rsid w:val="00151D89"/>
    <w:rsid w:val="0016057E"/>
    <w:rsid w:val="00172A27"/>
    <w:rsid w:val="00173F6A"/>
    <w:rsid w:val="00174225"/>
    <w:rsid w:val="00180403"/>
    <w:rsid w:val="001835EA"/>
    <w:rsid w:val="00185B9B"/>
    <w:rsid w:val="001A1134"/>
    <w:rsid w:val="001A46B5"/>
    <w:rsid w:val="001B077A"/>
    <w:rsid w:val="001B3EE4"/>
    <w:rsid w:val="001B60FE"/>
    <w:rsid w:val="001C0AA6"/>
    <w:rsid w:val="001C140C"/>
    <w:rsid w:val="001C2DC4"/>
    <w:rsid w:val="001C471A"/>
    <w:rsid w:val="001C58FD"/>
    <w:rsid w:val="001C69F1"/>
    <w:rsid w:val="001C76C2"/>
    <w:rsid w:val="001D219D"/>
    <w:rsid w:val="001D40C1"/>
    <w:rsid w:val="001D4A9E"/>
    <w:rsid w:val="001D6B1A"/>
    <w:rsid w:val="001D79B1"/>
    <w:rsid w:val="001F1E18"/>
    <w:rsid w:val="001F7425"/>
    <w:rsid w:val="002054C8"/>
    <w:rsid w:val="00206F97"/>
    <w:rsid w:val="0021022D"/>
    <w:rsid w:val="00216828"/>
    <w:rsid w:val="00222CA7"/>
    <w:rsid w:val="002300B2"/>
    <w:rsid w:val="00232CAD"/>
    <w:rsid w:val="0024443C"/>
    <w:rsid w:val="002503D2"/>
    <w:rsid w:val="00252E65"/>
    <w:rsid w:val="00264495"/>
    <w:rsid w:val="002650D6"/>
    <w:rsid w:val="00271D5A"/>
    <w:rsid w:val="00274D41"/>
    <w:rsid w:val="00276005"/>
    <w:rsid w:val="00276A25"/>
    <w:rsid w:val="00280B84"/>
    <w:rsid w:val="00281FCA"/>
    <w:rsid w:val="00282682"/>
    <w:rsid w:val="00282D91"/>
    <w:rsid w:val="00283754"/>
    <w:rsid w:val="00283F7F"/>
    <w:rsid w:val="00286250"/>
    <w:rsid w:val="00287C41"/>
    <w:rsid w:val="00294DBD"/>
    <w:rsid w:val="002A01E4"/>
    <w:rsid w:val="002A7F1A"/>
    <w:rsid w:val="002B2FB0"/>
    <w:rsid w:val="002C0995"/>
    <w:rsid w:val="002C5453"/>
    <w:rsid w:val="002C6819"/>
    <w:rsid w:val="002D18B2"/>
    <w:rsid w:val="002D7056"/>
    <w:rsid w:val="002E210A"/>
    <w:rsid w:val="002E22C5"/>
    <w:rsid w:val="002E25EA"/>
    <w:rsid w:val="002F2992"/>
    <w:rsid w:val="00303B03"/>
    <w:rsid w:val="003058FD"/>
    <w:rsid w:val="00307224"/>
    <w:rsid w:val="0030765B"/>
    <w:rsid w:val="0031161A"/>
    <w:rsid w:val="00312D48"/>
    <w:rsid w:val="00313847"/>
    <w:rsid w:val="00315C41"/>
    <w:rsid w:val="00323A34"/>
    <w:rsid w:val="00324785"/>
    <w:rsid w:val="0032628C"/>
    <w:rsid w:val="00326FDF"/>
    <w:rsid w:val="003313C8"/>
    <w:rsid w:val="003318D8"/>
    <w:rsid w:val="00332AE6"/>
    <w:rsid w:val="00335B7F"/>
    <w:rsid w:val="00337BFB"/>
    <w:rsid w:val="00341124"/>
    <w:rsid w:val="00345D79"/>
    <w:rsid w:val="00351F22"/>
    <w:rsid w:val="003559A8"/>
    <w:rsid w:val="00362601"/>
    <w:rsid w:val="003674BF"/>
    <w:rsid w:val="00372829"/>
    <w:rsid w:val="0037398C"/>
    <w:rsid w:val="00380BE3"/>
    <w:rsid w:val="003815E6"/>
    <w:rsid w:val="00383E98"/>
    <w:rsid w:val="00386177"/>
    <w:rsid w:val="00390692"/>
    <w:rsid w:val="00392445"/>
    <w:rsid w:val="00397876"/>
    <w:rsid w:val="003A48E8"/>
    <w:rsid w:val="003A51CD"/>
    <w:rsid w:val="003B103F"/>
    <w:rsid w:val="003C05E8"/>
    <w:rsid w:val="003C1860"/>
    <w:rsid w:val="003C58FD"/>
    <w:rsid w:val="003C62CC"/>
    <w:rsid w:val="003C6794"/>
    <w:rsid w:val="003C78CD"/>
    <w:rsid w:val="003D1AD4"/>
    <w:rsid w:val="003D2AAA"/>
    <w:rsid w:val="003D37C0"/>
    <w:rsid w:val="003D5466"/>
    <w:rsid w:val="003D7775"/>
    <w:rsid w:val="003E05FB"/>
    <w:rsid w:val="003F19A7"/>
    <w:rsid w:val="00401D3D"/>
    <w:rsid w:val="00403550"/>
    <w:rsid w:val="00410E6C"/>
    <w:rsid w:val="0041275B"/>
    <w:rsid w:val="00415479"/>
    <w:rsid w:val="00420E08"/>
    <w:rsid w:val="00422462"/>
    <w:rsid w:val="004238A2"/>
    <w:rsid w:val="00423ED1"/>
    <w:rsid w:val="0042403C"/>
    <w:rsid w:val="00426DE4"/>
    <w:rsid w:val="004277D6"/>
    <w:rsid w:val="00431328"/>
    <w:rsid w:val="004365B9"/>
    <w:rsid w:val="004423B4"/>
    <w:rsid w:val="00443DEB"/>
    <w:rsid w:val="00445D52"/>
    <w:rsid w:val="00466C1F"/>
    <w:rsid w:val="00470F2A"/>
    <w:rsid w:val="00474C9F"/>
    <w:rsid w:val="00475765"/>
    <w:rsid w:val="0047581F"/>
    <w:rsid w:val="004773D4"/>
    <w:rsid w:val="00483A75"/>
    <w:rsid w:val="00497B9C"/>
    <w:rsid w:val="004A1B69"/>
    <w:rsid w:val="004A39C8"/>
    <w:rsid w:val="004A648C"/>
    <w:rsid w:val="004B0AD8"/>
    <w:rsid w:val="004B41DD"/>
    <w:rsid w:val="004B60C3"/>
    <w:rsid w:val="004C0214"/>
    <w:rsid w:val="004C1A56"/>
    <w:rsid w:val="004C45B5"/>
    <w:rsid w:val="004C4E64"/>
    <w:rsid w:val="004C4F54"/>
    <w:rsid w:val="004C529A"/>
    <w:rsid w:val="004D1253"/>
    <w:rsid w:val="004E2E60"/>
    <w:rsid w:val="004E4555"/>
    <w:rsid w:val="004E4C11"/>
    <w:rsid w:val="004E5D5D"/>
    <w:rsid w:val="004F10AF"/>
    <w:rsid w:val="004F11FC"/>
    <w:rsid w:val="004F45F6"/>
    <w:rsid w:val="005029A0"/>
    <w:rsid w:val="00507E58"/>
    <w:rsid w:val="005150EF"/>
    <w:rsid w:val="00521645"/>
    <w:rsid w:val="00521804"/>
    <w:rsid w:val="00524763"/>
    <w:rsid w:val="00527BE6"/>
    <w:rsid w:val="005451BC"/>
    <w:rsid w:val="00551D4E"/>
    <w:rsid w:val="00553ECF"/>
    <w:rsid w:val="00554037"/>
    <w:rsid w:val="00556370"/>
    <w:rsid w:val="005604C0"/>
    <w:rsid w:val="00561BEE"/>
    <w:rsid w:val="00563C45"/>
    <w:rsid w:val="0057261B"/>
    <w:rsid w:val="00573872"/>
    <w:rsid w:val="005803F9"/>
    <w:rsid w:val="00580F08"/>
    <w:rsid w:val="00582C96"/>
    <w:rsid w:val="005848E2"/>
    <w:rsid w:val="005864DA"/>
    <w:rsid w:val="00590308"/>
    <w:rsid w:val="005979F3"/>
    <w:rsid w:val="005A066A"/>
    <w:rsid w:val="005A0B89"/>
    <w:rsid w:val="005A2222"/>
    <w:rsid w:val="005A4AFE"/>
    <w:rsid w:val="005B1B2C"/>
    <w:rsid w:val="005B73AF"/>
    <w:rsid w:val="005C39B8"/>
    <w:rsid w:val="005D0657"/>
    <w:rsid w:val="005D67CC"/>
    <w:rsid w:val="005D773A"/>
    <w:rsid w:val="005F2B02"/>
    <w:rsid w:val="005F32E2"/>
    <w:rsid w:val="005F64C6"/>
    <w:rsid w:val="00604C2A"/>
    <w:rsid w:val="006077DC"/>
    <w:rsid w:val="006078BE"/>
    <w:rsid w:val="00615C0C"/>
    <w:rsid w:val="0062089A"/>
    <w:rsid w:val="00625137"/>
    <w:rsid w:val="006305D0"/>
    <w:rsid w:val="0063181C"/>
    <w:rsid w:val="00631A47"/>
    <w:rsid w:val="00633193"/>
    <w:rsid w:val="00635147"/>
    <w:rsid w:val="00641AFF"/>
    <w:rsid w:val="00643271"/>
    <w:rsid w:val="0064514E"/>
    <w:rsid w:val="00654628"/>
    <w:rsid w:val="00660268"/>
    <w:rsid w:val="006638C8"/>
    <w:rsid w:val="006708AA"/>
    <w:rsid w:val="00692DA5"/>
    <w:rsid w:val="006A2F22"/>
    <w:rsid w:val="006A63C1"/>
    <w:rsid w:val="006B27BF"/>
    <w:rsid w:val="006B62BF"/>
    <w:rsid w:val="006C0217"/>
    <w:rsid w:val="006C0A81"/>
    <w:rsid w:val="006C2E80"/>
    <w:rsid w:val="006C3724"/>
    <w:rsid w:val="006C4CC2"/>
    <w:rsid w:val="006D0AC1"/>
    <w:rsid w:val="006D3C01"/>
    <w:rsid w:val="006E481E"/>
    <w:rsid w:val="006F6273"/>
    <w:rsid w:val="006F7D2A"/>
    <w:rsid w:val="00700D80"/>
    <w:rsid w:val="007014F1"/>
    <w:rsid w:val="00705418"/>
    <w:rsid w:val="0070548C"/>
    <w:rsid w:val="007056B6"/>
    <w:rsid w:val="00706D64"/>
    <w:rsid w:val="00714CF2"/>
    <w:rsid w:val="007205AF"/>
    <w:rsid w:val="007249AA"/>
    <w:rsid w:val="0072698A"/>
    <w:rsid w:val="0073550D"/>
    <w:rsid w:val="007448A0"/>
    <w:rsid w:val="00755957"/>
    <w:rsid w:val="00757741"/>
    <w:rsid w:val="0076031A"/>
    <w:rsid w:val="00761175"/>
    <w:rsid w:val="007613D5"/>
    <w:rsid w:val="00762D88"/>
    <w:rsid w:val="00766E72"/>
    <w:rsid w:val="00770C22"/>
    <w:rsid w:val="00773202"/>
    <w:rsid w:val="00781162"/>
    <w:rsid w:val="00783383"/>
    <w:rsid w:val="00787357"/>
    <w:rsid w:val="00794B26"/>
    <w:rsid w:val="007A002C"/>
    <w:rsid w:val="007A3B4F"/>
    <w:rsid w:val="007A7D4F"/>
    <w:rsid w:val="007B1A37"/>
    <w:rsid w:val="007B1AAD"/>
    <w:rsid w:val="007B2FB5"/>
    <w:rsid w:val="007B41AC"/>
    <w:rsid w:val="007B63EE"/>
    <w:rsid w:val="007C1516"/>
    <w:rsid w:val="007C1C72"/>
    <w:rsid w:val="007C2719"/>
    <w:rsid w:val="007C2756"/>
    <w:rsid w:val="007C2900"/>
    <w:rsid w:val="007C3661"/>
    <w:rsid w:val="007C3D00"/>
    <w:rsid w:val="007C62E5"/>
    <w:rsid w:val="007D424F"/>
    <w:rsid w:val="007D7782"/>
    <w:rsid w:val="007E10B0"/>
    <w:rsid w:val="007E131B"/>
    <w:rsid w:val="007E3E73"/>
    <w:rsid w:val="007E7495"/>
    <w:rsid w:val="007F37B2"/>
    <w:rsid w:val="00800566"/>
    <w:rsid w:val="00800E7F"/>
    <w:rsid w:val="00802A21"/>
    <w:rsid w:val="00804DFF"/>
    <w:rsid w:val="008159FD"/>
    <w:rsid w:val="00820AF0"/>
    <w:rsid w:val="0082144B"/>
    <w:rsid w:val="008232A7"/>
    <w:rsid w:val="0082600E"/>
    <w:rsid w:val="008349B7"/>
    <w:rsid w:val="00837D23"/>
    <w:rsid w:val="008419C2"/>
    <w:rsid w:val="00843384"/>
    <w:rsid w:val="00846B53"/>
    <w:rsid w:val="008475D9"/>
    <w:rsid w:val="00847F17"/>
    <w:rsid w:val="008501D1"/>
    <w:rsid w:val="00852D93"/>
    <w:rsid w:val="00853437"/>
    <w:rsid w:val="008565E2"/>
    <w:rsid w:val="00857D5E"/>
    <w:rsid w:val="008641A9"/>
    <w:rsid w:val="008743A8"/>
    <w:rsid w:val="008810C6"/>
    <w:rsid w:val="0088455F"/>
    <w:rsid w:val="0088620B"/>
    <w:rsid w:val="00892446"/>
    <w:rsid w:val="008924B6"/>
    <w:rsid w:val="008A28C3"/>
    <w:rsid w:val="008B001A"/>
    <w:rsid w:val="008B49A6"/>
    <w:rsid w:val="008C427A"/>
    <w:rsid w:val="008C6778"/>
    <w:rsid w:val="008D5BDF"/>
    <w:rsid w:val="008D75B7"/>
    <w:rsid w:val="008E0116"/>
    <w:rsid w:val="008E5B06"/>
    <w:rsid w:val="008E6E79"/>
    <w:rsid w:val="008E7FA5"/>
    <w:rsid w:val="008F2DE0"/>
    <w:rsid w:val="008F39A3"/>
    <w:rsid w:val="008F490D"/>
    <w:rsid w:val="008F73B8"/>
    <w:rsid w:val="00900714"/>
    <w:rsid w:val="00905293"/>
    <w:rsid w:val="00906680"/>
    <w:rsid w:val="00911437"/>
    <w:rsid w:val="00922A79"/>
    <w:rsid w:val="00930C93"/>
    <w:rsid w:val="009314A5"/>
    <w:rsid w:val="00933CF0"/>
    <w:rsid w:val="00935186"/>
    <w:rsid w:val="00935FDA"/>
    <w:rsid w:val="00936C3D"/>
    <w:rsid w:val="009422D5"/>
    <w:rsid w:val="009527DA"/>
    <w:rsid w:val="00960614"/>
    <w:rsid w:val="00960980"/>
    <w:rsid w:val="0097421A"/>
    <w:rsid w:val="00975E66"/>
    <w:rsid w:val="00991977"/>
    <w:rsid w:val="00995BF3"/>
    <w:rsid w:val="00996BA4"/>
    <w:rsid w:val="00997020"/>
    <w:rsid w:val="009A1895"/>
    <w:rsid w:val="009A1CAF"/>
    <w:rsid w:val="009A1E77"/>
    <w:rsid w:val="009A4045"/>
    <w:rsid w:val="009A6B5B"/>
    <w:rsid w:val="009A6F5E"/>
    <w:rsid w:val="009B05D8"/>
    <w:rsid w:val="009B7885"/>
    <w:rsid w:val="009C2D7F"/>
    <w:rsid w:val="009C310E"/>
    <w:rsid w:val="009C61E0"/>
    <w:rsid w:val="009C696C"/>
    <w:rsid w:val="009D0BFA"/>
    <w:rsid w:val="009D4C98"/>
    <w:rsid w:val="009D6357"/>
    <w:rsid w:val="009E1FCB"/>
    <w:rsid w:val="009E2709"/>
    <w:rsid w:val="009E74A0"/>
    <w:rsid w:val="009E7F64"/>
    <w:rsid w:val="009F16C6"/>
    <w:rsid w:val="009F2602"/>
    <w:rsid w:val="009F3CCD"/>
    <w:rsid w:val="009F7944"/>
    <w:rsid w:val="009F7FF4"/>
    <w:rsid w:val="00A00118"/>
    <w:rsid w:val="00A057FA"/>
    <w:rsid w:val="00A142A3"/>
    <w:rsid w:val="00A148F8"/>
    <w:rsid w:val="00A22214"/>
    <w:rsid w:val="00A24844"/>
    <w:rsid w:val="00A2789D"/>
    <w:rsid w:val="00A33FF4"/>
    <w:rsid w:val="00A34233"/>
    <w:rsid w:val="00A3425D"/>
    <w:rsid w:val="00A50040"/>
    <w:rsid w:val="00A53615"/>
    <w:rsid w:val="00A61A6C"/>
    <w:rsid w:val="00A61D60"/>
    <w:rsid w:val="00A71641"/>
    <w:rsid w:val="00A74DFC"/>
    <w:rsid w:val="00A8277E"/>
    <w:rsid w:val="00A91FB7"/>
    <w:rsid w:val="00A9254F"/>
    <w:rsid w:val="00A94678"/>
    <w:rsid w:val="00A94817"/>
    <w:rsid w:val="00A95E2C"/>
    <w:rsid w:val="00AA243C"/>
    <w:rsid w:val="00AA3230"/>
    <w:rsid w:val="00AA5498"/>
    <w:rsid w:val="00AB735A"/>
    <w:rsid w:val="00AC0D87"/>
    <w:rsid w:val="00AC6179"/>
    <w:rsid w:val="00AD1A35"/>
    <w:rsid w:val="00AD2075"/>
    <w:rsid w:val="00AD2969"/>
    <w:rsid w:val="00AD2C31"/>
    <w:rsid w:val="00AD3009"/>
    <w:rsid w:val="00AD3BC9"/>
    <w:rsid w:val="00AD7125"/>
    <w:rsid w:val="00AE4A75"/>
    <w:rsid w:val="00AF4C00"/>
    <w:rsid w:val="00B02342"/>
    <w:rsid w:val="00B0365B"/>
    <w:rsid w:val="00B07131"/>
    <w:rsid w:val="00B1047D"/>
    <w:rsid w:val="00B13057"/>
    <w:rsid w:val="00B13775"/>
    <w:rsid w:val="00B1718F"/>
    <w:rsid w:val="00B22705"/>
    <w:rsid w:val="00B33E50"/>
    <w:rsid w:val="00B36708"/>
    <w:rsid w:val="00B56118"/>
    <w:rsid w:val="00B61BAF"/>
    <w:rsid w:val="00B64212"/>
    <w:rsid w:val="00B66940"/>
    <w:rsid w:val="00B6734F"/>
    <w:rsid w:val="00B67EA8"/>
    <w:rsid w:val="00B70402"/>
    <w:rsid w:val="00B72FD1"/>
    <w:rsid w:val="00B764DD"/>
    <w:rsid w:val="00B82E21"/>
    <w:rsid w:val="00B8350A"/>
    <w:rsid w:val="00B84826"/>
    <w:rsid w:val="00B84F8F"/>
    <w:rsid w:val="00B910FD"/>
    <w:rsid w:val="00B91FF6"/>
    <w:rsid w:val="00B933CC"/>
    <w:rsid w:val="00B97AF8"/>
    <w:rsid w:val="00BA077C"/>
    <w:rsid w:val="00BA17FA"/>
    <w:rsid w:val="00BA5F53"/>
    <w:rsid w:val="00BA63DC"/>
    <w:rsid w:val="00BB0503"/>
    <w:rsid w:val="00BB0DA6"/>
    <w:rsid w:val="00BB29EF"/>
    <w:rsid w:val="00BB2A4E"/>
    <w:rsid w:val="00BB3AA3"/>
    <w:rsid w:val="00BC3A0A"/>
    <w:rsid w:val="00BC5E6F"/>
    <w:rsid w:val="00BD0F88"/>
    <w:rsid w:val="00BD29FC"/>
    <w:rsid w:val="00BD2C49"/>
    <w:rsid w:val="00BD3539"/>
    <w:rsid w:val="00BD5F7B"/>
    <w:rsid w:val="00BE0E78"/>
    <w:rsid w:val="00BE6766"/>
    <w:rsid w:val="00BE7A28"/>
    <w:rsid w:val="00BF3982"/>
    <w:rsid w:val="00BF3FFC"/>
    <w:rsid w:val="00BF4286"/>
    <w:rsid w:val="00C015CE"/>
    <w:rsid w:val="00C01A76"/>
    <w:rsid w:val="00C01D66"/>
    <w:rsid w:val="00C0465F"/>
    <w:rsid w:val="00C04B16"/>
    <w:rsid w:val="00C04E8E"/>
    <w:rsid w:val="00C10117"/>
    <w:rsid w:val="00C126A0"/>
    <w:rsid w:val="00C174CC"/>
    <w:rsid w:val="00C17804"/>
    <w:rsid w:val="00C217B6"/>
    <w:rsid w:val="00C26AA4"/>
    <w:rsid w:val="00C365B6"/>
    <w:rsid w:val="00C374EC"/>
    <w:rsid w:val="00C37E6D"/>
    <w:rsid w:val="00C449CB"/>
    <w:rsid w:val="00C52CCD"/>
    <w:rsid w:val="00C551A5"/>
    <w:rsid w:val="00C552CD"/>
    <w:rsid w:val="00C566A4"/>
    <w:rsid w:val="00C646AC"/>
    <w:rsid w:val="00C654F0"/>
    <w:rsid w:val="00C67841"/>
    <w:rsid w:val="00C7105D"/>
    <w:rsid w:val="00C74B6F"/>
    <w:rsid w:val="00C7604A"/>
    <w:rsid w:val="00C8307C"/>
    <w:rsid w:val="00C84C96"/>
    <w:rsid w:val="00C856C8"/>
    <w:rsid w:val="00C85D6A"/>
    <w:rsid w:val="00C906A9"/>
    <w:rsid w:val="00C90BAA"/>
    <w:rsid w:val="00C93919"/>
    <w:rsid w:val="00C941AF"/>
    <w:rsid w:val="00CA2DFE"/>
    <w:rsid w:val="00CC4336"/>
    <w:rsid w:val="00CC7F05"/>
    <w:rsid w:val="00CD134E"/>
    <w:rsid w:val="00CD1820"/>
    <w:rsid w:val="00CD4378"/>
    <w:rsid w:val="00CE2E10"/>
    <w:rsid w:val="00CE3A6C"/>
    <w:rsid w:val="00CE484B"/>
    <w:rsid w:val="00D05069"/>
    <w:rsid w:val="00D0775C"/>
    <w:rsid w:val="00D101B5"/>
    <w:rsid w:val="00D11B29"/>
    <w:rsid w:val="00D13B44"/>
    <w:rsid w:val="00D15552"/>
    <w:rsid w:val="00D17504"/>
    <w:rsid w:val="00D21477"/>
    <w:rsid w:val="00D26B9D"/>
    <w:rsid w:val="00D3595B"/>
    <w:rsid w:val="00D37593"/>
    <w:rsid w:val="00D41AC2"/>
    <w:rsid w:val="00D43FA6"/>
    <w:rsid w:val="00D46F51"/>
    <w:rsid w:val="00D50544"/>
    <w:rsid w:val="00D50581"/>
    <w:rsid w:val="00D531C5"/>
    <w:rsid w:val="00D56E50"/>
    <w:rsid w:val="00D70C9E"/>
    <w:rsid w:val="00D733C4"/>
    <w:rsid w:val="00D8060A"/>
    <w:rsid w:val="00D92ED0"/>
    <w:rsid w:val="00D93925"/>
    <w:rsid w:val="00DA199F"/>
    <w:rsid w:val="00DA7502"/>
    <w:rsid w:val="00DB1294"/>
    <w:rsid w:val="00DB5A69"/>
    <w:rsid w:val="00DD25D3"/>
    <w:rsid w:val="00DD2E39"/>
    <w:rsid w:val="00DE06DB"/>
    <w:rsid w:val="00DE616B"/>
    <w:rsid w:val="00E079DF"/>
    <w:rsid w:val="00E07BE3"/>
    <w:rsid w:val="00E13D26"/>
    <w:rsid w:val="00E21766"/>
    <w:rsid w:val="00E2264C"/>
    <w:rsid w:val="00E23ED9"/>
    <w:rsid w:val="00E2754F"/>
    <w:rsid w:val="00E30257"/>
    <w:rsid w:val="00E36A7D"/>
    <w:rsid w:val="00E400FA"/>
    <w:rsid w:val="00E40FCA"/>
    <w:rsid w:val="00E416BD"/>
    <w:rsid w:val="00E41888"/>
    <w:rsid w:val="00E43F59"/>
    <w:rsid w:val="00E4653D"/>
    <w:rsid w:val="00E555EF"/>
    <w:rsid w:val="00E55CF2"/>
    <w:rsid w:val="00E6148D"/>
    <w:rsid w:val="00E61F8A"/>
    <w:rsid w:val="00E6467F"/>
    <w:rsid w:val="00E64922"/>
    <w:rsid w:val="00E714FF"/>
    <w:rsid w:val="00E82866"/>
    <w:rsid w:val="00E828DE"/>
    <w:rsid w:val="00E844A4"/>
    <w:rsid w:val="00E8514D"/>
    <w:rsid w:val="00E86034"/>
    <w:rsid w:val="00E934C0"/>
    <w:rsid w:val="00E94309"/>
    <w:rsid w:val="00EA2C75"/>
    <w:rsid w:val="00EA53CE"/>
    <w:rsid w:val="00EB41EF"/>
    <w:rsid w:val="00EC3507"/>
    <w:rsid w:val="00EC3880"/>
    <w:rsid w:val="00EC61AA"/>
    <w:rsid w:val="00EE383D"/>
    <w:rsid w:val="00EF12E4"/>
    <w:rsid w:val="00EF207D"/>
    <w:rsid w:val="00F04EF9"/>
    <w:rsid w:val="00F05437"/>
    <w:rsid w:val="00F07D96"/>
    <w:rsid w:val="00F10379"/>
    <w:rsid w:val="00F144CA"/>
    <w:rsid w:val="00F14C8A"/>
    <w:rsid w:val="00F15F13"/>
    <w:rsid w:val="00F16526"/>
    <w:rsid w:val="00F25F60"/>
    <w:rsid w:val="00F27EB7"/>
    <w:rsid w:val="00F41294"/>
    <w:rsid w:val="00F44221"/>
    <w:rsid w:val="00F458A5"/>
    <w:rsid w:val="00F53237"/>
    <w:rsid w:val="00F545C8"/>
    <w:rsid w:val="00F55D8E"/>
    <w:rsid w:val="00F605B0"/>
    <w:rsid w:val="00F7628A"/>
    <w:rsid w:val="00F77FA7"/>
    <w:rsid w:val="00F80272"/>
    <w:rsid w:val="00F81A4A"/>
    <w:rsid w:val="00F84334"/>
    <w:rsid w:val="00F86640"/>
    <w:rsid w:val="00F91E52"/>
    <w:rsid w:val="00F92E47"/>
    <w:rsid w:val="00F9305A"/>
    <w:rsid w:val="00F952B4"/>
    <w:rsid w:val="00FA3EBE"/>
    <w:rsid w:val="00FA5050"/>
    <w:rsid w:val="00FB1506"/>
    <w:rsid w:val="00FB3A09"/>
    <w:rsid w:val="00FB7816"/>
    <w:rsid w:val="00FC1665"/>
    <w:rsid w:val="00FC4D4F"/>
    <w:rsid w:val="00FC5004"/>
    <w:rsid w:val="00FD124C"/>
    <w:rsid w:val="00FD178B"/>
    <w:rsid w:val="00FD4DE3"/>
    <w:rsid w:val="00FD5E53"/>
    <w:rsid w:val="00FD69DD"/>
    <w:rsid w:val="00FD7527"/>
    <w:rsid w:val="00FE28F8"/>
    <w:rsid w:val="00FE2D70"/>
    <w:rsid w:val="00FF026E"/>
    <w:rsid w:val="010941D0"/>
    <w:rsid w:val="01124958"/>
    <w:rsid w:val="011C5CBC"/>
    <w:rsid w:val="014E4F34"/>
    <w:rsid w:val="01725174"/>
    <w:rsid w:val="01C91461"/>
    <w:rsid w:val="01CF7F14"/>
    <w:rsid w:val="02304AD2"/>
    <w:rsid w:val="023709A1"/>
    <w:rsid w:val="02786B1A"/>
    <w:rsid w:val="02804CD3"/>
    <w:rsid w:val="029B01FF"/>
    <w:rsid w:val="02A93871"/>
    <w:rsid w:val="02AA6D80"/>
    <w:rsid w:val="02B3522F"/>
    <w:rsid w:val="02CC5D97"/>
    <w:rsid w:val="02D942DE"/>
    <w:rsid w:val="02E5614E"/>
    <w:rsid w:val="02E857FF"/>
    <w:rsid w:val="02F06322"/>
    <w:rsid w:val="0324585D"/>
    <w:rsid w:val="033D1D42"/>
    <w:rsid w:val="035F791A"/>
    <w:rsid w:val="036116C4"/>
    <w:rsid w:val="0398099B"/>
    <w:rsid w:val="03BD7E46"/>
    <w:rsid w:val="03E77AED"/>
    <w:rsid w:val="04183932"/>
    <w:rsid w:val="04200894"/>
    <w:rsid w:val="045067FC"/>
    <w:rsid w:val="04852AD7"/>
    <w:rsid w:val="048B4285"/>
    <w:rsid w:val="04A64135"/>
    <w:rsid w:val="04CF6AAB"/>
    <w:rsid w:val="04F9027B"/>
    <w:rsid w:val="05133A3C"/>
    <w:rsid w:val="051A3DD6"/>
    <w:rsid w:val="05261D52"/>
    <w:rsid w:val="05502E25"/>
    <w:rsid w:val="05536923"/>
    <w:rsid w:val="05711D55"/>
    <w:rsid w:val="05A46AA3"/>
    <w:rsid w:val="05A50D19"/>
    <w:rsid w:val="05A8659C"/>
    <w:rsid w:val="05DD018A"/>
    <w:rsid w:val="05DE4E80"/>
    <w:rsid w:val="05E45D27"/>
    <w:rsid w:val="05F6436D"/>
    <w:rsid w:val="06564977"/>
    <w:rsid w:val="06581B18"/>
    <w:rsid w:val="0662386B"/>
    <w:rsid w:val="06735395"/>
    <w:rsid w:val="069C4B29"/>
    <w:rsid w:val="06A23287"/>
    <w:rsid w:val="06E25785"/>
    <w:rsid w:val="06EB3FD8"/>
    <w:rsid w:val="07025856"/>
    <w:rsid w:val="070B3DF9"/>
    <w:rsid w:val="0732440B"/>
    <w:rsid w:val="073D3ABA"/>
    <w:rsid w:val="074958E1"/>
    <w:rsid w:val="0752747E"/>
    <w:rsid w:val="0763341B"/>
    <w:rsid w:val="07724C4C"/>
    <w:rsid w:val="079A0CDF"/>
    <w:rsid w:val="07CB15B6"/>
    <w:rsid w:val="07D12D62"/>
    <w:rsid w:val="07D52264"/>
    <w:rsid w:val="07D930A3"/>
    <w:rsid w:val="08054508"/>
    <w:rsid w:val="081924C1"/>
    <w:rsid w:val="0834391C"/>
    <w:rsid w:val="084E48FA"/>
    <w:rsid w:val="085976F2"/>
    <w:rsid w:val="089936CA"/>
    <w:rsid w:val="089C6EF2"/>
    <w:rsid w:val="08B65F15"/>
    <w:rsid w:val="08BA7417"/>
    <w:rsid w:val="08C2308C"/>
    <w:rsid w:val="08CA627D"/>
    <w:rsid w:val="090A2A49"/>
    <w:rsid w:val="09321953"/>
    <w:rsid w:val="09354B71"/>
    <w:rsid w:val="096D1E30"/>
    <w:rsid w:val="097468F3"/>
    <w:rsid w:val="09757609"/>
    <w:rsid w:val="097E74F6"/>
    <w:rsid w:val="098A0D8D"/>
    <w:rsid w:val="09BB1719"/>
    <w:rsid w:val="09CB4335"/>
    <w:rsid w:val="09DB245C"/>
    <w:rsid w:val="09E1529C"/>
    <w:rsid w:val="09ED4102"/>
    <w:rsid w:val="09F75C4B"/>
    <w:rsid w:val="0A022A00"/>
    <w:rsid w:val="0A0A5BAC"/>
    <w:rsid w:val="0A3F600B"/>
    <w:rsid w:val="0A4B6FEF"/>
    <w:rsid w:val="0A5E47C7"/>
    <w:rsid w:val="0A657CD9"/>
    <w:rsid w:val="0A714641"/>
    <w:rsid w:val="0A8F594B"/>
    <w:rsid w:val="0A9A2446"/>
    <w:rsid w:val="0AB9596D"/>
    <w:rsid w:val="0AC97576"/>
    <w:rsid w:val="0AED648A"/>
    <w:rsid w:val="0B342931"/>
    <w:rsid w:val="0B3E2BD4"/>
    <w:rsid w:val="0B687372"/>
    <w:rsid w:val="0B7E4361"/>
    <w:rsid w:val="0B816792"/>
    <w:rsid w:val="0B90661E"/>
    <w:rsid w:val="0B9250F4"/>
    <w:rsid w:val="0BBC5670"/>
    <w:rsid w:val="0BD64C10"/>
    <w:rsid w:val="0BD811BB"/>
    <w:rsid w:val="0BEB3DA2"/>
    <w:rsid w:val="0BF503DC"/>
    <w:rsid w:val="0BFB43CD"/>
    <w:rsid w:val="0C0345B7"/>
    <w:rsid w:val="0C0901CB"/>
    <w:rsid w:val="0C4B625C"/>
    <w:rsid w:val="0C515215"/>
    <w:rsid w:val="0C567734"/>
    <w:rsid w:val="0C7E0E2E"/>
    <w:rsid w:val="0C857A23"/>
    <w:rsid w:val="0C8C7634"/>
    <w:rsid w:val="0C8E131B"/>
    <w:rsid w:val="0C8E1322"/>
    <w:rsid w:val="0CB32F19"/>
    <w:rsid w:val="0D0E1053"/>
    <w:rsid w:val="0D227B48"/>
    <w:rsid w:val="0D4C233E"/>
    <w:rsid w:val="0D607320"/>
    <w:rsid w:val="0D6321B7"/>
    <w:rsid w:val="0D657BDE"/>
    <w:rsid w:val="0D70043F"/>
    <w:rsid w:val="0D7272AB"/>
    <w:rsid w:val="0D8D6399"/>
    <w:rsid w:val="0DA94CCC"/>
    <w:rsid w:val="0DD34118"/>
    <w:rsid w:val="0DE73DC8"/>
    <w:rsid w:val="0DEA2FF8"/>
    <w:rsid w:val="0E433AAF"/>
    <w:rsid w:val="0E63464B"/>
    <w:rsid w:val="0E8B4735"/>
    <w:rsid w:val="0EB32B3A"/>
    <w:rsid w:val="0EC132D6"/>
    <w:rsid w:val="0F0E00D9"/>
    <w:rsid w:val="0F7840AD"/>
    <w:rsid w:val="0F9541C7"/>
    <w:rsid w:val="0F9B647D"/>
    <w:rsid w:val="0FD24D5A"/>
    <w:rsid w:val="0FD8307C"/>
    <w:rsid w:val="0FF8DD0B"/>
    <w:rsid w:val="0FFC15FE"/>
    <w:rsid w:val="10075D01"/>
    <w:rsid w:val="104B63BD"/>
    <w:rsid w:val="106F063B"/>
    <w:rsid w:val="107B55E9"/>
    <w:rsid w:val="107D31F9"/>
    <w:rsid w:val="108025E1"/>
    <w:rsid w:val="109B5CAE"/>
    <w:rsid w:val="10D76940"/>
    <w:rsid w:val="10E76AB5"/>
    <w:rsid w:val="10F17A5C"/>
    <w:rsid w:val="10F41463"/>
    <w:rsid w:val="111462F3"/>
    <w:rsid w:val="112036BC"/>
    <w:rsid w:val="11356A77"/>
    <w:rsid w:val="11462210"/>
    <w:rsid w:val="11757634"/>
    <w:rsid w:val="117F0F97"/>
    <w:rsid w:val="119F101C"/>
    <w:rsid w:val="11A14FE2"/>
    <w:rsid w:val="11B728F4"/>
    <w:rsid w:val="11BF4D57"/>
    <w:rsid w:val="11E63D75"/>
    <w:rsid w:val="12002B61"/>
    <w:rsid w:val="12130FBC"/>
    <w:rsid w:val="121F1F0B"/>
    <w:rsid w:val="123D66EF"/>
    <w:rsid w:val="12522A07"/>
    <w:rsid w:val="12577F11"/>
    <w:rsid w:val="1268137A"/>
    <w:rsid w:val="129237A5"/>
    <w:rsid w:val="12B305AB"/>
    <w:rsid w:val="12CB6353"/>
    <w:rsid w:val="133B711A"/>
    <w:rsid w:val="133C10FE"/>
    <w:rsid w:val="133D70AC"/>
    <w:rsid w:val="133F741F"/>
    <w:rsid w:val="134433AF"/>
    <w:rsid w:val="13681478"/>
    <w:rsid w:val="13D75F2E"/>
    <w:rsid w:val="1409338C"/>
    <w:rsid w:val="14292110"/>
    <w:rsid w:val="143A07EF"/>
    <w:rsid w:val="14506259"/>
    <w:rsid w:val="146E2BAB"/>
    <w:rsid w:val="14877F34"/>
    <w:rsid w:val="14927908"/>
    <w:rsid w:val="14CE1256"/>
    <w:rsid w:val="14DA654F"/>
    <w:rsid w:val="14DB4045"/>
    <w:rsid w:val="150D68DE"/>
    <w:rsid w:val="15241893"/>
    <w:rsid w:val="153837F0"/>
    <w:rsid w:val="153D6C12"/>
    <w:rsid w:val="154B0F80"/>
    <w:rsid w:val="1552304E"/>
    <w:rsid w:val="15555A25"/>
    <w:rsid w:val="1558570F"/>
    <w:rsid w:val="15893498"/>
    <w:rsid w:val="15A53BD7"/>
    <w:rsid w:val="15BA7D9E"/>
    <w:rsid w:val="15D571C3"/>
    <w:rsid w:val="15EF7D78"/>
    <w:rsid w:val="16001525"/>
    <w:rsid w:val="162F410C"/>
    <w:rsid w:val="16543AD1"/>
    <w:rsid w:val="16580560"/>
    <w:rsid w:val="166D127A"/>
    <w:rsid w:val="166E361C"/>
    <w:rsid w:val="167B3E6B"/>
    <w:rsid w:val="16874A14"/>
    <w:rsid w:val="169B3368"/>
    <w:rsid w:val="16A90DBF"/>
    <w:rsid w:val="16C47573"/>
    <w:rsid w:val="16CB6461"/>
    <w:rsid w:val="16DB318F"/>
    <w:rsid w:val="172A1F83"/>
    <w:rsid w:val="17321C21"/>
    <w:rsid w:val="17587D5B"/>
    <w:rsid w:val="177B06E2"/>
    <w:rsid w:val="1783111F"/>
    <w:rsid w:val="179D2F95"/>
    <w:rsid w:val="17BE4C4A"/>
    <w:rsid w:val="17C23E9C"/>
    <w:rsid w:val="17C8319C"/>
    <w:rsid w:val="17CC5539"/>
    <w:rsid w:val="180242B7"/>
    <w:rsid w:val="181D5E71"/>
    <w:rsid w:val="18394D2F"/>
    <w:rsid w:val="185539A8"/>
    <w:rsid w:val="18555CAB"/>
    <w:rsid w:val="187A24D6"/>
    <w:rsid w:val="18962C3E"/>
    <w:rsid w:val="18A84E2D"/>
    <w:rsid w:val="18C01F5C"/>
    <w:rsid w:val="18D50058"/>
    <w:rsid w:val="18D9192C"/>
    <w:rsid w:val="192A1E7C"/>
    <w:rsid w:val="195400A3"/>
    <w:rsid w:val="196A3989"/>
    <w:rsid w:val="19984B3C"/>
    <w:rsid w:val="19A12C8A"/>
    <w:rsid w:val="19B62007"/>
    <w:rsid w:val="19BB5011"/>
    <w:rsid w:val="19C4563D"/>
    <w:rsid w:val="19D9473B"/>
    <w:rsid w:val="1A037202"/>
    <w:rsid w:val="1A0E10CE"/>
    <w:rsid w:val="1A2054EB"/>
    <w:rsid w:val="1A24731E"/>
    <w:rsid w:val="1A272149"/>
    <w:rsid w:val="1A7E1ABB"/>
    <w:rsid w:val="1AAA7AA8"/>
    <w:rsid w:val="1AD01515"/>
    <w:rsid w:val="1AD24D70"/>
    <w:rsid w:val="1AE70886"/>
    <w:rsid w:val="1AF45B9E"/>
    <w:rsid w:val="1B0236D8"/>
    <w:rsid w:val="1B152AA2"/>
    <w:rsid w:val="1B2E3E82"/>
    <w:rsid w:val="1B415523"/>
    <w:rsid w:val="1B4E72E2"/>
    <w:rsid w:val="1B590F0C"/>
    <w:rsid w:val="1BCF0799"/>
    <w:rsid w:val="1BD650F8"/>
    <w:rsid w:val="1BDF53DF"/>
    <w:rsid w:val="1BF02263"/>
    <w:rsid w:val="1C0E677C"/>
    <w:rsid w:val="1C0F66D4"/>
    <w:rsid w:val="1C116F08"/>
    <w:rsid w:val="1C143154"/>
    <w:rsid w:val="1C1B1166"/>
    <w:rsid w:val="1C3F6ECA"/>
    <w:rsid w:val="1C522C78"/>
    <w:rsid w:val="1C5E5797"/>
    <w:rsid w:val="1CF91732"/>
    <w:rsid w:val="1D8657AC"/>
    <w:rsid w:val="1D8D75F9"/>
    <w:rsid w:val="1D961BC1"/>
    <w:rsid w:val="1DCB7108"/>
    <w:rsid w:val="1DF40C54"/>
    <w:rsid w:val="1E0418A7"/>
    <w:rsid w:val="1E3239E8"/>
    <w:rsid w:val="1E68539C"/>
    <w:rsid w:val="1E754287"/>
    <w:rsid w:val="1E79112A"/>
    <w:rsid w:val="1EA0313E"/>
    <w:rsid w:val="1EA1282C"/>
    <w:rsid w:val="1EAD5B31"/>
    <w:rsid w:val="1EDC294D"/>
    <w:rsid w:val="1F071C75"/>
    <w:rsid w:val="1F196F18"/>
    <w:rsid w:val="1F3E75C9"/>
    <w:rsid w:val="1F4F64D2"/>
    <w:rsid w:val="1FF250D6"/>
    <w:rsid w:val="201B1B13"/>
    <w:rsid w:val="204719A5"/>
    <w:rsid w:val="20BF2666"/>
    <w:rsid w:val="20C44FE2"/>
    <w:rsid w:val="20C921D9"/>
    <w:rsid w:val="21260E96"/>
    <w:rsid w:val="214C0982"/>
    <w:rsid w:val="21567BB6"/>
    <w:rsid w:val="215945D8"/>
    <w:rsid w:val="215E12E7"/>
    <w:rsid w:val="216F606C"/>
    <w:rsid w:val="217814D3"/>
    <w:rsid w:val="21824DA1"/>
    <w:rsid w:val="21A05B14"/>
    <w:rsid w:val="21C12176"/>
    <w:rsid w:val="21C27382"/>
    <w:rsid w:val="21CE258B"/>
    <w:rsid w:val="21D87315"/>
    <w:rsid w:val="21DC3A02"/>
    <w:rsid w:val="21DF1EA7"/>
    <w:rsid w:val="21F550B0"/>
    <w:rsid w:val="22094920"/>
    <w:rsid w:val="220C3E91"/>
    <w:rsid w:val="223F5CA9"/>
    <w:rsid w:val="22423C40"/>
    <w:rsid w:val="22655D1C"/>
    <w:rsid w:val="22680EDC"/>
    <w:rsid w:val="226C6F0E"/>
    <w:rsid w:val="22A33989"/>
    <w:rsid w:val="22DB58A9"/>
    <w:rsid w:val="22E35138"/>
    <w:rsid w:val="23195683"/>
    <w:rsid w:val="231A2FF1"/>
    <w:rsid w:val="23341244"/>
    <w:rsid w:val="23595D2F"/>
    <w:rsid w:val="238F4CA0"/>
    <w:rsid w:val="23B0000F"/>
    <w:rsid w:val="23B314CC"/>
    <w:rsid w:val="23B712C8"/>
    <w:rsid w:val="23BC720D"/>
    <w:rsid w:val="23C159BD"/>
    <w:rsid w:val="23C512AC"/>
    <w:rsid w:val="23CF2688"/>
    <w:rsid w:val="23D27F3A"/>
    <w:rsid w:val="23DC429D"/>
    <w:rsid w:val="23EB517B"/>
    <w:rsid w:val="24102800"/>
    <w:rsid w:val="24177216"/>
    <w:rsid w:val="241D5271"/>
    <w:rsid w:val="241E31CA"/>
    <w:rsid w:val="243F55C5"/>
    <w:rsid w:val="24414446"/>
    <w:rsid w:val="244C5F02"/>
    <w:rsid w:val="24A11E7B"/>
    <w:rsid w:val="24C83619"/>
    <w:rsid w:val="24F73663"/>
    <w:rsid w:val="25497095"/>
    <w:rsid w:val="254B474E"/>
    <w:rsid w:val="25763F2D"/>
    <w:rsid w:val="259D7291"/>
    <w:rsid w:val="25B00275"/>
    <w:rsid w:val="25D964CA"/>
    <w:rsid w:val="260368FF"/>
    <w:rsid w:val="260A6B3F"/>
    <w:rsid w:val="26107608"/>
    <w:rsid w:val="26107A32"/>
    <w:rsid w:val="26221494"/>
    <w:rsid w:val="26714EBE"/>
    <w:rsid w:val="267C4681"/>
    <w:rsid w:val="26AD3D14"/>
    <w:rsid w:val="26C17AA9"/>
    <w:rsid w:val="26C71055"/>
    <w:rsid w:val="26D9742D"/>
    <w:rsid w:val="26E0055D"/>
    <w:rsid w:val="27107661"/>
    <w:rsid w:val="271137D9"/>
    <w:rsid w:val="271A6BC1"/>
    <w:rsid w:val="271E35AC"/>
    <w:rsid w:val="276A5BA4"/>
    <w:rsid w:val="27774E74"/>
    <w:rsid w:val="27C35FDD"/>
    <w:rsid w:val="27F50BEE"/>
    <w:rsid w:val="28090D67"/>
    <w:rsid w:val="281F3398"/>
    <w:rsid w:val="28273210"/>
    <w:rsid w:val="283255FB"/>
    <w:rsid w:val="28452F94"/>
    <w:rsid w:val="284570F6"/>
    <w:rsid w:val="2851081B"/>
    <w:rsid w:val="28890771"/>
    <w:rsid w:val="288C73C7"/>
    <w:rsid w:val="289664DD"/>
    <w:rsid w:val="28A9500D"/>
    <w:rsid w:val="28B22D0A"/>
    <w:rsid w:val="28B70D84"/>
    <w:rsid w:val="28C93A30"/>
    <w:rsid w:val="28E06DC3"/>
    <w:rsid w:val="28E65127"/>
    <w:rsid w:val="28FA6D26"/>
    <w:rsid w:val="290C196D"/>
    <w:rsid w:val="292B4B2C"/>
    <w:rsid w:val="293F0182"/>
    <w:rsid w:val="295031A5"/>
    <w:rsid w:val="296022E0"/>
    <w:rsid w:val="2963262E"/>
    <w:rsid w:val="297336FE"/>
    <w:rsid w:val="2975469C"/>
    <w:rsid w:val="29936301"/>
    <w:rsid w:val="29B23B56"/>
    <w:rsid w:val="29B75F8E"/>
    <w:rsid w:val="29C06C89"/>
    <w:rsid w:val="29C8300B"/>
    <w:rsid w:val="29E80047"/>
    <w:rsid w:val="29EB739B"/>
    <w:rsid w:val="2A1C480B"/>
    <w:rsid w:val="2A2207E4"/>
    <w:rsid w:val="2A2C6530"/>
    <w:rsid w:val="2A43741E"/>
    <w:rsid w:val="2A446856"/>
    <w:rsid w:val="2A486711"/>
    <w:rsid w:val="2A4B39DE"/>
    <w:rsid w:val="2A76334C"/>
    <w:rsid w:val="2A976D1A"/>
    <w:rsid w:val="2AC50B6F"/>
    <w:rsid w:val="2AC83C2B"/>
    <w:rsid w:val="2AD5312E"/>
    <w:rsid w:val="2AEE1EBC"/>
    <w:rsid w:val="2AF46C17"/>
    <w:rsid w:val="2AF57EAD"/>
    <w:rsid w:val="2B180C45"/>
    <w:rsid w:val="2B3C649C"/>
    <w:rsid w:val="2B8A2316"/>
    <w:rsid w:val="2B8D1761"/>
    <w:rsid w:val="2BB61B2B"/>
    <w:rsid w:val="2BD23B3B"/>
    <w:rsid w:val="2BEE335F"/>
    <w:rsid w:val="2C3C5AE6"/>
    <w:rsid w:val="2C5A4609"/>
    <w:rsid w:val="2C5A4A16"/>
    <w:rsid w:val="2C5D2CF9"/>
    <w:rsid w:val="2C662731"/>
    <w:rsid w:val="2C6C6BA7"/>
    <w:rsid w:val="2C6D2168"/>
    <w:rsid w:val="2C794DAC"/>
    <w:rsid w:val="2C88463C"/>
    <w:rsid w:val="2C885D79"/>
    <w:rsid w:val="2CA07778"/>
    <w:rsid w:val="2CA20547"/>
    <w:rsid w:val="2CAC2688"/>
    <w:rsid w:val="2CBC2702"/>
    <w:rsid w:val="2CBC6F9F"/>
    <w:rsid w:val="2CBE44F7"/>
    <w:rsid w:val="2CD4217C"/>
    <w:rsid w:val="2CE038F3"/>
    <w:rsid w:val="2CF33967"/>
    <w:rsid w:val="2D087BB7"/>
    <w:rsid w:val="2D123673"/>
    <w:rsid w:val="2D251DF6"/>
    <w:rsid w:val="2D274EDB"/>
    <w:rsid w:val="2D2E0780"/>
    <w:rsid w:val="2D495E69"/>
    <w:rsid w:val="2D5871FF"/>
    <w:rsid w:val="2D6F0174"/>
    <w:rsid w:val="2D7668FB"/>
    <w:rsid w:val="2D942AFC"/>
    <w:rsid w:val="2D9D75F5"/>
    <w:rsid w:val="2DE45AA6"/>
    <w:rsid w:val="2DEA57C0"/>
    <w:rsid w:val="2DF0358D"/>
    <w:rsid w:val="2DF54DD6"/>
    <w:rsid w:val="2E094552"/>
    <w:rsid w:val="2E0F2D2A"/>
    <w:rsid w:val="2E3C7592"/>
    <w:rsid w:val="2E3E171E"/>
    <w:rsid w:val="2E4851F4"/>
    <w:rsid w:val="2E5D2CDB"/>
    <w:rsid w:val="2E672A5F"/>
    <w:rsid w:val="2E6D37AA"/>
    <w:rsid w:val="2E8158CE"/>
    <w:rsid w:val="2E8A2D07"/>
    <w:rsid w:val="2E8E43E1"/>
    <w:rsid w:val="2EAE647A"/>
    <w:rsid w:val="2EEC435C"/>
    <w:rsid w:val="2EF71460"/>
    <w:rsid w:val="2EFC2143"/>
    <w:rsid w:val="2F0F662E"/>
    <w:rsid w:val="2F1E4132"/>
    <w:rsid w:val="2F440D27"/>
    <w:rsid w:val="2F682673"/>
    <w:rsid w:val="2F8E2F60"/>
    <w:rsid w:val="2F903047"/>
    <w:rsid w:val="2F9F5A80"/>
    <w:rsid w:val="2FBC085C"/>
    <w:rsid w:val="2FD60B96"/>
    <w:rsid w:val="2FF65E7A"/>
    <w:rsid w:val="30002A9A"/>
    <w:rsid w:val="30890AE6"/>
    <w:rsid w:val="30CA27F8"/>
    <w:rsid w:val="30CA649D"/>
    <w:rsid w:val="30DA225E"/>
    <w:rsid w:val="30E0693E"/>
    <w:rsid w:val="30F41CED"/>
    <w:rsid w:val="30F624B8"/>
    <w:rsid w:val="30F76CCD"/>
    <w:rsid w:val="310825A2"/>
    <w:rsid w:val="31126596"/>
    <w:rsid w:val="311E3AAC"/>
    <w:rsid w:val="312261F7"/>
    <w:rsid w:val="313A5220"/>
    <w:rsid w:val="31424D35"/>
    <w:rsid w:val="314D2B4B"/>
    <w:rsid w:val="31535350"/>
    <w:rsid w:val="31593867"/>
    <w:rsid w:val="315F4B04"/>
    <w:rsid w:val="316E7D3D"/>
    <w:rsid w:val="31955359"/>
    <w:rsid w:val="31D169FD"/>
    <w:rsid w:val="31D42560"/>
    <w:rsid w:val="31E03B28"/>
    <w:rsid w:val="322216FE"/>
    <w:rsid w:val="323374B7"/>
    <w:rsid w:val="324E71B2"/>
    <w:rsid w:val="32542612"/>
    <w:rsid w:val="325A2ACF"/>
    <w:rsid w:val="32A03FFA"/>
    <w:rsid w:val="32A06CD3"/>
    <w:rsid w:val="32A73E90"/>
    <w:rsid w:val="32C16BC9"/>
    <w:rsid w:val="32CB7219"/>
    <w:rsid w:val="32CC310A"/>
    <w:rsid w:val="32DD7D60"/>
    <w:rsid w:val="32F8413E"/>
    <w:rsid w:val="32FA265D"/>
    <w:rsid w:val="33103DD6"/>
    <w:rsid w:val="331808D8"/>
    <w:rsid w:val="3321256B"/>
    <w:rsid w:val="33221578"/>
    <w:rsid w:val="33297CF0"/>
    <w:rsid w:val="3334199E"/>
    <w:rsid w:val="33764929"/>
    <w:rsid w:val="337B1B11"/>
    <w:rsid w:val="33A87B5F"/>
    <w:rsid w:val="33AD3978"/>
    <w:rsid w:val="33B1619B"/>
    <w:rsid w:val="33D7369C"/>
    <w:rsid w:val="33DE1701"/>
    <w:rsid w:val="34110390"/>
    <w:rsid w:val="341C0DAF"/>
    <w:rsid w:val="341F6040"/>
    <w:rsid w:val="34233E2F"/>
    <w:rsid w:val="34287CA8"/>
    <w:rsid w:val="344D3181"/>
    <w:rsid w:val="347C70F6"/>
    <w:rsid w:val="3482488F"/>
    <w:rsid w:val="34835DD7"/>
    <w:rsid w:val="34A275F1"/>
    <w:rsid w:val="34B20A9B"/>
    <w:rsid w:val="35003469"/>
    <w:rsid w:val="353A63AB"/>
    <w:rsid w:val="355174EB"/>
    <w:rsid w:val="355818EF"/>
    <w:rsid w:val="3566624C"/>
    <w:rsid w:val="35793F43"/>
    <w:rsid w:val="35864DBB"/>
    <w:rsid w:val="358E5CB8"/>
    <w:rsid w:val="35BF618E"/>
    <w:rsid w:val="35E7718E"/>
    <w:rsid w:val="361105F3"/>
    <w:rsid w:val="362E2952"/>
    <w:rsid w:val="365F426E"/>
    <w:rsid w:val="3684119A"/>
    <w:rsid w:val="368A2C76"/>
    <w:rsid w:val="36A423C1"/>
    <w:rsid w:val="36B47921"/>
    <w:rsid w:val="36FC6E44"/>
    <w:rsid w:val="371131A7"/>
    <w:rsid w:val="376042F8"/>
    <w:rsid w:val="378076D1"/>
    <w:rsid w:val="378671E1"/>
    <w:rsid w:val="37A954A6"/>
    <w:rsid w:val="37AA27F3"/>
    <w:rsid w:val="37FC0A17"/>
    <w:rsid w:val="380823C2"/>
    <w:rsid w:val="381E59F9"/>
    <w:rsid w:val="384D0A3C"/>
    <w:rsid w:val="389B53A9"/>
    <w:rsid w:val="38D11C44"/>
    <w:rsid w:val="38D63112"/>
    <w:rsid w:val="38D74447"/>
    <w:rsid w:val="38DF6B5D"/>
    <w:rsid w:val="38E71E97"/>
    <w:rsid w:val="38E952A4"/>
    <w:rsid w:val="391C0E4B"/>
    <w:rsid w:val="391F1E74"/>
    <w:rsid w:val="39203485"/>
    <w:rsid w:val="393F7B91"/>
    <w:rsid w:val="39424637"/>
    <w:rsid w:val="39465006"/>
    <w:rsid w:val="395D2CAD"/>
    <w:rsid w:val="396F2B74"/>
    <w:rsid w:val="3974052D"/>
    <w:rsid w:val="398473BB"/>
    <w:rsid w:val="39B25FEE"/>
    <w:rsid w:val="39BA3C53"/>
    <w:rsid w:val="39CA0F0B"/>
    <w:rsid w:val="39E451F3"/>
    <w:rsid w:val="3A003540"/>
    <w:rsid w:val="3A08721A"/>
    <w:rsid w:val="3A4511BC"/>
    <w:rsid w:val="3A4B1706"/>
    <w:rsid w:val="3A71207F"/>
    <w:rsid w:val="3A76231B"/>
    <w:rsid w:val="3A8D6198"/>
    <w:rsid w:val="3A9A0F33"/>
    <w:rsid w:val="3AA3304C"/>
    <w:rsid w:val="3AB40003"/>
    <w:rsid w:val="3AB56E0E"/>
    <w:rsid w:val="3ACC28DF"/>
    <w:rsid w:val="3ACF4DAE"/>
    <w:rsid w:val="3AE34856"/>
    <w:rsid w:val="3B1860AD"/>
    <w:rsid w:val="3B442817"/>
    <w:rsid w:val="3B88671C"/>
    <w:rsid w:val="3BAD4B20"/>
    <w:rsid w:val="3BC21B98"/>
    <w:rsid w:val="3BD80A3E"/>
    <w:rsid w:val="3BF134B6"/>
    <w:rsid w:val="3C0574B8"/>
    <w:rsid w:val="3C353A1B"/>
    <w:rsid w:val="3C48696E"/>
    <w:rsid w:val="3C490841"/>
    <w:rsid w:val="3C5A1750"/>
    <w:rsid w:val="3C603A2C"/>
    <w:rsid w:val="3C896559"/>
    <w:rsid w:val="3CD36040"/>
    <w:rsid w:val="3CDF7BFA"/>
    <w:rsid w:val="3CF04A9C"/>
    <w:rsid w:val="3D1A41FD"/>
    <w:rsid w:val="3D23467C"/>
    <w:rsid w:val="3D347271"/>
    <w:rsid w:val="3D380F40"/>
    <w:rsid w:val="3D411B07"/>
    <w:rsid w:val="3D5F6935"/>
    <w:rsid w:val="3D7F3CD5"/>
    <w:rsid w:val="3D7F458C"/>
    <w:rsid w:val="3D9066E6"/>
    <w:rsid w:val="3D99640A"/>
    <w:rsid w:val="3D9E2CDB"/>
    <w:rsid w:val="3DB0204F"/>
    <w:rsid w:val="3DD0730C"/>
    <w:rsid w:val="3DE73204"/>
    <w:rsid w:val="3E0E209C"/>
    <w:rsid w:val="3E4D6B39"/>
    <w:rsid w:val="3E4E61C9"/>
    <w:rsid w:val="3E5E01ED"/>
    <w:rsid w:val="3E6B5B44"/>
    <w:rsid w:val="3E756513"/>
    <w:rsid w:val="3E8A3920"/>
    <w:rsid w:val="3EA15408"/>
    <w:rsid w:val="3EB1408A"/>
    <w:rsid w:val="3ED35057"/>
    <w:rsid w:val="3ED910D4"/>
    <w:rsid w:val="3EDD1CFD"/>
    <w:rsid w:val="3EE17D87"/>
    <w:rsid w:val="3EEC5154"/>
    <w:rsid w:val="3F1F45DB"/>
    <w:rsid w:val="3F327C90"/>
    <w:rsid w:val="3F3E02A6"/>
    <w:rsid w:val="3F493D2F"/>
    <w:rsid w:val="3F552875"/>
    <w:rsid w:val="3F710813"/>
    <w:rsid w:val="3F74641C"/>
    <w:rsid w:val="3F757721"/>
    <w:rsid w:val="3F806C9D"/>
    <w:rsid w:val="3FA61E7B"/>
    <w:rsid w:val="3FA92D3F"/>
    <w:rsid w:val="3FB973A8"/>
    <w:rsid w:val="3FDE4ADB"/>
    <w:rsid w:val="3FF86426"/>
    <w:rsid w:val="40471447"/>
    <w:rsid w:val="40553C97"/>
    <w:rsid w:val="407621AA"/>
    <w:rsid w:val="407779F5"/>
    <w:rsid w:val="40843F1F"/>
    <w:rsid w:val="40923D33"/>
    <w:rsid w:val="409518D2"/>
    <w:rsid w:val="40981ED7"/>
    <w:rsid w:val="409A61F1"/>
    <w:rsid w:val="411738B7"/>
    <w:rsid w:val="4130551B"/>
    <w:rsid w:val="413C28F3"/>
    <w:rsid w:val="413C3637"/>
    <w:rsid w:val="413F4B12"/>
    <w:rsid w:val="41797E3C"/>
    <w:rsid w:val="41810BFA"/>
    <w:rsid w:val="419617F8"/>
    <w:rsid w:val="41A5614E"/>
    <w:rsid w:val="41A85F9E"/>
    <w:rsid w:val="41B0399F"/>
    <w:rsid w:val="41C87706"/>
    <w:rsid w:val="41EA628C"/>
    <w:rsid w:val="42011A76"/>
    <w:rsid w:val="420939DF"/>
    <w:rsid w:val="421A3DF2"/>
    <w:rsid w:val="423A5CBA"/>
    <w:rsid w:val="423D4F75"/>
    <w:rsid w:val="42473D6E"/>
    <w:rsid w:val="424D491F"/>
    <w:rsid w:val="42557CDD"/>
    <w:rsid w:val="426914F3"/>
    <w:rsid w:val="427C7198"/>
    <w:rsid w:val="428F035A"/>
    <w:rsid w:val="42C5529F"/>
    <w:rsid w:val="42CF5F4B"/>
    <w:rsid w:val="43264E6E"/>
    <w:rsid w:val="434B21FA"/>
    <w:rsid w:val="438A314E"/>
    <w:rsid w:val="439557FB"/>
    <w:rsid w:val="439C6DDD"/>
    <w:rsid w:val="43B51F27"/>
    <w:rsid w:val="43BC686B"/>
    <w:rsid w:val="43C43B4B"/>
    <w:rsid w:val="43C876AE"/>
    <w:rsid w:val="43D14677"/>
    <w:rsid w:val="43ED6B55"/>
    <w:rsid w:val="44471EAC"/>
    <w:rsid w:val="446E2CCD"/>
    <w:rsid w:val="4486786B"/>
    <w:rsid w:val="44D44833"/>
    <w:rsid w:val="44DA17F3"/>
    <w:rsid w:val="45324DF3"/>
    <w:rsid w:val="45431AA7"/>
    <w:rsid w:val="45A75E2A"/>
    <w:rsid w:val="45A85D3F"/>
    <w:rsid w:val="45CA4AF9"/>
    <w:rsid w:val="45D75E6E"/>
    <w:rsid w:val="45D841ED"/>
    <w:rsid w:val="45F45AC9"/>
    <w:rsid w:val="46047E0C"/>
    <w:rsid w:val="461C09BD"/>
    <w:rsid w:val="4620243E"/>
    <w:rsid w:val="462462C2"/>
    <w:rsid w:val="46357B25"/>
    <w:rsid w:val="465C4A2F"/>
    <w:rsid w:val="467057EF"/>
    <w:rsid w:val="46922633"/>
    <w:rsid w:val="469563B4"/>
    <w:rsid w:val="46A91000"/>
    <w:rsid w:val="46B80C0D"/>
    <w:rsid w:val="46BD0F1A"/>
    <w:rsid w:val="46DA657C"/>
    <w:rsid w:val="46ED3ABA"/>
    <w:rsid w:val="46F0578E"/>
    <w:rsid w:val="470C5DC2"/>
    <w:rsid w:val="471A1DE6"/>
    <w:rsid w:val="473146D4"/>
    <w:rsid w:val="475F26DC"/>
    <w:rsid w:val="476A0CD8"/>
    <w:rsid w:val="4792632A"/>
    <w:rsid w:val="47A17978"/>
    <w:rsid w:val="47A43676"/>
    <w:rsid w:val="47E9443A"/>
    <w:rsid w:val="480A4713"/>
    <w:rsid w:val="480B271B"/>
    <w:rsid w:val="481530CE"/>
    <w:rsid w:val="481D0A6C"/>
    <w:rsid w:val="483B1078"/>
    <w:rsid w:val="48446F5F"/>
    <w:rsid w:val="484C7ED7"/>
    <w:rsid w:val="48842470"/>
    <w:rsid w:val="48CC6ED6"/>
    <w:rsid w:val="48CD7582"/>
    <w:rsid w:val="48E83BCB"/>
    <w:rsid w:val="48F7490F"/>
    <w:rsid w:val="4960236D"/>
    <w:rsid w:val="49843D62"/>
    <w:rsid w:val="498A74F9"/>
    <w:rsid w:val="49935727"/>
    <w:rsid w:val="49C251B3"/>
    <w:rsid w:val="4A0C2A90"/>
    <w:rsid w:val="4A116CC0"/>
    <w:rsid w:val="4A2E2209"/>
    <w:rsid w:val="4A317ED0"/>
    <w:rsid w:val="4A834A59"/>
    <w:rsid w:val="4A8A0005"/>
    <w:rsid w:val="4A96292C"/>
    <w:rsid w:val="4AAD68F8"/>
    <w:rsid w:val="4AD41F41"/>
    <w:rsid w:val="4AE106E5"/>
    <w:rsid w:val="4AE86567"/>
    <w:rsid w:val="4AF25323"/>
    <w:rsid w:val="4B166036"/>
    <w:rsid w:val="4B2C70B2"/>
    <w:rsid w:val="4B4721EB"/>
    <w:rsid w:val="4B66105C"/>
    <w:rsid w:val="4B8A6A1C"/>
    <w:rsid w:val="4BAB7ED8"/>
    <w:rsid w:val="4BCE2D5F"/>
    <w:rsid w:val="4BE666B9"/>
    <w:rsid w:val="4BEF2CF4"/>
    <w:rsid w:val="4BFD4742"/>
    <w:rsid w:val="4C1300E3"/>
    <w:rsid w:val="4C2710AE"/>
    <w:rsid w:val="4C3C7379"/>
    <w:rsid w:val="4C4002F9"/>
    <w:rsid w:val="4C454E17"/>
    <w:rsid w:val="4C4C1283"/>
    <w:rsid w:val="4C621C13"/>
    <w:rsid w:val="4CA3036D"/>
    <w:rsid w:val="4CA37885"/>
    <w:rsid w:val="4D0A07D6"/>
    <w:rsid w:val="4D1E5898"/>
    <w:rsid w:val="4D1E5F5C"/>
    <w:rsid w:val="4D232372"/>
    <w:rsid w:val="4D445059"/>
    <w:rsid w:val="4D5A3BE2"/>
    <w:rsid w:val="4D9E04F4"/>
    <w:rsid w:val="4DC1009F"/>
    <w:rsid w:val="4DC621EC"/>
    <w:rsid w:val="4DC967A7"/>
    <w:rsid w:val="4DE56318"/>
    <w:rsid w:val="4DFE2F04"/>
    <w:rsid w:val="4E0102CC"/>
    <w:rsid w:val="4E1359C7"/>
    <w:rsid w:val="4E1475A7"/>
    <w:rsid w:val="4E4310C9"/>
    <w:rsid w:val="4E544968"/>
    <w:rsid w:val="4E591FAF"/>
    <w:rsid w:val="4E715361"/>
    <w:rsid w:val="4E785EE3"/>
    <w:rsid w:val="4E7F2A74"/>
    <w:rsid w:val="4E8E4D71"/>
    <w:rsid w:val="4EB01553"/>
    <w:rsid w:val="4ECD57FE"/>
    <w:rsid w:val="4F08140E"/>
    <w:rsid w:val="4F097E7C"/>
    <w:rsid w:val="4F1B3A17"/>
    <w:rsid w:val="4F416AD4"/>
    <w:rsid w:val="4F8326A3"/>
    <w:rsid w:val="4FBA2548"/>
    <w:rsid w:val="50245EC3"/>
    <w:rsid w:val="502F58F0"/>
    <w:rsid w:val="506863B5"/>
    <w:rsid w:val="50715BD5"/>
    <w:rsid w:val="508148C8"/>
    <w:rsid w:val="50BC5E13"/>
    <w:rsid w:val="50C15411"/>
    <w:rsid w:val="50E023C4"/>
    <w:rsid w:val="50E12A55"/>
    <w:rsid w:val="50FE07E0"/>
    <w:rsid w:val="51051B23"/>
    <w:rsid w:val="510F04B6"/>
    <w:rsid w:val="512C60CC"/>
    <w:rsid w:val="51314E3D"/>
    <w:rsid w:val="51336D02"/>
    <w:rsid w:val="516A241F"/>
    <w:rsid w:val="51BF5DC1"/>
    <w:rsid w:val="51CE266D"/>
    <w:rsid w:val="51DD0AA0"/>
    <w:rsid w:val="51F67353"/>
    <w:rsid w:val="52003087"/>
    <w:rsid w:val="520458E7"/>
    <w:rsid w:val="521117E7"/>
    <w:rsid w:val="52132207"/>
    <w:rsid w:val="521B1E79"/>
    <w:rsid w:val="523B3B65"/>
    <w:rsid w:val="525658B3"/>
    <w:rsid w:val="52AE221D"/>
    <w:rsid w:val="52C0550D"/>
    <w:rsid w:val="52D25467"/>
    <w:rsid w:val="52D86E30"/>
    <w:rsid w:val="52FB7845"/>
    <w:rsid w:val="53135944"/>
    <w:rsid w:val="53324728"/>
    <w:rsid w:val="533A023A"/>
    <w:rsid w:val="5354725D"/>
    <w:rsid w:val="536F2B17"/>
    <w:rsid w:val="537A2780"/>
    <w:rsid w:val="53823DC6"/>
    <w:rsid w:val="53D51299"/>
    <w:rsid w:val="53D81169"/>
    <w:rsid w:val="54000691"/>
    <w:rsid w:val="54225E41"/>
    <w:rsid w:val="542A693D"/>
    <w:rsid w:val="543E467D"/>
    <w:rsid w:val="54773B49"/>
    <w:rsid w:val="547C43F3"/>
    <w:rsid w:val="547D1A07"/>
    <w:rsid w:val="547F1127"/>
    <w:rsid w:val="54971219"/>
    <w:rsid w:val="549B5ACB"/>
    <w:rsid w:val="54A4292C"/>
    <w:rsid w:val="54D74A77"/>
    <w:rsid w:val="54DE01F6"/>
    <w:rsid w:val="54EF010F"/>
    <w:rsid w:val="54F23BAA"/>
    <w:rsid w:val="54FB3322"/>
    <w:rsid w:val="55206B13"/>
    <w:rsid w:val="552658FB"/>
    <w:rsid w:val="5534703E"/>
    <w:rsid w:val="55367531"/>
    <w:rsid w:val="553B433F"/>
    <w:rsid w:val="55407C27"/>
    <w:rsid w:val="55664FF2"/>
    <w:rsid w:val="55931894"/>
    <w:rsid w:val="559A5729"/>
    <w:rsid w:val="55C30A3B"/>
    <w:rsid w:val="55CD7243"/>
    <w:rsid w:val="55E47163"/>
    <w:rsid w:val="560B52CE"/>
    <w:rsid w:val="56186488"/>
    <w:rsid w:val="561905DB"/>
    <w:rsid w:val="564747C4"/>
    <w:rsid w:val="5674086B"/>
    <w:rsid w:val="568162B8"/>
    <w:rsid w:val="568C3F0F"/>
    <w:rsid w:val="569E5649"/>
    <w:rsid w:val="56B65E21"/>
    <w:rsid w:val="56DC7584"/>
    <w:rsid w:val="56F2389E"/>
    <w:rsid w:val="570B363E"/>
    <w:rsid w:val="5727069A"/>
    <w:rsid w:val="57443455"/>
    <w:rsid w:val="575C0E69"/>
    <w:rsid w:val="577942F2"/>
    <w:rsid w:val="57B54795"/>
    <w:rsid w:val="57C0023A"/>
    <w:rsid w:val="57CA257D"/>
    <w:rsid w:val="57E937BB"/>
    <w:rsid w:val="57EB5382"/>
    <w:rsid w:val="57ED45F0"/>
    <w:rsid w:val="57F95E81"/>
    <w:rsid w:val="57F96822"/>
    <w:rsid w:val="57FB3C1A"/>
    <w:rsid w:val="581A6B1D"/>
    <w:rsid w:val="58237837"/>
    <w:rsid w:val="582E51CC"/>
    <w:rsid w:val="58771572"/>
    <w:rsid w:val="58A04A21"/>
    <w:rsid w:val="58CB736F"/>
    <w:rsid w:val="58D91FC8"/>
    <w:rsid w:val="58FB0FB0"/>
    <w:rsid w:val="590F2AF3"/>
    <w:rsid w:val="59297322"/>
    <w:rsid w:val="593342CD"/>
    <w:rsid w:val="595E477C"/>
    <w:rsid w:val="59621218"/>
    <w:rsid w:val="599650A0"/>
    <w:rsid w:val="59975A1C"/>
    <w:rsid w:val="59C06F6B"/>
    <w:rsid w:val="59C47102"/>
    <w:rsid w:val="5A17567B"/>
    <w:rsid w:val="5A1B6B6C"/>
    <w:rsid w:val="5A35734C"/>
    <w:rsid w:val="5A3619A0"/>
    <w:rsid w:val="5A5C32A1"/>
    <w:rsid w:val="5A89095F"/>
    <w:rsid w:val="5A8911A2"/>
    <w:rsid w:val="5A9B6DFC"/>
    <w:rsid w:val="5A9B7EDF"/>
    <w:rsid w:val="5AAE40BF"/>
    <w:rsid w:val="5AD04B3B"/>
    <w:rsid w:val="5AD25C1D"/>
    <w:rsid w:val="5AE14847"/>
    <w:rsid w:val="5AF57D4D"/>
    <w:rsid w:val="5B1B01BC"/>
    <w:rsid w:val="5B1F3ED9"/>
    <w:rsid w:val="5B743ED5"/>
    <w:rsid w:val="5B7D1C92"/>
    <w:rsid w:val="5B7E1608"/>
    <w:rsid w:val="5B900118"/>
    <w:rsid w:val="5B9A740D"/>
    <w:rsid w:val="5BAA6461"/>
    <w:rsid w:val="5BAA7175"/>
    <w:rsid w:val="5BAB7CE4"/>
    <w:rsid w:val="5BB021D5"/>
    <w:rsid w:val="5BCE1AF9"/>
    <w:rsid w:val="5C1E3DE1"/>
    <w:rsid w:val="5C3B77B2"/>
    <w:rsid w:val="5C4E66E6"/>
    <w:rsid w:val="5C675119"/>
    <w:rsid w:val="5CA51688"/>
    <w:rsid w:val="5CA63823"/>
    <w:rsid w:val="5CCD5CC6"/>
    <w:rsid w:val="5CDC3321"/>
    <w:rsid w:val="5CE454BB"/>
    <w:rsid w:val="5CFC72A7"/>
    <w:rsid w:val="5CFD1C42"/>
    <w:rsid w:val="5D017AFD"/>
    <w:rsid w:val="5D4458F6"/>
    <w:rsid w:val="5D5B79EF"/>
    <w:rsid w:val="5D94089D"/>
    <w:rsid w:val="5DE13877"/>
    <w:rsid w:val="5E0019CA"/>
    <w:rsid w:val="5E237490"/>
    <w:rsid w:val="5E5E746B"/>
    <w:rsid w:val="5E6E5F9A"/>
    <w:rsid w:val="5E8E44F5"/>
    <w:rsid w:val="5E9074A0"/>
    <w:rsid w:val="5EA3658C"/>
    <w:rsid w:val="5EAD4AB7"/>
    <w:rsid w:val="5ECA7066"/>
    <w:rsid w:val="5EFB466F"/>
    <w:rsid w:val="5F2B0D92"/>
    <w:rsid w:val="5F303843"/>
    <w:rsid w:val="5F314BBE"/>
    <w:rsid w:val="5F837329"/>
    <w:rsid w:val="5F874501"/>
    <w:rsid w:val="5FA77CDD"/>
    <w:rsid w:val="5FB53E3C"/>
    <w:rsid w:val="5FBE303D"/>
    <w:rsid w:val="5FC32DF9"/>
    <w:rsid w:val="5FD30627"/>
    <w:rsid w:val="5FD92E8C"/>
    <w:rsid w:val="5FE91B1F"/>
    <w:rsid w:val="5FF25CFC"/>
    <w:rsid w:val="604438FE"/>
    <w:rsid w:val="60685021"/>
    <w:rsid w:val="6083377C"/>
    <w:rsid w:val="60CC7491"/>
    <w:rsid w:val="60CE3029"/>
    <w:rsid w:val="60D05C4E"/>
    <w:rsid w:val="60D07A3B"/>
    <w:rsid w:val="60E115FC"/>
    <w:rsid w:val="612A65CD"/>
    <w:rsid w:val="613977F1"/>
    <w:rsid w:val="613D1485"/>
    <w:rsid w:val="616F5FF2"/>
    <w:rsid w:val="617D13CF"/>
    <w:rsid w:val="618B2147"/>
    <w:rsid w:val="61A75DD4"/>
    <w:rsid w:val="61E110CD"/>
    <w:rsid w:val="61EB27C5"/>
    <w:rsid w:val="61F033F2"/>
    <w:rsid w:val="621875A4"/>
    <w:rsid w:val="6286449C"/>
    <w:rsid w:val="62961490"/>
    <w:rsid w:val="62AC2892"/>
    <w:rsid w:val="62B90F02"/>
    <w:rsid w:val="62D73517"/>
    <w:rsid w:val="63181FFC"/>
    <w:rsid w:val="63210AA5"/>
    <w:rsid w:val="63263CE4"/>
    <w:rsid w:val="633278AA"/>
    <w:rsid w:val="63371CAC"/>
    <w:rsid w:val="63583109"/>
    <w:rsid w:val="636B20A3"/>
    <w:rsid w:val="637C0889"/>
    <w:rsid w:val="639F1F91"/>
    <w:rsid w:val="63B30A22"/>
    <w:rsid w:val="63E24DBA"/>
    <w:rsid w:val="64080C9D"/>
    <w:rsid w:val="642158F2"/>
    <w:rsid w:val="6424552C"/>
    <w:rsid w:val="642709DA"/>
    <w:rsid w:val="643274CB"/>
    <w:rsid w:val="643767AB"/>
    <w:rsid w:val="64464338"/>
    <w:rsid w:val="644D0BAE"/>
    <w:rsid w:val="64801B20"/>
    <w:rsid w:val="648E33C6"/>
    <w:rsid w:val="64A81CCD"/>
    <w:rsid w:val="64B00B21"/>
    <w:rsid w:val="64DD773C"/>
    <w:rsid w:val="64E32FF2"/>
    <w:rsid w:val="64E76842"/>
    <w:rsid w:val="64FB4E82"/>
    <w:rsid w:val="65110960"/>
    <w:rsid w:val="65223368"/>
    <w:rsid w:val="65314DDF"/>
    <w:rsid w:val="653C4473"/>
    <w:rsid w:val="656A5A9C"/>
    <w:rsid w:val="65791C54"/>
    <w:rsid w:val="65811BD5"/>
    <w:rsid w:val="65854C1A"/>
    <w:rsid w:val="65B119D1"/>
    <w:rsid w:val="65B24A81"/>
    <w:rsid w:val="65C95A38"/>
    <w:rsid w:val="66024FA0"/>
    <w:rsid w:val="66486683"/>
    <w:rsid w:val="666F20B2"/>
    <w:rsid w:val="66761428"/>
    <w:rsid w:val="669009B9"/>
    <w:rsid w:val="66A4442B"/>
    <w:rsid w:val="66A44A45"/>
    <w:rsid w:val="66AD1FB3"/>
    <w:rsid w:val="66E47123"/>
    <w:rsid w:val="670250A8"/>
    <w:rsid w:val="6716630E"/>
    <w:rsid w:val="675B35CB"/>
    <w:rsid w:val="675D205D"/>
    <w:rsid w:val="67AF602A"/>
    <w:rsid w:val="67D45605"/>
    <w:rsid w:val="67EB48C2"/>
    <w:rsid w:val="68000F0D"/>
    <w:rsid w:val="681749E2"/>
    <w:rsid w:val="68393A33"/>
    <w:rsid w:val="68666704"/>
    <w:rsid w:val="686F412E"/>
    <w:rsid w:val="687B4C60"/>
    <w:rsid w:val="68984C30"/>
    <w:rsid w:val="689C71CF"/>
    <w:rsid w:val="68AE0238"/>
    <w:rsid w:val="68BB0939"/>
    <w:rsid w:val="68D0106D"/>
    <w:rsid w:val="68DF22D2"/>
    <w:rsid w:val="68E5792A"/>
    <w:rsid w:val="68E71E8B"/>
    <w:rsid w:val="69051819"/>
    <w:rsid w:val="696005FD"/>
    <w:rsid w:val="697A76AB"/>
    <w:rsid w:val="698019BF"/>
    <w:rsid w:val="698460DE"/>
    <w:rsid w:val="698A5AAC"/>
    <w:rsid w:val="69A12D62"/>
    <w:rsid w:val="69B725F9"/>
    <w:rsid w:val="69B94DD3"/>
    <w:rsid w:val="69DC732B"/>
    <w:rsid w:val="69E00DBB"/>
    <w:rsid w:val="69E67C0C"/>
    <w:rsid w:val="69EA0D52"/>
    <w:rsid w:val="69ED5F09"/>
    <w:rsid w:val="6A046DA6"/>
    <w:rsid w:val="6A064E9C"/>
    <w:rsid w:val="6A122E97"/>
    <w:rsid w:val="6A2E035F"/>
    <w:rsid w:val="6A4853DF"/>
    <w:rsid w:val="6A7404E6"/>
    <w:rsid w:val="6A801CD8"/>
    <w:rsid w:val="6A9547BA"/>
    <w:rsid w:val="6AAA4922"/>
    <w:rsid w:val="6AB402EF"/>
    <w:rsid w:val="6AD572AB"/>
    <w:rsid w:val="6AED608C"/>
    <w:rsid w:val="6AF0367F"/>
    <w:rsid w:val="6B161E5A"/>
    <w:rsid w:val="6B180670"/>
    <w:rsid w:val="6B245D20"/>
    <w:rsid w:val="6B5B0814"/>
    <w:rsid w:val="6B6E1480"/>
    <w:rsid w:val="6BAA162A"/>
    <w:rsid w:val="6BC03E3D"/>
    <w:rsid w:val="6BCC1582"/>
    <w:rsid w:val="6BE853FE"/>
    <w:rsid w:val="6BF02721"/>
    <w:rsid w:val="6C18389F"/>
    <w:rsid w:val="6C1D62FE"/>
    <w:rsid w:val="6C200860"/>
    <w:rsid w:val="6C5835D2"/>
    <w:rsid w:val="6C7437D1"/>
    <w:rsid w:val="6CBD04D0"/>
    <w:rsid w:val="6D0E3FF4"/>
    <w:rsid w:val="6D15413C"/>
    <w:rsid w:val="6D166BAE"/>
    <w:rsid w:val="6D4B3BDF"/>
    <w:rsid w:val="6D532F67"/>
    <w:rsid w:val="6D724BFD"/>
    <w:rsid w:val="6DC40CEB"/>
    <w:rsid w:val="6E0C4828"/>
    <w:rsid w:val="6E0E7F14"/>
    <w:rsid w:val="6E21578C"/>
    <w:rsid w:val="6E385A9A"/>
    <w:rsid w:val="6E397272"/>
    <w:rsid w:val="6ED94664"/>
    <w:rsid w:val="6EDA6731"/>
    <w:rsid w:val="6F1005CE"/>
    <w:rsid w:val="6F130883"/>
    <w:rsid w:val="6F43138B"/>
    <w:rsid w:val="6F62531A"/>
    <w:rsid w:val="6F845527"/>
    <w:rsid w:val="6F8F2F5E"/>
    <w:rsid w:val="6FA87975"/>
    <w:rsid w:val="6FAC7D97"/>
    <w:rsid w:val="6FB61B27"/>
    <w:rsid w:val="6FEA7B81"/>
    <w:rsid w:val="701909AD"/>
    <w:rsid w:val="701A352D"/>
    <w:rsid w:val="701E4CE8"/>
    <w:rsid w:val="704A00B0"/>
    <w:rsid w:val="709F7715"/>
    <w:rsid w:val="70B47139"/>
    <w:rsid w:val="70C80C3F"/>
    <w:rsid w:val="70EC11D0"/>
    <w:rsid w:val="70F21F0A"/>
    <w:rsid w:val="70FD641C"/>
    <w:rsid w:val="710C2046"/>
    <w:rsid w:val="71231789"/>
    <w:rsid w:val="712E44CC"/>
    <w:rsid w:val="713755DC"/>
    <w:rsid w:val="716071E7"/>
    <w:rsid w:val="71966940"/>
    <w:rsid w:val="71A53849"/>
    <w:rsid w:val="71B16DBC"/>
    <w:rsid w:val="71CE2C9F"/>
    <w:rsid w:val="71F85FAA"/>
    <w:rsid w:val="720D4E99"/>
    <w:rsid w:val="72421B09"/>
    <w:rsid w:val="72574F23"/>
    <w:rsid w:val="725A120A"/>
    <w:rsid w:val="725E1F4D"/>
    <w:rsid w:val="726956E9"/>
    <w:rsid w:val="72B129C7"/>
    <w:rsid w:val="72C33679"/>
    <w:rsid w:val="72C66D21"/>
    <w:rsid w:val="72E4083D"/>
    <w:rsid w:val="73054198"/>
    <w:rsid w:val="730C3B57"/>
    <w:rsid w:val="730C736C"/>
    <w:rsid w:val="732A0027"/>
    <w:rsid w:val="736B6A08"/>
    <w:rsid w:val="739271F3"/>
    <w:rsid w:val="73C062F2"/>
    <w:rsid w:val="73DA0B26"/>
    <w:rsid w:val="73EB3BDD"/>
    <w:rsid w:val="740E14FF"/>
    <w:rsid w:val="744F57CA"/>
    <w:rsid w:val="746924F7"/>
    <w:rsid w:val="7491083B"/>
    <w:rsid w:val="74DB208E"/>
    <w:rsid w:val="74F00D08"/>
    <w:rsid w:val="74F916A2"/>
    <w:rsid w:val="751713AB"/>
    <w:rsid w:val="751960D1"/>
    <w:rsid w:val="755A5652"/>
    <w:rsid w:val="756C5CCD"/>
    <w:rsid w:val="756D6C7C"/>
    <w:rsid w:val="75762D44"/>
    <w:rsid w:val="75812B2D"/>
    <w:rsid w:val="75D84FE3"/>
    <w:rsid w:val="75F90919"/>
    <w:rsid w:val="75FF4306"/>
    <w:rsid w:val="760D740C"/>
    <w:rsid w:val="76141D4D"/>
    <w:rsid w:val="76357CC4"/>
    <w:rsid w:val="76444578"/>
    <w:rsid w:val="765669F5"/>
    <w:rsid w:val="76691145"/>
    <w:rsid w:val="766F1A27"/>
    <w:rsid w:val="768358EF"/>
    <w:rsid w:val="76A22321"/>
    <w:rsid w:val="76D42530"/>
    <w:rsid w:val="76EE1320"/>
    <w:rsid w:val="76F164C0"/>
    <w:rsid w:val="771F195D"/>
    <w:rsid w:val="7721355C"/>
    <w:rsid w:val="7729546A"/>
    <w:rsid w:val="77303B8E"/>
    <w:rsid w:val="773C5579"/>
    <w:rsid w:val="779F759B"/>
    <w:rsid w:val="77A41C5C"/>
    <w:rsid w:val="77BC1A89"/>
    <w:rsid w:val="77CB209C"/>
    <w:rsid w:val="77FC20BF"/>
    <w:rsid w:val="780C21F7"/>
    <w:rsid w:val="78183CC4"/>
    <w:rsid w:val="78223C7B"/>
    <w:rsid w:val="782329A4"/>
    <w:rsid w:val="78557036"/>
    <w:rsid w:val="786F5F76"/>
    <w:rsid w:val="788F56EA"/>
    <w:rsid w:val="78930863"/>
    <w:rsid w:val="789F5651"/>
    <w:rsid w:val="78BC4E0A"/>
    <w:rsid w:val="78E579A5"/>
    <w:rsid w:val="793F0F9D"/>
    <w:rsid w:val="79554310"/>
    <w:rsid w:val="796F3B9F"/>
    <w:rsid w:val="797C5D62"/>
    <w:rsid w:val="79866DC6"/>
    <w:rsid w:val="79F742DA"/>
    <w:rsid w:val="7A061B07"/>
    <w:rsid w:val="7A092ADA"/>
    <w:rsid w:val="7A57066B"/>
    <w:rsid w:val="7A6077CD"/>
    <w:rsid w:val="7A62297C"/>
    <w:rsid w:val="7A63527E"/>
    <w:rsid w:val="7A726A89"/>
    <w:rsid w:val="7AB13D21"/>
    <w:rsid w:val="7AB44880"/>
    <w:rsid w:val="7AC91631"/>
    <w:rsid w:val="7ADE406E"/>
    <w:rsid w:val="7AF56B2C"/>
    <w:rsid w:val="7B1776C5"/>
    <w:rsid w:val="7B303BCB"/>
    <w:rsid w:val="7B3C56BD"/>
    <w:rsid w:val="7B464AF5"/>
    <w:rsid w:val="7B4D3CCF"/>
    <w:rsid w:val="7B623925"/>
    <w:rsid w:val="7B6C596D"/>
    <w:rsid w:val="7B6D7FBD"/>
    <w:rsid w:val="7B91585F"/>
    <w:rsid w:val="7BB917F9"/>
    <w:rsid w:val="7BB97792"/>
    <w:rsid w:val="7BD629BF"/>
    <w:rsid w:val="7BDF40E5"/>
    <w:rsid w:val="7BE337FB"/>
    <w:rsid w:val="7C044119"/>
    <w:rsid w:val="7C091310"/>
    <w:rsid w:val="7C225B3E"/>
    <w:rsid w:val="7C414572"/>
    <w:rsid w:val="7C427DAD"/>
    <w:rsid w:val="7C451BC8"/>
    <w:rsid w:val="7C53000F"/>
    <w:rsid w:val="7C541A59"/>
    <w:rsid w:val="7C564D3A"/>
    <w:rsid w:val="7C5C48F8"/>
    <w:rsid w:val="7C6D071B"/>
    <w:rsid w:val="7C886865"/>
    <w:rsid w:val="7CBA2AE5"/>
    <w:rsid w:val="7CD23D4E"/>
    <w:rsid w:val="7CE03CA9"/>
    <w:rsid w:val="7D0363CE"/>
    <w:rsid w:val="7D1505F7"/>
    <w:rsid w:val="7D2C1368"/>
    <w:rsid w:val="7D2C49F6"/>
    <w:rsid w:val="7D3F1AD9"/>
    <w:rsid w:val="7D4412F9"/>
    <w:rsid w:val="7D530A95"/>
    <w:rsid w:val="7D540579"/>
    <w:rsid w:val="7D58664A"/>
    <w:rsid w:val="7D59267F"/>
    <w:rsid w:val="7D5A6453"/>
    <w:rsid w:val="7D6A5E4E"/>
    <w:rsid w:val="7D78472A"/>
    <w:rsid w:val="7D7A68C9"/>
    <w:rsid w:val="7D866D21"/>
    <w:rsid w:val="7D8948F9"/>
    <w:rsid w:val="7DE01018"/>
    <w:rsid w:val="7DE17ECF"/>
    <w:rsid w:val="7E187B45"/>
    <w:rsid w:val="7E1C4ED7"/>
    <w:rsid w:val="7E2A051C"/>
    <w:rsid w:val="7E314ECC"/>
    <w:rsid w:val="7E54516A"/>
    <w:rsid w:val="7E6E7C72"/>
    <w:rsid w:val="7E722603"/>
    <w:rsid w:val="7EA06EE6"/>
    <w:rsid w:val="7EB046B9"/>
    <w:rsid w:val="7ED23FD6"/>
    <w:rsid w:val="7EE73B5F"/>
    <w:rsid w:val="7EEF0F64"/>
    <w:rsid w:val="7F0A7F8C"/>
    <w:rsid w:val="7F0F3B6C"/>
    <w:rsid w:val="7F206C15"/>
    <w:rsid w:val="7F2A02E8"/>
    <w:rsid w:val="7F46492F"/>
    <w:rsid w:val="7F791B17"/>
    <w:rsid w:val="7FEB5F33"/>
    <w:rsid w:val="7FF053B6"/>
    <w:rsid w:val="7FF23775"/>
    <w:rsid w:val="7FF637CF"/>
    <w:rsid w:val="7FF804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ocked="1"/>
    <w:lsdException w:qFormat="1" w:uiPriority="1"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uiPriority="99"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qFormat="1" w:unhideWhenUsed="0" w:uiPriority="99" w:name="envelope address" w:locked="1"/>
    <w:lsdException w:qFormat="1" w:unhideWhenUsed="0" w:uiPriority="0" w:semiHidden="0"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kern w:val="2"/>
      <w:sz w:val="28"/>
      <w:szCs w:val="24"/>
      <w:lang w:val="en-US" w:eastAsia="zh-CN" w:bidi="ar-SA"/>
    </w:rPr>
  </w:style>
  <w:style w:type="paragraph" w:styleId="2">
    <w:name w:val="heading 1"/>
    <w:basedOn w:val="1"/>
    <w:next w:val="1"/>
    <w:link w:val="47"/>
    <w:qFormat/>
    <w:uiPriority w:val="0"/>
    <w:pPr>
      <w:widowControl/>
      <w:spacing w:before="340" w:after="330" w:line="576" w:lineRule="auto"/>
      <w:outlineLvl w:val="0"/>
    </w:pPr>
    <w:rPr>
      <w:bCs/>
      <w:kern w:val="36"/>
      <w:sz w:val="44"/>
      <w:szCs w:val="44"/>
    </w:rPr>
  </w:style>
  <w:style w:type="paragraph" w:styleId="3">
    <w:name w:val="heading 2"/>
    <w:basedOn w:val="1"/>
    <w:next w:val="1"/>
    <w:link w:val="48"/>
    <w:qFormat/>
    <w:locked/>
    <w:uiPriority w:val="1"/>
    <w:pPr>
      <w:keepNext/>
      <w:keepLines/>
      <w:spacing w:before="260" w:after="260" w:line="412" w:lineRule="auto"/>
      <w:jc w:val="center"/>
      <w:outlineLvl w:val="1"/>
    </w:pPr>
    <w:rPr>
      <w:rFonts w:ascii="Arial" w:hAnsi="Arial" w:eastAsiaTheme="majorEastAsia"/>
      <w:b w:val="0"/>
      <w:bCs/>
      <w:szCs w:val="32"/>
    </w:rPr>
  </w:style>
  <w:style w:type="paragraph" w:styleId="4">
    <w:name w:val="heading 3"/>
    <w:basedOn w:val="1"/>
    <w:next w:val="1"/>
    <w:link w:val="87"/>
    <w:unhideWhenUsed/>
    <w:qFormat/>
    <w:uiPriority w:val="1"/>
    <w:pPr>
      <w:keepNext/>
      <w:keepLines/>
      <w:spacing w:before="260" w:after="260" w:line="416" w:lineRule="auto"/>
      <w:outlineLvl w:val="2"/>
    </w:pPr>
    <w:rPr>
      <w:bCs/>
      <w:sz w:val="32"/>
      <w:szCs w:val="32"/>
    </w:rPr>
  </w:style>
  <w:style w:type="paragraph" w:styleId="5">
    <w:name w:val="heading 4"/>
    <w:basedOn w:val="1"/>
    <w:next w:val="1"/>
    <w:link w:val="90"/>
    <w:unhideWhenUsed/>
    <w:qFormat/>
    <w:uiPriority w:val="9"/>
    <w:pPr>
      <w:keepNext/>
      <w:keepLines/>
      <w:widowControl/>
      <w:snapToGrid w:val="0"/>
      <w:spacing w:line="360" w:lineRule="auto"/>
      <w:ind w:left="142"/>
      <w:jc w:val="left"/>
      <w:outlineLvl w:val="3"/>
    </w:pPr>
    <w:rPr>
      <w:rFonts w:eastAsia="楷体" w:cs="宋体"/>
      <w:kern w:val="0"/>
      <w:sz w:val="24"/>
      <w:szCs w:val="20"/>
    </w:rPr>
  </w:style>
  <w:style w:type="paragraph" w:styleId="6">
    <w:name w:val="heading 5"/>
    <w:basedOn w:val="1"/>
    <w:next w:val="1"/>
    <w:link w:val="91"/>
    <w:unhideWhenUsed/>
    <w:qFormat/>
    <w:uiPriority w:val="9"/>
    <w:pPr>
      <w:keepNext/>
      <w:keepLines/>
      <w:widowControl/>
      <w:spacing w:line="360" w:lineRule="auto"/>
      <w:jc w:val="left"/>
      <w:outlineLvl w:val="4"/>
    </w:pPr>
    <w:rPr>
      <w:rFonts w:ascii="宋体" w:hAnsi="宋体" w:cs="宋体"/>
      <w:kern w:val="0"/>
      <w:sz w:val="24"/>
      <w:szCs w:val="20"/>
    </w:rPr>
  </w:style>
  <w:style w:type="paragraph" w:styleId="7">
    <w:name w:val="heading 6"/>
    <w:next w:val="1"/>
    <w:link w:val="92"/>
    <w:unhideWhenUsed/>
    <w:qFormat/>
    <w:uiPriority w:val="9"/>
    <w:pPr>
      <w:jc w:val="both"/>
      <w:outlineLvl w:val="5"/>
    </w:pPr>
    <w:rPr>
      <w:rFonts w:ascii="Calibri" w:hAnsi="Calibri" w:eastAsia="等线" w:cs="Times New Roman"/>
      <w:b/>
      <w:sz w:val="21"/>
      <w:szCs w:val="21"/>
      <w:lang w:val="en-US" w:eastAsia="zh-CN" w:bidi="ar-SA"/>
    </w:rPr>
  </w:style>
  <w:style w:type="paragraph" w:styleId="8">
    <w:name w:val="heading 7"/>
    <w:next w:val="1"/>
    <w:link w:val="93"/>
    <w:qFormat/>
    <w:uiPriority w:val="9"/>
    <w:pPr>
      <w:ind w:left="1800" w:hanging="400"/>
      <w:jc w:val="both"/>
      <w:outlineLvl w:val="6"/>
    </w:pPr>
    <w:rPr>
      <w:rFonts w:ascii="Calibri" w:hAnsi="Calibri" w:eastAsia="等线" w:cs="Times New Roman"/>
      <w:sz w:val="21"/>
      <w:szCs w:val="21"/>
      <w:lang w:val="en-US" w:eastAsia="zh-CN" w:bidi="ar-SA"/>
    </w:rPr>
  </w:style>
  <w:style w:type="paragraph" w:styleId="9">
    <w:name w:val="heading 8"/>
    <w:next w:val="1"/>
    <w:link w:val="94"/>
    <w:qFormat/>
    <w:uiPriority w:val="9"/>
    <w:pPr>
      <w:ind w:left="2000" w:hanging="400"/>
      <w:jc w:val="both"/>
      <w:outlineLvl w:val="7"/>
    </w:pPr>
    <w:rPr>
      <w:rFonts w:ascii="Calibri" w:hAnsi="Calibri" w:eastAsia="等线" w:cs="Times New Roman"/>
      <w:sz w:val="21"/>
      <w:szCs w:val="21"/>
      <w:lang w:val="en-US" w:eastAsia="zh-CN" w:bidi="ar-SA"/>
    </w:rPr>
  </w:style>
  <w:style w:type="paragraph" w:styleId="10">
    <w:name w:val="heading 9"/>
    <w:next w:val="1"/>
    <w:link w:val="95"/>
    <w:qFormat/>
    <w:uiPriority w:val="9"/>
    <w:pPr>
      <w:ind w:left="2200" w:hanging="400"/>
      <w:jc w:val="both"/>
      <w:outlineLvl w:val="8"/>
    </w:pPr>
    <w:rPr>
      <w:rFonts w:ascii="Calibri" w:hAnsi="Calibri" w:eastAsia="等线" w:cs="Times New Roman"/>
      <w:sz w:val="21"/>
      <w:szCs w:val="21"/>
      <w:lang w:val="en-US" w:eastAsia="zh-CN" w:bidi="ar-SA"/>
    </w:rPr>
  </w:style>
  <w:style w:type="character" w:default="1" w:styleId="3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b w:val="0"/>
      <w:sz w:val="21"/>
      <w:szCs w:val="22"/>
      <w14:ligatures w14:val="standardContextual"/>
    </w:rPr>
  </w:style>
  <w:style w:type="paragraph" w:styleId="12">
    <w:name w:val="envelope address"/>
    <w:basedOn w:val="1"/>
    <w:semiHidden/>
    <w:qFormat/>
    <w:locked/>
    <w:uiPriority w:val="99"/>
    <w:pPr>
      <w:framePr w:w="7920" w:h="1980" w:hRule="exact" w:hSpace="180" w:wrap="around" w:vAnchor="margin" w:hAnchor="page" w:xAlign="center" w:yAlign="bottom"/>
      <w:widowControl/>
      <w:snapToGrid w:val="0"/>
      <w:ind w:left="100" w:leftChars="1400"/>
      <w:jc w:val="left"/>
    </w:pPr>
    <w:rPr>
      <w:rFonts w:ascii="Corbel" w:hAnsi="Corbel" w:cs="宋体"/>
      <w:b w:val="0"/>
      <w:kern w:val="0"/>
      <w:sz w:val="24"/>
    </w:rPr>
  </w:style>
  <w:style w:type="paragraph" w:styleId="13">
    <w:name w:val="annotation text"/>
    <w:basedOn w:val="1"/>
    <w:link w:val="83"/>
    <w:qFormat/>
    <w:locked/>
    <w:uiPriority w:val="99"/>
    <w:pPr>
      <w:jc w:val="left"/>
    </w:pPr>
  </w:style>
  <w:style w:type="paragraph" w:styleId="14">
    <w:name w:val="Body Text"/>
    <w:basedOn w:val="1"/>
    <w:qFormat/>
    <w:locked/>
    <w:uiPriority w:val="0"/>
    <w:pPr>
      <w:jc w:val="center"/>
    </w:pPr>
    <w:rPr>
      <w:rFonts w:ascii="宋体" w:hAnsi="宋体"/>
      <w:bCs/>
      <w:color w:val="000000"/>
      <w:sz w:val="72"/>
      <w:szCs w:val="20"/>
    </w:rPr>
  </w:style>
  <w:style w:type="paragraph" w:styleId="15">
    <w:name w:val="Body Text Indent"/>
    <w:basedOn w:val="1"/>
    <w:qFormat/>
    <w:locked/>
    <w:uiPriority w:val="0"/>
    <w:pPr>
      <w:spacing w:line="460" w:lineRule="exact"/>
      <w:ind w:firstLine="482" w:firstLineChars="200"/>
    </w:pPr>
    <w:rPr>
      <w:rFonts w:ascii="Calibri" w:hAnsi="Calibri"/>
      <w:bCs/>
      <w:sz w:val="24"/>
      <w:shd w:val="clear" w:color="auto" w:fill="CCCCCC"/>
    </w:rPr>
  </w:style>
  <w:style w:type="paragraph" w:styleId="16">
    <w:name w:val="Block Text"/>
    <w:basedOn w:val="1"/>
    <w:semiHidden/>
    <w:qFormat/>
    <w:locked/>
    <w:uiPriority w:val="99"/>
    <w:pPr>
      <w:widowControl/>
      <w:spacing w:after="120"/>
      <w:ind w:left="1440" w:leftChars="700" w:right="1440" w:rightChars="700"/>
      <w:jc w:val="left"/>
    </w:pPr>
    <w:rPr>
      <w:rFonts w:ascii="宋体" w:hAnsi="宋体" w:cs="宋体"/>
      <w:b w:val="0"/>
      <w:kern w:val="0"/>
      <w:sz w:val="24"/>
    </w:rPr>
  </w:style>
  <w:style w:type="paragraph" w:styleId="17">
    <w:name w:val="toc 5"/>
    <w:basedOn w:val="1"/>
    <w:next w:val="1"/>
    <w:unhideWhenUsed/>
    <w:qFormat/>
    <w:uiPriority w:val="39"/>
    <w:pPr>
      <w:ind w:left="1680" w:leftChars="800"/>
    </w:pPr>
    <w:rPr>
      <w:rFonts w:asciiTheme="minorHAnsi" w:hAnsiTheme="minorHAnsi" w:eastAsiaTheme="minorEastAsia" w:cstheme="minorBidi"/>
      <w:b w:val="0"/>
      <w:sz w:val="21"/>
      <w:szCs w:val="22"/>
      <w14:ligatures w14:val="standardContextual"/>
    </w:rPr>
  </w:style>
  <w:style w:type="paragraph" w:styleId="18">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9">
    <w:name w:val="Plain Text"/>
    <w:basedOn w:val="1"/>
    <w:link w:val="54"/>
    <w:qFormat/>
    <w:uiPriority w:val="99"/>
    <w:pPr>
      <w:widowControl/>
      <w:overflowPunct w:val="0"/>
      <w:autoSpaceDE w:val="0"/>
      <w:autoSpaceDN w:val="0"/>
      <w:adjustRightInd w:val="0"/>
      <w:jc w:val="left"/>
      <w:textAlignment w:val="baseline"/>
    </w:pPr>
    <w:rPr>
      <w:rFonts w:ascii="宋体" w:hAnsi="Courier New"/>
      <w:kern w:val="0"/>
      <w:szCs w:val="21"/>
    </w:rPr>
  </w:style>
  <w:style w:type="paragraph" w:styleId="20">
    <w:name w:val="toc 8"/>
    <w:basedOn w:val="1"/>
    <w:next w:val="1"/>
    <w:unhideWhenUsed/>
    <w:qFormat/>
    <w:uiPriority w:val="39"/>
    <w:pPr>
      <w:ind w:left="2940" w:leftChars="1400"/>
    </w:pPr>
    <w:rPr>
      <w:rFonts w:asciiTheme="minorHAnsi" w:hAnsiTheme="minorHAnsi" w:eastAsiaTheme="minorEastAsia" w:cstheme="minorBidi"/>
      <w:b w:val="0"/>
      <w:sz w:val="21"/>
      <w:szCs w:val="22"/>
      <w14:ligatures w14:val="standardContextual"/>
    </w:rPr>
  </w:style>
  <w:style w:type="paragraph" w:styleId="21">
    <w:name w:val="Date"/>
    <w:basedOn w:val="1"/>
    <w:next w:val="1"/>
    <w:link w:val="50"/>
    <w:qFormat/>
    <w:uiPriority w:val="99"/>
    <w:pPr>
      <w:ind w:left="100" w:leftChars="2500"/>
    </w:pPr>
  </w:style>
  <w:style w:type="paragraph" w:styleId="22">
    <w:name w:val="Balloon Text"/>
    <w:basedOn w:val="1"/>
    <w:link w:val="51"/>
    <w:qFormat/>
    <w:uiPriority w:val="99"/>
    <w:rPr>
      <w:sz w:val="18"/>
      <w:szCs w:val="18"/>
    </w:rPr>
  </w:style>
  <w:style w:type="paragraph" w:styleId="23">
    <w:name w:val="footer"/>
    <w:basedOn w:val="1"/>
    <w:link w:val="52"/>
    <w:qFormat/>
    <w:uiPriority w:val="99"/>
    <w:pPr>
      <w:tabs>
        <w:tab w:val="center" w:pos="4153"/>
        <w:tab w:val="right" w:pos="8306"/>
      </w:tabs>
      <w:snapToGrid w:val="0"/>
      <w:jc w:val="left"/>
    </w:pPr>
    <w:rPr>
      <w:rFonts w:ascii="Calibri" w:hAnsi="Calibri" w:cs="Calibri"/>
      <w:sz w:val="18"/>
      <w:szCs w:val="18"/>
    </w:rPr>
  </w:style>
  <w:style w:type="paragraph" w:styleId="24">
    <w:name w:val="envelope return"/>
    <w:basedOn w:val="1"/>
    <w:qFormat/>
    <w:locked/>
    <w:uiPriority w:val="0"/>
    <w:pPr>
      <w:adjustRightInd w:val="0"/>
      <w:snapToGrid w:val="0"/>
      <w:spacing w:line="360" w:lineRule="auto"/>
      <w:textAlignment w:val="baseline"/>
    </w:pPr>
    <w:rPr>
      <w:rFonts w:ascii="Arial" w:hAnsi="Arial" w:eastAsia="仿宋" w:cs="Arial"/>
      <w:kern w:val="0"/>
      <w:szCs w:val="21"/>
    </w:rPr>
  </w:style>
  <w:style w:type="paragraph" w:styleId="25">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widowControl/>
      <w:spacing w:after="100" w:line="276" w:lineRule="auto"/>
      <w:jc w:val="left"/>
    </w:pPr>
    <w:rPr>
      <w:rFonts w:ascii="Calibri" w:hAnsi="Calibri"/>
      <w:kern w:val="0"/>
      <w:sz w:val="22"/>
      <w:szCs w:val="22"/>
    </w:rPr>
  </w:style>
  <w:style w:type="paragraph" w:styleId="27">
    <w:name w:val="toc 4"/>
    <w:basedOn w:val="1"/>
    <w:next w:val="1"/>
    <w:unhideWhenUsed/>
    <w:qFormat/>
    <w:uiPriority w:val="39"/>
    <w:pPr>
      <w:ind w:left="1260" w:leftChars="600"/>
    </w:pPr>
    <w:rPr>
      <w:rFonts w:asciiTheme="minorHAnsi" w:hAnsiTheme="minorHAnsi" w:eastAsiaTheme="minorEastAsia" w:cstheme="minorBidi"/>
      <w:b w:val="0"/>
      <w:sz w:val="21"/>
      <w:szCs w:val="22"/>
      <w14:ligatures w14:val="standardContextual"/>
    </w:rPr>
  </w:style>
  <w:style w:type="paragraph" w:styleId="28">
    <w:name w:val="toc 6"/>
    <w:basedOn w:val="1"/>
    <w:next w:val="1"/>
    <w:qFormat/>
    <w:uiPriority w:val="39"/>
    <w:pPr>
      <w:ind w:left="2100" w:leftChars="1000"/>
    </w:pPr>
  </w:style>
  <w:style w:type="paragraph" w:styleId="29">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30">
    <w:name w:val="toc 9"/>
    <w:basedOn w:val="1"/>
    <w:next w:val="1"/>
    <w:unhideWhenUsed/>
    <w:qFormat/>
    <w:uiPriority w:val="39"/>
    <w:pPr>
      <w:ind w:left="3360" w:leftChars="1600"/>
    </w:pPr>
    <w:rPr>
      <w:rFonts w:asciiTheme="minorHAnsi" w:hAnsiTheme="minorHAnsi" w:eastAsiaTheme="minorEastAsia" w:cstheme="minorBidi"/>
      <w:b w:val="0"/>
      <w:sz w:val="21"/>
      <w:szCs w:val="22"/>
      <w14:ligatures w14:val="standardContextual"/>
    </w:rPr>
  </w:style>
  <w:style w:type="paragraph" w:styleId="31">
    <w:name w:val="Normal (Web)"/>
    <w:basedOn w:val="1"/>
    <w:qFormat/>
    <w:uiPriority w:val="99"/>
    <w:pPr>
      <w:spacing w:beforeAutospacing="1" w:afterAutospacing="1"/>
      <w:jc w:val="left"/>
    </w:pPr>
    <w:rPr>
      <w:kern w:val="0"/>
      <w:sz w:val="24"/>
    </w:rPr>
  </w:style>
  <w:style w:type="paragraph" w:styleId="32">
    <w:name w:val="Title"/>
    <w:basedOn w:val="1"/>
    <w:next w:val="1"/>
    <w:link w:val="81"/>
    <w:qFormat/>
    <w:uiPriority w:val="10"/>
    <w:pPr>
      <w:numPr>
        <w:ilvl w:val="0"/>
        <w:numId w:val="1"/>
      </w:numPr>
      <w:spacing w:before="240" w:after="60"/>
      <w:jc w:val="center"/>
      <w:outlineLvl w:val="0"/>
    </w:pPr>
    <w:rPr>
      <w:rFonts w:asciiTheme="majorHAnsi" w:hAnsiTheme="majorHAnsi" w:cstheme="majorBidi"/>
      <w:bCs/>
      <w:sz w:val="32"/>
      <w:szCs w:val="32"/>
    </w:rPr>
  </w:style>
  <w:style w:type="paragraph" w:styleId="33">
    <w:name w:val="annotation subject"/>
    <w:basedOn w:val="13"/>
    <w:next w:val="13"/>
    <w:link w:val="88"/>
    <w:unhideWhenUsed/>
    <w:qFormat/>
    <w:locked/>
    <w:uiPriority w:val="99"/>
    <w:rPr>
      <w:bCs/>
    </w:rPr>
  </w:style>
  <w:style w:type="paragraph" w:styleId="34">
    <w:name w:val="Body Text First Indent"/>
    <w:basedOn w:val="14"/>
    <w:next w:val="1"/>
    <w:qFormat/>
    <w:locked/>
    <w:uiPriority w:val="0"/>
    <w:pPr>
      <w:spacing w:line="380" w:lineRule="exact"/>
      <w:ind w:firstLine="200" w:firstLineChars="200"/>
      <w:jc w:val="left"/>
    </w:pPr>
    <w:rPr>
      <w:rFonts w:ascii="Calibri" w:hAnsi="Calibri"/>
      <w:b w:val="0"/>
      <w:szCs w:val="21"/>
    </w:rPr>
  </w:style>
  <w:style w:type="paragraph" w:styleId="35">
    <w:name w:val="Body Text First Indent 2"/>
    <w:basedOn w:val="15"/>
    <w:qFormat/>
    <w:locked/>
    <w:uiPriority w:val="0"/>
    <w:pPr>
      <w:tabs>
        <w:tab w:val="left" w:pos="0"/>
        <w:tab w:val="left" w:pos="993"/>
        <w:tab w:val="left" w:pos="1134"/>
      </w:tabs>
    </w:p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Medium Shading 1 Accent 1"/>
    <w:basedOn w:val="36"/>
    <w:qFormat/>
    <w:uiPriority w:val="63"/>
    <w:rPr>
      <w:rFonts w:ascii="Corbel" w:hAnsi="Corbel" w:eastAsia="华文楷体" w:cs="宋体"/>
      <w:kern w:val="2"/>
      <w:sz w:val="21"/>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40">
    <w:name w:val="Strong"/>
    <w:basedOn w:val="39"/>
    <w:qFormat/>
    <w:uiPriority w:val="22"/>
    <w:rPr>
      <w:rFonts w:cs="Times New Roman"/>
      <w:b/>
      <w:bCs/>
    </w:rPr>
  </w:style>
  <w:style w:type="character" w:styleId="41">
    <w:name w:val="page number"/>
    <w:basedOn w:val="39"/>
    <w:qFormat/>
    <w:uiPriority w:val="99"/>
    <w:rPr>
      <w:rFonts w:cs="Times New Roman"/>
    </w:rPr>
  </w:style>
  <w:style w:type="character" w:styleId="42">
    <w:name w:val="FollowedHyperlink"/>
    <w:basedOn w:val="39"/>
    <w:semiHidden/>
    <w:qFormat/>
    <w:uiPriority w:val="99"/>
    <w:rPr>
      <w:rFonts w:cs="Times New Roman"/>
      <w:color w:val="343434"/>
      <w:u w:val="none"/>
    </w:rPr>
  </w:style>
  <w:style w:type="character" w:styleId="43">
    <w:name w:val="Emphasis"/>
    <w:basedOn w:val="39"/>
    <w:qFormat/>
    <w:uiPriority w:val="20"/>
    <w:rPr>
      <w:rFonts w:cs="Times New Roman"/>
      <w:i/>
    </w:rPr>
  </w:style>
  <w:style w:type="character" w:styleId="44">
    <w:name w:val="Hyperlink"/>
    <w:basedOn w:val="39"/>
    <w:qFormat/>
    <w:uiPriority w:val="99"/>
    <w:rPr>
      <w:rFonts w:cs="Times New Roman"/>
      <w:color w:val="0000FF"/>
      <w:u w:val="single"/>
    </w:rPr>
  </w:style>
  <w:style w:type="character" w:styleId="45">
    <w:name w:val="annotation reference"/>
    <w:basedOn w:val="39"/>
    <w:unhideWhenUsed/>
    <w:qFormat/>
    <w:locked/>
    <w:uiPriority w:val="99"/>
    <w:rPr>
      <w:sz w:val="21"/>
      <w:szCs w:val="21"/>
    </w:rPr>
  </w:style>
  <w:style w:type="paragraph" w:customStyle="1" w:styleId="46">
    <w:name w:val="首行缩进"/>
    <w:basedOn w:val="1"/>
    <w:qFormat/>
    <w:uiPriority w:val="0"/>
    <w:pPr>
      <w:spacing w:line="360" w:lineRule="auto"/>
      <w:ind w:firstLine="480" w:firstLineChars="200"/>
    </w:pPr>
    <w:rPr>
      <w:sz w:val="24"/>
      <w:lang w:val="zh-CN"/>
    </w:rPr>
  </w:style>
  <w:style w:type="character" w:customStyle="1" w:styleId="47">
    <w:name w:val="标题 1 字符"/>
    <w:basedOn w:val="39"/>
    <w:link w:val="2"/>
    <w:qFormat/>
    <w:locked/>
    <w:uiPriority w:val="0"/>
    <w:rPr>
      <w:rFonts w:cs="Times New Roman"/>
      <w:b/>
      <w:bCs/>
      <w:kern w:val="44"/>
      <w:sz w:val="44"/>
      <w:szCs w:val="44"/>
    </w:rPr>
  </w:style>
  <w:style w:type="character" w:customStyle="1" w:styleId="48">
    <w:name w:val="标题 2 字符"/>
    <w:basedOn w:val="39"/>
    <w:link w:val="3"/>
    <w:qFormat/>
    <w:locked/>
    <w:uiPriority w:val="1"/>
    <w:rPr>
      <w:rFonts w:ascii="Arial" w:hAnsi="Arial" w:eastAsiaTheme="majorEastAsia"/>
      <w:b/>
      <w:bCs/>
      <w:kern w:val="2"/>
      <w:sz w:val="28"/>
      <w:szCs w:val="32"/>
    </w:rPr>
  </w:style>
  <w:style w:type="character" w:customStyle="1" w:styleId="49">
    <w:name w:val="Plain Text Char"/>
    <w:basedOn w:val="39"/>
    <w:qFormat/>
    <w:locked/>
    <w:uiPriority w:val="99"/>
    <w:rPr>
      <w:rFonts w:ascii="宋体" w:hAnsi="Courier New" w:eastAsia="宋体" w:cs="Times New Roman"/>
      <w:sz w:val="21"/>
      <w:szCs w:val="21"/>
      <w:lang w:val="en-US" w:eastAsia="zh-CN" w:bidi="ar-SA"/>
    </w:rPr>
  </w:style>
  <w:style w:type="character" w:customStyle="1" w:styleId="50">
    <w:name w:val="日期 字符"/>
    <w:basedOn w:val="39"/>
    <w:link w:val="21"/>
    <w:semiHidden/>
    <w:qFormat/>
    <w:locked/>
    <w:uiPriority w:val="99"/>
    <w:rPr>
      <w:rFonts w:cs="Times New Roman"/>
      <w:sz w:val="24"/>
      <w:szCs w:val="24"/>
    </w:rPr>
  </w:style>
  <w:style w:type="character" w:customStyle="1" w:styleId="51">
    <w:name w:val="批注框文本 字符"/>
    <w:basedOn w:val="39"/>
    <w:link w:val="22"/>
    <w:qFormat/>
    <w:locked/>
    <w:uiPriority w:val="99"/>
    <w:rPr>
      <w:rFonts w:cs="Times New Roman"/>
      <w:kern w:val="2"/>
      <w:sz w:val="18"/>
      <w:szCs w:val="18"/>
    </w:rPr>
  </w:style>
  <w:style w:type="character" w:customStyle="1" w:styleId="52">
    <w:name w:val="页脚 字符"/>
    <w:basedOn w:val="39"/>
    <w:link w:val="23"/>
    <w:qFormat/>
    <w:locked/>
    <w:uiPriority w:val="99"/>
    <w:rPr>
      <w:rFonts w:cs="Times New Roman"/>
      <w:sz w:val="18"/>
      <w:szCs w:val="18"/>
    </w:rPr>
  </w:style>
  <w:style w:type="character" w:customStyle="1" w:styleId="53">
    <w:name w:val="Header Char"/>
    <w:basedOn w:val="39"/>
    <w:qFormat/>
    <w:locked/>
    <w:uiPriority w:val="99"/>
    <w:rPr>
      <w:rFonts w:cs="Times New Roman"/>
      <w:kern w:val="2"/>
      <w:sz w:val="18"/>
      <w:szCs w:val="18"/>
    </w:rPr>
  </w:style>
  <w:style w:type="character" w:customStyle="1" w:styleId="54">
    <w:name w:val="纯文本 字符"/>
    <w:basedOn w:val="39"/>
    <w:link w:val="19"/>
    <w:semiHidden/>
    <w:qFormat/>
    <w:locked/>
    <w:uiPriority w:val="99"/>
    <w:rPr>
      <w:rFonts w:ascii="宋体" w:hAnsi="Courier New" w:cs="Courier New"/>
      <w:sz w:val="21"/>
      <w:szCs w:val="21"/>
    </w:rPr>
  </w:style>
  <w:style w:type="character" w:customStyle="1" w:styleId="55">
    <w:name w:val="页眉 字符"/>
    <w:basedOn w:val="39"/>
    <w:link w:val="25"/>
    <w:semiHidden/>
    <w:qFormat/>
    <w:locked/>
    <w:uiPriority w:val="99"/>
    <w:rPr>
      <w:rFonts w:cs="Times New Roman"/>
      <w:sz w:val="18"/>
      <w:szCs w:val="18"/>
    </w:rPr>
  </w:style>
  <w:style w:type="character" w:customStyle="1" w:styleId="56">
    <w:name w:val="16"/>
    <w:basedOn w:val="39"/>
    <w:qFormat/>
    <w:uiPriority w:val="99"/>
    <w:rPr>
      <w:rFonts w:ascii="Times New Roman" w:hAnsi="Times New Roman" w:cs="Times New Roman"/>
      <w:sz w:val="20"/>
      <w:szCs w:val="20"/>
    </w:rPr>
  </w:style>
  <w:style w:type="character" w:customStyle="1" w:styleId="57">
    <w:name w:val="s3"/>
    <w:basedOn w:val="39"/>
    <w:qFormat/>
    <w:uiPriority w:val="99"/>
    <w:rPr>
      <w:rFonts w:cs="Times New Roman"/>
    </w:rPr>
  </w:style>
  <w:style w:type="character" w:customStyle="1" w:styleId="58">
    <w:name w:val="apple-converted-space"/>
    <w:basedOn w:val="39"/>
    <w:qFormat/>
    <w:uiPriority w:val="99"/>
    <w:rPr>
      <w:rFonts w:cs="Times New Roman"/>
    </w:rPr>
  </w:style>
  <w:style w:type="character" w:customStyle="1" w:styleId="59">
    <w:name w:val="font01"/>
    <w:basedOn w:val="39"/>
    <w:qFormat/>
    <w:uiPriority w:val="0"/>
    <w:rPr>
      <w:rFonts w:ascii="宋体" w:hAnsi="宋体" w:eastAsia="宋体" w:cs="宋体"/>
      <w:color w:val="000000"/>
      <w:sz w:val="24"/>
      <w:szCs w:val="24"/>
    </w:rPr>
  </w:style>
  <w:style w:type="character" w:customStyle="1" w:styleId="60">
    <w:name w:val="15"/>
    <w:basedOn w:val="39"/>
    <w:qFormat/>
    <w:uiPriority w:val="99"/>
    <w:rPr>
      <w:rFonts w:ascii="Times New Roman" w:hAnsi="Times New Roman" w:cs="Times New Roman"/>
      <w:color w:val="0000FF"/>
      <w:sz w:val="20"/>
      <w:szCs w:val="20"/>
      <w:u w:val="single"/>
    </w:rPr>
  </w:style>
  <w:style w:type="character" w:customStyle="1" w:styleId="61">
    <w:name w:val="bumpedfont15"/>
    <w:basedOn w:val="39"/>
    <w:qFormat/>
    <w:uiPriority w:val="99"/>
    <w:rPr>
      <w:rFonts w:cs="Times New Roman"/>
    </w:rPr>
  </w:style>
  <w:style w:type="paragraph" w:customStyle="1" w:styleId="62">
    <w:name w:val="s4"/>
    <w:basedOn w:val="1"/>
    <w:qFormat/>
    <w:uiPriority w:val="99"/>
    <w:pPr>
      <w:widowControl/>
      <w:spacing w:before="100" w:beforeAutospacing="1" w:after="100" w:afterAutospacing="1"/>
      <w:jc w:val="left"/>
    </w:pPr>
    <w:rPr>
      <w:rFonts w:ascii="宋体" w:hAnsi="宋体" w:cs="宋体"/>
      <w:kern w:val="0"/>
      <w:sz w:val="24"/>
    </w:rPr>
  </w:style>
  <w:style w:type="paragraph" w:customStyle="1" w:styleId="63">
    <w:name w:val="p19"/>
    <w:basedOn w:val="1"/>
    <w:qFormat/>
    <w:uiPriority w:val="99"/>
    <w:pPr>
      <w:widowControl/>
      <w:ind w:left="840"/>
    </w:pPr>
    <w:rPr>
      <w:kern w:val="0"/>
      <w:szCs w:val="21"/>
    </w:rPr>
  </w:style>
  <w:style w:type="paragraph" w:customStyle="1" w:styleId="64">
    <w:name w:val="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
    <w:name w:val="p15"/>
    <w:basedOn w:val="1"/>
    <w:qFormat/>
    <w:uiPriority w:val="99"/>
    <w:pPr>
      <w:widowControl/>
    </w:pPr>
    <w:rPr>
      <w:rFonts w:ascii="Calibri" w:hAnsi="Calibri" w:cs="宋体"/>
      <w:kern w:val="0"/>
      <w:szCs w:val="21"/>
    </w:rPr>
  </w:style>
  <w:style w:type="paragraph" w:customStyle="1" w:styleId="66">
    <w:name w:val="p20"/>
    <w:basedOn w:val="1"/>
    <w:qFormat/>
    <w:uiPriority w:val="99"/>
    <w:pPr>
      <w:widowControl/>
      <w:ind w:left="420"/>
    </w:pPr>
    <w:rPr>
      <w:kern w:val="0"/>
      <w:szCs w:val="21"/>
    </w:rPr>
  </w:style>
  <w:style w:type="paragraph" w:customStyle="1" w:styleId="67">
    <w:name w:val="p0"/>
    <w:basedOn w:val="1"/>
    <w:qFormat/>
    <w:uiPriority w:val="99"/>
    <w:pPr>
      <w:widowControl/>
    </w:pPr>
    <w:rPr>
      <w:kern w:val="0"/>
      <w:szCs w:val="21"/>
    </w:rPr>
  </w:style>
  <w:style w:type="paragraph" w:customStyle="1" w:styleId="68">
    <w:name w:val="s13"/>
    <w:basedOn w:val="1"/>
    <w:qFormat/>
    <w:uiPriority w:val="99"/>
    <w:pPr>
      <w:widowControl/>
      <w:spacing w:before="100" w:beforeAutospacing="1" w:after="100" w:afterAutospacing="1"/>
      <w:jc w:val="left"/>
    </w:pPr>
    <w:rPr>
      <w:rFonts w:ascii="宋体" w:hAnsi="宋体" w:cs="宋体"/>
      <w:kern w:val="0"/>
      <w:sz w:val="24"/>
    </w:rPr>
  </w:style>
  <w:style w:type="paragraph" w:customStyle="1" w:styleId="69">
    <w:name w:val="p21"/>
    <w:basedOn w:val="1"/>
    <w:qFormat/>
    <w:uiPriority w:val="99"/>
    <w:pPr>
      <w:widowControl/>
      <w:spacing w:line="440" w:lineRule="atLeast"/>
      <w:jc w:val="center"/>
    </w:pPr>
    <w:rPr>
      <w:kern w:val="0"/>
      <w:szCs w:val="21"/>
    </w:rPr>
  </w:style>
  <w:style w:type="paragraph" w:customStyle="1" w:styleId="70">
    <w:name w:val="s5"/>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s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
    <w:name w:val="p16"/>
    <w:basedOn w:val="1"/>
    <w:qFormat/>
    <w:uiPriority w:val="99"/>
    <w:pPr>
      <w:widowControl/>
      <w:spacing w:before="100" w:line="400" w:lineRule="atLeast"/>
    </w:pPr>
    <w:rPr>
      <w:kern w:val="0"/>
      <w:szCs w:val="28"/>
    </w:rPr>
  </w:style>
  <w:style w:type="paragraph" w:customStyle="1" w:styleId="73">
    <w:name w:val="p23"/>
    <w:basedOn w:val="1"/>
    <w:qFormat/>
    <w:uiPriority w:val="99"/>
    <w:pPr>
      <w:widowControl/>
      <w:spacing w:before="100" w:line="400" w:lineRule="atLeast"/>
    </w:pPr>
    <w:rPr>
      <w:kern w:val="0"/>
      <w:szCs w:val="28"/>
    </w:rPr>
  </w:style>
  <w:style w:type="paragraph" w:customStyle="1" w:styleId="74">
    <w:name w:val="_Style 43"/>
    <w:basedOn w:val="1"/>
    <w:next w:val="1"/>
    <w:qFormat/>
    <w:uiPriority w:val="99"/>
    <w:pPr>
      <w:pBdr>
        <w:bottom w:val="single" w:color="auto" w:sz="6" w:space="1"/>
      </w:pBdr>
      <w:jc w:val="center"/>
    </w:pPr>
    <w:rPr>
      <w:rFonts w:ascii="Arial"/>
      <w:vanish/>
      <w:sz w:val="16"/>
    </w:rPr>
  </w:style>
  <w:style w:type="paragraph" w:customStyle="1" w:styleId="75">
    <w:name w:val="_Style 44"/>
    <w:basedOn w:val="1"/>
    <w:next w:val="1"/>
    <w:qFormat/>
    <w:uiPriority w:val="99"/>
    <w:pPr>
      <w:pBdr>
        <w:top w:val="single" w:color="auto" w:sz="6" w:space="1"/>
      </w:pBdr>
      <w:jc w:val="center"/>
    </w:pPr>
    <w:rPr>
      <w:rFonts w:ascii="Arial"/>
      <w:vanish/>
      <w:sz w:val="16"/>
    </w:rPr>
  </w:style>
  <w:style w:type="paragraph" w:customStyle="1" w:styleId="76">
    <w:name w:val="TOC 标题1"/>
    <w:basedOn w:val="2"/>
    <w:next w:val="1"/>
    <w:semiHidden/>
    <w:qFormat/>
    <w:uiPriority w:val="99"/>
    <w:pPr>
      <w:keepNext/>
      <w:keepLines/>
      <w:spacing w:before="480" w:after="0" w:line="276" w:lineRule="auto"/>
      <w:jc w:val="left"/>
      <w:outlineLvl w:val="9"/>
    </w:pPr>
    <w:rPr>
      <w:rFonts w:ascii="Cambria" w:hAnsi="Cambria"/>
      <w:color w:val="365F91"/>
      <w:kern w:val="0"/>
      <w:sz w:val="28"/>
      <w:szCs w:val="28"/>
    </w:rPr>
  </w:style>
  <w:style w:type="character" w:customStyle="1" w:styleId="77">
    <w:name w:val="font21"/>
    <w:basedOn w:val="39"/>
    <w:qFormat/>
    <w:uiPriority w:val="99"/>
    <w:rPr>
      <w:rFonts w:ascii="宋体" w:hAnsi="宋体" w:eastAsia="宋体" w:cs="Times New Roman"/>
      <w:b/>
      <w:bCs/>
      <w:color w:val="000000"/>
      <w:sz w:val="36"/>
      <w:szCs w:val="36"/>
      <w:u w:val="none"/>
    </w:rPr>
  </w:style>
  <w:style w:type="paragraph" w:customStyle="1" w:styleId="78">
    <w:name w:val="列表段落1"/>
    <w:basedOn w:val="1"/>
    <w:qFormat/>
    <w:uiPriority w:val="34"/>
    <w:pPr>
      <w:ind w:firstLine="420" w:firstLineChars="200"/>
    </w:pPr>
    <w:rPr>
      <w:szCs w:val="20"/>
    </w:rPr>
  </w:style>
  <w:style w:type="paragraph" w:customStyle="1" w:styleId="79">
    <w:name w:val="公式"/>
    <w:basedOn w:val="1"/>
    <w:link w:val="84"/>
    <w:qFormat/>
    <w:uiPriority w:val="0"/>
    <w:pPr>
      <w:widowControl/>
      <w:snapToGrid w:val="0"/>
      <w:spacing w:before="160" w:after="160"/>
      <w:jc w:val="center"/>
    </w:pPr>
    <w:rPr>
      <w:rFonts w:ascii="Cambria Math" w:hAnsi="Cambria Math" w:eastAsia="黑体"/>
      <w:bCs/>
      <w:spacing w:val="-10"/>
      <w:kern w:val="0"/>
      <w:szCs w:val="28"/>
    </w:rPr>
  </w:style>
  <w:style w:type="paragraph" w:customStyle="1" w:styleId="80">
    <w:name w:val="表格内容"/>
    <w:basedOn w:val="1"/>
    <w:link w:val="85"/>
    <w:qFormat/>
    <w:uiPriority w:val="0"/>
    <w:pPr>
      <w:widowControl/>
      <w:adjustRightInd w:val="0"/>
      <w:snapToGrid w:val="0"/>
      <w:jc w:val="center"/>
    </w:pPr>
    <w:rPr>
      <w:rFonts w:ascii="宋体" w:hAnsi="宋体" w:eastAsia="华文楷体" w:cs="宋体"/>
      <w:color w:val="000000"/>
      <w:kern w:val="0"/>
      <w:sz w:val="18"/>
      <w:szCs w:val="18"/>
    </w:rPr>
  </w:style>
  <w:style w:type="character" w:customStyle="1" w:styleId="81">
    <w:name w:val="标题 字符"/>
    <w:basedOn w:val="39"/>
    <w:link w:val="32"/>
    <w:qFormat/>
    <w:uiPriority w:val="10"/>
    <w:rPr>
      <w:rFonts w:asciiTheme="majorHAnsi" w:hAnsiTheme="majorHAnsi" w:cstheme="majorBidi"/>
      <w:b/>
      <w:bCs/>
      <w:kern w:val="2"/>
      <w:sz w:val="32"/>
      <w:szCs w:val="32"/>
    </w:rPr>
  </w:style>
  <w:style w:type="character" w:customStyle="1" w:styleId="82">
    <w:name w:val="不明显强调1"/>
    <w:qFormat/>
    <w:uiPriority w:val="19"/>
    <w:rPr>
      <w:rFonts w:eastAsiaTheme="minorEastAsia"/>
      <w:iCs/>
      <w:color w:val="auto"/>
    </w:rPr>
  </w:style>
  <w:style w:type="character" w:customStyle="1" w:styleId="83">
    <w:name w:val="批注文字 字符"/>
    <w:link w:val="13"/>
    <w:qFormat/>
    <w:uiPriority w:val="99"/>
    <w:rPr>
      <w:kern w:val="2"/>
      <w:sz w:val="21"/>
      <w:szCs w:val="24"/>
    </w:rPr>
  </w:style>
  <w:style w:type="character" w:customStyle="1" w:styleId="84">
    <w:name w:val="公式 字符"/>
    <w:link w:val="79"/>
    <w:qFormat/>
    <w:uiPriority w:val="0"/>
    <w:rPr>
      <w:rFonts w:ascii="Cambria Math" w:hAnsi="Cambria Math" w:eastAsia="黑体"/>
      <w:bCs/>
      <w:spacing w:val="-10"/>
      <w:sz w:val="28"/>
      <w:szCs w:val="28"/>
    </w:rPr>
  </w:style>
  <w:style w:type="character" w:customStyle="1" w:styleId="85">
    <w:name w:val="表格内容 字符"/>
    <w:link w:val="80"/>
    <w:qFormat/>
    <w:uiPriority w:val="0"/>
    <w:rPr>
      <w:rFonts w:ascii="宋体" w:hAnsi="宋体" w:eastAsia="华文楷体" w:cs="宋体"/>
      <w:color w:val="000000"/>
      <w:sz w:val="18"/>
      <w:szCs w:val="18"/>
    </w:rPr>
  </w:style>
  <w:style w:type="paragraph" w:customStyle="1" w:styleId="86">
    <w:name w:val="TOC 标题2"/>
    <w:basedOn w:val="2"/>
    <w:next w:val="1"/>
    <w:semiHidden/>
    <w:unhideWhenUsed/>
    <w:qFormat/>
    <w:uiPriority w:val="39"/>
    <w:pPr>
      <w:keepNext/>
      <w:keepLines/>
      <w:spacing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39"/>
    <w:link w:val="4"/>
    <w:qFormat/>
    <w:uiPriority w:val="1"/>
    <w:rPr>
      <w:b/>
      <w:bCs/>
      <w:kern w:val="2"/>
      <w:sz w:val="32"/>
      <w:szCs w:val="32"/>
    </w:rPr>
  </w:style>
  <w:style w:type="character" w:customStyle="1" w:styleId="88">
    <w:name w:val="批注主题 字符"/>
    <w:basedOn w:val="83"/>
    <w:link w:val="33"/>
    <w:qFormat/>
    <w:uiPriority w:val="99"/>
    <w:rPr>
      <w:b/>
      <w:bCs/>
      <w:kern w:val="2"/>
      <w:sz w:val="28"/>
      <w:szCs w:val="24"/>
    </w:rPr>
  </w:style>
  <w:style w:type="paragraph" w:customStyle="1" w:styleId="89">
    <w:name w:val="修订1"/>
    <w:hidden/>
    <w:unhideWhenUsed/>
    <w:qFormat/>
    <w:uiPriority w:val="99"/>
    <w:rPr>
      <w:rFonts w:ascii="Times New Roman" w:hAnsi="Times New Roman" w:eastAsia="宋体" w:cs="Times New Roman"/>
      <w:b/>
      <w:kern w:val="2"/>
      <w:sz w:val="28"/>
      <w:szCs w:val="24"/>
      <w:lang w:val="en-US" w:eastAsia="zh-CN" w:bidi="ar-SA"/>
    </w:rPr>
  </w:style>
  <w:style w:type="character" w:customStyle="1" w:styleId="90">
    <w:name w:val="标题 4 字符"/>
    <w:basedOn w:val="39"/>
    <w:link w:val="5"/>
    <w:qFormat/>
    <w:uiPriority w:val="9"/>
    <w:rPr>
      <w:rFonts w:eastAsia="楷体" w:cs="宋体"/>
      <w:b/>
      <w:sz w:val="24"/>
    </w:rPr>
  </w:style>
  <w:style w:type="character" w:customStyle="1" w:styleId="91">
    <w:name w:val="标题 5 字符"/>
    <w:basedOn w:val="39"/>
    <w:link w:val="6"/>
    <w:qFormat/>
    <w:uiPriority w:val="9"/>
    <w:rPr>
      <w:rFonts w:ascii="宋体" w:hAnsi="宋体" w:cs="宋体"/>
      <w:b/>
      <w:sz w:val="24"/>
    </w:rPr>
  </w:style>
  <w:style w:type="character" w:customStyle="1" w:styleId="92">
    <w:name w:val="标题 6 字符"/>
    <w:basedOn w:val="39"/>
    <w:link w:val="7"/>
    <w:qFormat/>
    <w:uiPriority w:val="9"/>
    <w:rPr>
      <w:rFonts w:ascii="Calibri" w:hAnsi="Calibri" w:eastAsia="等线"/>
      <w:b/>
      <w:sz w:val="21"/>
      <w:szCs w:val="21"/>
    </w:rPr>
  </w:style>
  <w:style w:type="character" w:customStyle="1" w:styleId="93">
    <w:name w:val="标题 7 字符"/>
    <w:basedOn w:val="39"/>
    <w:link w:val="8"/>
    <w:qFormat/>
    <w:uiPriority w:val="9"/>
    <w:rPr>
      <w:rFonts w:ascii="Calibri" w:hAnsi="Calibri" w:eastAsia="等线"/>
      <w:sz w:val="21"/>
      <w:szCs w:val="21"/>
    </w:rPr>
  </w:style>
  <w:style w:type="character" w:customStyle="1" w:styleId="94">
    <w:name w:val="标题 8 字符"/>
    <w:basedOn w:val="39"/>
    <w:link w:val="9"/>
    <w:qFormat/>
    <w:uiPriority w:val="9"/>
    <w:rPr>
      <w:rFonts w:ascii="Calibri" w:hAnsi="Calibri" w:eastAsia="等线"/>
      <w:sz w:val="21"/>
      <w:szCs w:val="21"/>
    </w:rPr>
  </w:style>
  <w:style w:type="character" w:customStyle="1" w:styleId="95">
    <w:name w:val="标题 9 字符"/>
    <w:basedOn w:val="39"/>
    <w:link w:val="10"/>
    <w:qFormat/>
    <w:uiPriority w:val="9"/>
    <w:rPr>
      <w:rFonts w:ascii="Calibri" w:hAnsi="Calibri" w:eastAsia="等线"/>
      <w:sz w:val="21"/>
      <w:szCs w:val="21"/>
    </w:rPr>
  </w:style>
  <w:style w:type="paragraph" w:customStyle="1" w:styleId="96">
    <w:name w:val="TOC 71"/>
    <w:basedOn w:val="1"/>
    <w:next w:val="1"/>
    <w:unhideWhenUsed/>
    <w:qFormat/>
    <w:uiPriority w:val="39"/>
    <w:pPr>
      <w:ind w:left="2520" w:leftChars="1200"/>
      <w:jc w:val="left"/>
    </w:pPr>
    <w:rPr>
      <w:rFonts w:ascii="Calibri" w:hAnsi="Calibri" w:eastAsia="Malgun Gothic"/>
      <w:b w:val="0"/>
      <w:sz w:val="21"/>
      <w:szCs w:val="22"/>
    </w:rPr>
  </w:style>
  <w:style w:type="paragraph" w:customStyle="1" w:styleId="97">
    <w:name w:val="TOC 51"/>
    <w:basedOn w:val="1"/>
    <w:next w:val="1"/>
    <w:unhideWhenUsed/>
    <w:qFormat/>
    <w:uiPriority w:val="39"/>
    <w:pPr>
      <w:ind w:left="1680" w:leftChars="800"/>
      <w:jc w:val="left"/>
    </w:pPr>
    <w:rPr>
      <w:rFonts w:ascii="Calibri" w:hAnsi="Calibri" w:eastAsia="Malgun Gothic"/>
      <w:b w:val="0"/>
      <w:sz w:val="21"/>
      <w:szCs w:val="22"/>
    </w:rPr>
  </w:style>
  <w:style w:type="paragraph" w:customStyle="1" w:styleId="98">
    <w:name w:val="TOC 81"/>
    <w:basedOn w:val="1"/>
    <w:next w:val="1"/>
    <w:unhideWhenUsed/>
    <w:qFormat/>
    <w:uiPriority w:val="39"/>
    <w:pPr>
      <w:ind w:left="2940" w:leftChars="1400"/>
      <w:jc w:val="left"/>
    </w:pPr>
    <w:rPr>
      <w:rFonts w:ascii="Calibri" w:hAnsi="Calibri" w:eastAsia="Malgun Gothic"/>
      <w:b w:val="0"/>
      <w:sz w:val="21"/>
      <w:szCs w:val="22"/>
    </w:rPr>
  </w:style>
  <w:style w:type="paragraph" w:customStyle="1" w:styleId="99">
    <w:name w:val="TOC 41"/>
    <w:basedOn w:val="1"/>
    <w:next w:val="1"/>
    <w:unhideWhenUsed/>
    <w:qFormat/>
    <w:uiPriority w:val="39"/>
    <w:pPr>
      <w:ind w:left="1260" w:leftChars="600"/>
      <w:jc w:val="left"/>
    </w:pPr>
    <w:rPr>
      <w:rFonts w:ascii="Calibri" w:hAnsi="Calibri" w:eastAsia="Malgun Gothic"/>
      <w:b w:val="0"/>
      <w:sz w:val="21"/>
      <w:szCs w:val="22"/>
    </w:rPr>
  </w:style>
  <w:style w:type="paragraph" w:customStyle="1" w:styleId="100">
    <w:name w:val="TOC 91"/>
    <w:basedOn w:val="1"/>
    <w:next w:val="1"/>
    <w:unhideWhenUsed/>
    <w:qFormat/>
    <w:uiPriority w:val="39"/>
    <w:pPr>
      <w:ind w:left="3360" w:leftChars="1600"/>
      <w:jc w:val="left"/>
    </w:pPr>
    <w:rPr>
      <w:rFonts w:ascii="Calibri" w:hAnsi="Calibri" w:eastAsia="Malgun Gothic"/>
      <w:b w:val="0"/>
      <w:sz w:val="21"/>
      <w:szCs w:val="22"/>
    </w:rPr>
  </w:style>
  <w:style w:type="paragraph" w:styleId="101">
    <w:name w:val="Intense Quote"/>
    <w:link w:val="102"/>
    <w:qFormat/>
    <w:uiPriority w:val="99"/>
    <w:pPr>
      <w:ind w:left="950" w:right="950"/>
      <w:jc w:val="center"/>
    </w:pPr>
    <w:rPr>
      <w:rFonts w:ascii="Calibri" w:hAnsi="Calibri" w:eastAsia="等线" w:cs="Times New Roman"/>
      <w:i/>
      <w:color w:val="5B9BD5"/>
      <w:sz w:val="21"/>
      <w:szCs w:val="21"/>
      <w:lang w:val="en-US" w:eastAsia="zh-CN" w:bidi="ar-SA"/>
    </w:rPr>
  </w:style>
  <w:style w:type="character" w:customStyle="1" w:styleId="102">
    <w:name w:val="明显引用 字符"/>
    <w:basedOn w:val="39"/>
    <w:link w:val="101"/>
    <w:qFormat/>
    <w:uiPriority w:val="99"/>
    <w:rPr>
      <w:rFonts w:ascii="Calibri" w:hAnsi="Calibri" w:eastAsia="等线"/>
      <w:i/>
      <w:color w:val="5B9BD5"/>
      <w:sz w:val="21"/>
      <w:szCs w:val="21"/>
    </w:rPr>
  </w:style>
  <w:style w:type="paragraph" w:customStyle="1" w:styleId="103">
    <w:name w:val="列出段落1"/>
    <w:basedOn w:val="1"/>
    <w:qFormat/>
    <w:uiPriority w:val="34"/>
    <w:pPr>
      <w:widowControl/>
      <w:ind w:firstLine="420"/>
      <w:jc w:val="left"/>
    </w:pPr>
    <w:rPr>
      <w:rFonts w:ascii="宋体" w:hAnsi="宋体" w:cs="宋体"/>
      <w:b w:val="0"/>
      <w:kern w:val="0"/>
      <w:sz w:val="24"/>
    </w:rPr>
  </w:style>
  <w:style w:type="paragraph" w:customStyle="1" w:styleId="104">
    <w:name w:val="TOC 标题11"/>
    <w:basedOn w:val="2"/>
    <w:next w:val="1"/>
    <w:qFormat/>
    <w:uiPriority w:val="0"/>
    <w:pPr>
      <w:keepNext/>
      <w:keepLines/>
      <w:spacing w:before="0" w:after="0" w:line="360" w:lineRule="auto"/>
      <w:jc w:val="left"/>
    </w:pPr>
    <w:rPr>
      <w:rFonts w:ascii="Calibri Light" w:hAnsi="Calibri Light" w:eastAsia="等线 Light" w:cs="宋体"/>
      <w:bCs w:val="0"/>
      <w:color w:val="2F5496"/>
      <w:kern w:val="0"/>
      <w:sz w:val="28"/>
      <w:szCs w:val="28"/>
    </w:rPr>
  </w:style>
  <w:style w:type="paragraph" w:customStyle="1" w:styleId="105">
    <w:name w:val="列出段落3"/>
    <w:basedOn w:val="1"/>
    <w:qFormat/>
    <w:uiPriority w:val="0"/>
    <w:pPr>
      <w:widowControl/>
      <w:ind w:firstLine="420"/>
      <w:jc w:val="left"/>
    </w:pPr>
    <w:rPr>
      <w:rFonts w:ascii="宋体" w:hAnsi="宋体" w:cs="宋体"/>
      <w:b w:val="0"/>
      <w:kern w:val="0"/>
      <w:sz w:val="24"/>
    </w:rPr>
  </w:style>
  <w:style w:type="table" w:customStyle="1" w:styleId="106">
    <w:name w:val="实施方案11"/>
    <w:basedOn w:val="36"/>
    <w:qFormat/>
    <w:uiPriority w:val="99"/>
    <w:rPr>
      <w:rFonts w:eastAsia="Times New Roman"/>
    </w:rPr>
    <w:tblStylePr w:type="firstRow">
      <w:pPr>
        <w:jc w:val="center"/>
      </w:pPr>
      <w:rPr>
        <w:rFonts w:ascii="宋体" w:hAnsi="宋体" w:eastAsia="Calibri Light"/>
        <w:b/>
        <w:color w:val="FFFFFF"/>
        <w:w w:val="100"/>
        <w:sz w:val="21"/>
        <w:szCs w:val="21"/>
        <w:shd w:val="clear" w:color="auto" w:fill="auto"/>
      </w:rPr>
      <w:tcPr>
        <w:tcBorders>
          <w:top w:val="nil"/>
          <w:left w:val="nil"/>
          <w:bottom w:val="nil"/>
          <w:right w:val="nil"/>
          <w:insideH w:val="nil"/>
          <w:insideV w:val="single" w:sz="8" w:space="0"/>
          <w:tl2br w:val="nil"/>
          <w:tr2bl w:val="nil"/>
        </w:tcBorders>
        <w:shd w:val="clear" w:color="000000" w:fill="0070C0"/>
      </w:tcPr>
    </w:tblStylePr>
    <w:tblStylePr w:type="band1Vert">
      <w:tcPr>
        <w:tcBorders>
          <w:top w:val="nil"/>
          <w:bottom w:val="nil"/>
        </w:tcBorders>
      </w:tcPr>
    </w:tblStylePr>
    <w:tblStylePr w:type="band1Horz">
      <w:tcPr>
        <w:tcBorders>
          <w:top w:val="single" w:color="D9D9D9" w:sz="8" w:space="0"/>
          <w:left w:val="nil"/>
          <w:bottom w:val="single" w:color="D9D9D9" w:sz="8" w:space="0"/>
          <w:right w:val="nil"/>
          <w:insideH w:val="nil"/>
          <w:insideV w:val="single" w:sz="8" w:space="0"/>
          <w:tl2br w:val="nil"/>
          <w:tr2bl w:val="nil"/>
        </w:tcBorders>
        <w:shd w:val="clear" w:color="000000" w:fill="FFFFFF"/>
      </w:tcPr>
    </w:tblStylePr>
    <w:tblStylePr w:type="band2Horz">
      <w:tcPr>
        <w:tcBorders>
          <w:top w:val="nil"/>
          <w:left w:val="nil"/>
          <w:bottom w:val="nil"/>
          <w:right w:val="nil"/>
          <w:insideH w:val="nil"/>
          <w:insideV w:val="single" w:sz="8" w:space="0"/>
          <w:tl2br w:val="nil"/>
          <w:tr2bl w:val="nil"/>
        </w:tcBorders>
        <w:shd w:val="clear" w:color="000000" w:fill="D9D9D9"/>
      </w:tcPr>
    </w:tblStylePr>
  </w:style>
  <w:style w:type="table" w:customStyle="1" w:styleId="107">
    <w:name w:val="实施方案12"/>
    <w:basedOn w:val="36"/>
    <w:qFormat/>
    <w:uiPriority w:val="99"/>
    <w:rPr>
      <w:rFonts w:eastAsia="Times New Roman"/>
    </w:rPr>
    <w:tblStylePr w:type="firstRow">
      <w:pPr>
        <w:jc w:val="center"/>
      </w:pPr>
      <w:rPr>
        <w:rFonts w:ascii="Times New Roman" w:hAnsi="Times New Roman" w:eastAsia="Times New Roman"/>
        <w:b/>
        <w:color w:val="FFFFFF"/>
        <w:w w:val="100"/>
        <w:sz w:val="21"/>
        <w:szCs w:val="21"/>
        <w:shd w:val="clear" w:color="auto" w:fill="auto"/>
      </w:rPr>
      <w:tcPr>
        <w:tcBorders>
          <w:top w:val="nil"/>
          <w:left w:val="nil"/>
          <w:bottom w:val="nil"/>
          <w:right w:val="nil"/>
          <w:insideH w:val="nil"/>
          <w:insideV w:val="single" w:sz="8" w:space="0"/>
          <w:tl2br w:val="nil"/>
          <w:tr2bl w:val="nil"/>
        </w:tcBorders>
        <w:shd w:val="clear" w:color="000000" w:fill="0070C0"/>
      </w:tcPr>
    </w:tblStylePr>
    <w:tblStylePr w:type="band1Vert">
      <w:tcPr>
        <w:tcBorders>
          <w:top w:val="nil"/>
          <w:bottom w:val="nil"/>
        </w:tcBorders>
      </w:tcPr>
    </w:tblStylePr>
    <w:tblStylePr w:type="band1Horz">
      <w:tcPr>
        <w:tcBorders>
          <w:top w:val="single" w:color="D9D9D9" w:sz="8" w:space="0"/>
          <w:left w:val="nil"/>
          <w:bottom w:val="single" w:color="D9D9D9" w:sz="8" w:space="0"/>
          <w:right w:val="nil"/>
          <w:insideH w:val="nil"/>
          <w:insideV w:val="single" w:sz="8" w:space="0"/>
          <w:tl2br w:val="nil"/>
          <w:tr2bl w:val="nil"/>
        </w:tcBorders>
        <w:shd w:val="clear" w:color="000000" w:fill="FFFFFF"/>
      </w:tcPr>
    </w:tblStylePr>
    <w:tblStylePr w:type="band2Horz">
      <w:tcPr>
        <w:tcBorders>
          <w:top w:val="nil"/>
          <w:left w:val="nil"/>
          <w:bottom w:val="nil"/>
          <w:right w:val="nil"/>
          <w:insideH w:val="nil"/>
          <w:insideV w:val="single" w:sz="8" w:space="0"/>
          <w:tl2br w:val="nil"/>
          <w:tr2bl w:val="nil"/>
        </w:tcBorders>
        <w:shd w:val="clear" w:color="000000" w:fill="D9D9D9"/>
      </w:tcPr>
    </w:tblStylePr>
  </w:style>
  <w:style w:type="table" w:customStyle="1" w:styleId="108">
    <w:name w:val="实施方案31"/>
    <w:basedOn w:val="36"/>
    <w:qFormat/>
    <w:uiPriority w:val="99"/>
    <w:rPr>
      <w:rFonts w:eastAsia="Times New Roman"/>
    </w:rPr>
    <w:tblStylePr w:type="firstRow">
      <w:pPr>
        <w:jc w:val="center"/>
      </w:pPr>
      <w:rPr>
        <w:rFonts w:ascii="Times New Roman" w:hAnsi="Times New Roman" w:eastAsia="Times New Roman"/>
        <w:b/>
        <w:color w:val="FFFFFF"/>
        <w:w w:val="100"/>
        <w:sz w:val="21"/>
        <w:szCs w:val="21"/>
        <w:shd w:val="clear" w:color="auto" w:fill="auto"/>
      </w:rPr>
      <w:tcPr>
        <w:tcBorders>
          <w:top w:val="nil"/>
          <w:left w:val="nil"/>
          <w:bottom w:val="nil"/>
          <w:right w:val="nil"/>
          <w:insideH w:val="nil"/>
          <w:insideV w:val="single" w:sz="8" w:space="0"/>
          <w:tl2br w:val="nil"/>
          <w:tr2bl w:val="nil"/>
        </w:tcBorders>
        <w:shd w:val="clear" w:color="000000" w:fill="0070C0"/>
      </w:tcPr>
    </w:tblStylePr>
    <w:tblStylePr w:type="firstCol">
      <w:rPr>
        <w:rFonts w:ascii="Times New Roman" w:hAnsi="Times New Roman" w:eastAsia="Times New Roman"/>
        <w:b/>
        <w:color w:val="FFFFFF"/>
        <w:w w:val="100"/>
        <w:sz w:val="21"/>
        <w:szCs w:val="21"/>
        <w:shd w:val="clear" w:color="auto" w:fill="auto"/>
      </w:rPr>
      <w:tcPr>
        <w:tcBorders>
          <w:top w:val="nil"/>
          <w:left w:val="nil"/>
          <w:bottom w:val="single" w:color="FFFFFF" w:sz="8" w:space="0"/>
          <w:right w:val="single" w:color="FFFFFF" w:sz="8" w:space="0"/>
          <w:insideH w:val="nil"/>
          <w:insideV w:val="nil"/>
          <w:tl2br w:val="nil"/>
          <w:tr2bl w:val="nil"/>
        </w:tcBorders>
        <w:shd w:val="clear" w:color="000000" w:fill="548DD4"/>
      </w:tcPr>
    </w:tblStylePr>
    <w:tblStylePr w:type="band1Vert">
      <w:tcPr>
        <w:tcBorders>
          <w:top w:val="nil"/>
          <w:bottom w:val="nil"/>
        </w:tcBorders>
      </w:tcPr>
    </w:tblStylePr>
    <w:tblStylePr w:type="band1Horz">
      <w:tcPr>
        <w:tcBorders>
          <w:top w:val="single" w:color="D9D9D9" w:sz="8" w:space="0"/>
          <w:left w:val="nil"/>
          <w:bottom w:val="single" w:color="D9D9D9" w:sz="8" w:space="0"/>
          <w:right w:val="nil"/>
          <w:insideH w:val="nil"/>
          <w:insideV w:val="single" w:sz="8" w:space="0"/>
          <w:tl2br w:val="nil"/>
          <w:tr2bl w:val="nil"/>
        </w:tcBorders>
        <w:shd w:val="clear" w:color="000000" w:fill="FFFFFF"/>
      </w:tcPr>
    </w:tblStylePr>
    <w:tblStylePr w:type="band2Horz">
      <w:tcPr>
        <w:tcBorders>
          <w:top w:val="nil"/>
          <w:left w:val="nil"/>
          <w:bottom w:val="nil"/>
          <w:right w:val="nil"/>
          <w:insideH w:val="nil"/>
          <w:insideV w:val="single" w:sz="8" w:space="0"/>
          <w:tl2br w:val="nil"/>
          <w:tr2bl w:val="nil"/>
        </w:tcBorders>
        <w:shd w:val="clear" w:color="000000" w:fill="D9D9D9"/>
      </w:tcPr>
    </w:tblStylePr>
  </w:style>
  <w:style w:type="character" w:customStyle="1" w:styleId="109">
    <w:name w:val="未处理的提及2"/>
    <w:basedOn w:val="39"/>
    <w:qFormat/>
    <w:uiPriority w:val="99"/>
    <w:rPr>
      <w:color w:val="605E5C"/>
      <w:shd w:val="clear" w:color="auto" w:fill="E1DFDD"/>
    </w:rPr>
  </w:style>
  <w:style w:type="character" w:customStyle="1" w:styleId="110">
    <w:name w:val="未处理的提及4"/>
    <w:basedOn w:val="39"/>
    <w:semiHidden/>
    <w:unhideWhenUsed/>
    <w:qFormat/>
    <w:uiPriority w:val="99"/>
    <w:rPr>
      <w:color w:val="605E5C"/>
      <w:shd w:val="clear" w:color="auto" w:fill="E1DFDD"/>
    </w:rPr>
  </w:style>
  <w:style w:type="table" w:customStyle="1" w:styleId="111">
    <w:name w:val="网格型3"/>
    <w:basedOn w:val="36"/>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6"/>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font11"/>
    <w:basedOn w:val="39"/>
    <w:semiHidden/>
    <w:qFormat/>
    <w:locked/>
    <w:uiPriority w:val="0"/>
    <w:rPr>
      <w:rFonts w:hint="default" w:ascii="Times New Roman" w:hAnsi="Times New Roman" w:cs="Times New Roman"/>
      <w:color w:val="000000"/>
      <w:sz w:val="20"/>
      <w:szCs w:val="20"/>
      <w:u w:val="none"/>
    </w:rPr>
  </w:style>
  <w:style w:type="paragraph" w:customStyle="1" w:styleId="114">
    <w:name w:val="图片8"/>
    <w:basedOn w:val="1"/>
    <w:next w:val="1"/>
    <w:link w:val="115"/>
    <w:semiHidden/>
    <w:qFormat/>
    <w:locked/>
    <w:uiPriority w:val="0"/>
    <w:pPr>
      <w:widowControl/>
      <w:spacing w:before="100" w:beforeLines="100" w:after="100" w:afterLines="100"/>
      <w:jc w:val="center"/>
    </w:pPr>
    <w:rPr>
      <w:rFonts w:ascii="Corbel" w:hAnsi="Corbel" w:eastAsia="楷体" w:cs="宋体"/>
      <w:b w:val="0"/>
      <w:kern w:val="0"/>
      <w:sz w:val="24"/>
    </w:rPr>
  </w:style>
  <w:style w:type="character" w:customStyle="1" w:styleId="115">
    <w:name w:val="图片8 Char"/>
    <w:basedOn w:val="39"/>
    <w:link w:val="114"/>
    <w:semiHidden/>
    <w:qFormat/>
    <w:uiPriority w:val="0"/>
    <w:rPr>
      <w:rFonts w:ascii="Corbel" w:hAnsi="Corbel" w:eastAsia="楷体" w:cs="宋体"/>
      <w:sz w:val="24"/>
      <w:szCs w:val="24"/>
    </w:rPr>
  </w:style>
  <w:style w:type="paragraph" w:customStyle="1" w:styleId="116">
    <w:name w:val="Ctrl+5"/>
    <w:basedOn w:val="1"/>
    <w:link w:val="117"/>
    <w:semiHidden/>
    <w:qFormat/>
    <w:locked/>
    <w:uiPriority w:val="0"/>
    <w:pPr>
      <w:widowControl/>
      <w:spacing w:before="100" w:beforeLines="100"/>
      <w:jc w:val="left"/>
      <w:outlineLvl w:val="4"/>
    </w:pPr>
    <w:rPr>
      <w:rFonts w:ascii="Corbel" w:hAnsi="Corbel" w:eastAsia="楷体" w:cs="宋体"/>
      <w:kern w:val="0"/>
      <w:sz w:val="24"/>
    </w:rPr>
  </w:style>
  <w:style w:type="character" w:customStyle="1" w:styleId="117">
    <w:name w:val="Ctrl+5 Char"/>
    <w:basedOn w:val="39"/>
    <w:link w:val="116"/>
    <w:semiHidden/>
    <w:qFormat/>
    <w:uiPriority w:val="0"/>
    <w:rPr>
      <w:rFonts w:ascii="Corbel" w:hAnsi="Corbel" w:eastAsia="楷体" w:cs="宋体"/>
      <w:b/>
      <w:sz w:val="24"/>
      <w:szCs w:val="24"/>
    </w:rPr>
  </w:style>
  <w:style w:type="paragraph" w:customStyle="1" w:styleId="118">
    <w:name w:val="标题1"/>
    <w:basedOn w:val="1"/>
    <w:next w:val="1"/>
    <w:semiHidden/>
    <w:qFormat/>
    <w:locked/>
    <w:uiPriority w:val="10"/>
    <w:pPr>
      <w:widowControl/>
      <w:snapToGrid w:val="0"/>
      <w:jc w:val="center"/>
    </w:pPr>
    <w:rPr>
      <w:rFonts w:ascii="宋体" w:hAnsi="宋体" w:eastAsia="微软雅黑" w:cs="宋体"/>
      <w:bCs/>
      <w:kern w:val="0"/>
      <w:sz w:val="30"/>
      <w:szCs w:val="32"/>
    </w:rPr>
  </w:style>
  <w:style w:type="table" w:customStyle="1" w:styleId="119">
    <w:name w:val="网格表 1 浅色 - 着色 52"/>
    <w:basedOn w:val="36"/>
    <w:qFormat/>
    <w:locked/>
    <w:uiPriority w:val="46"/>
    <w:rPr>
      <w:rFonts w:eastAsia="华文楷体"/>
      <w:kern w:val="2"/>
      <w:sz w:val="24"/>
      <w:szCs w:val="24"/>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cPr>
        <w:tcBorders>
          <w:bottom w:val="single" w:color="92CDDC" w:sz="12" w:space="0"/>
        </w:tcBorders>
      </w:tcPr>
    </w:tblStylePr>
    <w:tblStylePr w:type="lastRow">
      <w:rPr>
        <w:b/>
        <w:bCs/>
      </w:rPr>
      <w:tcPr>
        <w:tcBorders>
          <w:top w:val="double" w:color="92CDDC" w:sz="2" w:space="0"/>
        </w:tcBorders>
      </w:tcPr>
    </w:tblStylePr>
    <w:tblStylePr w:type="firstCol">
      <w:rPr>
        <w:b/>
        <w:bCs/>
      </w:rPr>
    </w:tblStylePr>
    <w:tblStylePr w:type="lastCol">
      <w:rPr>
        <w:b/>
        <w:bCs/>
      </w:rPr>
    </w:tblStylePr>
  </w:style>
  <w:style w:type="paragraph" w:customStyle="1" w:styleId="120">
    <w:name w:val="修订2"/>
    <w:semiHidden/>
    <w:qFormat/>
    <w:uiPriority w:val="99"/>
    <w:rPr>
      <w:rFonts w:ascii="Times New Roman" w:hAnsi="Times New Roman" w:eastAsia="华文楷体" w:cs="宋体"/>
      <w:kern w:val="2"/>
      <w:sz w:val="24"/>
      <w:szCs w:val="22"/>
      <w:lang w:val="en-US" w:eastAsia="zh-CN" w:bidi="ar-SA"/>
    </w:rPr>
  </w:style>
  <w:style w:type="table" w:customStyle="1" w:styleId="121">
    <w:name w:val="网格型2"/>
    <w:basedOn w:val="36"/>
    <w:qFormat/>
    <w:locked/>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4"/>
    <w:basedOn w:val="36"/>
    <w:qFormat/>
    <w:locked/>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8"/>
    <w:basedOn w:val="36"/>
    <w:qFormat/>
    <w:locked/>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Table Normal1"/>
    <w:qFormat/>
    <w:locked/>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5">
    <w:name w:val="样式3"/>
    <w:next w:val="1"/>
    <w:link w:val="126"/>
    <w:semiHidden/>
    <w:qFormat/>
    <w:locked/>
    <w:uiPriority w:val="0"/>
    <w:rPr>
      <w:rFonts w:ascii="Times New Roman" w:hAnsi="Times New Roman" w:eastAsia="华文楷体" w:cs="宋体"/>
      <w:b/>
      <w:bCs/>
      <w:kern w:val="2"/>
      <w:sz w:val="28"/>
      <w:szCs w:val="32"/>
      <w:lang w:val="en-US" w:eastAsia="zh-CN" w:bidi="ar-SA"/>
    </w:rPr>
  </w:style>
  <w:style w:type="character" w:customStyle="1" w:styleId="126">
    <w:name w:val="样式3 字符"/>
    <w:basedOn w:val="39"/>
    <w:link w:val="125"/>
    <w:semiHidden/>
    <w:qFormat/>
    <w:uiPriority w:val="0"/>
    <w:rPr>
      <w:rFonts w:eastAsia="华文楷体" w:cs="宋体"/>
      <w:b/>
      <w:bCs/>
      <w:kern w:val="2"/>
      <w:sz w:val="28"/>
      <w:szCs w:val="32"/>
    </w:rPr>
  </w:style>
  <w:style w:type="table" w:customStyle="1" w:styleId="127">
    <w:name w:val="无格式表格 12"/>
    <w:basedOn w:val="36"/>
    <w:qFormat/>
    <w:locked/>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8">
    <w:name w:val="无格式表格 14"/>
    <w:basedOn w:val="36"/>
    <w:qFormat/>
    <w:locked/>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29">
    <w:name w:val="font5"/>
    <w:basedOn w:val="1"/>
    <w:qFormat/>
    <w:locked/>
    <w:uiPriority w:val="0"/>
    <w:pPr>
      <w:widowControl/>
      <w:spacing w:before="100" w:beforeAutospacing="1" w:after="100" w:afterAutospacing="1"/>
      <w:jc w:val="left"/>
    </w:pPr>
    <w:rPr>
      <w:rFonts w:ascii="宋体" w:hAnsi="宋体" w:cs="宋体"/>
      <w:b w:val="0"/>
      <w:color w:val="000000"/>
      <w:kern w:val="0"/>
      <w:sz w:val="24"/>
    </w:rPr>
  </w:style>
  <w:style w:type="paragraph" w:customStyle="1" w:styleId="130">
    <w:name w:val="font7"/>
    <w:basedOn w:val="1"/>
    <w:qFormat/>
    <w:locked/>
    <w:uiPriority w:val="0"/>
    <w:pPr>
      <w:widowControl/>
      <w:spacing w:before="100" w:beforeAutospacing="1" w:after="100" w:afterAutospacing="1"/>
      <w:jc w:val="left"/>
    </w:pPr>
    <w:rPr>
      <w:rFonts w:ascii="宋体" w:hAnsi="宋体" w:cs="宋体"/>
      <w:bCs/>
      <w:color w:val="000000"/>
      <w:kern w:val="0"/>
      <w:sz w:val="22"/>
      <w:szCs w:val="22"/>
    </w:rPr>
  </w:style>
  <w:style w:type="paragraph" w:customStyle="1" w:styleId="131">
    <w:name w:val="font9"/>
    <w:basedOn w:val="1"/>
    <w:semiHidden/>
    <w:qFormat/>
    <w:locked/>
    <w:uiPriority w:val="99"/>
    <w:pPr>
      <w:widowControl/>
      <w:spacing w:before="100" w:beforeAutospacing="1" w:after="100" w:afterAutospacing="1"/>
      <w:jc w:val="left"/>
    </w:pPr>
    <w:rPr>
      <w:rFonts w:ascii="华文楷体" w:hAnsi="华文楷体" w:cs="宋体"/>
      <w:b w:val="0"/>
      <w:color w:val="000000"/>
      <w:kern w:val="0"/>
      <w:sz w:val="14"/>
      <w:szCs w:val="14"/>
    </w:rPr>
  </w:style>
  <w:style w:type="paragraph" w:customStyle="1" w:styleId="132">
    <w:name w:val="xl65"/>
    <w:basedOn w:val="1"/>
    <w:qFormat/>
    <w:locked/>
    <w:uiPriority w:val="0"/>
    <w:pPr>
      <w:widowControl/>
      <w:spacing w:before="100" w:beforeAutospacing="1" w:after="100" w:afterAutospacing="1"/>
      <w:jc w:val="center"/>
    </w:pPr>
    <w:rPr>
      <w:rFonts w:ascii="华文楷体" w:hAnsi="华文楷体" w:cs="宋体"/>
      <w:b w:val="0"/>
      <w:kern w:val="0"/>
      <w:sz w:val="24"/>
    </w:rPr>
  </w:style>
  <w:style w:type="paragraph" w:customStyle="1" w:styleId="133">
    <w:name w:val="xl67"/>
    <w:basedOn w:val="1"/>
    <w:qFormat/>
    <w:locked/>
    <w:uiPriority w:val="0"/>
    <w:pPr>
      <w:widowControl/>
      <w:pBdr>
        <w:top w:val="single" w:color="FFFFFF" w:sz="4" w:space="0"/>
        <w:left w:val="single" w:color="FFFFFF" w:sz="4" w:space="0"/>
        <w:bottom w:val="single" w:color="FFFFFF" w:sz="4" w:space="0"/>
      </w:pBdr>
      <w:shd w:val="clear" w:color="auto" w:fill="2F75B5"/>
      <w:spacing w:before="100" w:beforeAutospacing="1" w:after="100" w:afterAutospacing="1"/>
      <w:jc w:val="center"/>
    </w:pPr>
    <w:rPr>
      <w:rFonts w:ascii="华文楷体" w:hAnsi="华文楷体" w:cs="宋体"/>
      <w:b w:val="0"/>
      <w:color w:val="FFFFFF"/>
      <w:kern w:val="0"/>
      <w:sz w:val="24"/>
    </w:rPr>
  </w:style>
  <w:style w:type="paragraph" w:customStyle="1" w:styleId="134">
    <w:name w:val="xl69"/>
    <w:basedOn w:val="1"/>
    <w:qFormat/>
    <w:locked/>
    <w:uiPriority w:val="0"/>
    <w:pPr>
      <w:widowControl/>
      <w:pBdr>
        <w:top w:val="single" w:color="FFFFFF" w:sz="4" w:space="0"/>
        <w:bottom w:val="single" w:color="FFFFFF" w:sz="4" w:space="0"/>
        <w:right w:val="single" w:color="FFFFFF" w:sz="4" w:space="0"/>
      </w:pBdr>
      <w:shd w:val="clear" w:color="auto" w:fill="2F75B5"/>
      <w:spacing w:before="100" w:beforeAutospacing="1" w:after="100" w:afterAutospacing="1"/>
      <w:jc w:val="center"/>
    </w:pPr>
    <w:rPr>
      <w:rFonts w:ascii="华文楷体" w:hAnsi="华文楷体" w:cs="宋体"/>
      <w:b w:val="0"/>
      <w:color w:val="FFFFFF"/>
      <w:kern w:val="0"/>
      <w:sz w:val="24"/>
    </w:rPr>
  </w:style>
  <w:style w:type="paragraph" w:customStyle="1" w:styleId="135">
    <w:name w:val="xl71"/>
    <w:basedOn w:val="1"/>
    <w:qFormat/>
    <w:locked/>
    <w:uiPriority w:val="0"/>
    <w:pPr>
      <w:widowControl/>
      <w:pBdr>
        <w:bottom w:val="single" w:color="000000" w:sz="4" w:space="0"/>
        <w:right w:val="single" w:color="000000" w:sz="4" w:space="0"/>
      </w:pBdr>
      <w:shd w:val="clear" w:color="auto" w:fill="9BC2E6"/>
      <w:spacing w:before="100" w:beforeAutospacing="1" w:after="100" w:afterAutospacing="1"/>
      <w:jc w:val="center"/>
    </w:pPr>
    <w:rPr>
      <w:rFonts w:ascii="华文楷体" w:hAnsi="华文楷体" w:cs="宋体"/>
      <w:b w:val="0"/>
      <w:kern w:val="0"/>
      <w:sz w:val="24"/>
    </w:rPr>
  </w:style>
  <w:style w:type="paragraph" w:customStyle="1" w:styleId="136">
    <w:name w:val="xl73"/>
    <w:basedOn w:val="1"/>
    <w:qFormat/>
    <w:locked/>
    <w:uiPriority w:val="0"/>
    <w:pPr>
      <w:widowControl/>
      <w:pBdr>
        <w:left w:val="single" w:color="000000" w:sz="4" w:space="0"/>
        <w:bottom w:val="single" w:color="000000" w:sz="4" w:space="0"/>
      </w:pBdr>
      <w:shd w:val="clear" w:color="auto" w:fill="9BC2E6"/>
      <w:spacing w:before="100" w:beforeAutospacing="1" w:after="100" w:afterAutospacing="1"/>
      <w:jc w:val="center"/>
    </w:pPr>
    <w:rPr>
      <w:rFonts w:ascii="华文楷体" w:hAnsi="华文楷体" w:cs="宋体"/>
      <w:b w:val="0"/>
      <w:kern w:val="0"/>
      <w:sz w:val="24"/>
    </w:rPr>
  </w:style>
  <w:style w:type="paragraph" w:customStyle="1" w:styleId="137">
    <w:name w:val="xl75"/>
    <w:basedOn w:val="1"/>
    <w:qFormat/>
    <w:locked/>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华文楷体" w:hAnsi="华文楷体" w:cs="宋体"/>
      <w:b w:val="0"/>
      <w:kern w:val="0"/>
      <w:sz w:val="24"/>
    </w:rPr>
  </w:style>
  <w:style w:type="paragraph" w:customStyle="1" w:styleId="138">
    <w:name w:val="xl77"/>
    <w:basedOn w:val="1"/>
    <w:qFormat/>
    <w:locked/>
    <w:uiPriority w:val="0"/>
    <w:pPr>
      <w:widowControl/>
      <w:pBdr>
        <w:top w:val="single" w:color="000000" w:sz="4" w:space="0"/>
        <w:bottom w:val="single" w:color="000000" w:sz="4" w:space="0"/>
        <w:right w:val="single" w:color="000000" w:sz="4" w:space="0"/>
      </w:pBdr>
      <w:shd w:val="clear" w:color="auto" w:fill="9BC2E6"/>
      <w:spacing w:before="100" w:beforeAutospacing="1" w:after="100" w:afterAutospacing="1"/>
      <w:jc w:val="center"/>
    </w:pPr>
    <w:rPr>
      <w:rFonts w:ascii="华文楷体" w:hAnsi="华文楷体" w:cs="宋体"/>
      <w:b w:val="0"/>
      <w:kern w:val="0"/>
      <w:sz w:val="24"/>
    </w:rPr>
  </w:style>
  <w:style w:type="paragraph" w:customStyle="1" w:styleId="139">
    <w:name w:val="xl79"/>
    <w:basedOn w:val="1"/>
    <w:qFormat/>
    <w:locked/>
    <w:uiPriority w:val="0"/>
    <w:pPr>
      <w:widowControl/>
      <w:pBdr>
        <w:top w:val="single" w:color="000000" w:sz="4" w:space="0"/>
        <w:left w:val="single" w:color="000000" w:sz="4" w:space="0"/>
        <w:bottom w:val="single" w:color="000000" w:sz="4" w:space="0"/>
      </w:pBdr>
      <w:shd w:val="clear" w:color="auto" w:fill="9BC2E6"/>
      <w:spacing w:before="100" w:beforeAutospacing="1" w:after="100" w:afterAutospacing="1"/>
      <w:jc w:val="center"/>
    </w:pPr>
    <w:rPr>
      <w:rFonts w:ascii="华文楷体" w:hAnsi="华文楷体" w:cs="宋体"/>
      <w:b w:val="0"/>
      <w:kern w:val="0"/>
      <w:sz w:val="24"/>
    </w:rPr>
  </w:style>
  <w:style w:type="paragraph" w:customStyle="1" w:styleId="140">
    <w:name w:val="xl81"/>
    <w:basedOn w:val="1"/>
    <w:qFormat/>
    <w:locked/>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华文楷体" w:hAnsi="华文楷体" w:cs="宋体"/>
      <w:b w:val="0"/>
      <w:kern w:val="0"/>
      <w:sz w:val="24"/>
    </w:rPr>
  </w:style>
  <w:style w:type="paragraph" w:customStyle="1" w:styleId="141">
    <w:name w:val="xl83"/>
    <w:basedOn w:val="1"/>
    <w:qFormat/>
    <w:locked/>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华文楷体" w:hAnsi="华文楷体" w:cs="宋体"/>
      <w:b w:val="0"/>
      <w:kern w:val="0"/>
      <w:sz w:val="24"/>
    </w:rPr>
  </w:style>
  <w:style w:type="paragraph" w:customStyle="1" w:styleId="142">
    <w:name w:val="xl85"/>
    <w:basedOn w:val="1"/>
    <w:qFormat/>
    <w:locked/>
    <w:uiPriority w:val="0"/>
    <w:pPr>
      <w:widowControl/>
      <w:pBdr>
        <w:top w:val="single" w:color="000000" w:sz="4" w:space="0"/>
        <w:bottom w:val="single" w:color="FFFFFF" w:sz="4" w:space="0"/>
        <w:right w:val="single" w:color="000000" w:sz="4" w:space="0"/>
      </w:pBdr>
      <w:shd w:val="clear" w:color="auto" w:fill="9BC2E6"/>
      <w:spacing w:before="100" w:beforeAutospacing="1" w:after="100" w:afterAutospacing="1"/>
      <w:jc w:val="center"/>
    </w:pPr>
    <w:rPr>
      <w:rFonts w:ascii="华文楷体" w:hAnsi="华文楷体" w:cs="宋体"/>
      <w:b w:val="0"/>
      <w:kern w:val="0"/>
      <w:sz w:val="24"/>
    </w:rPr>
  </w:style>
  <w:style w:type="paragraph" w:customStyle="1" w:styleId="143">
    <w:name w:val="xl87"/>
    <w:basedOn w:val="1"/>
    <w:qFormat/>
    <w:locked/>
    <w:uiPriority w:val="0"/>
    <w:pPr>
      <w:widowControl/>
      <w:pBdr>
        <w:top w:val="single" w:color="000000" w:sz="4" w:space="0"/>
        <w:left w:val="single" w:color="000000" w:sz="4" w:space="0"/>
        <w:bottom w:val="single" w:color="FFFFFF" w:sz="4" w:space="0"/>
      </w:pBdr>
      <w:shd w:val="clear" w:color="auto" w:fill="9BC2E6"/>
      <w:spacing w:before="100" w:beforeAutospacing="1" w:after="100" w:afterAutospacing="1"/>
      <w:jc w:val="center"/>
    </w:pPr>
    <w:rPr>
      <w:rFonts w:ascii="华文楷体" w:hAnsi="华文楷体" w:cs="宋体"/>
      <w:b w:val="0"/>
      <w:kern w:val="0"/>
      <w:sz w:val="24"/>
    </w:rPr>
  </w:style>
  <w:style w:type="table" w:customStyle="1" w:styleId="144">
    <w:name w:val="浅色网格 - 强调文字颜色 31"/>
    <w:basedOn w:val="36"/>
    <w:qFormat/>
    <w:locked/>
    <w:uiPriority w:val="62"/>
    <w:rPr>
      <w:rFonts w:ascii="Corbel" w:hAnsi="Corbel" w:eastAsia="华文楷体" w:cs="宋体"/>
      <w:kern w:val="2"/>
      <w:sz w:val="21"/>
      <w:szCs w:val="22"/>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beforeLines="0" w:beforeAutospacing="0" w:after="0" w:afterLines="0" w:afterAutospacing="0" w:line="240" w:lineRule="auto"/>
      </w:pPr>
      <w:rPr>
        <w:rFonts w:hint="default" w:ascii="华文楷体" w:hAnsi="华文楷体" w:eastAsia="楷体" w:cs="宋体"/>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beforeLines="0" w:beforeAutospacing="0" w:after="0" w:afterLines="0" w:afterAutospacing="0" w:line="240" w:lineRule="auto"/>
      </w:pPr>
      <w:rPr>
        <w:rFonts w:hint="default" w:ascii="华文楷体" w:hAnsi="华文楷体" w:eastAsia="楷体" w:cs="宋体"/>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hint="default" w:ascii="华文楷体" w:hAnsi="华文楷体" w:eastAsia="楷体" w:cs="宋体"/>
        <w:b/>
        <w:bCs/>
      </w:rPr>
    </w:tblStylePr>
    <w:tblStylePr w:type="lastCol">
      <w:rPr>
        <w:rFonts w:hint="default" w:ascii="华文楷体" w:hAnsi="华文楷体" w:eastAsia="楷体" w:cs="宋体"/>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45">
    <w:name w:val="浅色底纹 - 强调文字颜色 51"/>
    <w:basedOn w:val="36"/>
    <w:qFormat/>
    <w:locked/>
    <w:uiPriority w:val="60"/>
    <w:rPr>
      <w:rFonts w:ascii="Corbel" w:hAnsi="Corbel" w:eastAsia="华文楷体" w:cs="宋体"/>
      <w:color w:val="31849B"/>
      <w:kern w:val="2"/>
      <w:sz w:val="21"/>
      <w:szCs w:val="22"/>
    </w:rPr>
    <w:tblPr>
      <w:tblBorders>
        <w:top w:val="single" w:color="4BACC6" w:sz="8" w:space="0"/>
        <w:bottom w:val="single" w:color="4BACC6" w:sz="8" w:space="0"/>
      </w:tblBorders>
    </w:tblPr>
    <w:tblStylePr w:type="firstRow">
      <w:pPr>
        <w:spacing w:before="0" w:beforeLines="0" w:beforeAutospacing="0" w:after="0" w:afterLines="0" w:afterAutospacing="0" w:line="240" w:lineRule="auto"/>
      </w:pPr>
      <w:rPr>
        <w:b/>
        <w:bCs/>
      </w:rPr>
      <w:tcPr>
        <w:tcBorders>
          <w:top w:val="single" w:color="4BACC6" w:sz="8" w:space="0"/>
          <w:left w:val="nil"/>
          <w:bottom w:val="single" w:color="4BACC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cPr>
    </w:tblStylePr>
    <w:tblStylePr w:type="band1Horz">
      <w:tcPr>
        <w:tcBorders>
          <w:left w:val="nil"/>
          <w:right w:val="nil"/>
          <w:insideH w:val="nil"/>
          <w:insideV w:val="nil"/>
        </w:tcBorders>
        <w:shd w:val="clear" w:color="auto" w:fill="D2EAF1"/>
      </w:tcPr>
    </w:tblStylePr>
  </w:style>
  <w:style w:type="table" w:customStyle="1" w:styleId="146">
    <w:name w:val="浅色网格 - 强调文字颜色 51"/>
    <w:basedOn w:val="36"/>
    <w:qFormat/>
    <w:locked/>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beforeLines="0" w:beforeAutospacing="0" w:after="0" w:afterLines="0" w:afterAutospacing="0" w:line="240" w:lineRule="auto"/>
      </w:pPr>
      <w:rPr>
        <w:rFonts w:hint="default" w:ascii="华文楷体" w:hAnsi="华文楷体" w:eastAsia="楷体" w:cs="宋体"/>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beforeLines="0" w:beforeAutospacing="0" w:after="0" w:afterLines="0" w:afterAutospacing="0" w:line="240" w:lineRule="auto"/>
      </w:pPr>
      <w:rPr>
        <w:rFonts w:hint="default" w:ascii="华文楷体" w:hAnsi="华文楷体" w:eastAsia="楷体" w:cs="宋体"/>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hint="default" w:ascii="华文楷体" w:hAnsi="华文楷体" w:eastAsia="楷体" w:cs="宋体"/>
        <w:b/>
        <w:bCs/>
      </w:rPr>
    </w:tblStylePr>
    <w:tblStylePr w:type="lastCol">
      <w:rPr>
        <w:rFonts w:hint="default" w:ascii="华文楷体" w:hAnsi="华文楷体" w:eastAsia="楷体" w:cs="宋体"/>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147">
    <w:name w:val="网格表 5 深色 - 着色 511"/>
    <w:basedOn w:val="36"/>
    <w:qFormat/>
    <w:locked/>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48">
    <w:name w:val="网格表 2 - 强调文字颜色 511"/>
    <w:basedOn w:val="36"/>
    <w:qFormat/>
    <w:locked/>
    <w:uiPriority w:val="47"/>
    <w:tblPr>
      <w:tblBorders>
        <w:top w:val="single" w:color="92CDDC" w:sz="2" w:space="0"/>
        <w:bottom w:val="single" w:color="92CDDC" w:sz="2" w:space="0"/>
        <w:insideH w:val="single" w:color="92CDDC" w:sz="2" w:space="0"/>
        <w:insideV w:val="single" w:color="92CDDC" w:sz="2" w:space="0"/>
      </w:tblBorders>
    </w:tblPr>
    <w:tblStylePr w:type="firstRow">
      <w:rPr>
        <w:b/>
        <w:bCs/>
      </w:rPr>
      <w:tcPr>
        <w:tcBorders>
          <w:top w:val="nil"/>
          <w:bottom w:val="single" w:color="92CDDC" w:sz="12" w:space="0"/>
          <w:insideH w:val="nil"/>
          <w:insideV w:val="nil"/>
        </w:tcBorders>
        <w:shd w:val="clear" w:color="auto" w:fill="FFFFFF"/>
      </w:tcPr>
    </w:tblStylePr>
    <w:tblStylePr w:type="lastRow">
      <w:rPr>
        <w:b/>
        <w:bCs/>
      </w:rPr>
      <w:tcPr>
        <w:tcBorders>
          <w:top w:val="double" w:color="92CDDC"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49">
    <w:name w:val="网格表 4 - 着色 611"/>
    <w:basedOn w:val="36"/>
    <w:qFormat/>
    <w:locked/>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50">
    <w:name w:val="网格表 4 - 着色 511"/>
    <w:basedOn w:val="36"/>
    <w:qFormat/>
    <w:locked/>
    <w:uiPriority w:val="49"/>
    <w:rPr>
      <w:rFonts w:eastAsia="华文楷体"/>
      <w:kern w:val="2"/>
      <w:sz w:val="24"/>
      <w:szCs w:val="24"/>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51">
    <w:name w:val="清单表 4 - 着色 611"/>
    <w:basedOn w:val="36"/>
    <w:qFormat/>
    <w:locked/>
    <w:uiPriority w:val="49"/>
    <w:tblPr>
      <w:tblBorders>
        <w:top w:val="single" w:color="FABF8F" w:sz="4" w:space="0"/>
        <w:left w:val="single" w:color="FABF8F" w:sz="4" w:space="0"/>
        <w:bottom w:val="single" w:color="FABF8F" w:sz="4" w:space="0"/>
        <w:right w:val="single" w:color="FABF8F" w:sz="4" w:space="0"/>
        <w:insideH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tcBorders>
        <w:shd w:val="clear" w:color="auto" w:fill="F79646"/>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52">
    <w:name w:val="网格表 4 - 着色 621"/>
    <w:basedOn w:val="36"/>
    <w:qFormat/>
    <w:locked/>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53">
    <w:name w:val="浅色网格 - 着色 511"/>
    <w:basedOn w:val="36"/>
    <w:qFormat/>
    <w:locked/>
    <w:uiPriority w:val="62"/>
    <w:rPr>
      <w:rFonts w:eastAsia="华文楷体"/>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beforeLines="0" w:beforeAutospacing="0" w:after="0" w:afterLines="0" w:afterAutospacing="0" w:line="240" w:lineRule="auto"/>
      </w:pPr>
      <w:rPr>
        <w:rFonts w:hint="default"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beforeLines="0" w:beforeAutospacing="0" w:after="0" w:afterLines="0" w:afterAutospacing="0" w:line="240" w:lineRule="auto"/>
      </w:pPr>
      <w:rPr>
        <w:rFonts w:hint="default"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hint="default" w:ascii="微软雅黑" w:hAnsi="微软雅黑" w:eastAsia="宋体" w:cs="Times New Roman"/>
        <w:b/>
        <w:bCs/>
      </w:rPr>
    </w:tblStylePr>
    <w:tblStylePr w:type="lastCol">
      <w:rPr>
        <w:rFonts w:hint="default"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154">
    <w:name w:val="中等深浅底纹 1 - 着色 111"/>
    <w:basedOn w:val="36"/>
    <w:qFormat/>
    <w:locked/>
    <w:uiPriority w:val="63"/>
    <w:rPr>
      <w:rFonts w:eastAsia="华文楷体"/>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beforeLines="0" w:beforeAutospacing="0" w:after="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beforeLines="0" w:beforeAutospacing="0" w:after="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55">
    <w:name w:val="浅色网格 - 着色 111"/>
    <w:basedOn w:val="36"/>
    <w:qFormat/>
    <w:locked/>
    <w:uiPriority w:val="62"/>
    <w:rPr>
      <w:rFonts w:eastAsia="华文楷体"/>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beforeLines="0" w:beforeAutospacing="0" w:after="0" w:afterLines="0" w:afterAutospacing="0" w:line="240" w:lineRule="auto"/>
      </w:pPr>
      <w:rPr>
        <w:rFonts w:hint="default" w:ascii="微软雅黑" w:hAnsi="微软雅黑"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beforeLines="0" w:beforeAutospacing="0" w:after="0" w:afterLines="0" w:afterAutospacing="0" w:line="240" w:lineRule="auto"/>
      </w:pPr>
      <w:rPr>
        <w:rFonts w:hint="default" w:ascii="微软雅黑" w:hAnsi="微软雅黑"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hint="default" w:ascii="微软雅黑" w:hAnsi="微软雅黑" w:eastAsia="宋体" w:cs="Times New Roman"/>
        <w:b/>
        <w:bCs/>
      </w:rPr>
    </w:tblStylePr>
    <w:tblStylePr w:type="lastCol">
      <w:rPr>
        <w:rFonts w:hint="default" w:ascii="微软雅黑" w:hAnsi="微软雅黑"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156">
    <w:name w:val="浅色网格 - 着色 311"/>
    <w:basedOn w:val="36"/>
    <w:qFormat/>
    <w:locked/>
    <w:uiPriority w:val="62"/>
    <w:rPr>
      <w:rFonts w:eastAsia="华文楷体"/>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beforeLines="0" w:beforeAutospacing="0" w:after="0" w:afterLines="0" w:afterAutospacing="0" w:line="240" w:lineRule="auto"/>
      </w:pPr>
      <w:rPr>
        <w:rFonts w:hint="default" w:ascii="微软雅黑" w:hAnsi="微软雅黑" w:eastAsia="宋体"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beforeLines="0" w:beforeAutospacing="0" w:after="0" w:afterLines="0" w:afterAutospacing="0" w:line="240" w:lineRule="auto"/>
      </w:pPr>
      <w:rPr>
        <w:rFonts w:hint="default" w:ascii="微软雅黑" w:hAnsi="微软雅黑" w:eastAsia="宋体"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hint="default" w:ascii="微软雅黑" w:hAnsi="微软雅黑" w:eastAsia="宋体" w:cs="Times New Roman"/>
        <w:b/>
        <w:bCs/>
      </w:rPr>
    </w:tblStylePr>
    <w:tblStylePr w:type="lastCol">
      <w:rPr>
        <w:rFonts w:hint="default" w:ascii="微软雅黑" w:hAnsi="微软雅黑" w:eastAsia="宋体"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57">
    <w:name w:val="浅色网格 - 着色 411"/>
    <w:basedOn w:val="36"/>
    <w:qFormat/>
    <w:locked/>
    <w:uiPriority w:val="62"/>
    <w:rPr>
      <w:rFonts w:eastAsia="华文楷体"/>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beforeLines="0" w:beforeAutospacing="0" w:after="0" w:afterLines="0" w:afterAutospacing="0" w:line="240" w:lineRule="auto"/>
      </w:pPr>
      <w:rPr>
        <w:rFonts w:hint="default" w:ascii="微软雅黑" w:hAnsi="微软雅黑" w:eastAsia="宋体" w:cs="Times New Roman"/>
        <w:b/>
        <w:bCs/>
      </w:r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beforeLines="0" w:beforeAutospacing="0" w:after="0" w:afterLines="0" w:afterAutospacing="0" w:line="240" w:lineRule="auto"/>
      </w:pPr>
      <w:rPr>
        <w:rFonts w:hint="default" w:ascii="微软雅黑" w:hAnsi="微软雅黑" w:eastAsia="宋体" w:cs="Times New Roman"/>
        <w:b/>
        <w:bCs/>
      </w:r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hint="default" w:ascii="微软雅黑" w:hAnsi="微软雅黑" w:eastAsia="宋体" w:cs="Times New Roman"/>
        <w:b/>
        <w:bCs/>
      </w:rPr>
    </w:tblStylePr>
    <w:tblStylePr w:type="lastCol">
      <w:rPr>
        <w:rFonts w:hint="default" w:ascii="微软雅黑" w:hAnsi="微软雅黑" w:eastAsia="宋体" w:cs="Times New Roman"/>
        <w:b/>
        <w:bCs/>
      </w:rPr>
      <w:tcPr>
        <w:tcBorders>
          <w:top w:val="single" w:color="8064A2" w:sz="8" w:space="0"/>
          <w:left w:val="single" w:color="8064A2" w:sz="8" w:space="0"/>
          <w:bottom w:val="single" w:color="8064A2" w:sz="8" w:space="0"/>
          <w:right w:val="single" w:color="8064A2" w:sz="8" w:space="0"/>
        </w:tcBorders>
      </w:tcPr>
    </w:tblStylePr>
    <w:tblStylePr w:type="band1Vert">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customStyle="1" w:styleId="158">
    <w:name w:val="浅色底纹 - 着色 511"/>
    <w:basedOn w:val="36"/>
    <w:qFormat/>
    <w:locked/>
    <w:uiPriority w:val="60"/>
    <w:rPr>
      <w:rFonts w:ascii="Corbel" w:hAnsi="Corbel" w:eastAsia="华文楷体" w:cs="宋体"/>
      <w:color w:val="31849B"/>
      <w:kern w:val="2"/>
      <w:sz w:val="21"/>
      <w:szCs w:val="22"/>
    </w:rPr>
    <w:tblPr>
      <w:tblBorders>
        <w:top w:val="single" w:color="4BACC6" w:sz="8" w:space="0"/>
        <w:bottom w:val="single" w:color="4BACC6" w:sz="8" w:space="0"/>
      </w:tblBorders>
    </w:tblPr>
    <w:tblStylePr w:type="firstRow">
      <w:pPr>
        <w:spacing w:before="0" w:beforeLines="0" w:beforeAutospacing="0" w:after="0" w:afterLines="0" w:afterAutospacing="0" w:line="240" w:lineRule="auto"/>
      </w:pPr>
      <w:rPr>
        <w:b/>
        <w:bCs/>
      </w:rPr>
      <w:tcPr>
        <w:tcBorders>
          <w:top w:val="single" w:color="4BACC6" w:sz="8" w:space="0"/>
          <w:left w:val="nil"/>
          <w:bottom w:val="single" w:color="4BACC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cPr>
    </w:tblStylePr>
    <w:tblStylePr w:type="band1Horz">
      <w:tcPr>
        <w:tcBorders>
          <w:left w:val="nil"/>
          <w:right w:val="nil"/>
          <w:insideH w:val="nil"/>
          <w:insideV w:val="nil"/>
        </w:tcBorders>
        <w:shd w:val="clear" w:color="auto" w:fill="D2EAF1"/>
      </w:tcPr>
    </w:tblStylePr>
  </w:style>
  <w:style w:type="table" w:customStyle="1" w:styleId="159">
    <w:name w:val="网格表 4 - 着色 521"/>
    <w:basedOn w:val="36"/>
    <w:qFormat/>
    <w:locked/>
    <w:uiPriority w:val="49"/>
    <w:rPr>
      <w:rFonts w:eastAsia="华文楷体"/>
      <w:kern w:val="2"/>
      <w:sz w:val="24"/>
      <w:szCs w:val="24"/>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60">
    <w:name w:val="网格表 5 深色 - 着色 211"/>
    <w:basedOn w:val="36"/>
    <w:qFormat/>
    <w:locked/>
    <w:uiPriority w:val="50"/>
    <w:rPr>
      <w:rFonts w:ascii="Calibri" w:hAnsi="Calibri" w:eastAsia="华文楷体"/>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DF0F2"/>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8B6C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8B6C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8B6C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8B6C0"/>
      </w:tcPr>
    </w:tblStylePr>
    <w:tblStylePr w:type="band1Vert">
      <w:tcPr>
        <w:shd w:val="clear" w:color="auto" w:fill="BCE1E5"/>
      </w:tcPr>
    </w:tblStylePr>
    <w:tblStylePr w:type="band1Horz">
      <w:tcPr>
        <w:shd w:val="clear" w:color="auto" w:fill="BCE1E5"/>
      </w:tcPr>
    </w:tblStylePr>
  </w:style>
  <w:style w:type="table" w:customStyle="1" w:styleId="161">
    <w:name w:val="网格表 5 深色 - 着色 221"/>
    <w:basedOn w:val="36"/>
    <w:qFormat/>
    <w:locked/>
    <w:uiPriority w:val="50"/>
    <w:rPr>
      <w:rFonts w:eastAsia="华文楷体"/>
      <w:kern w:val="2"/>
      <w:sz w:val="24"/>
      <w:szCs w:val="24"/>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C0504D"/>
      </w:tcPr>
    </w:tblStylePr>
    <w:tblStylePr w:type="band1Vert">
      <w:tcPr>
        <w:shd w:val="clear" w:color="auto" w:fill="E5B8B7"/>
      </w:tcPr>
    </w:tblStylePr>
    <w:tblStylePr w:type="band1Horz">
      <w:tcPr>
        <w:shd w:val="clear" w:color="auto" w:fill="E5B8B7"/>
      </w:tcPr>
    </w:tblStylePr>
  </w:style>
  <w:style w:type="table" w:customStyle="1" w:styleId="162">
    <w:name w:val="网格表 5 深色 - 着色 521"/>
    <w:basedOn w:val="36"/>
    <w:qFormat/>
    <w:locked/>
    <w:uiPriority w:val="50"/>
    <w:rPr>
      <w:rFonts w:eastAsia="华文楷体"/>
      <w:kern w:val="2"/>
      <w:sz w:val="24"/>
      <w:szCs w:val="24"/>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63">
    <w:name w:val="网格表 4 - 着色 531"/>
    <w:basedOn w:val="36"/>
    <w:qFormat/>
    <w:locked/>
    <w:uiPriority w:val="49"/>
    <w:rPr>
      <w:rFonts w:eastAsia="华文楷体"/>
      <w:kern w:val="2"/>
      <w:sz w:val="24"/>
      <w:szCs w:val="24"/>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64">
    <w:name w:val="网格表 5 深色 - 着色 231"/>
    <w:basedOn w:val="36"/>
    <w:qFormat/>
    <w:locked/>
    <w:uiPriority w:val="50"/>
    <w:rPr>
      <w:rFonts w:eastAsia="华文楷体"/>
      <w:kern w:val="2"/>
      <w:sz w:val="24"/>
      <w:szCs w:val="24"/>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C0504D"/>
      </w:tcPr>
    </w:tblStylePr>
    <w:tblStylePr w:type="band1Vert">
      <w:tcPr>
        <w:shd w:val="clear" w:color="auto" w:fill="E5B8B7"/>
      </w:tcPr>
    </w:tblStylePr>
    <w:tblStylePr w:type="band1Horz">
      <w:tcPr>
        <w:shd w:val="clear" w:color="auto" w:fill="E5B8B7"/>
      </w:tcPr>
    </w:tblStylePr>
  </w:style>
  <w:style w:type="table" w:customStyle="1" w:styleId="165">
    <w:name w:val="网格表 5 深色 - 着色 531"/>
    <w:basedOn w:val="36"/>
    <w:qFormat/>
    <w:locked/>
    <w:uiPriority w:val="50"/>
    <w:rPr>
      <w:rFonts w:eastAsia="华文楷体"/>
      <w:kern w:val="2"/>
      <w:sz w:val="24"/>
      <w:szCs w:val="24"/>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66">
    <w:name w:val="清单表 4 - 着色 511"/>
    <w:basedOn w:val="36"/>
    <w:qFormat/>
    <w:locked/>
    <w:uiPriority w:val="49"/>
    <w:tblPr>
      <w:tblBorders>
        <w:top w:val="single" w:color="92CDDC" w:sz="4" w:space="0"/>
        <w:left w:val="single" w:color="92CDDC" w:sz="4" w:space="0"/>
        <w:bottom w:val="single" w:color="92CDDC" w:sz="4" w:space="0"/>
        <w:right w:val="single" w:color="92CDDC" w:sz="4" w:space="0"/>
        <w:insideH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tcBorders>
        <w:shd w:val="clear" w:color="auto" w:fill="4BACC6"/>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67">
    <w:name w:val="无格式表格 311"/>
    <w:basedOn w:val="36"/>
    <w:qFormat/>
    <w:locked/>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8">
    <w:name w:val="实施方案21"/>
    <w:basedOn w:val="36"/>
    <w:qFormat/>
    <w:locked/>
    <w:uiPriority w:val="99"/>
    <w:pPr>
      <w:jc w:val="both"/>
    </w:pPr>
    <w:rPr>
      <w:rFonts w:eastAsia="华文楷体"/>
      <w:sz w:val="21"/>
    </w:rPr>
    <w:tcPr>
      <w:vAlign w:val="center"/>
    </w:tcPr>
    <w:tblStylePr w:type="firstRow">
      <w:pPr>
        <w:jc w:val="both"/>
      </w:pPr>
      <w:rPr>
        <w:rFonts w:hint="default" w:ascii="Times New Roman" w:hAnsi="Times New Roman" w:eastAsia="楷体" w:cs="Times New Roman"/>
        <w:b/>
        <w:i w:val="0"/>
        <w:color w:val="FFFFFF"/>
        <w:sz w:val="21"/>
        <w:szCs w:val="21"/>
      </w:rPr>
      <w:tcPr>
        <w:tcBorders>
          <w:top w:val="nil"/>
          <w:left w:val="nil"/>
          <w:bottom w:val="single" w:color="FFFFFF" w:sz="8" w:space="0"/>
          <w:right w:val="nil"/>
          <w:insideH w:val="nil"/>
          <w:insideV w:val="single" w:sz="8" w:space="0"/>
          <w:tl2br w:val="nil"/>
          <w:tr2bl w:val="nil"/>
        </w:tcBorders>
        <w:shd w:val="clear" w:color="auto" w:fill="0070C0"/>
      </w:tcPr>
    </w:tblStylePr>
    <w:tblStylePr w:type="band1Horz">
      <w:tcPr>
        <w:tcBorders>
          <w:top w:val="nil"/>
          <w:left w:val="nil"/>
          <w:bottom w:val="nil"/>
          <w:right w:val="nil"/>
          <w:insideH w:val="nil"/>
          <w:insideV w:val="single" w:sz="8" w:space="0"/>
          <w:tl2br w:val="nil"/>
          <w:tr2bl w:val="nil"/>
        </w:tcBorders>
        <w:shd w:val="clear" w:color="auto" w:fill="D9D9D9"/>
      </w:tcPr>
    </w:tblStylePr>
    <w:tblStylePr w:type="band2Horz">
      <w:tcPr>
        <w:tcBorders>
          <w:top w:val="single" w:color="D9D9D9" w:sz="8" w:space="0"/>
          <w:left w:val="nil"/>
          <w:bottom w:val="single" w:color="D9D9D9" w:sz="8" w:space="0"/>
          <w:right w:val="nil"/>
          <w:insideH w:val="nil"/>
          <w:insideV w:val="single" w:sz="8" w:space="0"/>
          <w:tl2br w:val="nil"/>
          <w:tr2bl w:val="nil"/>
        </w:tcBorders>
      </w:tcPr>
    </w:tblStylePr>
  </w:style>
  <w:style w:type="table" w:customStyle="1" w:styleId="169">
    <w:name w:val="网格表 5 深色 - 着色 111"/>
    <w:basedOn w:val="36"/>
    <w:qFormat/>
    <w:locked/>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70">
    <w:name w:val="xl89"/>
    <w:basedOn w:val="1"/>
    <w:qFormat/>
    <w:locked/>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val="0"/>
      <w:kern w:val="0"/>
      <w:sz w:val="22"/>
      <w:szCs w:val="22"/>
    </w:rPr>
  </w:style>
  <w:style w:type="paragraph" w:customStyle="1" w:styleId="171">
    <w:name w:val="xl91"/>
    <w:basedOn w:val="1"/>
    <w:qFormat/>
    <w:locked/>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kern w:val="0"/>
      <w:sz w:val="20"/>
      <w:szCs w:val="20"/>
    </w:rPr>
  </w:style>
  <w:style w:type="paragraph" w:customStyle="1" w:styleId="172">
    <w:name w:val="xl93"/>
    <w:basedOn w:val="1"/>
    <w:qFormat/>
    <w:locked/>
    <w:uiPriority w:val="0"/>
    <w:pPr>
      <w:widowControl/>
      <w:spacing w:before="100" w:beforeAutospacing="1" w:after="100" w:afterAutospacing="1"/>
      <w:jc w:val="right"/>
    </w:pPr>
    <w:rPr>
      <w:rFonts w:ascii="宋体" w:hAnsi="宋体" w:cs="宋体"/>
      <w:b w:val="0"/>
      <w:kern w:val="0"/>
      <w:sz w:val="20"/>
      <w:szCs w:val="20"/>
    </w:rPr>
  </w:style>
  <w:style w:type="paragraph" w:customStyle="1" w:styleId="173">
    <w:name w:val="xl95"/>
    <w:basedOn w:val="1"/>
    <w:qFormat/>
    <w:locked/>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val="0"/>
      <w:kern w:val="0"/>
      <w:sz w:val="20"/>
      <w:szCs w:val="20"/>
    </w:rPr>
  </w:style>
  <w:style w:type="paragraph" w:customStyle="1" w:styleId="174">
    <w:name w:val="xl97"/>
    <w:basedOn w:val="1"/>
    <w:qFormat/>
    <w:locked/>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kern w:val="0"/>
      <w:sz w:val="20"/>
      <w:szCs w:val="20"/>
    </w:rPr>
  </w:style>
  <w:style w:type="paragraph" w:customStyle="1" w:styleId="175">
    <w:name w:val="xl99"/>
    <w:basedOn w:val="1"/>
    <w:qFormat/>
    <w:locked/>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0"/>
      <w:szCs w:val="20"/>
    </w:rPr>
  </w:style>
  <w:style w:type="paragraph" w:customStyle="1" w:styleId="176">
    <w:name w:val="xl100"/>
    <w:basedOn w:val="1"/>
    <w:qFormat/>
    <w:locked/>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0"/>
      <w:szCs w:val="20"/>
    </w:rPr>
  </w:style>
  <w:style w:type="paragraph" w:customStyle="1" w:styleId="177">
    <w:name w:val="xl102"/>
    <w:basedOn w:val="1"/>
    <w:qFormat/>
    <w:locked/>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0"/>
      <w:szCs w:val="20"/>
    </w:rPr>
  </w:style>
  <w:style w:type="paragraph" w:customStyle="1" w:styleId="178">
    <w:name w:val="xl104"/>
    <w:basedOn w:val="1"/>
    <w:qFormat/>
    <w:locked/>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2"/>
      <w:szCs w:val="22"/>
    </w:rPr>
  </w:style>
  <w:style w:type="table" w:customStyle="1" w:styleId="179">
    <w:name w:val="实施方案312"/>
    <w:basedOn w:val="36"/>
    <w:qFormat/>
    <w:locked/>
    <w:uiPriority w:val="99"/>
    <w:pPr>
      <w:spacing w:line="276" w:lineRule="auto"/>
      <w:jc w:val="both"/>
    </w:pPr>
    <w:rPr>
      <w:rFonts w:eastAsia="华文楷体"/>
      <w:sz w:val="21"/>
    </w:rPr>
    <w:tcPr>
      <w:vAlign w:val="center"/>
    </w:tcPr>
    <w:tblStylePr w:type="firstRow">
      <w:pPr>
        <w:jc w:val="center"/>
      </w:pPr>
      <w:rPr>
        <w:rFonts w:hint="default" w:ascii="Times New Roman" w:hAnsi="Times New Roman" w:eastAsia="楷体" w:cs="Times New Roman"/>
        <w:b/>
        <w:i w:val="0"/>
        <w:color w:val="FFFFFF"/>
        <w:sz w:val="21"/>
        <w:szCs w:val="21"/>
      </w:rPr>
      <w:tcPr>
        <w:tcBorders>
          <w:top w:val="nil"/>
          <w:left w:val="nil"/>
          <w:bottom w:val="nil"/>
          <w:right w:val="nil"/>
          <w:insideH w:val="nil"/>
          <w:insideV w:val="single" w:sz="8" w:space="0"/>
          <w:tl2br w:val="nil"/>
          <w:tr2bl w:val="nil"/>
        </w:tcBorders>
        <w:shd w:val="clear" w:color="auto" w:fill="0070C0"/>
      </w:tcPr>
    </w:tblStylePr>
    <w:tblStylePr w:type="firstCol">
      <w:rPr>
        <w:rFonts w:hint="default" w:ascii="Times New Roman" w:hAnsi="Times New Roman" w:eastAsia="楷体" w:cs="Times New Roman"/>
        <w:b/>
        <w:i w:val="0"/>
        <w:color w:val="FFFFFF"/>
        <w:sz w:val="21"/>
        <w:szCs w:val="21"/>
      </w:rPr>
      <w:tcPr>
        <w:tcBorders>
          <w:top w:val="nil"/>
          <w:left w:val="nil"/>
          <w:bottom w:val="single" w:color="FFFFFF" w:sz="8" w:space="0"/>
          <w:right w:val="single" w:color="FFFFFF" w:sz="8" w:space="0"/>
          <w:insideH w:val="nil"/>
          <w:insideV w:val="nil"/>
          <w:tl2br w:val="nil"/>
          <w:tr2bl w:val="nil"/>
        </w:tcBorders>
        <w:shd w:val="clear" w:color="auto" w:fill="548DD4"/>
      </w:tcPr>
    </w:tblStylePr>
    <w:tblStylePr w:type="band1Vert">
      <w:tcPr>
        <w:tcBorders>
          <w:top w:val="nil"/>
          <w:bottom w:val="nil"/>
        </w:tcBorders>
      </w:tcPr>
    </w:tblStylePr>
    <w:tblStylePr w:type="band1Horz">
      <w:tcPr>
        <w:tcBorders>
          <w:top w:val="single" w:color="D9D9D9" w:sz="8" w:space="0"/>
          <w:left w:val="nil"/>
          <w:bottom w:val="single" w:color="D9D9D9" w:sz="8" w:space="0"/>
          <w:right w:val="nil"/>
          <w:insideH w:val="nil"/>
          <w:insideV w:val="single" w:sz="8" w:space="0"/>
          <w:tl2br w:val="nil"/>
          <w:tr2bl w:val="nil"/>
        </w:tcBorders>
        <w:shd w:val="clear" w:color="auto" w:fill="FFFFFF"/>
      </w:tcPr>
    </w:tblStylePr>
    <w:tblStylePr w:type="band2Horz">
      <w:tcPr>
        <w:tcBorders>
          <w:top w:val="nil"/>
          <w:left w:val="nil"/>
          <w:bottom w:val="nil"/>
          <w:right w:val="nil"/>
          <w:insideH w:val="nil"/>
          <w:insideV w:val="single" w:sz="8" w:space="0"/>
          <w:tl2br w:val="nil"/>
          <w:tr2bl w:val="nil"/>
        </w:tcBorders>
        <w:shd w:val="clear" w:color="auto" w:fill="D9D9D9"/>
      </w:tcPr>
    </w:tblStylePr>
  </w:style>
  <w:style w:type="paragraph" w:customStyle="1" w:styleId="180">
    <w:name w:val="p__ln_q"/>
    <w:basedOn w:val="1"/>
    <w:semiHidden/>
    <w:qFormat/>
    <w:locked/>
    <w:uiPriority w:val="0"/>
    <w:pPr>
      <w:widowControl/>
      <w:spacing w:before="100" w:beforeAutospacing="1" w:after="100" w:afterAutospacing="1"/>
      <w:jc w:val="left"/>
    </w:pPr>
    <w:rPr>
      <w:rFonts w:ascii="宋体" w:hAnsi="宋体" w:cs="宋体"/>
      <w:b w:val="0"/>
      <w:kern w:val="0"/>
      <w:sz w:val="24"/>
    </w:rPr>
  </w:style>
  <w:style w:type="paragraph" w:customStyle="1" w:styleId="181">
    <w:name w:val="样式5"/>
    <w:basedOn w:val="1"/>
    <w:qFormat/>
    <w:uiPriority w:val="0"/>
    <w:pPr>
      <w:widowControl/>
      <w:snapToGrid w:val="0"/>
      <w:jc w:val="center"/>
    </w:pPr>
    <w:rPr>
      <w:rFonts w:ascii="微软雅黑" w:hAnsi="微软雅黑" w:eastAsia="微软雅黑" w:cs="宋体"/>
      <w:b w:val="0"/>
      <w:kern w:val="0"/>
      <w:sz w:val="24"/>
    </w:rPr>
  </w:style>
  <w:style w:type="paragraph" w:customStyle="1" w:styleId="182">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18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8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8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8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18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8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color w:val="FF0000"/>
      <w:kern w:val="0"/>
      <w:sz w:val="24"/>
    </w:rPr>
  </w:style>
  <w:style w:type="paragraph" w:customStyle="1" w:styleId="18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color w:val="000000"/>
      <w:kern w:val="0"/>
      <w:sz w:val="24"/>
    </w:rPr>
  </w:style>
  <w:style w:type="paragraph" w:customStyle="1" w:styleId="19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9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9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9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19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96">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color w:val="FF0000"/>
      <w:kern w:val="0"/>
      <w:sz w:val="24"/>
    </w:rPr>
  </w:style>
  <w:style w:type="paragraph" w:customStyle="1" w:styleId="19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color w:val="000000"/>
      <w:kern w:val="0"/>
      <w:sz w:val="24"/>
    </w:rPr>
  </w:style>
  <w:style w:type="paragraph" w:customStyle="1" w:styleId="19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19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0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02">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03">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204">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06">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207">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color w:val="000000"/>
      <w:kern w:val="0"/>
      <w:sz w:val="24"/>
    </w:rPr>
  </w:style>
  <w:style w:type="paragraph" w:customStyle="1" w:styleId="208">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209">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val="0"/>
      <w:kern w:val="0"/>
      <w:sz w:val="24"/>
    </w:rPr>
  </w:style>
  <w:style w:type="paragraph" w:customStyle="1" w:styleId="211">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212">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213">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val="0"/>
      <w:kern w:val="0"/>
      <w:sz w:val="24"/>
    </w:rPr>
  </w:style>
  <w:style w:type="paragraph" w:customStyle="1" w:styleId="214">
    <w:name w:val="表格标题"/>
    <w:basedOn w:val="1"/>
    <w:link w:val="215"/>
    <w:qFormat/>
    <w:uiPriority w:val="0"/>
    <w:pPr>
      <w:widowControl/>
      <w:snapToGrid w:val="0"/>
      <w:spacing w:before="50"/>
      <w:jc w:val="center"/>
    </w:pPr>
    <w:rPr>
      <w:rFonts w:ascii="宋体" w:hAnsi="宋体" w:eastAsia="黑体" w:cs="宋体"/>
      <w:b w:val="0"/>
      <w:bCs/>
      <w:color w:val="000000"/>
      <w:kern w:val="0"/>
      <w:sz w:val="21"/>
      <w:szCs w:val="21"/>
    </w:rPr>
  </w:style>
  <w:style w:type="character" w:customStyle="1" w:styleId="215">
    <w:name w:val="表格标题 字符"/>
    <w:basedOn w:val="39"/>
    <w:link w:val="214"/>
    <w:qFormat/>
    <w:uiPriority w:val="0"/>
    <w:rPr>
      <w:rFonts w:ascii="宋体" w:hAnsi="宋体" w:eastAsia="黑体" w:cs="宋体"/>
      <w:bCs/>
      <w:color w:val="000000"/>
      <w:sz w:val="21"/>
      <w:szCs w:val="21"/>
    </w:rPr>
  </w:style>
  <w:style w:type="character" w:customStyle="1" w:styleId="216">
    <w:name w:val="未处理的提及6"/>
    <w:basedOn w:val="39"/>
    <w:semiHidden/>
    <w:unhideWhenUsed/>
    <w:qFormat/>
    <w:uiPriority w:val="99"/>
    <w:rPr>
      <w:color w:val="605E5C"/>
      <w:shd w:val="clear" w:color="auto" w:fill="E1DFDD"/>
    </w:rPr>
  </w:style>
  <w:style w:type="paragraph" w:customStyle="1" w:styleId="217">
    <w:name w:val="修订3"/>
    <w:hidden/>
    <w:semiHidden/>
    <w:qFormat/>
    <w:uiPriority w:val="99"/>
    <w:rPr>
      <w:rFonts w:ascii="宋体" w:hAnsi="宋体" w:eastAsia="华文楷体" w:cs="Times New Roman"/>
      <w:sz w:val="28"/>
      <w:szCs w:val="28"/>
      <w:lang w:val="en-US" w:eastAsia="zh-CN" w:bidi="ar-SA"/>
    </w:rPr>
  </w:style>
  <w:style w:type="character" w:customStyle="1" w:styleId="218">
    <w:name w:val="未处理的提及8"/>
    <w:basedOn w:val="39"/>
    <w:semiHidden/>
    <w:unhideWhenUsed/>
    <w:qFormat/>
    <w:uiPriority w:val="99"/>
    <w:rPr>
      <w:color w:val="605E5C"/>
      <w:shd w:val="clear" w:color="auto" w:fill="E1DFDD"/>
    </w:rPr>
  </w:style>
  <w:style w:type="table" w:customStyle="1" w:styleId="219">
    <w:name w:val="网格型62"/>
    <w:basedOn w:val="36"/>
    <w:qFormat/>
    <w:uiPriority w:val="0"/>
    <w:rPr>
      <w:rFonts w:ascii="等线" w:hAnsi="等线" w:eastAsia="等线"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622"/>
    <w:basedOn w:val="36"/>
    <w:qFormat/>
    <w:uiPriority w:val="39"/>
    <w:rPr>
      <w:rFonts w:ascii="等线" w:hAnsi="等线" w:eastAsia="等线"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1">
    <w:name w:val="未处理的提及1"/>
    <w:basedOn w:val="39"/>
    <w:semiHidden/>
    <w:unhideWhenUsed/>
    <w:qFormat/>
    <w:uiPriority w:val="99"/>
    <w:rPr>
      <w:color w:val="605E5C"/>
      <w:shd w:val="clear" w:color="auto" w:fill="E1DFDD"/>
    </w:rPr>
  </w:style>
  <w:style w:type="character" w:customStyle="1" w:styleId="222">
    <w:name w:val="未处理的提及3"/>
    <w:basedOn w:val="39"/>
    <w:semiHidden/>
    <w:unhideWhenUsed/>
    <w:qFormat/>
    <w:uiPriority w:val="99"/>
    <w:rPr>
      <w:color w:val="605E5C"/>
      <w:shd w:val="clear" w:color="auto" w:fill="E1DFDD"/>
    </w:rPr>
  </w:style>
  <w:style w:type="character" w:customStyle="1" w:styleId="223">
    <w:name w:val="未处理的提及5"/>
    <w:basedOn w:val="39"/>
    <w:semiHidden/>
    <w:unhideWhenUsed/>
    <w:qFormat/>
    <w:uiPriority w:val="99"/>
    <w:rPr>
      <w:color w:val="605E5C"/>
      <w:shd w:val="clear" w:color="auto" w:fill="E1DFDD"/>
    </w:rPr>
  </w:style>
  <w:style w:type="character" w:styleId="224">
    <w:name w:val="Placeholder Text"/>
    <w:basedOn w:val="39"/>
    <w:semiHidden/>
    <w:qFormat/>
    <w:uiPriority w:val="99"/>
    <w:rPr>
      <w:color w:val="808080"/>
    </w:rPr>
  </w:style>
  <w:style w:type="paragraph" w:customStyle="1" w:styleId="225">
    <w:name w:val="修订4"/>
    <w:hidden/>
    <w:semiHidden/>
    <w:qFormat/>
    <w:uiPriority w:val="99"/>
    <w:rPr>
      <w:rFonts w:ascii="宋体" w:hAnsi="宋体" w:eastAsia="华文楷体" w:cs="Times New Roman"/>
      <w:sz w:val="28"/>
      <w:szCs w:val="28"/>
      <w:lang w:val="en-US" w:eastAsia="zh-CN" w:bidi="ar-SA"/>
    </w:rPr>
  </w:style>
  <w:style w:type="character" w:customStyle="1" w:styleId="226">
    <w:name w:val="未处理的提及7"/>
    <w:basedOn w:val="39"/>
    <w:semiHidden/>
    <w:unhideWhenUsed/>
    <w:qFormat/>
    <w:uiPriority w:val="99"/>
    <w:rPr>
      <w:color w:val="605E5C"/>
      <w:shd w:val="clear" w:color="auto" w:fill="E1DFDD"/>
    </w:rPr>
  </w:style>
  <w:style w:type="paragraph" w:styleId="227">
    <w:name w:val="List Paragraph"/>
    <w:basedOn w:val="1"/>
    <w:qFormat/>
    <w:uiPriority w:val="99"/>
    <w:pPr>
      <w:widowControl/>
      <w:ind w:firstLine="420" w:firstLineChars="200"/>
      <w:jc w:val="left"/>
    </w:pPr>
    <w:rPr>
      <w:rFonts w:ascii="宋体" w:hAnsi="宋体" w:cs="宋体"/>
      <w:b w:val="0"/>
      <w:kern w:val="0"/>
      <w:sz w:val="24"/>
    </w:rPr>
  </w:style>
  <w:style w:type="paragraph" w:customStyle="1" w:styleId="228">
    <w:name w:val="TOC 标题3"/>
    <w:basedOn w:val="2"/>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29">
    <w:name w:val="未处理的提及9"/>
    <w:basedOn w:val="39"/>
    <w:semiHidden/>
    <w:unhideWhenUsed/>
    <w:qFormat/>
    <w:uiPriority w:val="99"/>
    <w:rPr>
      <w:color w:val="605E5C"/>
      <w:shd w:val="clear" w:color="auto" w:fill="E1DFDD"/>
    </w:rPr>
  </w:style>
  <w:style w:type="paragraph" w:customStyle="1" w:styleId="230">
    <w:name w:val="招标文件正文"/>
    <w:basedOn w:val="1"/>
    <w:qFormat/>
    <w:uiPriority w:val="0"/>
    <w:pPr>
      <w:spacing w:line="420" w:lineRule="exact"/>
      <w:ind w:firstLine="480" w:firstLineChars="200"/>
      <w:jc w:val="left"/>
    </w:pPr>
    <w:rPr>
      <w:rFonts w:hint="eastAsia" w:ascii="宋体" w:hAnsi="宋体" w:cs="宋体"/>
      <w:b w:val="0"/>
      <w:sz w:val="24"/>
    </w:rPr>
  </w:style>
  <w:style w:type="paragraph" w:customStyle="1" w:styleId="231">
    <w:name w:val="招标文件表格"/>
    <w:qFormat/>
    <w:uiPriority w:val="0"/>
    <w:pPr>
      <w:spacing w:line="420" w:lineRule="exact"/>
      <w:jc w:val="center"/>
      <w:outlineLvl w:val="0"/>
    </w:pPr>
    <w:rPr>
      <w:rFonts w:hint="eastAsia" w:ascii="宋体" w:hAnsi="宋体" w:eastAsia="宋体" w:cs="宋体"/>
      <w:bCs/>
      <w:sz w:val="24"/>
      <w:lang w:val="en-US" w:eastAsia="zh-CN" w:bidi="ar-SA"/>
    </w:rPr>
  </w:style>
  <w:style w:type="paragraph" w:customStyle="1" w:styleId="232">
    <w:name w:val="*正文"/>
    <w:basedOn w:val="1"/>
    <w:qFormat/>
    <w:uiPriority w:val="0"/>
    <w:pPr>
      <w:spacing w:line="360" w:lineRule="auto"/>
      <w:ind w:firstLine="200" w:firstLineChars="200"/>
    </w:pPr>
    <w:rPr>
      <w:rFonts w:ascii="宋体" w:hAnsi="宋体"/>
      <w:sz w:val="24"/>
    </w:rPr>
  </w:style>
  <w:style w:type="paragraph" w:customStyle="1" w:styleId="233">
    <w:name w:val="Table Paragraph"/>
    <w:basedOn w:val="1"/>
    <w:qFormat/>
    <w:uiPriority w:val="1"/>
    <w:pPr>
      <w:jc w:val="left"/>
    </w:pPr>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39</Pages>
  <Words>3588</Words>
  <Characters>20454</Characters>
  <Lines>170</Lines>
  <Paragraphs>47</Paragraphs>
  <TotalTime>13</TotalTime>
  <ScaleCrop>false</ScaleCrop>
  <LinksUpToDate>false</LinksUpToDate>
  <CharactersWithSpaces>23995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2023-06-21T16:48:00Z</dcterms:created>
  <dc:creator>微软用户</dc:creator>
  <cp:lastModifiedBy>木心</cp:lastModifiedBy>
  <cp:lastPrinted>2023-09-01T14:48:00Z</cp:lastPrinted>
  <dcterms:modified xsi:type="dcterms:W3CDTF">2023-09-28T02:50:54Z</dcterms:modified>
  <dc:title>衢州市三衢福利院“公办民营”2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3D0DF548B2624FD9868514F85D6EE487_13</vt:lpwstr>
  </property>
</Properties>
</file>