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kern w:val="1"/>
          <w:sz w:val="56"/>
          <w:szCs w:val="56"/>
          <w:highlight w:val="none"/>
          <w:lang w:eastAsia="zh-CN"/>
        </w:rPr>
      </w:pPr>
    </w:p>
    <w:p>
      <w:pPr>
        <w:jc w:val="center"/>
        <w:rPr>
          <w:rFonts w:hint="eastAsia" w:ascii="宋体" w:hAnsi="宋体" w:eastAsia="宋体" w:cs="宋体"/>
          <w:b/>
          <w:bCs/>
          <w:color w:val="auto"/>
          <w:kern w:val="1"/>
          <w:sz w:val="56"/>
          <w:szCs w:val="56"/>
          <w:highlight w:val="none"/>
          <w:lang w:eastAsia="zh-CN"/>
        </w:rPr>
      </w:pPr>
    </w:p>
    <w:p>
      <w:pPr>
        <w:jc w:val="center"/>
        <w:rPr>
          <w:rFonts w:hint="eastAsia" w:ascii="宋体" w:hAnsi="宋体" w:eastAsia="宋体" w:cs="宋体"/>
          <w:color w:val="auto"/>
          <w:highlight w:val="none"/>
        </w:rPr>
      </w:pPr>
      <w:r>
        <w:rPr>
          <w:rFonts w:hint="eastAsia" w:ascii="宋体" w:hAnsi="宋体" w:eastAsia="宋体" w:cs="宋体"/>
          <w:b/>
          <w:bCs/>
          <w:color w:val="auto"/>
          <w:kern w:val="1"/>
          <w:sz w:val="56"/>
          <w:szCs w:val="56"/>
          <w:highlight w:val="none"/>
          <w:lang w:eastAsia="zh-CN"/>
        </w:rPr>
        <w:t>义乌市排水有限公司</w:t>
      </w:r>
      <w:r>
        <w:rPr>
          <w:rFonts w:hint="eastAsia" w:ascii="宋体" w:hAnsi="宋体" w:eastAsia="宋体" w:cs="宋体"/>
          <w:b/>
          <w:bCs/>
          <w:color w:val="auto"/>
          <w:kern w:val="1"/>
          <w:sz w:val="56"/>
          <w:szCs w:val="56"/>
          <w:highlight w:val="none"/>
          <w:u w:val="none"/>
          <w:lang w:val="en-US" w:eastAsia="zh-CN"/>
        </w:rPr>
        <w:t>网络安全设备、技术顾问及监控改造</w:t>
      </w:r>
      <w:r>
        <w:rPr>
          <w:rFonts w:hint="eastAsia" w:ascii="宋体" w:hAnsi="宋体" w:eastAsia="宋体" w:cs="宋体"/>
          <w:b/>
          <w:bCs/>
          <w:color w:val="auto"/>
          <w:kern w:val="1"/>
          <w:sz w:val="56"/>
          <w:szCs w:val="56"/>
          <w:highlight w:val="none"/>
          <w:lang w:val="en-US" w:eastAsia="zh-CN"/>
        </w:rPr>
        <w:t>采购</w:t>
      </w:r>
      <w:r>
        <w:rPr>
          <w:rFonts w:hint="eastAsia" w:ascii="宋体" w:hAnsi="宋体" w:eastAsia="宋体" w:cs="宋体"/>
          <w:b/>
          <w:bCs/>
          <w:color w:val="auto"/>
          <w:kern w:val="1"/>
          <w:sz w:val="56"/>
          <w:szCs w:val="56"/>
          <w:highlight w:val="none"/>
          <w:lang w:eastAsia="zh-CN"/>
        </w:rPr>
        <w:t>项目</w:t>
      </w:r>
    </w:p>
    <w:p>
      <w:pPr>
        <w:spacing w:line="360" w:lineRule="auto"/>
        <w:jc w:val="center"/>
        <w:rPr>
          <w:rFonts w:hint="eastAsia" w:ascii="宋体" w:hAnsi="宋体" w:eastAsia="宋体" w:cs="宋体"/>
          <w:color w:val="auto"/>
          <w:kern w:val="1"/>
          <w:sz w:val="24"/>
          <w:szCs w:val="24"/>
          <w:highlight w:val="none"/>
        </w:rPr>
      </w:pPr>
    </w:p>
    <w:p>
      <w:pPr>
        <w:spacing w:line="360" w:lineRule="auto"/>
        <w:jc w:val="center"/>
        <w:rPr>
          <w:rFonts w:hint="eastAsia" w:ascii="宋体" w:hAnsi="宋体" w:eastAsia="宋体" w:cs="宋体"/>
          <w:color w:val="auto"/>
          <w:kern w:val="1"/>
          <w:sz w:val="24"/>
          <w:szCs w:val="24"/>
          <w:highlight w:val="none"/>
        </w:rPr>
      </w:pPr>
    </w:p>
    <w:p>
      <w:pPr>
        <w:pStyle w:val="12"/>
        <w:rPr>
          <w:rFonts w:hint="eastAsia" w:ascii="宋体" w:hAnsi="宋体" w:eastAsia="宋体" w:cs="宋体"/>
          <w:color w:val="auto"/>
          <w:kern w:val="1"/>
          <w:sz w:val="24"/>
          <w:szCs w:val="24"/>
          <w:highlight w:val="none"/>
        </w:rPr>
      </w:pPr>
    </w:p>
    <w:p>
      <w:pPr>
        <w:pStyle w:val="12"/>
        <w:rPr>
          <w:rFonts w:hint="eastAsia" w:ascii="宋体" w:hAnsi="宋体" w:eastAsia="宋体" w:cs="宋体"/>
          <w:color w:val="auto"/>
          <w:kern w:val="1"/>
          <w:sz w:val="24"/>
          <w:szCs w:val="24"/>
          <w:highlight w:val="none"/>
        </w:rPr>
      </w:pPr>
    </w:p>
    <w:p>
      <w:pPr>
        <w:pStyle w:val="15"/>
        <w:jc w:val="center"/>
        <w:rPr>
          <w:rFonts w:hint="eastAsia" w:ascii="宋体" w:hAnsi="宋体" w:eastAsia="宋体" w:cs="宋体"/>
          <w:color w:val="auto"/>
          <w:kern w:val="1"/>
          <w:sz w:val="84"/>
          <w:szCs w:val="84"/>
          <w:highlight w:val="none"/>
        </w:rPr>
      </w:pPr>
      <w:r>
        <w:rPr>
          <w:rFonts w:hint="eastAsia" w:ascii="宋体" w:hAnsi="宋体" w:eastAsia="宋体" w:cs="宋体"/>
          <w:color w:val="auto"/>
          <w:sz w:val="84"/>
          <w:szCs w:val="84"/>
          <w:highlight w:val="none"/>
        </w:rPr>
        <w:t>招标</w:t>
      </w:r>
      <w:r>
        <w:rPr>
          <w:rFonts w:hint="eastAsia" w:ascii="宋体" w:hAnsi="宋体" w:eastAsia="宋体" w:cs="宋体"/>
          <w:color w:val="auto"/>
          <w:kern w:val="1"/>
          <w:sz w:val="84"/>
          <w:szCs w:val="84"/>
          <w:highlight w:val="none"/>
        </w:rPr>
        <w:t>文件</w:t>
      </w:r>
    </w:p>
    <w:p>
      <w:pPr>
        <w:jc w:val="center"/>
        <w:rPr>
          <w:rFonts w:hint="eastAsia" w:ascii="宋体" w:hAnsi="宋体" w:eastAsia="宋体" w:cs="宋体"/>
          <w:color w:val="auto"/>
          <w:kern w:val="1"/>
          <w:sz w:val="36"/>
          <w:szCs w:val="36"/>
          <w:highlight w:val="none"/>
        </w:rPr>
      </w:pPr>
    </w:p>
    <w:p>
      <w:pPr>
        <w:jc w:val="center"/>
        <w:rPr>
          <w:rFonts w:hint="eastAsia" w:ascii="宋体" w:hAnsi="宋体" w:eastAsia="宋体" w:cs="宋体"/>
          <w:color w:val="auto"/>
          <w:kern w:val="1"/>
          <w:sz w:val="36"/>
          <w:szCs w:val="36"/>
          <w:highlight w:val="none"/>
        </w:rPr>
      </w:pPr>
    </w:p>
    <w:p>
      <w:pPr>
        <w:pStyle w:val="12"/>
        <w:rPr>
          <w:rFonts w:hint="eastAsia" w:ascii="宋体" w:hAnsi="宋体" w:eastAsia="宋体" w:cs="宋体"/>
          <w:color w:val="auto"/>
          <w:highlight w:val="none"/>
        </w:rPr>
      </w:pPr>
    </w:p>
    <w:p>
      <w:pPr>
        <w:jc w:val="center"/>
        <w:rPr>
          <w:rFonts w:hint="eastAsia" w:ascii="宋体" w:hAnsi="宋体" w:eastAsia="宋体" w:cs="宋体"/>
          <w:b/>
          <w:bCs/>
          <w:color w:val="auto"/>
          <w:kern w:val="1"/>
          <w:sz w:val="32"/>
          <w:szCs w:val="32"/>
          <w:highlight w:val="none"/>
        </w:rPr>
      </w:pPr>
      <w:r>
        <w:rPr>
          <w:rFonts w:hint="eastAsia" w:ascii="宋体" w:hAnsi="宋体" w:eastAsia="宋体" w:cs="宋体"/>
          <w:b/>
          <w:bCs/>
          <w:color w:val="auto"/>
          <w:kern w:val="1"/>
          <w:sz w:val="32"/>
          <w:szCs w:val="32"/>
          <w:highlight w:val="none"/>
        </w:rPr>
        <w:t>采购编号：YCQ-2021-CG</w:t>
      </w:r>
      <w:r>
        <w:rPr>
          <w:rFonts w:hint="eastAsia" w:ascii="宋体" w:hAnsi="宋体" w:eastAsia="宋体" w:cs="宋体"/>
          <w:b/>
          <w:bCs/>
          <w:color w:val="auto"/>
          <w:kern w:val="1"/>
          <w:sz w:val="32"/>
          <w:szCs w:val="32"/>
          <w:highlight w:val="none"/>
          <w:lang w:val="en-US" w:eastAsia="zh-CN"/>
        </w:rPr>
        <w:t>228</w:t>
      </w:r>
      <w:r>
        <w:rPr>
          <w:rFonts w:hint="eastAsia" w:ascii="宋体" w:hAnsi="宋体" w:eastAsia="宋体" w:cs="宋体"/>
          <w:b/>
          <w:bCs/>
          <w:color w:val="auto"/>
          <w:kern w:val="1"/>
          <w:sz w:val="32"/>
          <w:szCs w:val="32"/>
          <w:highlight w:val="none"/>
        </w:rPr>
        <w:t xml:space="preserve"> </w:t>
      </w:r>
    </w:p>
    <w:p>
      <w:pPr>
        <w:jc w:val="center"/>
        <w:rPr>
          <w:rFonts w:hint="eastAsia" w:ascii="宋体" w:hAnsi="宋体" w:eastAsia="宋体" w:cs="宋体"/>
          <w:b/>
          <w:bCs/>
          <w:color w:val="auto"/>
          <w:kern w:val="1"/>
          <w:sz w:val="32"/>
          <w:szCs w:val="32"/>
          <w:highlight w:val="none"/>
        </w:rPr>
      </w:pPr>
    </w:p>
    <w:p>
      <w:pPr>
        <w:spacing w:line="600" w:lineRule="auto"/>
        <w:rPr>
          <w:rFonts w:hint="eastAsia" w:ascii="宋体" w:hAnsi="宋体" w:eastAsia="宋体" w:cs="宋体"/>
          <w:b/>
          <w:bCs/>
          <w:color w:val="auto"/>
          <w:kern w:val="1"/>
          <w:sz w:val="32"/>
          <w:szCs w:val="32"/>
          <w:highlight w:val="none"/>
        </w:rPr>
      </w:pPr>
    </w:p>
    <w:p>
      <w:pPr>
        <w:spacing w:line="600" w:lineRule="auto"/>
        <w:ind w:firstLine="611" w:firstLineChars="200"/>
        <w:rPr>
          <w:rFonts w:hint="eastAsia" w:ascii="宋体" w:hAnsi="宋体" w:eastAsia="宋体" w:cs="宋体"/>
          <w:b/>
          <w:color w:val="auto"/>
          <w:sz w:val="32"/>
          <w:szCs w:val="32"/>
          <w:highlight w:val="none"/>
          <w:u w:val="single"/>
        </w:rPr>
      </w:pPr>
      <w:r>
        <w:rPr>
          <w:rFonts w:hint="eastAsia" w:ascii="宋体" w:hAnsi="宋体" w:eastAsia="宋体" w:cs="宋体"/>
          <w:b/>
          <w:bCs/>
          <w:color w:val="auto"/>
          <w:w w:val="95"/>
          <w:sz w:val="32"/>
          <w:szCs w:val="32"/>
          <w:highlight w:val="none"/>
        </w:rPr>
        <w:t>采   购   人：</w:t>
      </w:r>
      <w:r>
        <w:rPr>
          <w:rFonts w:hint="eastAsia" w:ascii="宋体" w:hAnsi="宋体" w:eastAsia="宋体" w:cs="宋体"/>
          <w:b/>
          <w:bCs/>
          <w:color w:val="auto"/>
          <w:kern w:val="1"/>
          <w:sz w:val="32"/>
          <w:szCs w:val="32"/>
          <w:highlight w:val="none"/>
          <w:u w:val="single"/>
          <w:lang w:eastAsia="zh-CN"/>
        </w:rPr>
        <w:t>义乌市排水有限公司</w:t>
      </w:r>
      <w:r>
        <w:rPr>
          <w:rFonts w:hint="eastAsia" w:ascii="宋体" w:hAnsi="宋体" w:eastAsia="宋体" w:cs="宋体"/>
          <w:b/>
          <w:color w:val="auto"/>
          <w:sz w:val="32"/>
          <w:szCs w:val="32"/>
          <w:highlight w:val="none"/>
          <w:u w:val="single"/>
        </w:rPr>
        <w:t>（盖章）</w:t>
      </w:r>
    </w:p>
    <w:p>
      <w:pPr>
        <w:spacing w:line="600" w:lineRule="auto"/>
        <w:ind w:firstLine="611" w:firstLineChars="200"/>
        <w:rPr>
          <w:rFonts w:hint="eastAsia" w:ascii="宋体" w:hAnsi="宋体" w:eastAsia="宋体" w:cs="宋体"/>
          <w:b/>
          <w:color w:val="auto"/>
          <w:sz w:val="32"/>
          <w:szCs w:val="32"/>
          <w:highlight w:val="none"/>
          <w:u w:val="single"/>
        </w:rPr>
      </w:pPr>
      <w:r>
        <w:rPr>
          <w:rFonts w:hint="eastAsia" w:ascii="宋体" w:hAnsi="宋体" w:eastAsia="宋体" w:cs="宋体"/>
          <w:b/>
          <w:bCs/>
          <w:color w:val="auto"/>
          <w:w w:val="95"/>
          <w:sz w:val="32"/>
          <w:szCs w:val="32"/>
          <w:highlight w:val="none"/>
        </w:rPr>
        <w:t>采购代理机构：</w:t>
      </w:r>
      <w:r>
        <w:rPr>
          <w:rFonts w:hint="eastAsia" w:ascii="宋体" w:hAnsi="宋体" w:eastAsia="宋体" w:cs="宋体"/>
          <w:b/>
          <w:bCs/>
          <w:color w:val="auto"/>
          <w:kern w:val="1"/>
          <w:sz w:val="32"/>
          <w:szCs w:val="32"/>
          <w:highlight w:val="none"/>
          <w:u w:val="single"/>
        </w:rPr>
        <w:t>义乌产权交易所有限公司招投标中心</w:t>
      </w:r>
      <w:r>
        <w:rPr>
          <w:rFonts w:hint="eastAsia" w:ascii="宋体" w:hAnsi="宋体" w:eastAsia="宋体" w:cs="宋体"/>
          <w:b/>
          <w:color w:val="auto"/>
          <w:sz w:val="32"/>
          <w:szCs w:val="32"/>
          <w:highlight w:val="none"/>
          <w:u w:val="single"/>
        </w:rPr>
        <w:t>（盖章）</w:t>
      </w:r>
    </w:p>
    <w:p>
      <w:pPr>
        <w:spacing w:line="600" w:lineRule="auto"/>
        <w:ind w:firstLine="643" w:firstLineChars="200"/>
        <w:rPr>
          <w:rFonts w:hint="eastAsia" w:ascii="宋体" w:hAnsi="宋体" w:eastAsia="宋体" w:cs="宋体"/>
          <w:b/>
          <w:bCs/>
          <w:color w:val="auto"/>
          <w:sz w:val="32"/>
          <w:szCs w:val="32"/>
          <w:highlight w:val="none"/>
        </w:rPr>
      </w:pPr>
      <w:r>
        <w:rPr>
          <w:rFonts w:hint="eastAsia" w:ascii="宋体" w:hAnsi="宋体" w:eastAsia="宋体" w:cs="宋体"/>
          <w:b/>
          <w:color w:val="auto"/>
          <w:sz w:val="32"/>
          <w:szCs w:val="32"/>
          <w:highlight w:val="none"/>
        </w:rPr>
        <w:t>日　　　 期：</w:t>
      </w:r>
      <w:r>
        <w:rPr>
          <w:rFonts w:hint="eastAsia" w:ascii="宋体" w:hAnsi="宋体" w:eastAsia="宋体" w:cs="宋体"/>
          <w:b/>
          <w:color w:val="auto"/>
          <w:sz w:val="32"/>
          <w:szCs w:val="32"/>
          <w:highlight w:val="none"/>
          <w:u w:val="single"/>
        </w:rPr>
        <w:t>二〇二一年</w:t>
      </w:r>
      <w:r>
        <w:rPr>
          <w:rFonts w:hint="eastAsia" w:ascii="宋体" w:hAnsi="宋体" w:eastAsia="宋体" w:cs="宋体"/>
          <w:b/>
          <w:color w:val="auto"/>
          <w:sz w:val="32"/>
          <w:szCs w:val="32"/>
          <w:highlight w:val="none"/>
          <w:u w:val="single"/>
          <w:lang w:val="en-US" w:eastAsia="zh-CN"/>
        </w:rPr>
        <w:t>十</w:t>
      </w:r>
      <w:r>
        <w:rPr>
          <w:rFonts w:hint="eastAsia" w:ascii="宋体" w:hAnsi="宋体" w:eastAsia="宋体" w:cs="宋体"/>
          <w:b/>
          <w:color w:val="auto"/>
          <w:sz w:val="32"/>
          <w:szCs w:val="32"/>
          <w:highlight w:val="none"/>
          <w:u w:val="single"/>
        </w:rPr>
        <w:t>月</w:t>
      </w:r>
      <w:r>
        <w:rPr>
          <w:rFonts w:hint="eastAsia" w:ascii="宋体" w:hAnsi="宋体" w:eastAsia="宋体" w:cs="宋体"/>
          <w:b/>
          <w:bCs/>
          <w:color w:val="auto"/>
          <w:kern w:val="1"/>
          <w:sz w:val="32"/>
          <w:szCs w:val="32"/>
          <w:highlight w:val="none"/>
        </w:rPr>
        <w:t xml:space="preserve"> </w:t>
      </w:r>
    </w:p>
    <w:p>
      <w:pPr>
        <w:spacing w:line="600" w:lineRule="auto"/>
        <w:jc w:val="center"/>
        <w:rPr>
          <w:rFonts w:hint="eastAsia" w:ascii="宋体" w:hAnsi="宋体" w:eastAsia="宋体" w:cs="宋体"/>
          <w:b/>
          <w:bCs/>
          <w:color w:val="auto"/>
          <w:sz w:val="32"/>
          <w:szCs w:val="32"/>
          <w:highlight w:val="none"/>
        </w:rPr>
        <w:sectPr>
          <w:headerReference r:id="rId4" w:type="first"/>
          <w:headerReference r:id="rId3" w:type="default"/>
          <w:footerReference r:id="rId5" w:type="default"/>
          <w:pgSz w:w="11906" w:h="16838"/>
          <w:pgMar w:top="1191" w:right="1558" w:bottom="1191" w:left="1418" w:header="851" w:footer="992" w:gutter="0"/>
          <w:pgNumType w:fmt="decimal" w:start="0"/>
          <w:cols w:space="720" w:num="1"/>
          <w:docGrid w:type="lines" w:linePitch="312" w:charSpace="0"/>
        </w:sectPr>
      </w:pPr>
    </w:p>
    <w:p>
      <w:pPr>
        <w:spacing w:line="600" w:lineRule="auto"/>
        <w:rPr>
          <w:rFonts w:hint="eastAsia" w:ascii="宋体" w:hAnsi="宋体" w:eastAsia="宋体" w:cs="宋体"/>
          <w:b/>
          <w:bCs/>
          <w:color w:val="auto"/>
          <w:sz w:val="44"/>
          <w:szCs w:val="44"/>
          <w:highlight w:val="none"/>
        </w:rPr>
      </w:pPr>
    </w:p>
    <w:p>
      <w:pPr>
        <w:spacing w:line="600" w:lineRule="auto"/>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目    录</w:t>
      </w:r>
    </w:p>
    <w:p>
      <w:pPr>
        <w:jc w:val="center"/>
        <w:rPr>
          <w:rFonts w:hint="eastAsia" w:ascii="宋体" w:hAnsi="宋体" w:eastAsia="宋体" w:cs="宋体"/>
          <w:color w:val="auto"/>
          <w:highlight w:val="none"/>
        </w:rPr>
      </w:pPr>
    </w:p>
    <w:p>
      <w:pPr>
        <w:pStyle w:val="45"/>
        <w:tabs>
          <w:tab w:val="right" w:leader="dot" w:pos="8930"/>
        </w:tabs>
        <w:rPr>
          <w:rFonts w:hint="eastAsia" w:ascii="宋体" w:hAnsi="宋体" w:eastAsia="宋体" w:cs="宋体"/>
          <w:color w:val="auto"/>
          <w:sz w:val="28"/>
          <w:szCs w:val="28"/>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"_Toc20397" </w:instrText>
      </w:r>
      <w:r>
        <w:rPr>
          <w:rFonts w:hint="eastAsia" w:ascii="宋体" w:hAnsi="宋体" w:eastAsia="宋体" w:cs="宋体"/>
          <w:color w:val="auto"/>
          <w:highlight w:val="none"/>
        </w:rPr>
        <w:fldChar w:fldCharType="separate"/>
      </w:r>
      <w:r>
        <w:rPr>
          <w:rFonts w:hint="eastAsia" w:ascii="宋体" w:hAnsi="宋体" w:eastAsia="宋体" w:cs="宋体"/>
          <w:color w:val="auto"/>
          <w:sz w:val="28"/>
          <w:szCs w:val="28"/>
          <w:highlight w:val="none"/>
        </w:rPr>
        <w:t>第一章 招标公告</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rPr>
        <w:fldChar w:fldCharType="end"/>
      </w:r>
    </w:p>
    <w:p>
      <w:pPr>
        <w:pStyle w:val="45"/>
        <w:tabs>
          <w:tab w:val="right" w:leader="dot" w:pos="8930"/>
        </w:tabs>
        <w:rPr>
          <w:rFonts w:hint="eastAsia" w:ascii="宋体" w:hAnsi="宋体" w:eastAsia="宋体" w:cs="宋体"/>
          <w:color w:val="auto"/>
          <w:sz w:val="28"/>
          <w:szCs w:val="28"/>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"_Toc7724" </w:instrText>
      </w:r>
      <w:r>
        <w:rPr>
          <w:rFonts w:hint="eastAsia" w:ascii="宋体" w:hAnsi="宋体" w:eastAsia="宋体" w:cs="宋体"/>
          <w:color w:val="auto"/>
          <w:highlight w:val="none"/>
        </w:rPr>
        <w:fldChar w:fldCharType="separate"/>
      </w:r>
      <w:r>
        <w:rPr>
          <w:rFonts w:hint="eastAsia" w:ascii="宋体" w:hAnsi="宋体" w:eastAsia="宋体" w:cs="宋体"/>
          <w:color w:val="auto"/>
          <w:sz w:val="28"/>
          <w:szCs w:val="28"/>
          <w:highlight w:val="none"/>
        </w:rPr>
        <w:t>第二章 投标须知和投标须知前附表</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fldChar w:fldCharType="end"/>
      </w:r>
    </w:p>
    <w:p>
      <w:pPr>
        <w:pStyle w:val="45"/>
        <w:tabs>
          <w:tab w:val="right" w:leader="dot" w:pos="8930"/>
        </w:tabs>
        <w:rPr>
          <w:rFonts w:hint="eastAsia" w:ascii="宋体" w:hAnsi="宋体" w:eastAsia="宋体" w:cs="宋体"/>
          <w:color w:val="auto"/>
          <w:sz w:val="28"/>
          <w:szCs w:val="28"/>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"_Toc28440" </w:instrText>
      </w:r>
      <w:r>
        <w:rPr>
          <w:rFonts w:hint="eastAsia" w:ascii="宋体" w:hAnsi="宋体" w:eastAsia="宋体" w:cs="宋体"/>
          <w:color w:val="auto"/>
          <w:highlight w:val="none"/>
        </w:rPr>
        <w:fldChar w:fldCharType="separate"/>
      </w:r>
      <w:r>
        <w:rPr>
          <w:rFonts w:hint="eastAsia" w:ascii="宋体" w:hAnsi="宋体" w:eastAsia="宋体" w:cs="宋体"/>
          <w:color w:val="auto"/>
          <w:sz w:val="28"/>
          <w:szCs w:val="28"/>
          <w:highlight w:val="none"/>
        </w:rPr>
        <w:t>第三章 招标要求</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fldChar w:fldCharType="end"/>
      </w:r>
    </w:p>
    <w:p>
      <w:pPr>
        <w:pStyle w:val="45"/>
        <w:tabs>
          <w:tab w:val="right" w:leader="dot" w:pos="8930"/>
        </w:tabs>
        <w:rPr>
          <w:rFonts w:hint="eastAsia" w:ascii="宋体" w:hAnsi="宋体" w:eastAsia="宋体" w:cs="宋体"/>
          <w:color w:val="auto"/>
          <w:sz w:val="28"/>
          <w:szCs w:val="28"/>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"_Toc10377" </w:instrText>
      </w:r>
      <w:r>
        <w:rPr>
          <w:rFonts w:hint="eastAsia" w:ascii="宋体" w:hAnsi="宋体" w:eastAsia="宋体" w:cs="宋体"/>
          <w:color w:val="auto"/>
          <w:highlight w:val="none"/>
        </w:rPr>
        <w:fldChar w:fldCharType="separate"/>
      </w:r>
      <w:r>
        <w:rPr>
          <w:rFonts w:hint="eastAsia" w:ascii="宋体" w:hAnsi="宋体" w:eastAsia="宋体" w:cs="宋体"/>
          <w:color w:val="auto"/>
          <w:sz w:val="28"/>
          <w:szCs w:val="28"/>
          <w:highlight w:val="none"/>
        </w:rPr>
        <w:t>第四章 开标、评标和定标须知</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lang w:val="en-US" w:eastAsia="zh-CN"/>
        </w:rPr>
        <w:t>3</w:t>
      </w:r>
    </w:p>
    <w:p>
      <w:pPr>
        <w:pStyle w:val="45"/>
        <w:tabs>
          <w:tab w:val="right" w:leader="dot" w:pos="8930"/>
        </w:tabs>
        <w:rPr>
          <w:rFonts w:hint="eastAsia" w:ascii="宋体" w:hAnsi="宋体" w:eastAsia="宋体" w:cs="宋体"/>
          <w:color w:val="auto"/>
          <w:sz w:val="28"/>
          <w:szCs w:val="28"/>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"_Toc4939" </w:instrText>
      </w:r>
      <w:r>
        <w:rPr>
          <w:rFonts w:hint="eastAsia" w:ascii="宋体" w:hAnsi="宋体" w:eastAsia="宋体" w:cs="宋体"/>
          <w:color w:val="auto"/>
          <w:highlight w:val="none"/>
        </w:rPr>
        <w:fldChar w:fldCharType="separate"/>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五</w:t>
      </w:r>
      <w:r>
        <w:rPr>
          <w:rFonts w:hint="eastAsia" w:ascii="宋体" w:hAnsi="宋体" w:eastAsia="宋体" w:cs="宋体"/>
          <w:color w:val="auto"/>
          <w:sz w:val="28"/>
          <w:szCs w:val="28"/>
          <w:highlight w:val="none"/>
        </w:rPr>
        <w:t>章 投标文件的有效性</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lang w:val="en-US" w:eastAsia="zh-CN"/>
        </w:rPr>
        <w:t>9</w:t>
      </w:r>
    </w:p>
    <w:p>
      <w:pPr>
        <w:pStyle w:val="45"/>
        <w:tabs>
          <w:tab w:val="right" w:leader="dot" w:pos="8930"/>
        </w:tabs>
        <w:rPr>
          <w:rFonts w:hint="eastAsia" w:ascii="宋体" w:hAnsi="宋体" w:eastAsia="宋体" w:cs="宋体"/>
          <w:color w:val="auto"/>
          <w:sz w:val="28"/>
          <w:szCs w:val="28"/>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"_Toc4939" </w:instrText>
      </w:r>
      <w:r>
        <w:rPr>
          <w:rFonts w:hint="eastAsia" w:ascii="宋体" w:hAnsi="宋体" w:eastAsia="宋体" w:cs="宋体"/>
          <w:color w:val="auto"/>
          <w:highlight w:val="none"/>
        </w:rPr>
        <w:fldChar w:fldCharType="separate"/>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六</w:t>
      </w:r>
      <w:r>
        <w:rPr>
          <w:rFonts w:hint="eastAsia" w:ascii="宋体" w:hAnsi="宋体" w:eastAsia="宋体" w:cs="宋体"/>
          <w:color w:val="auto"/>
          <w:sz w:val="28"/>
          <w:szCs w:val="28"/>
          <w:highlight w:val="none"/>
        </w:rPr>
        <w:t>章 评标细则</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lang w:val="en-US" w:eastAsia="zh-CN"/>
        </w:rPr>
        <w:t>1</w:t>
      </w:r>
    </w:p>
    <w:p>
      <w:pPr>
        <w:pStyle w:val="45"/>
        <w:tabs>
          <w:tab w:val="right" w:leader="dot" w:pos="8930"/>
        </w:tabs>
        <w:rPr>
          <w:rFonts w:hint="eastAsia" w:ascii="宋体" w:hAnsi="宋体" w:eastAsia="宋体" w:cs="宋体"/>
          <w:color w:val="auto"/>
          <w:sz w:val="28"/>
          <w:szCs w:val="28"/>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"_Toc31410" </w:instrText>
      </w:r>
      <w:r>
        <w:rPr>
          <w:rFonts w:hint="eastAsia" w:ascii="宋体" w:hAnsi="宋体" w:eastAsia="宋体" w:cs="宋体"/>
          <w:color w:val="auto"/>
          <w:highlight w:val="none"/>
        </w:rPr>
        <w:fldChar w:fldCharType="separate"/>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七</w:t>
      </w:r>
      <w:r>
        <w:rPr>
          <w:rFonts w:hint="eastAsia" w:ascii="宋体" w:hAnsi="宋体" w:eastAsia="宋体" w:cs="宋体"/>
          <w:color w:val="auto"/>
          <w:sz w:val="28"/>
          <w:szCs w:val="28"/>
          <w:highlight w:val="none"/>
        </w:rPr>
        <w:t>章 投标文件格式</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lang w:val="en-US" w:eastAsia="zh-CN"/>
        </w:rPr>
        <w:t>6</w:t>
      </w:r>
    </w:p>
    <w:p>
      <w:pPr>
        <w:pStyle w:val="45"/>
        <w:tabs>
          <w:tab w:val="right" w:leader="dot" w:pos="8930"/>
        </w:tabs>
        <w:rPr>
          <w:rFonts w:hint="eastAsia" w:ascii="宋体" w:hAnsi="宋体" w:eastAsia="宋体" w:cs="宋体"/>
          <w:color w:val="auto"/>
          <w:sz w:val="28"/>
          <w:szCs w:val="28"/>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"_Toc18089" </w:instrText>
      </w:r>
      <w:r>
        <w:rPr>
          <w:rFonts w:hint="eastAsia" w:ascii="宋体" w:hAnsi="宋体" w:eastAsia="宋体" w:cs="宋体"/>
          <w:color w:val="auto"/>
          <w:highlight w:val="none"/>
        </w:rPr>
        <w:fldChar w:fldCharType="separate"/>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八</w:t>
      </w:r>
      <w:r>
        <w:rPr>
          <w:rFonts w:hint="eastAsia" w:ascii="宋体" w:hAnsi="宋体" w:eastAsia="宋体" w:cs="宋体"/>
          <w:color w:val="auto"/>
          <w:sz w:val="28"/>
          <w:szCs w:val="28"/>
          <w:highlight w:val="none"/>
        </w:rPr>
        <w:t>章</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采购合同（样本）</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lang w:val="en-US" w:eastAsia="zh-CN"/>
        </w:rPr>
        <w:t>9</w:t>
      </w:r>
    </w:p>
    <w:p>
      <w:pPr>
        <w:spacing w:line="300" w:lineRule="auto"/>
        <w:jc w:val="center"/>
        <w:outlineLvl w:val="0"/>
        <w:rPr>
          <w:rFonts w:hint="eastAsia" w:ascii="宋体" w:hAnsi="宋体" w:eastAsia="宋体" w:cs="宋体"/>
          <w:b/>
          <w:bCs/>
          <w:color w:val="auto"/>
          <w:sz w:val="48"/>
          <w:szCs w:val="48"/>
          <w:highlight w:val="none"/>
        </w:rPr>
        <w:sectPr>
          <w:footerReference r:id="rId6" w:type="default"/>
          <w:pgSz w:w="11906" w:h="16838"/>
          <w:pgMar w:top="1191" w:right="1558" w:bottom="1191" w:left="1418" w:header="851" w:footer="992" w:gutter="0"/>
          <w:pgNumType w:fmt="decimal" w:start="1"/>
          <w:cols w:space="720" w:num="1"/>
          <w:docGrid w:type="lines" w:linePitch="312" w:charSpace="0"/>
        </w:sectPr>
      </w:pPr>
    </w:p>
    <w:p>
      <w:pPr>
        <w:spacing w:line="360" w:lineRule="auto"/>
        <w:jc w:val="center"/>
        <w:outlineLvl w:val="0"/>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第一章  招标公告</w:t>
      </w:r>
    </w:p>
    <w:p>
      <w:pPr>
        <w:pStyle w:val="21"/>
        <w:widowControl/>
        <w:shd w:val="clear" w:color="auto" w:fill="FFFFFF"/>
        <w:spacing w:before="0" w:beforeAutospacing="0" w:after="0" w:afterAutospacing="0" w:line="360" w:lineRule="auto"/>
        <w:jc w:val="both"/>
        <w:rPr>
          <w:rFonts w:hint="eastAsia" w:ascii="宋体" w:hAnsi="宋体" w:eastAsia="宋体" w:cs="宋体"/>
          <w:color w:val="auto"/>
          <w:highlight w:val="none"/>
          <w:shd w:val="clear" w:color="auto" w:fill="FFFFFF"/>
        </w:rPr>
      </w:pPr>
      <w:r>
        <w:rPr>
          <w:rFonts w:hint="eastAsia" w:ascii="宋体" w:hAnsi="宋体" w:eastAsia="宋体" w:cs="宋体"/>
          <w:color w:val="auto"/>
          <w:sz w:val="21"/>
          <w:szCs w:val="21"/>
          <w:highlight w:val="none"/>
          <w:shd w:val="clear" w:color="auto" w:fill="FFFFFF"/>
        </w:rPr>
        <w:t xml:space="preserve">    </w:t>
      </w:r>
      <w:r>
        <w:rPr>
          <w:rFonts w:hint="eastAsia" w:ascii="宋体" w:hAnsi="宋体" w:eastAsia="宋体" w:cs="宋体"/>
          <w:color w:val="auto"/>
          <w:highlight w:val="none"/>
          <w:shd w:val="clear" w:color="auto" w:fill="FFFFFF"/>
        </w:rPr>
        <w:t>受</w:t>
      </w:r>
      <w:r>
        <w:rPr>
          <w:rFonts w:hint="eastAsia" w:ascii="宋体" w:hAnsi="宋体" w:eastAsia="宋体" w:cs="宋体"/>
          <w:color w:val="auto"/>
          <w:highlight w:val="none"/>
          <w:shd w:val="clear" w:color="auto" w:fill="FFFFFF"/>
          <w:lang w:eastAsia="zh-CN"/>
        </w:rPr>
        <w:t>义乌市排水有限公司</w:t>
      </w:r>
      <w:r>
        <w:rPr>
          <w:rFonts w:hint="eastAsia" w:ascii="宋体" w:hAnsi="宋体" w:eastAsia="宋体" w:cs="宋体"/>
          <w:color w:val="auto"/>
          <w:highlight w:val="none"/>
          <w:shd w:val="clear" w:color="auto" w:fill="FFFFFF"/>
        </w:rPr>
        <w:t>委托，根据法律法规等相关规定，现就</w:t>
      </w:r>
      <w:r>
        <w:rPr>
          <w:rFonts w:hint="eastAsia" w:ascii="宋体" w:hAnsi="宋体" w:eastAsia="宋体" w:cs="宋体"/>
          <w:color w:val="auto"/>
          <w:highlight w:val="none"/>
          <w:u w:val="none"/>
          <w:shd w:val="clear" w:color="auto" w:fill="FFFFFF"/>
          <w:lang w:eastAsia="zh-CN"/>
        </w:rPr>
        <w:t>义乌市排水有限公司</w:t>
      </w:r>
      <w:r>
        <w:rPr>
          <w:rFonts w:hint="eastAsia" w:ascii="宋体" w:hAnsi="宋体" w:eastAsia="宋体" w:cs="宋体"/>
          <w:color w:val="auto"/>
          <w:highlight w:val="none"/>
          <w:u w:val="none"/>
          <w:shd w:val="clear" w:color="auto" w:fill="FFFFFF"/>
          <w:lang w:val="en-US" w:eastAsia="zh-CN"/>
        </w:rPr>
        <w:t>网络安全设备、技术顾问及监控项目改造采购</w:t>
      </w:r>
      <w:r>
        <w:rPr>
          <w:rFonts w:hint="eastAsia" w:ascii="宋体" w:hAnsi="宋体" w:eastAsia="宋体" w:cs="宋体"/>
          <w:color w:val="auto"/>
          <w:highlight w:val="none"/>
          <w:u w:val="none"/>
          <w:shd w:val="clear" w:color="auto" w:fill="FFFFFF"/>
          <w:lang w:eastAsia="zh-CN"/>
        </w:rPr>
        <w:t>项目</w:t>
      </w:r>
      <w:r>
        <w:rPr>
          <w:rFonts w:hint="eastAsia" w:ascii="宋体" w:hAnsi="宋体" w:eastAsia="宋体" w:cs="宋体"/>
          <w:color w:val="auto"/>
          <w:highlight w:val="none"/>
          <w:shd w:val="clear" w:color="auto" w:fill="FFFFFF"/>
        </w:rPr>
        <w:t>进行公开招标，欢迎国内合格的单位参加投标。 </w:t>
      </w:r>
    </w:p>
    <w:p>
      <w:pPr>
        <w:pStyle w:val="21"/>
        <w:widowControl/>
        <w:shd w:val="clear" w:color="auto" w:fill="FFFFFF"/>
        <w:spacing w:before="0" w:beforeAutospacing="0" w:after="0" w:afterAutospacing="0" w:line="360" w:lineRule="auto"/>
        <w:jc w:val="both"/>
        <w:rPr>
          <w:rFonts w:hint="default" w:ascii="宋体" w:hAnsi="宋体" w:eastAsia="宋体" w:cs="宋体"/>
          <w:color w:val="auto"/>
          <w:highlight w:val="none"/>
          <w:lang w:val="en-US" w:eastAsia="zh-CN"/>
        </w:rPr>
      </w:pPr>
      <w:r>
        <w:rPr>
          <w:rFonts w:hint="eastAsia" w:ascii="宋体" w:hAnsi="宋体" w:eastAsia="宋体" w:cs="宋体"/>
          <w:color w:val="auto"/>
          <w:highlight w:val="none"/>
          <w:shd w:val="clear" w:color="auto" w:fill="FFFFFF"/>
        </w:rPr>
        <w:t>　</w:t>
      </w:r>
      <w:r>
        <w:rPr>
          <w:rFonts w:hint="eastAsia" w:ascii="宋体" w:hAnsi="宋体" w:eastAsia="宋体" w:cs="宋体"/>
          <w:b/>
          <w:bCs/>
          <w:color w:val="auto"/>
          <w:highlight w:val="none"/>
          <w:shd w:val="clear" w:color="auto" w:fill="FFFFFF"/>
        </w:rPr>
        <w:t>　1.采购编号：YCQ-2021-CG</w:t>
      </w:r>
      <w:r>
        <w:rPr>
          <w:rFonts w:hint="eastAsia" w:ascii="宋体" w:hAnsi="宋体" w:eastAsia="宋体" w:cs="宋体"/>
          <w:b/>
          <w:bCs/>
          <w:color w:val="auto"/>
          <w:highlight w:val="none"/>
          <w:shd w:val="clear" w:color="auto" w:fill="FFFFFF"/>
          <w:lang w:val="en-US" w:eastAsia="zh-CN"/>
        </w:rPr>
        <w:t>228</w:t>
      </w:r>
    </w:p>
    <w:p>
      <w:pPr>
        <w:pStyle w:val="21"/>
        <w:widowControl/>
        <w:shd w:val="clear" w:color="auto" w:fill="FFFFFF"/>
        <w:spacing w:before="0" w:beforeAutospacing="0" w:after="0" w:afterAutospacing="0" w:line="360" w:lineRule="auto"/>
        <w:jc w:val="both"/>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　　</w:t>
      </w:r>
      <w:r>
        <w:rPr>
          <w:rFonts w:hint="eastAsia" w:ascii="宋体" w:hAnsi="宋体" w:eastAsia="宋体" w:cs="宋体"/>
          <w:b/>
          <w:bCs/>
          <w:color w:val="auto"/>
          <w:highlight w:val="none"/>
          <w:shd w:val="clear" w:color="auto" w:fill="FFFFFF"/>
        </w:rPr>
        <w:t>2.采购内容及数量：</w:t>
      </w:r>
      <w:r>
        <w:rPr>
          <w:rFonts w:hint="eastAsia" w:ascii="宋体" w:hAnsi="宋体" w:eastAsia="宋体" w:cs="宋体"/>
          <w:color w:val="auto"/>
          <w:highlight w:val="none"/>
          <w:shd w:val="clear" w:color="auto" w:fill="FFFFFF"/>
          <w:lang w:eastAsia="zh-CN"/>
        </w:rPr>
        <w:t>义乌市排水有限公司  项目</w:t>
      </w:r>
      <w:r>
        <w:rPr>
          <w:rFonts w:hint="eastAsia" w:ascii="宋体" w:hAnsi="宋体" w:eastAsia="宋体" w:cs="宋体"/>
          <w:color w:val="auto"/>
          <w:highlight w:val="none"/>
          <w:shd w:val="clear" w:color="auto" w:fill="FFFFFF"/>
        </w:rPr>
        <w:t>。详情请见第三章《招标内容与要求》。 </w:t>
      </w:r>
    </w:p>
    <w:p>
      <w:pPr>
        <w:pStyle w:val="21"/>
        <w:widowControl/>
        <w:shd w:val="clear" w:color="auto" w:fill="FFFFFF"/>
        <w:spacing w:before="0" w:beforeAutospacing="0" w:after="0" w:afterAutospacing="0" w:line="360" w:lineRule="auto"/>
        <w:ind w:firstLine="480"/>
        <w:rPr>
          <w:rFonts w:hint="eastAsia" w:ascii="宋体" w:hAnsi="宋体" w:eastAsia="宋体" w:cs="宋体"/>
          <w:color w:val="auto"/>
          <w:highlight w:val="none"/>
          <w:shd w:val="clear" w:color="auto" w:fill="FFFFFF"/>
        </w:rPr>
      </w:pPr>
      <w:r>
        <w:rPr>
          <w:rFonts w:hint="eastAsia" w:ascii="宋体" w:hAnsi="宋体" w:eastAsia="宋体" w:cs="宋体"/>
          <w:b/>
          <w:bCs/>
          <w:color w:val="auto"/>
          <w:highlight w:val="none"/>
          <w:shd w:val="clear" w:color="auto" w:fill="FFFFFF"/>
        </w:rPr>
        <w:t>3.采购预算及最高限价：</w:t>
      </w:r>
      <w:r>
        <w:rPr>
          <w:rFonts w:hint="eastAsia" w:ascii="宋体" w:hAnsi="宋体" w:eastAsia="宋体" w:cs="宋体"/>
          <w:b/>
          <w:bCs/>
          <w:color w:val="auto"/>
          <w:highlight w:val="none"/>
          <w:shd w:val="clear" w:color="auto" w:fill="FFFFFF"/>
          <w:lang w:val="en-US" w:eastAsia="zh-CN"/>
        </w:rPr>
        <w:t>26</w:t>
      </w:r>
      <w:r>
        <w:rPr>
          <w:rFonts w:hint="eastAsia" w:ascii="宋体" w:hAnsi="宋体" w:eastAsia="宋体" w:cs="宋体"/>
          <w:b/>
          <w:bCs/>
          <w:color w:val="auto"/>
          <w:highlight w:val="none"/>
          <w:shd w:val="clear" w:color="auto" w:fill="FFFFFF"/>
        </w:rPr>
        <w:t>万元人民币</w:t>
      </w:r>
      <w:r>
        <w:rPr>
          <w:rFonts w:hint="eastAsia" w:ascii="宋体" w:hAnsi="宋体" w:eastAsia="宋体" w:cs="宋体"/>
          <w:color w:val="auto"/>
          <w:highlight w:val="none"/>
          <w:shd w:val="clear" w:color="auto" w:fill="FFFFFF"/>
        </w:rPr>
        <w:t>；</w:t>
      </w:r>
    </w:p>
    <w:p>
      <w:pPr>
        <w:pStyle w:val="21"/>
        <w:widowControl/>
        <w:shd w:val="clear" w:color="auto" w:fill="FFFFFF"/>
        <w:spacing w:before="0" w:beforeAutospacing="0" w:after="0" w:afterAutospacing="0" w:line="360" w:lineRule="auto"/>
        <w:ind w:firstLine="480"/>
        <w:rPr>
          <w:rFonts w:hint="eastAsia" w:ascii="宋体" w:hAnsi="宋体" w:eastAsia="宋体" w:cs="宋体"/>
          <w:b/>
          <w:bCs/>
          <w:color w:val="auto"/>
          <w:highlight w:val="none"/>
          <w:shd w:val="clear" w:color="auto" w:fill="FFFFFF"/>
        </w:rPr>
      </w:pPr>
      <w:r>
        <w:rPr>
          <w:rFonts w:hint="eastAsia" w:ascii="宋体" w:hAnsi="宋体" w:eastAsia="宋体" w:cs="宋体"/>
          <w:b/>
          <w:bCs/>
          <w:color w:val="auto"/>
          <w:highlight w:val="none"/>
          <w:shd w:val="clear" w:color="auto" w:fill="FFFFFF"/>
        </w:rPr>
        <w:t>4.投标人的资格要求：</w:t>
      </w:r>
    </w:p>
    <w:p>
      <w:pPr>
        <w:pStyle w:val="14"/>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right="0" w:rightChars="0" w:firstLine="480" w:firstLineChars="200"/>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①国内具有独立法人资格，且</w:t>
      </w:r>
      <w:r>
        <w:rPr>
          <w:rFonts w:hint="eastAsia" w:ascii="宋体" w:hAnsi="宋体" w:eastAsia="宋体" w:cs="宋体"/>
          <w:bCs/>
          <w:color w:val="auto"/>
          <w:sz w:val="24"/>
          <w:szCs w:val="24"/>
          <w:highlight w:val="none"/>
          <w:lang w:val="zh-CN"/>
        </w:rPr>
        <w:t>参加采购活动前三年内无重大违法经营活动</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zh-CN"/>
        </w:rPr>
        <w:t>符合《义乌市国有企业采购管理办法</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zh-CN"/>
        </w:rPr>
        <w:t>试行</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zh-CN"/>
        </w:rPr>
        <w:t>》第十条供应商应当具备的条件</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zh-CN"/>
        </w:rPr>
        <w:t>同时投标人无以下不良行为</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zh-CN"/>
        </w:rPr>
        <w:t>在公开网站上能查到的被财政部或浙江省财政厅处理</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zh-CN"/>
        </w:rPr>
        <w:t>或处罚</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zh-CN"/>
        </w:rPr>
        <w:t>而处于暂停政府采购资格期的或处于暂停承接业务资格期的</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zh-CN"/>
        </w:rPr>
        <w:t>或被国家级、浙江省级、义乌市级行业主管部门处罚处于暂停承接业务资格期的</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zh-CN"/>
        </w:rPr>
        <w:t>或被义乌市政府采购监管部门列入不良行为还在公示期内的或者处于暂停政府采购资格期的</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zh-CN"/>
        </w:rPr>
        <w:t>或被义乌市政府采购监管部门列入不良行为还在公示期内的或者处于暂停政府采购资格期的</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zh-CN"/>
        </w:rPr>
        <w:t>或被</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zh-CN"/>
        </w:rPr>
        <w:t>信用中国</w:t>
      </w:r>
      <w:r>
        <w:rPr>
          <w:rFonts w:hint="eastAsia" w:ascii="宋体" w:hAnsi="宋体" w:eastAsia="宋体" w:cs="宋体"/>
          <w:bCs/>
          <w:color w:val="auto"/>
          <w:sz w:val="24"/>
          <w:szCs w:val="24"/>
          <w:highlight w:val="none"/>
        </w:rPr>
        <w:t>”（www.creditchina.gov.cn）</w:t>
      </w:r>
      <w:r>
        <w:rPr>
          <w:rFonts w:hint="eastAsia" w:ascii="宋体" w:hAnsi="宋体" w:eastAsia="宋体" w:cs="宋体"/>
          <w:bCs/>
          <w:color w:val="auto"/>
          <w:sz w:val="24"/>
          <w:szCs w:val="24"/>
          <w:highlight w:val="none"/>
          <w:lang w:val="zh-CN"/>
        </w:rPr>
        <w:t>中国政府采购网</w:t>
      </w:r>
      <w:r>
        <w:rPr>
          <w:rFonts w:hint="eastAsia" w:ascii="宋体" w:hAnsi="宋体" w:eastAsia="宋体" w:cs="宋体"/>
          <w:bCs/>
          <w:color w:val="auto"/>
          <w:sz w:val="24"/>
          <w:szCs w:val="24"/>
          <w:highlight w:val="none"/>
        </w:rPr>
        <w:t>（www.ccgp.gov.cn）</w:t>
      </w:r>
      <w:r>
        <w:rPr>
          <w:rFonts w:hint="eastAsia" w:ascii="宋体" w:hAnsi="宋体" w:eastAsia="宋体" w:cs="宋体"/>
          <w:bCs/>
          <w:color w:val="auto"/>
          <w:sz w:val="24"/>
          <w:szCs w:val="24"/>
          <w:highlight w:val="none"/>
          <w:lang w:val="zh-CN"/>
        </w:rPr>
        <w:t>列入失信被执行人、重大税收违法案件当事人名单、政府采购严重违法失信行为记录名单的</w:t>
      </w:r>
      <w:r>
        <w:rPr>
          <w:rFonts w:hint="eastAsia" w:ascii="宋体" w:hAnsi="宋体" w:eastAsia="宋体" w:cs="宋体"/>
          <w:bCs/>
          <w:color w:val="auto"/>
          <w:sz w:val="24"/>
          <w:szCs w:val="24"/>
          <w:highlight w:val="none"/>
        </w:rPr>
        <w:t>；</w:t>
      </w:r>
    </w:p>
    <w:p>
      <w:pPr>
        <w:pStyle w:val="9"/>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eastAsia="宋体" w:cs="宋体"/>
          <w:b w:val="0"/>
          <w:bCs w:val="0"/>
          <w:color w:val="auto"/>
          <w:sz w:val="24"/>
          <w:szCs w:val="24"/>
          <w:highlight w:val="none"/>
          <w:lang w:eastAsia="zh-CN"/>
        </w:rPr>
        <w:t>②</w:t>
      </w:r>
      <w:r>
        <w:rPr>
          <w:rFonts w:hint="eastAsia" w:ascii="宋体" w:hAnsi="宋体" w:eastAsia="宋体" w:cs="宋体"/>
          <w:b w:val="0"/>
          <w:bCs w:val="0"/>
          <w:color w:val="auto"/>
          <w:sz w:val="24"/>
          <w:szCs w:val="24"/>
          <w:highlight w:val="none"/>
        </w:rPr>
        <w:t>本项目不接受联合体投标。</w:t>
      </w:r>
    </w:p>
    <w:p>
      <w:pPr>
        <w:pStyle w:val="21"/>
        <w:widowControl/>
        <w:shd w:val="clear" w:color="auto" w:fill="FFFFFF"/>
        <w:spacing w:before="0" w:beforeAutospacing="0" w:after="0" w:afterAutospacing="0" w:line="360" w:lineRule="auto"/>
        <w:jc w:val="both"/>
        <w:rPr>
          <w:rFonts w:hint="eastAsia" w:ascii="宋体" w:hAnsi="宋体" w:eastAsia="宋体" w:cs="宋体"/>
          <w:color w:val="auto"/>
          <w:highlight w:val="none"/>
        </w:rPr>
      </w:pPr>
      <w:r>
        <w:rPr>
          <w:rFonts w:hint="eastAsia" w:ascii="宋体" w:hAnsi="宋体" w:eastAsia="宋体" w:cs="宋体"/>
          <w:color w:val="auto"/>
          <w:highlight w:val="none"/>
        </w:rPr>
        <w:t xml:space="preserve">    5.</w:t>
      </w:r>
      <w:r>
        <w:rPr>
          <w:rFonts w:hint="eastAsia" w:ascii="宋体" w:hAnsi="宋体" w:eastAsia="宋体" w:cs="宋体"/>
          <w:color w:val="auto"/>
          <w:highlight w:val="none"/>
          <w:shd w:val="clear" w:color="auto" w:fill="FFFFFF"/>
        </w:rPr>
        <w:t xml:space="preserve"> 获取标书时间和方式：招标文件在义乌产权交易网（</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"http://www.ywcq.com"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shd w:val="clear" w:color="auto" w:fill="FFFFFF"/>
        </w:rPr>
        <w:t>www.ywcq.com</w:t>
      </w:r>
      <w:r>
        <w:rPr>
          <w:rFonts w:hint="eastAsia" w:ascii="宋体" w:hAnsi="宋体" w:eastAsia="宋体" w:cs="宋体"/>
          <w:color w:val="auto"/>
          <w:highlight w:val="none"/>
          <w:shd w:val="clear" w:color="auto" w:fill="FFFFFF"/>
        </w:rPr>
        <w:fldChar w:fldCharType="end"/>
      </w:r>
      <w:r>
        <w:rPr>
          <w:rFonts w:hint="eastAsia" w:ascii="宋体" w:hAnsi="宋体" w:eastAsia="宋体" w:cs="宋体"/>
          <w:color w:val="auto"/>
          <w:highlight w:val="none"/>
          <w:shd w:val="clear" w:color="auto" w:fill="FFFFFF"/>
        </w:rPr>
        <w:t>）下载，报名资料于2021年</w:t>
      </w:r>
      <w:r>
        <w:rPr>
          <w:rFonts w:hint="eastAsia" w:ascii="宋体" w:hAnsi="宋体" w:eastAsia="宋体" w:cs="宋体"/>
          <w:color w:val="auto"/>
          <w:highlight w:val="none"/>
          <w:shd w:val="clear" w:color="auto" w:fill="FFFFFF"/>
          <w:lang w:val="en-US" w:eastAsia="zh-CN"/>
        </w:rPr>
        <w:t>10月13日</w:t>
      </w:r>
      <w:r>
        <w:rPr>
          <w:rFonts w:hint="eastAsia" w:ascii="宋体" w:hAnsi="宋体" w:eastAsia="宋体" w:cs="宋体"/>
          <w:color w:val="auto"/>
          <w:highlight w:val="none"/>
          <w:shd w:val="clear" w:color="auto" w:fill="FFFFFF"/>
        </w:rPr>
        <w:t>上午</w:t>
      </w:r>
      <w:r>
        <w:rPr>
          <w:rFonts w:hint="eastAsia" w:ascii="宋体" w:hAnsi="宋体" w:eastAsia="宋体" w:cs="宋体"/>
          <w:color w:val="auto"/>
          <w:highlight w:val="none"/>
          <w:shd w:val="clear" w:color="auto" w:fill="FFFFFF"/>
          <w:lang w:val="en-US" w:eastAsia="zh-CN"/>
        </w:rPr>
        <w:t>9</w:t>
      </w:r>
      <w:r>
        <w:rPr>
          <w:rFonts w:hint="eastAsia" w:ascii="宋体" w:hAnsi="宋体" w:eastAsia="宋体" w:cs="宋体"/>
          <w:color w:val="auto"/>
          <w:highlight w:val="none"/>
          <w:shd w:val="clear" w:color="auto" w:fill="FFFFFF"/>
          <w:lang w:eastAsia="zh-CN"/>
        </w:rPr>
        <w:t>时</w:t>
      </w:r>
      <w:r>
        <w:rPr>
          <w:rFonts w:hint="eastAsia" w:ascii="宋体" w:hAnsi="宋体" w:eastAsia="宋体" w:cs="宋体"/>
          <w:color w:val="auto"/>
          <w:highlight w:val="none"/>
          <w:shd w:val="clear" w:color="auto" w:fill="FFFFFF"/>
        </w:rPr>
        <w:t>至2021年</w:t>
      </w:r>
      <w:r>
        <w:rPr>
          <w:rFonts w:hint="eastAsia" w:ascii="宋体" w:hAnsi="宋体" w:eastAsia="宋体" w:cs="宋体"/>
          <w:color w:val="auto"/>
          <w:highlight w:val="none"/>
          <w:shd w:val="clear" w:color="auto" w:fill="FFFFFF"/>
          <w:lang w:val="en-US" w:eastAsia="zh-CN"/>
        </w:rPr>
        <w:t>10</w:t>
      </w:r>
      <w:r>
        <w:rPr>
          <w:rFonts w:hint="eastAsia" w:ascii="宋体" w:hAnsi="宋体" w:eastAsia="宋体" w:cs="宋体"/>
          <w:color w:val="auto"/>
          <w:highlight w:val="none"/>
          <w:shd w:val="clear" w:color="auto" w:fill="FFFFFF"/>
        </w:rPr>
        <w:t>月</w:t>
      </w:r>
      <w:r>
        <w:rPr>
          <w:rFonts w:hint="eastAsia" w:ascii="宋体" w:hAnsi="宋体" w:eastAsia="宋体" w:cs="宋体"/>
          <w:color w:val="auto"/>
          <w:highlight w:val="none"/>
          <w:shd w:val="clear" w:color="auto" w:fill="FFFFFF"/>
          <w:lang w:val="en-US" w:eastAsia="zh-CN"/>
        </w:rPr>
        <w:t>28</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"mailto:日以扫描件形式发送至邮箱ywcqztb@ywcq.com"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shd w:val="clear" w:color="auto" w:fill="FFFFFF"/>
        </w:rPr>
        <w:t>日下午17时以扫描件形式发送至邮箱ywcqztb@ywcq.com</w:t>
      </w:r>
      <w:r>
        <w:rPr>
          <w:rFonts w:hint="eastAsia" w:ascii="宋体" w:hAnsi="宋体" w:eastAsia="宋体" w:cs="宋体"/>
          <w:color w:val="auto"/>
          <w:highlight w:val="none"/>
          <w:shd w:val="clear" w:color="auto" w:fill="FFFFFF"/>
        </w:rPr>
        <w:fldChar w:fldCharType="end"/>
      </w:r>
      <w:r>
        <w:rPr>
          <w:rFonts w:hint="eastAsia" w:ascii="宋体" w:hAnsi="宋体" w:eastAsia="宋体" w:cs="宋体"/>
          <w:color w:val="auto"/>
          <w:highlight w:val="none"/>
          <w:shd w:val="clear" w:color="auto" w:fill="FFFFFF"/>
        </w:rPr>
        <w:t>，并致电报名处确认报名情况，以邮箱回执报名成功为准，邮件发送时主题需注明项目名称及投标单位名称，报名处联系人：毛女士 0579-</w:t>
      </w:r>
      <w:bookmarkStart w:id="0" w:name="OLE_LINK12"/>
      <w:bookmarkEnd w:id="0"/>
      <w:r>
        <w:rPr>
          <w:rFonts w:hint="eastAsia" w:ascii="宋体" w:hAnsi="宋体" w:eastAsia="宋体" w:cs="宋体"/>
          <w:color w:val="auto"/>
          <w:highlight w:val="none"/>
          <w:shd w:val="clear" w:color="auto" w:fill="FFFFFF"/>
        </w:rPr>
        <w:t>89906887。对采购文件的质疑应按本公告第7条处理。 </w:t>
      </w:r>
    </w:p>
    <w:p>
      <w:pPr>
        <w:pStyle w:val="21"/>
        <w:widowControl/>
        <w:shd w:val="clear" w:color="auto" w:fill="FFFFFF"/>
        <w:spacing w:before="0" w:beforeAutospacing="0" w:after="0" w:afterAutospacing="0" w:line="360" w:lineRule="auto"/>
        <w:jc w:val="both"/>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　　6.报名时所需资料（复印件或扫描件加盖单位公章）： </w:t>
      </w:r>
    </w:p>
    <w:p>
      <w:pPr>
        <w:pStyle w:val="21"/>
        <w:widowControl/>
        <w:shd w:val="clear" w:color="auto" w:fill="FFFFFF"/>
        <w:spacing w:before="0" w:beforeAutospacing="0" w:after="0" w:afterAutospacing="0" w:line="360" w:lineRule="auto"/>
        <w:jc w:val="both"/>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①投标单位在“全国企业信用信息公示系统”（网址http://gsxt.saic.gov.cn/）上的单位详细信息打印件，或单位营业执照副本复印件（打印件、复印件均须加盖投标单位公章，下同）②法定代表人授权书和被授权人身份证复印件［适用于非法定代表人参加报名的,说明：法定代表人以营业执照载明的人员为准］；或法定代表人身份证复印件［适用于法定代表人参加报名的］</w:t>
      </w:r>
      <w:r>
        <w:rPr>
          <w:rFonts w:hint="eastAsia" w:ascii="宋体" w:hAnsi="宋体" w:eastAsia="宋体" w:cs="宋体"/>
          <w:color w:val="auto"/>
          <w:sz w:val="24"/>
          <w:szCs w:val="24"/>
          <w:highlight w:val="none"/>
        </w:rPr>
        <w:t>③</w:t>
      </w:r>
      <w:r>
        <w:rPr>
          <w:rFonts w:hint="eastAsia" w:ascii="宋体" w:hAnsi="宋体" w:eastAsia="宋体" w:cs="宋体"/>
          <w:color w:val="auto"/>
          <w:sz w:val="24"/>
          <w:szCs w:val="24"/>
          <w:highlight w:val="none"/>
          <w:lang w:val="en-US" w:eastAsia="zh-CN"/>
        </w:rPr>
        <w:t>提供水务软件类的业绩合同证明④</w:t>
      </w:r>
      <w:r>
        <w:rPr>
          <w:rFonts w:hint="eastAsia" w:ascii="宋体" w:hAnsi="宋体" w:eastAsia="宋体" w:cs="宋体"/>
          <w:color w:val="auto"/>
          <w:sz w:val="24"/>
          <w:szCs w:val="24"/>
          <w:highlight w:val="none"/>
        </w:rPr>
        <w:t>投标人简介等。</w:t>
      </w:r>
    </w:p>
    <w:p>
      <w:pPr>
        <w:widowControl/>
        <w:spacing w:line="360" w:lineRule="auto"/>
        <w:jc w:val="left"/>
        <w:rPr>
          <w:rFonts w:hint="eastAsia" w:ascii="宋体" w:hAnsi="宋体" w:eastAsia="宋体" w:cs="宋体"/>
          <w:color w:val="auto"/>
          <w:kern w:val="0"/>
          <w:sz w:val="24"/>
          <w:szCs w:val="24"/>
          <w:highlight w:val="none"/>
          <w:shd w:val="clear" w:color="auto" w:fill="FFFFFF"/>
        </w:rPr>
      </w:pPr>
      <w:r>
        <w:rPr>
          <w:rFonts w:hint="eastAsia" w:ascii="宋体" w:hAnsi="宋体" w:eastAsia="宋体" w:cs="宋体"/>
          <w:color w:val="auto"/>
          <w:kern w:val="0"/>
          <w:sz w:val="24"/>
          <w:szCs w:val="24"/>
          <w:highlight w:val="none"/>
          <w:shd w:val="clear" w:color="auto" w:fill="FFFFFF"/>
        </w:rPr>
        <w:t>　　7.技术答疑：供应商认为采购文件使自己的权益受到损害的，请于2021年</w:t>
      </w:r>
      <w:r>
        <w:rPr>
          <w:rFonts w:hint="eastAsia" w:ascii="宋体" w:hAnsi="宋体" w:eastAsia="宋体" w:cs="宋体"/>
          <w:color w:val="auto"/>
          <w:kern w:val="0"/>
          <w:sz w:val="24"/>
          <w:szCs w:val="24"/>
          <w:highlight w:val="none"/>
          <w:shd w:val="clear" w:color="auto" w:fill="FFFFFF"/>
          <w:lang w:val="en-US" w:eastAsia="zh-CN"/>
        </w:rPr>
        <w:t>10</w:t>
      </w:r>
      <w:r>
        <w:rPr>
          <w:rFonts w:hint="eastAsia" w:ascii="宋体" w:hAnsi="宋体" w:eastAsia="宋体" w:cs="宋体"/>
          <w:color w:val="auto"/>
          <w:kern w:val="0"/>
          <w:sz w:val="24"/>
          <w:szCs w:val="24"/>
          <w:highlight w:val="none"/>
          <w:shd w:val="clear" w:color="auto" w:fill="FFFFFF"/>
        </w:rPr>
        <w:t>月</w:t>
      </w:r>
      <w:r>
        <w:rPr>
          <w:rFonts w:hint="eastAsia" w:ascii="宋体" w:hAnsi="宋体" w:eastAsia="宋体" w:cs="宋体"/>
          <w:color w:val="auto"/>
          <w:kern w:val="0"/>
          <w:sz w:val="24"/>
          <w:szCs w:val="24"/>
          <w:highlight w:val="none"/>
          <w:shd w:val="clear" w:color="auto" w:fill="FFFFFF"/>
          <w:lang w:val="en-US" w:eastAsia="zh-CN"/>
        </w:rPr>
        <w:t>23</w:t>
      </w:r>
      <w:r>
        <w:rPr>
          <w:rFonts w:hint="eastAsia" w:ascii="宋体" w:hAnsi="宋体" w:eastAsia="宋体" w:cs="宋体"/>
          <w:color w:val="auto"/>
          <w:kern w:val="0"/>
          <w:sz w:val="24"/>
          <w:szCs w:val="24"/>
          <w:highlight w:val="none"/>
          <w:shd w:val="clear" w:color="auto" w:fill="FFFFFF"/>
        </w:rPr>
        <w:t>日17:00</w:t>
      </w:r>
      <w:r>
        <w:rPr>
          <w:rFonts w:hint="eastAsia" w:ascii="宋体" w:hAnsi="宋体" w:eastAsia="宋体" w:cs="宋体"/>
          <w:color w:val="auto"/>
          <w:kern w:val="0"/>
          <w:sz w:val="24"/>
          <w:szCs w:val="24"/>
          <w:highlight w:val="none"/>
          <w:shd w:val="clear" w:color="auto" w:fill="FFFFFF"/>
        </w:rPr>
        <w:t>前以书面形式向采购人和采购代理机构提出质疑。质疑以书面方式分别提交至</w:t>
      </w:r>
      <w:r>
        <w:rPr>
          <w:rFonts w:hint="eastAsia" w:ascii="宋体" w:hAnsi="宋体" w:eastAsia="宋体" w:cs="宋体"/>
          <w:color w:val="auto"/>
          <w:kern w:val="0"/>
          <w:sz w:val="24"/>
          <w:szCs w:val="24"/>
          <w:highlight w:val="none"/>
          <w:shd w:val="clear" w:color="auto" w:fill="FFFFFF"/>
          <w:lang w:eastAsia="zh-CN"/>
        </w:rPr>
        <w:t>义乌市排水有限公司</w:t>
      </w:r>
      <w:r>
        <w:rPr>
          <w:rFonts w:hint="eastAsia" w:ascii="宋体" w:hAnsi="宋体" w:eastAsia="宋体" w:cs="宋体"/>
          <w:color w:val="auto"/>
          <w:kern w:val="0"/>
          <w:sz w:val="24"/>
          <w:szCs w:val="24"/>
          <w:highlight w:val="none"/>
          <w:shd w:val="clear" w:color="auto" w:fill="FFFFFF"/>
        </w:rPr>
        <w:t>：</w:t>
      </w:r>
      <w:r>
        <w:rPr>
          <w:rFonts w:hint="eastAsia" w:ascii="宋体" w:hAnsi="宋体" w:eastAsia="宋体" w:cs="宋体"/>
          <w:color w:val="auto"/>
          <w:kern w:val="0"/>
          <w:sz w:val="24"/>
          <w:szCs w:val="24"/>
          <w:highlight w:val="none"/>
          <w:shd w:val="clear" w:color="auto" w:fill="FFFFFF"/>
          <w:lang w:eastAsia="zh-CN"/>
        </w:rPr>
        <w:t>吴先生</w:t>
      </w:r>
      <w:r>
        <w:rPr>
          <w:rFonts w:hint="eastAsia" w:ascii="宋体" w:hAnsi="宋体" w:eastAsia="宋体" w:cs="宋体"/>
          <w:color w:val="auto"/>
          <w:kern w:val="0"/>
          <w:sz w:val="24"/>
          <w:szCs w:val="24"/>
          <w:highlight w:val="none"/>
          <w:shd w:val="clear" w:color="auto" w:fill="FFFFFF"/>
        </w:rPr>
        <w:t>（</w:t>
      </w:r>
      <w:r>
        <w:rPr>
          <w:rFonts w:hint="eastAsia" w:ascii="宋体" w:hAnsi="宋体" w:eastAsia="宋体" w:cs="宋体"/>
          <w:color w:val="auto"/>
          <w:kern w:val="0"/>
          <w:sz w:val="24"/>
          <w:szCs w:val="24"/>
          <w:highlight w:val="none"/>
          <w:shd w:val="clear" w:color="auto" w:fill="FFFFFF"/>
          <w:lang w:eastAsia="zh-CN"/>
        </w:rPr>
        <w:t>0579-83828315</w:t>
      </w:r>
      <w:r>
        <w:rPr>
          <w:rFonts w:hint="eastAsia" w:ascii="宋体" w:hAnsi="宋体" w:eastAsia="宋体" w:cs="宋体"/>
          <w:color w:val="auto"/>
          <w:kern w:val="0"/>
          <w:sz w:val="24"/>
          <w:szCs w:val="24"/>
          <w:highlight w:val="none"/>
          <w:shd w:val="clear" w:color="auto" w:fill="FFFFFF"/>
        </w:rPr>
        <w:t>）、义乌产权交易所有限公司招投标中心：</w:t>
      </w:r>
      <w:bookmarkStart w:id="30" w:name="_GoBack"/>
      <w:bookmarkEnd w:id="30"/>
      <w:r>
        <w:rPr>
          <w:rFonts w:hint="eastAsia" w:ascii="宋体" w:hAnsi="宋体" w:eastAsia="宋体" w:cs="宋体"/>
          <w:color w:val="auto"/>
          <w:kern w:val="0"/>
          <w:sz w:val="24"/>
          <w:szCs w:val="24"/>
          <w:highlight w:val="none"/>
          <w:shd w:val="clear" w:color="auto" w:fill="FFFFFF"/>
        </w:rPr>
        <w:t>王小姐（0579-</w:t>
      </w:r>
      <w:r>
        <w:rPr>
          <w:rFonts w:hint="eastAsia" w:ascii="宋体" w:hAnsi="宋体" w:eastAsia="宋体" w:cs="宋体"/>
          <w:color w:val="auto"/>
          <w:kern w:val="0"/>
          <w:sz w:val="24"/>
          <w:szCs w:val="24"/>
          <w:highlight w:val="none"/>
          <w:shd w:val="clear" w:color="auto" w:fill="FFFFFF"/>
          <w:lang w:eastAsia="zh-CN"/>
        </w:rPr>
        <w:t>89919880</w:t>
      </w:r>
      <w:r>
        <w:rPr>
          <w:rFonts w:hint="eastAsia" w:ascii="宋体" w:hAnsi="宋体" w:eastAsia="宋体" w:cs="宋体"/>
          <w:color w:val="auto"/>
          <w:kern w:val="0"/>
          <w:sz w:val="24"/>
          <w:szCs w:val="24"/>
          <w:highlight w:val="none"/>
          <w:shd w:val="clear" w:color="auto" w:fill="FFFFFF"/>
        </w:rPr>
        <w:t>，453367901@qq.com），</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"mailto:请于2020年3月13日17时前将质疑文件以扫描件形式发送至43367901@qq.com，并致电项目负责人0579-89919879" </w:instrText>
      </w:r>
      <w:r>
        <w:rPr>
          <w:rFonts w:hint="eastAsia" w:ascii="宋体" w:hAnsi="宋体" w:eastAsia="宋体" w:cs="宋体"/>
          <w:color w:val="auto"/>
          <w:highlight w:val="none"/>
        </w:rPr>
        <w:fldChar w:fldCharType="separate"/>
      </w:r>
      <w:r>
        <w:rPr>
          <w:rFonts w:hint="eastAsia" w:ascii="宋体" w:hAnsi="宋体" w:eastAsia="宋体" w:cs="宋体"/>
          <w:color w:val="auto"/>
          <w:kern w:val="0"/>
          <w:sz w:val="24"/>
          <w:szCs w:val="24"/>
          <w:highlight w:val="none"/>
          <w:shd w:val="clear" w:color="auto" w:fill="FFFFFF"/>
        </w:rPr>
        <w:t>并致电</w:t>
      </w:r>
      <w:r>
        <w:rPr>
          <w:rFonts w:hint="eastAsia" w:ascii="宋体" w:hAnsi="宋体" w:eastAsia="宋体" w:cs="宋体"/>
          <w:color w:val="auto"/>
          <w:kern w:val="0"/>
          <w:sz w:val="24"/>
          <w:szCs w:val="24"/>
          <w:highlight w:val="none"/>
          <w:shd w:val="clear" w:color="auto" w:fill="FFFFFF"/>
        </w:rPr>
        <w:fldChar w:fldCharType="end"/>
      </w:r>
      <w:r>
        <w:rPr>
          <w:rFonts w:hint="eastAsia" w:ascii="宋体" w:hAnsi="宋体" w:eastAsia="宋体" w:cs="宋体"/>
          <w:color w:val="auto"/>
          <w:kern w:val="0"/>
          <w:sz w:val="24"/>
          <w:szCs w:val="24"/>
          <w:highlight w:val="none"/>
          <w:shd w:val="clear" w:color="auto" w:fill="FFFFFF"/>
        </w:rPr>
        <w:t>采购代理机构确认。书面文件邮寄地址：义乌市北苑街道望道路300号</w:t>
      </w:r>
      <w:r>
        <w:rPr>
          <w:rFonts w:hint="eastAsia" w:ascii="宋体" w:hAnsi="宋体" w:eastAsia="宋体" w:cs="宋体"/>
          <w:color w:val="auto"/>
          <w:kern w:val="0"/>
          <w:sz w:val="24"/>
          <w:szCs w:val="24"/>
          <w:highlight w:val="none"/>
          <w:shd w:val="clear" w:color="auto" w:fill="FFFFFF"/>
          <w:lang w:eastAsia="zh-CN"/>
        </w:rPr>
        <w:t>4055</w:t>
      </w:r>
      <w:r>
        <w:rPr>
          <w:rFonts w:hint="eastAsia" w:ascii="宋体" w:hAnsi="宋体" w:eastAsia="宋体" w:cs="宋体"/>
          <w:color w:val="auto"/>
          <w:kern w:val="0"/>
          <w:sz w:val="24"/>
          <w:szCs w:val="24"/>
          <w:highlight w:val="none"/>
          <w:shd w:val="clear" w:color="auto" w:fill="FFFFFF"/>
        </w:rPr>
        <w:t>。</w:t>
      </w:r>
    </w:p>
    <w:p>
      <w:pPr>
        <w:pStyle w:val="21"/>
        <w:widowControl/>
        <w:shd w:val="clear" w:color="auto" w:fill="FFFFFF"/>
        <w:spacing w:before="0" w:beforeAutospacing="0" w:after="0" w:afterAutospacing="0" w:line="360" w:lineRule="auto"/>
        <w:jc w:val="both"/>
        <w:rPr>
          <w:rFonts w:hint="eastAsia" w:ascii="宋体" w:hAnsi="宋体" w:eastAsia="宋体" w:cs="宋体"/>
          <w:color w:val="FF0000"/>
          <w:highlight w:val="none"/>
        </w:rPr>
      </w:pPr>
      <w:r>
        <w:rPr>
          <w:rFonts w:hint="eastAsia" w:ascii="宋体" w:hAnsi="宋体" w:eastAsia="宋体" w:cs="宋体"/>
          <w:color w:val="auto"/>
          <w:highlight w:val="none"/>
          <w:shd w:val="clear" w:color="auto" w:fill="FFFFFF"/>
        </w:rPr>
        <w:t>　　8.递交投标文件截止时间及地点：2021年</w:t>
      </w:r>
      <w:r>
        <w:rPr>
          <w:rFonts w:hint="eastAsia" w:ascii="宋体" w:hAnsi="宋体" w:eastAsia="宋体" w:cs="宋体"/>
          <w:color w:val="auto"/>
          <w:highlight w:val="none"/>
          <w:shd w:val="clear" w:color="auto" w:fill="FFFFFF"/>
          <w:lang w:val="en-US" w:eastAsia="zh-CN"/>
        </w:rPr>
        <w:t>11月4日</w:t>
      </w:r>
      <w:r>
        <w:rPr>
          <w:rFonts w:hint="eastAsia" w:ascii="宋体" w:hAnsi="宋体" w:eastAsia="宋体" w:cs="宋体"/>
          <w:color w:val="auto"/>
          <w:highlight w:val="none"/>
          <w:shd w:val="clear" w:color="auto" w:fill="FFFFFF"/>
          <w:lang w:eastAsia="zh-CN"/>
        </w:rPr>
        <w:t>14时</w:t>
      </w:r>
      <w:r>
        <w:rPr>
          <w:rFonts w:hint="eastAsia" w:ascii="宋体" w:hAnsi="宋体" w:eastAsia="宋体" w:cs="宋体"/>
          <w:color w:val="auto"/>
          <w:highlight w:val="none"/>
          <w:shd w:val="clear" w:color="auto" w:fill="FFFFFF"/>
        </w:rPr>
        <w:t> </w:t>
      </w:r>
    </w:p>
    <w:p>
      <w:pPr>
        <w:pStyle w:val="1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9．本项目取消投标文件现场递交。所有纸质投标文件以</w:t>
      </w:r>
      <w:r>
        <w:rPr>
          <w:rFonts w:hint="eastAsia" w:hAnsi="宋体" w:eastAsia="宋体" w:cs="宋体"/>
          <w:color w:val="auto"/>
          <w:sz w:val="24"/>
          <w:szCs w:val="24"/>
          <w:highlight w:val="none"/>
          <w:lang w:val="en-US" w:eastAsia="zh-CN"/>
        </w:rPr>
        <w:t>现场递交或</w:t>
      </w:r>
      <w:r>
        <w:rPr>
          <w:rFonts w:hint="eastAsia" w:ascii="宋体" w:hAnsi="宋体" w:eastAsia="宋体" w:cs="宋体"/>
          <w:color w:val="auto"/>
          <w:sz w:val="24"/>
          <w:szCs w:val="24"/>
          <w:highlight w:val="none"/>
        </w:rPr>
        <w:t>邮寄方式递交(</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指定EMS邮寄，不接收其他快递)。快递邮寄面单（格式见附件）不得显示投标单位名称。</w:t>
      </w:r>
    </w:p>
    <w:p>
      <w:pPr>
        <w:pStyle w:val="21"/>
        <w:widowControl/>
        <w:shd w:val="clear" w:color="auto" w:fill="FFFFFF"/>
        <w:spacing w:before="0" w:beforeAutospacing="0" w:after="0" w:afterAutospacing="0" w:line="360" w:lineRule="auto"/>
        <w:jc w:val="both"/>
        <w:rPr>
          <w:rFonts w:hint="eastAsia" w:ascii="宋体" w:hAnsi="宋体" w:eastAsia="宋体" w:cs="宋体"/>
          <w:color w:val="auto"/>
          <w:highlight w:val="none"/>
        </w:rPr>
      </w:pPr>
      <w:r>
        <w:rPr>
          <w:rFonts w:hint="eastAsia" w:ascii="宋体" w:hAnsi="宋体" w:eastAsia="宋体" w:cs="宋体"/>
          <w:color w:val="auto"/>
          <w:highlight w:val="none"/>
        </w:rPr>
        <w:t>投标人应于2021年</w:t>
      </w:r>
      <w:r>
        <w:rPr>
          <w:rFonts w:hint="eastAsia" w:ascii="宋体" w:hAnsi="宋体" w:eastAsia="宋体" w:cs="宋体"/>
          <w:color w:val="auto"/>
          <w:highlight w:val="none"/>
          <w:lang w:val="en-US" w:eastAsia="zh-CN"/>
        </w:rPr>
        <w:t>10月29日</w:t>
      </w:r>
      <w:r>
        <w:rPr>
          <w:rFonts w:hint="eastAsia" w:ascii="宋体" w:hAnsi="宋体" w:eastAsia="宋体" w:cs="宋体"/>
          <w:color w:val="auto"/>
          <w:highlight w:val="none"/>
        </w:rPr>
        <w:t>-2021年</w:t>
      </w:r>
      <w:r>
        <w:rPr>
          <w:rFonts w:hint="eastAsia" w:ascii="宋体" w:hAnsi="宋体" w:eastAsia="宋体" w:cs="宋体"/>
          <w:color w:val="auto"/>
          <w:highlight w:val="none"/>
          <w:lang w:val="en-US" w:eastAsia="zh-CN"/>
        </w:rPr>
        <w:t>11月4日</w:t>
      </w:r>
      <w:r>
        <w:rPr>
          <w:rFonts w:hint="eastAsia" w:ascii="宋体" w:hAnsi="宋体" w:eastAsia="宋体" w:cs="宋体"/>
          <w:color w:val="auto"/>
          <w:highlight w:val="none"/>
          <w:lang w:eastAsia="zh-CN"/>
        </w:rPr>
        <w:t>14时</w:t>
      </w:r>
      <w:r>
        <w:rPr>
          <w:rFonts w:hint="eastAsia" w:ascii="宋体" w:hAnsi="宋体" w:eastAsia="宋体" w:cs="宋体"/>
          <w:color w:val="auto"/>
          <w:highlight w:val="none"/>
        </w:rPr>
        <w:t>将投标文件（快递材料）递交至</w:t>
      </w:r>
      <w:r>
        <w:rPr>
          <w:rFonts w:hint="eastAsia" w:ascii="宋体" w:hAnsi="宋体" w:eastAsia="宋体" w:cs="宋体"/>
          <w:color w:val="auto"/>
          <w:highlight w:val="none"/>
          <w:lang w:eastAsia="zh-CN"/>
        </w:rPr>
        <w:t>义乌市望道路300号行政服务中心4楼4055</w:t>
      </w:r>
      <w:r>
        <w:rPr>
          <w:rFonts w:hint="eastAsia" w:ascii="宋体" w:hAnsi="宋体" w:eastAsia="宋体" w:cs="宋体"/>
          <w:color w:val="auto"/>
          <w:highlight w:val="none"/>
        </w:rPr>
        <w:t>，收件人：</w:t>
      </w:r>
      <w:r>
        <w:rPr>
          <w:rFonts w:hint="eastAsia" w:ascii="宋体" w:hAnsi="宋体" w:eastAsia="宋体" w:cs="宋体"/>
          <w:color w:val="auto"/>
          <w:highlight w:val="none"/>
          <w:lang w:eastAsia="zh-CN"/>
        </w:rPr>
        <w:t>王小姐</w:t>
      </w:r>
      <w:r>
        <w:rPr>
          <w:rFonts w:hint="eastAsia" w:ascii="宋体" w:hAnsi="宋体" w:eastAsia="宋体" w:cs="宋体"/>
          <w:color w:val="auto"/>
          <w:highlight w:val="none"/>
        </w:rPr>
        <w:t>；电话：</w:t>
      </w:r>
      <w:r>
        <w:rPr>
          <w:rFonts w:hint="eastAsia" w:ascii="宋体" w:hAnsi="宋体" w:eastAsia="宋体" w:cs="宋体"/>
          <w:color w:val="auto"/>
          <w:highlight w:val="none"/>
          <w:lang w:eastAsia="zh-CN"/>
        </w:rPr>
        <w:t>15267974119</w:t>
      </w:r>
      <w:r>
        <w:rPr>
          <w:rFonts w:hint="eastAsia" w:ascii="宋体" w:hAnsi="宋体" w:eastAsia="宋体" w:cs="宋体"/>
          <w:color w:val="auto"/>
          <w:highlight w:val="none"/>
        </w:rPr>
        <w:t>。在投标截止时间（2021年</w:t>
      </w:r>
      <w:r>
        <w:rPr>
          <w:rFonts w:hint="eastAsia" w:ascii="宋体" w:hAnsi="宋体" w:eastAsia="宋体" w:cs="宋体"/>
          <w:color w:val="auto"/>
          <w:highlight w:val="none"/>
          <w:lang w:val="en-US" w:eastAsia="zh-CN"/>
        </w:rPr>
        <w:t>11月4日</w:t>
      </w:r>
      <w:r>
        <w:rPr>
          <w:rFonts w:hint="eastAsia" w:ascii="宋体" w:hAnsi="宋体" w:eastAsia="宋体" w:cs="宋体"/>
          <w:color w:val="auto"/>
          <w:highlight w:val="none"/>
          <w:lang w:eastAsia="zh-CN"/>
        </w:rPr>
        <w:t>14时</w:t>
      </w:r>
      <w:r>
        <w:rPr>
          <w:rFonts w:hint="eastAsia" w:ascii="宋体" w:hAnsi="宋体" w:eastAsia="宋体" w:cs="宋体"/>
          <w:color w:val="auto"/>
          <w:highlight w:val="none"/>
        </w:rPr>
        <w:t>）后送达的投标文件（以北京时间为准，招标人（代理机构）、招标人监督人校准时间），招标人（代理机构）不予受理。送达时间以工作人员签收时间为准。</w:t>
      </w:r>
      <w:r>
        <w:rPr>
          <w:rFonts w:hint="eastAsia" w:ascii="宋体" w:hAnsi="宋体" w:eastAsia="宋体" w:cs="宋体"/>
          <w:color w:val="auto"/>
          <w:highlight w:val="none"/>
          <w:shd w:val="clear" w:color="auto" w:fill="FFFFFF"/>
        </w:rPr>
        <w:t> </w:t>
      </w:r>
    </w:p>
    <w:p>
      <w:pPr>
        <w:pStyle w:val="21"/>
        <w:widowControl/>
        <w:shd w:val="clear" w:color="auto" w:fill="FFFFFF"/>
        <w:spacing w:before="0" w:beforeAutospacing="0" w:after="0" w:afterAutospacing="0" w:line="360" w:lineRule="auto"/>
        <w:jc w:val="both"/>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　　10.投标保证金：无。</w:t>
      </w:r>
    </w:p>
    <w:p>
      <w:pPr>
        <w:pStyle w:val="1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11.</w:t>
      </w:r>
      <w:r>
        <w:rPr>
          <w:rFonts w:hint="eastAsia" w:ascii="宋体" w:hAnsi="宋体" w:eastAsia="宋体" w:cs="宋体"/>
          <w:color w:val="auto"/>
          <w:sz w:val="24"/>
          <w:szCs w:val="24"/>
          <w:highlight w:val="none"/>
        </w:rPr>
        <w:t xml:space="preserve">业务咨询： </w:t>
      </w:r>
    </w:p>
    <w:p>
      <w:pPr>
        <w:pStyle w:val="14"/>
        <w:spacing w:line="360" w:lineRule="auto"/>
        <w:ind w:firstLine="480"/>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eastAsia="zh-CN"/>
        </w:rPr>
        <w:t>义乌市排水有限公司</w:t>
      </w:r>
      <w:r>
        <w:rPr>
          <w:rFonts w:hint="eastAsia" w:ascii="宋体" w:hAnsi="宋体" w:eastAsia="宋体" w:cs="宋体"/>
          <w:color w:val="auto"/>
          <w:sz w:val="24"/>
          <w:szCs w:val="24"/>
          <w:highlight w:val="none"/>
        </w:rPr>
        <w:t>：</w:t>
      </w:r>
      <w:r>
        <w:rPr>
          <w:rFonts w:hint="eastAsia" w:hAnsi="宋体" w:eastAsia="宋体" w:cs="宋体"/>
          <w:color w:val="auto"/>
          <w:sz w:val="24"/>
          <w:szCs w:val="24"/>
          <w:highlight w:val="none"/>
          <w:lang w:eastAsia="zh-CN"/>
        </w:rPr>
        <w:t>吴先生</w:t>
      </w:r>
      <w:r>
        <w:rPr>
          <w:rFonts w:hint="eastAsia" w:ascii="宋体" w:hAnsi="宋体" w:eastAsia="宋体" w:cs="宋体"/>
          <w:color w:val="auto"/>
          <w:sz w:val="24"/>
          <w:szCs w:val="24"/>
          <w:highlight w:val="none"/>
        </w:rPr>
        <w:t>：</w:t>
      </w:r>
      <w:r>
        <w:rPr>
          <w:rFonts w:hint="eastAsia" w:hAnsi="宋体" w:eastAsia="宋体" w:cs="宋体"/>
          <w:color w:val="auto"/>
          <w:sz w:val="24"/>
          <w:szCs w:val="24"/>
          <w:highlight w:val="none"/>
          <w:lang w:eastAsia="zh-CN"/>
        </w:rPr>
        <w:t>0579-83828315</w:t>
      </w:r>
    </w:p>
    <w:p>
      <w:pPr>
        <w:pStyle w:val="14"/>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义乌产权交易所有限公司招投标中心：王小姐；联系电话：0579-</w:t>
      </w:r>
      <w:r>
        <w:rPr>
          <w:rFonts w:hint="eastAsia" w:hAnsi="宋体" w:eastAsia="宋体" w:cs="宋体"/>
          <w:color w:val="auto"/>
          <w:sz w:val="24"/>
          <w:szCs w:val="24"/>
          <w:highlight w:val="none"/>
          <w:lang w:eastAsia="zh-CN"/>
        </w:rPr>
        <w:t>89919880</w:t>
      </w:r>
      <w:r>
        <w:rPr>
          <w:rFonts w:hint="eastAsia" w:ascii="宋体" w:hAnsi="宋体" w:eastAsia="宋体" w:cs="宋体"/>
          <w:color w:val="auto"/>
          <w:sz w:val="24"/>
          <w:szCs w:val="24"/>
          <w:highlight w:val="none"/>
        </w:rPr>
        <w:t xml:space="preserve"> 传真：0579-89919161</w:t>
      </w:r>
    </w:p>
    <w:p>
      <w:pPr>
        <w:spacing w:line="360" w:lineRule="auto"/>
        <w:ind w:right="210"/>
        <w:jc w:val="right"/>
        <w:rPr>
          <w:rFonts w:hint="eastAsia" w:ascii="宋体" w:hAnsi="宋体" w:eastAsia="宋体" w:cs="宋体"/>
          <w:color w:val="auto"/>
          <w:kern w:val="0"/>
          <w:sz w:val="24"/>
          <w:szCs w:val="24"/>
          <w:highlight w:val="none"/>
        </w:rPr>
      </w:pPr>
    </w:p>
    <w:p>
      <w:pPr>
        <w:spacing w:line="360" w:lineRule="auto"/>
        <w:ind w:right="210"/>
        <w:jc w:val="righ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义乌市排水有限公司</w:t>
      </w:r>
    </w:p>
    <w:p>
      <w:pPr>
        <w:spacing w:line="360" w:lineRule="auto"/>
        <w:ind w:right="210"/>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义乌产权交易所有限公司招投标中心</w:t>
      </w:r>
    </w:p>
    <w:p>
      <w:pPr>
        <w:wordWrap w:val="0"/>
        <w:spacing w:line="360" w:lineRule="auto"/>
        <w:ind w:right="210"/>
        <w:jc w:val="righ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2021年</w:t>
      </w:r>
      <w:r>
        <w:rPr>
          <w:rFonts w:hint="eastAsia" w:ascii="宋体" w:hAnsi="宋体" w:eastAsia="宋体" w:cs="宋体"/>
          <w:color w:val="auto"/>
          <w:kern w:val="0"/>
          <w:sz w:val="24"/>
          <w:szCs w:val="24"/>
          <w:highlight w:val="none"/>
          <w:lang w:val="en-US" w:eastAsia="zh-CN"/>
        </w:rPr>
        <w:t>10月13日</w:t>
      </w:r>
    </w:p>
    <w:p>
      <w:pPr>
        <w:rPr>
          <w:rFonts w:hint="eastAsia" w:ascii="宋体" w:hAnsi="宋体" w:eastAsia="宋体" w:cs="宋体"/>
          <w:color w:val="auto"/>
          <w:sz w:val="48"/>
          <w:szCs w:val="48"/>
          <w:highlight w:val="none"/>
        </w:rPr>
      </w:pPr>
      <w:bookmarkStart w:id="1" w:name="_Toc7724"/>
      <w:r>
        <w:rPr>
          <w:rFonts w:hint="eastAsia" w:ascii="宋体" w:hAnsi="宋体" w:eastAsia="宋体" w:cs="宋体"/>
          <w:color w:val="auto"/>
          <w:sz w:val="48"/>
          <w:szCs w:val="48"/>
          <w:highlight w:val="none"/>
        </w:rPr>
        <w:br w:type="page"/>
      </w:r>
    </w:p>
    <w:bookmarkEnd w:id="1"/>
    <w:p>
      <w:pPr>
        <w:pStyle w:val="3"/>
        <w:numPr>
          <w:ilvl w:val="0"/>
          <w:numId w:val="2"/>
        </w:numPr>
        <w:tabs>
          <w:tab w:val="right" w:leader="dot" w:pos="9344"/>
        </w:tabs>
        <w:spacing w:before="0" w:after="0" w:line="240" w:lineRule="auto"/>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 xml:space="preserve"> 投标须知和投标须知前附表</w:t>
      </w:r>
    </w:p>
    <w:p>
      <w:pPr>
        <w:spacing w:line="360" w:lineRule="auto"/>
        <w:ind w:firstLine="723" w:firstLineChars="200"/>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投标须知前附表</w:t>
      </w:r>
    </w:p>
    <w:tbl>
      <w:tblPr>
        <w:tblStyle w:val="22"/>
        <w:tblpPr w:leftFromText="180" w:rightFromText="180" w:vertAnchor="text" w:horzAnchor="page" w:tblpX="1586" w:tblpY="1912"/>
        <w:tblOverlap w:val="never"/>
        <w:tblW w:w="9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662"/>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9" w:type="dxa"/>
            <w:vAlign w:val="center"/>
          </w:tcPr>
          <w:p>
            <w:pPr>
              <w:spacing w:line="38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8637" w:type="dxa"/>
            <w:gridSpan w:val="2"/>
            <w:vAlign w:val="center"/>
          </w:tcPr>
          <w:p>
            <w:pPr>
              <w:spacing w:line="38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749" w:type="dxa"/>
            <w:vAlign w:val="center"/>
          </w:tcPr>
          <w:p>
            <w:pPr>
              <w:spacing w:line="380" w:lineRule="exact"/>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662"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项目综合</w:t>
            </w:r>
          </w:p>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tc>
        <w:tc>
          <w:tcPr>
            <w:tcW w:w="6975" w:type="dxa"/>
            <w:vAlign w:val="center"/>
          </w:tcPr>
          <w:p>
            <w:pPr>
              <w:spacing w:before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eastAsia="zh-CN"/>
              </w:rPr>
              <w:t>义乌市排水有限公司</w:t>
            </w:r>
            <w:r>
              <w:rPr>
                <w:rFonts w:hint="eastAsia" w:ascii="宋体" w:hAnsi="宋体" w:eastAsia="宋体" w:cs="宋体"/>
                <w:color w:val="auto"/>
                <w:sz w:val="24"/>
                <w:szCs w:val="24"/>
                <w:highlight w:val="none"/>
                <w:lang w:val="en-US" w:eastAsia="zh-CN"/>
              </w:rPr>
              <w:t>网络安全设备、技术顾问及监控项目改造采购</w:t>
            </w:r>
            <w:r>
              <w:rPr>
                <w:rFonts w:hint="eastAsia" w:ascii="宋体" w:hAnsi="宋体" w:eastAsia="宋体" w:cs="宋体"/>
                <w:color w:val="auto"/>
                <w:sz w:val="24"/>
                <w:szCs w:val="24"/>
                <w:highlight w:val="none"/>
                <w:lang w:eastAsia="zh-CN"/>
              </w:rPr>
              <w:t>项目</w:t>
            </w:r>
          </w:p>
          <w:p>
            <w:pPr>
              <w:spacing w:beforeLines="50" w:line="360" w:lineRule="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采购内容：</w:t>
            </w:r>
            <w:r>
              <w:rPr>
                <w:rFonts w:hint="eastAsia" w:ascii="宋体" w:hAnsi="宋体" w:eastAsia="宋体" w:cs="宋体"/>
                <w:color w:val="auto"/>
                <w:sz w:val="24"/>
                <w:highlight w:val="none"/>
              </w:rPr>
              <w:t>详见</w:t>
            </w:r>
            <w:r>
              <w:rPr>
                <w:rFonts w:hint="eastAsia" w:ascii="宋体" w:hAnsi="宋体" w:eastAsia="宋体" w:cs="宋体"/>
                <w:color w:val="auto"/>
                <w:sz w:val="24"/>
                <w:szCs w:val="24"/>
                <w:highlight w:val="none"/>
              </w:rPr>
              <w:t>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49"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662"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招标方式</w:t>
            </w:r>
          </w:p>
        </w:tc>
        <w:tc>
          <w:tcPr>
            <w:tcW w:w="6975" w:type="dxa"/>
            <w:vAlign w:val="center"/>
          </w:tcPr>
          <w:p>
            <w:pPr>
              <w:spacing w:line="3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749"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662"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投标单位资格要求</w:t>
            </w:r>
          </w:p>
        </w:tc>
        <w:tc>
          <w:tcPr>
            <w:tcW w:w="6975" w:type="dxa"/>
            <w:vAlign w:val="center"/>
          </w:tcPr>
          <w:p>
            <w:pPr>
              <w:spacing w:line="380" w:lineRule="exact"/>
              <w:rPr>
                <w:rFonts w:hint="eastAsia" w:ascii="宋体" w:hAnsi="宋体" w:eastAsia="宋体" w:cs="宋体"/>
                <w:color w:val="auto"/>
                <w:sz w:val="24"/>
                <w:szCs w:val="24"/>
                <w:highlight w:val="none"/>
              </w:rPr>
            </w:pPr>
            <w:r>
              <w:rPr>
                <w:rFonts w:hint="eastAsia" w:ascii="宋体" w:hAnsi="宋体" w:eastAsia="宋体" w:cs="宋体"/>
                <w:color w:val="auto"/>
                <w:kern w:val="0"/>
                <w:sz w:val="24"/>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49"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662" w:type="dxa"/>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供货期</w:t>
            </w:r>
          </w:p>
        </w:tc>
        <w:tc>
          <w:tcPr>
            <w:tcW w:w="6975" w:type="dxa"/>
            <w:vAlign w:val="center"/>
          </w:tcPr>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详见第三章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49"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662"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招标文件发售时间和地点</w:t>
            </w:r>
          </w:p>
        </w:tc>
        <w:tc>
          <w:tcPr>
            <w:tcW w:w="6975" w:type="dxa"/>
            <w:vAlign w:val="center"/>
          </w:tcPr>
          <w:p>
            <w:pPr>
              <w:spacing w:line="3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749"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662"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现场踏勘时间</w:t>
            </w:r>
          </w:p>
        </w:tc>
        <w:tc>
          <w:tcPr>
            <w:tcW w:w="6975" w:type="dxa"/>
            <w:vAlign w:val="center"/>
          </w:tcPr>
          <w:p>
            <w:pPr>
              <w:spacing w:line="3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投标前，投标人须自行到项目所在地予以踏勘，对项目</w:t>
            </w:r>
            <w:r>
              <w:rPr>
                <w:rFonts w:hint="eastAsia" w:ascii="宋体" w:hAnsi="宋体" w:eastAsia="宋体" w:cs="宋体"/>
                <w:color w:val="auto"/>
                <w:sz w:val="24"/>
                <w:szCs w:val="24"/>
                <w:highlight w:val="none"/>
                <w:lang w:val="en-US" w:eastAsia="zh-CN"/>
              </w:rPr>
              <w:t>进行实地了解</w:t>
            </w:r>
            <w:r>
              <w:rPr>
                <w:rFonts w:hint="eastAsia" w:ascii="宋体" w:hAnsi="宋体" w:eastAsia="宋体" w:cs="宋体"/>
                <w:color w:val="auto"/>
                <w:sz w:val="24"/>
                <w:szCs w:val="24"/>
                <w:highlight w:val="none"/>
              </w:rPr>
              <w:t>，以获取编制投标文件和签署合同所需的所有资料，否则，由此所造成的一切后果由投标人自行承担。</w:t>
            </w:r>
            <w:r>
              <w:rPr>
                <w:rFonts w:hint="eastAsia" w:ascii="宋体" w:hAnsi="宋体" w:eastAsia="宋体" w:cs="宋体"/>
                <w:color w:val="auto"/>
                <w:sz w:val="24"/>
                <w:szCs w:val="24"/>
                <w:highlight w:val="none"/>
                <w:lang w:val="en-US" w:eastAsia="zh-CN"/>
              </w:rPr>
              <w:t>实地了解</w:t>
            </w:r>
            <w:r>
              <w:rPr>
                <w:rFonts w:hint="eastAsia" w:ascii="宋体" w:hAnsi="宋体" w:eastAsia="宋体" w:cs="宋体"/>
                <w:color w:val="auto"/>
                <w:sz w:val="24"/>
                <w:szCs w:val="24"/>
                <w:highlight w:val="none"/>
              </w:rPr>
              <w:t>期间，采购人不得留下供应商名称、联系方式等信息。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trPr>
        <w:tc>
          <w:tcPr>
            <w:tcW w:w="749"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662"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技术答疑</w:t>
            </w:r>
          </w:p>
        </w:tc>
        <w:tc>
          <w:tcPr>
            <w:tcW w:w="6975" w:type="dxa"/>
            <w:vAlign w:val="center"/>
          </w:tcPr>
          <w:p>
            <w:pPr>
              <w:spacing w:line="380" w:lineRule="exac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shd w:val="clear" w:color="auto" w:fill="FFFFFF"/>
              </w:rPr>
              <w:t>供应商认为采购文件使自己的权益受到损害的，请于2021年</w:t>
            </w:r>
            <w:r>
              <w:rPr>
                <w:rFonts w:hint="eastAsia" w:ascii="宋体" w:hAnsi="宋体" w:eastAsia="宋体" w:cs="宋体"/>
                <w:color w:val="auto"/>
                <w:kern w:val="0"/>
                <w:sz w:val="24"/>
                <w:szCs w:val="24"/>
                <w:highlight w:val="none"/>
                <w:shd w:val="clear" w:color="auto" w:fill="FFFFFF"/>
                <w:lang w:val="en-US" w:eastAsia="zh-CN"/>
              </w:rPr>
              <w:t>10月23日</w:t>
            </w:r>
            <w:r>
              <w:rPr>
                <w:rFonts w:hint="eastAsia" w:ascii="宋体" w:hAnsi="宋体" w:eastAsia="宋体" w:cs="宋体"/>
                <w:color w:val="auto"/>
                <w:kern w:val="0"/>
                <w:sz w:val="24"/>
                <w:szCs w:val="24"/>
                <w:highlight w:val="none"/>
                <w:shd w:val="clear" w:color="auto" w:fill="FFFFFF"/>
              </w:rPr>
              <w:t>17:00</w:t>
            </w:r>
            <w:r>
              <w:rPr>
                <w:rFonts w:hint="eastAsia" w:ascii="宋体" w:hAnsi="宋体" w:eastAsia="宋体" w:cs="宋体"/>
                <w:color w:val="auto"/>
                <w:kern w:val="0"/>
                <w:sz w:val="24"/>
                <w:szCs w:val="24"/>
                <w:highlight w:val="none"/>
                <w:shd w:val="clear" w:color="auto" w:fill="FFFFFF"/>
              </w:rPr>
              <w:t>前以书面形式向采购人和采购代理机构提出质疑。质疑以书面方式分别提交至</w:t>
            </w:r>
            <w:r>
              <w:rPr>
                <w:rFonts w:hint="eastAsia" w:ascii="宋体" w:hAnsi="宋体" w:eastAsia="宋体" w:cs="宋体"/>
                <w:color w:val="auto"/>
                <w:kern w:val="0"/>
                <w:sz w:val="24"/>
                <w:szCs w:val="24"/>
                <w:highlight w:val="none"/>
                <w:shd w:val="clear" w:color="auto" w:fill="FFFFFF"/>
                <w:lang w:eastAsia="zh-CN"/>
              </w:rPr>
              <w:t>义乌市排水有限公司</w:t>
            </w:r>
            <w:r>
              <w:rPr>
                <w:rFonts w:hint="eastAsia" w:ascii="宋体" w:hAnsi="宋体" w:eastAsia="宋体" w:cs="宋体"/>
                <w:color w:val="auto"/>
                <w:kern w:val="0"/>
                <w:sz w:val="24"/>
                <w:szCs w:val="24"/>
                <w:highlight w:val="none"/>
                <w:shd w:val="clear" w:color="auto" w:fill="FFFFFF"/>
              </w:rPr>
              <w:t>：</w:t>
            </w:r>
            <w:r>
              <w:rPr>
                <w:rFonts w:hint="eastAsia" w:ascii="宋体" w:hAnsi="宋体" w:eastAsia="宋体" w:cs="宋体"/>
                <w:color w:val="auto"/>
                <w:kern w:val="0"/>
                <w:sz w:val="24"/>
                <w:szCs w:val="24"/>
                <w:highlight w:val="none"/>
                <w:shd w:val="clear" w:color="auto" w:fill="FFFFFF"/>
                <w:lang w:eastAsia="zh-CN"/>
              </w:rPr>
              <w:t>吴先生</w:t>
            </w:r>
            <w:r>
              <w:rPr>
                <w:rFonts w:hint="eastAsia" w:ascii="宋体" w:hAnsi="宋体" w:eastAsia="宋体" w:cs="宋体"/>
                <w:color w:val="auto"/>
                <w:kern w:val="0"/>
                <w:sz w:val="24"/>
                <w:szCs w:val="24"/>
                <w:highlight w:val="none"/>
                <w:shd w:val="clear" w:color="auto" w:fill="FFFFFF"/>
              </w:rPr>
              <w:t>（</w:t>
            </w:r>
            <w:r>
              <w:rPr>
                <w:rFonts w:hint="eastAsia" w:ascii="宋体" w:hAnsi="宋体" w:eastAsia="宋体" w:cs="宋体"/>
                <w:color w:val="auto"/>
                <w:kern w:val="0"/>
                <w:sz w:val="24"/>
                <w:szCs w:val="24"/>
                <w:highlight w:val="none"/>
                <w:shd w:val="clear" w:color="auto" w:fill="FFFFFF"/>
                <w:lang w:eastAsia="zh-CN"/>
              </w:rPr>
              <w:t>0579-83828315</w:t>
            </w:r>
            <w:r>
              <w:rPr>
                <w:rFonts w:hint="eastAsia" w:ascii="宋体" w:hAnsi="宋体" w:eastAsia="宋体" w:cs="宋体"/>
                <w:color w:val="auto"/>
                <w:kern w:val="0"/>
                <w:sz w:val="24"/>
                <w:szCs w:val="24"/>
                <w:highlight w:val="none"/>
                <w:shd w:val="clear" w:color="auto" w:fill="FFFFFF"/>
              </w:rPr>
              <w:t>）、义乌产权交易所有限公司招投标中心：王小姐（0579-</w:t>
            </w:r>
            <w:r>
              <w:rPr>
                <w:rFonts w:hint="eastAsia" w:ascii="宋体" w:hAnsi="宋体" w:eastAsia="宋体" w:cs="宋体"/>
                <w:color w:val="auto"/>
                <w:kern w:val="0"/>
                <w:sz w:val="24"/>
                <w:szCs w:val="24"/>
                <w:highlight w:val="none"/>
                <w:shd w:val="clear" w:color="auto" w:fill="FFFFFF"/>
                <w:lang w:eastAsia="zh-CN"/>
              </w:rPr>
              <w:t>89919880</w:t>
            </w:r>
            <w:r>
              <w:rPr>
                <w:rFonts w:hint="eastAsia" w:ascii="宋体" w:hAnsi="宋体" w:eastAsia="宋体" w:cs="宋体"/>
                <w:color w:val="auto"/>
                <w:kern w:val="0"/>
                <w:sz w:val="24"/>
                <w:szCs w:val="24"/>
                <w:highlight w:val="none"/>
                <w:shd w:val="clear" w:color="auto" w:fill="FFFFFF"/>
              </w:rPr>
              <w:t>，453367901@qq.com），</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"mailto:请于2020年3月13日17时前将质疑文件以扫描件形式发送至43367901@qq.com，并致电项目负责人0579-89919879" </w:instrText>
            </w:r>
            <w:r>
              <w:rPr>
                <w:rFonts w:hint="eastAsia" w:ascii="宋体" w:hAnsi="宋体" w:eastAsia="宋体" w:cs="宋体"/>
                <w:color w:val="auto"/>
                <w:highlight w:val="none"/>
              </w:rPr>
              <w:fldChar w:fldCharType="separate"/>
            </w:r>
            <w:r>
              <w:rPr>
                <w:rFonts w:hint="eastAsia" w:ascii="宋体" w:hAnsi="宋体" w:eastAsia="宋体" w:cs="宋体"/>
                <w:color w:val="auto"/>
                <w:kern w:val="0"/>
                <w:sz w:val="24"/>
                <w:szCs w:val="24"/>
                <w:highlight w:val="none"/>
                <w:shd w:val="clear" w:color="auto" w:fill="FFFFFF"/>
              </w:rPr>
              <w:t>并致电</w:t>
            </w:r>
            <w:r>
              <w:rPr>
                <w:rFonts w:hint="eastAsia" w:ascii="宋体" w:hAnsi="宋体" w:eastAsia="宋体" w:cs="宋体"/>
                <w:color w:val="auto"/>
                <w:kern w:val="0"/>
                <w:sz w:val="24"/>
                <w:szCs w:val="24"/>
                <w:highlight w:val="none"/>
                <w:shd w:val="clear" w:color="auto" w:fill="FFFFFF"/>
              </w:rPr>
              <w:fldChar w:fldCharType="end"/>
            </w:r>
            <w:r>
              <w:rPr>
                <w:rFonts w:hint="eastAsia" w:ascii="宋体" w:hAnsi="宋体" w:eastAsia="宋体" w:cs="宋体"/>
                <w:color w:val="auto"/>
                <w:kern w:val="0"/>
                <w:sz w:val="24"/>
                <w:szCs w:val="24"/>
                <w:highlight w:val="none"/>
                <w:shd w:val="clear" w:color="auto" w:fill="FFFFFF"/>
              </w:rPr>
              <w:t>采购代理机构确认。书面文件邮寄地址：义乌市北苑街道望道路300号</w:t>
            </w:r>
            <w:r>
              <w:rPr>
                <w:rFonts w:hint="eastAsia" w:ascii="宋体" w:hAnsi="宋体" w:eastAsia="宋体" w:cs="宋体"/>
                <w:color w:val="auto"/>
                <w:kern w:val="0"/>
                <w:sz w:val="24"/>
                <w:szCs w:val="24"/>
                <w:highlight w:val="none"/>
                <w:shd w:val="clear" w:color="auto" w:fill="FFFFFF"/>
                <w:lang w:eastAsia="zh-CN"/>
              </w:rPr>
              <w:t>4055</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9"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662"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6975" w:type="dxa"/>
            <w:vAlign w:val="center"/>
          </w:tcPr>
          <w:p>
            <w:pPr>
              <w:spacing w:line="3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自开标之日起60天（日历天）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749"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166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投标文件邮寄地点与收件人</w:t>
            </w:r>
          </w:p>
        </w:tc>
        <w:tc>
          <w:tcPr>
            <w:tcW w:w="6975" w:type="dxa"/>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浙江省义乌市望道路300号行政服务中心4楼4055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王小姐</w:t>
            </w:r>
            <w:r>
              <w:rPr>
                <w:rFonts w:hint="eastAsia" w:ascii="宋体" w:hAnsi="宋体" w:eastAsia="宋体" w:cs="宋体"/>
                <w:color w:val="auto"/>
                <w:sz w:val="24"/>
                <w:szCs w:val="24"/>
                <w:highlight w:val="none"/>
              </w:rPr>
              <w:t xml:space="preserve"> 电话：</w:t>
            </w:r>
            <w:r>
              <w:rPr>
                <w:rFonts w:hint="eastAsia" w:ascii="宋体" w:hAnsi="宋体" w:eastAsia="宋体" w:cs="宋体"/>
                <w:color w:val="auto"/>
                <w:sz w:val="24"/>
                <w:szCs w:val="24"/>
                <w:highlight w:val="none"/>
                <w:lang w:eastAsia="zh-CN"/>
              </w:rPr>
              <w:t>15267974119</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749"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1662"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投标文件份数</w:t>
            </w:r>
          </w:p>
        </w:tc>
        <w:tc>
          <w:tcPr>
            <w:tcW w:w="6975" w:type="dxa"/>
            <w:vAlign w:val="center"/>
          </w:tcPr>
          <w:p>
            <w:pPr>
              <w:spacing w:line="3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商务标正本一份，</w:t>
            </w:r>
            <w:r>
              <w:rPr>
                <w:rFonts w:hint="eastAsia" w:ascii="宋体" w:hAnsi="宋体" w:eastAsia="宋体" w:cs="宋体"/>
                <w:color w:val="auto"/>
                <w:sz w:val="24"/>
                <w:szCs w:val="24"/>
                <w:highlight w:val="none"/>
                <w:lang w:eastAsia="zh-CN"/>
              </w:rPr>
              <w:t>副本四份</w:t>
            </w:r>
            <w:r>
              <w:rPr>
                <w:rFonts w:hint="eastAsia" w:ascii="宋体" w:hAnsi="宋体" w:eastAsia="宋体" w:cs="宋体"/>
                <w:color w:val="auto"/>
                <w:sz w:val="24"/>
                <w:szCs w:val="24"/>
                <w:highlight w:val="none"/>
              </w:rPr>
              <w:t>；</w:t>
            </w:r>
          </w:p>
          <w:p>
            <w:pPr>
              <w:spacing w:line="3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技术标正本一份，</w:t>
            </w:r>
            <w:r>
              <w:rPr>
                <w:rFonts w:hint="eastAsia" w:ascii="宋体" w:hAnsi="宋体" w:eastAsia="宋体" w:cs="宋体"/>
                <w:color w:val="auto"/>
                <w:sz w:val="24"/>
                <w:szCs w:val="24"/>
                <w:highlight w:val="none"/>
                <w:lang w:eastAsia="zh-CN"/>
              </w:rPr>
              <w:t>副本四份</w:t>
            </w:r>
            <w:r>
              <w:rPr>
                <w:rFonts w:hint="eastAsia" w:ascii="宋体" w:hAnsi="宋体" w:eastAsia="宋体" w:cs="宋体"/>
                <w:color w:val="auto"/>
                <w:sz w:val="24"/>
                <w:szCs w:val="24"/>
                <w:highlight w:val="none"/>
              </w:rPr>
              <w:t>。</w:t>
            </w:r>
          </w:p>
          <w:p>
            <w:pPr>
              <w:spacing w:line="3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【▲】投标人只需邮寄一个包裹，包裹不得体现</w:t>
            </w:r>
            <w:r>
              <w:rPr>
                <w:rFonts w:hint="eastAsia" w:ascii="宋体" w:hAnsi="宋体" w:eastAsia="宋体" w:cs="宋体"/>
                <w:b/>
                <w:bCs/>
                <w:color w:val="auto"/>
                <w:sz w:val="24"/>
                <w:szCs w:val="24"/>
                <w:highlight w:val="none"/>
              </w:rPr>
              <w:t>单位名称及标识，快递邮寄面单按附件格式填写。寄件人与报名人、法定代表授权人为同一人。包裹内的技术标，商务标独立密封包装。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749"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166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邮寄投标文件接收时间</w:t>
            </w:r>
          </w:p>
        </w:tc>
        <w:tc>
          <w:tcPr>
            <w:tcW w:w="6975" w:type="dxa"/>
            <w:vAlign w:val="center"/>
          </w:tcPr>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2021年</w:t>
            </w:r>
            <w:r>
              <w:rPr>
                <w:rFonts w:hint="eastAsia" w:ascii="宋体" w:hAnsi="宋体" w:eastAsia="宋体" w:cs="宋体"/>
                <w:b/>
                <w:bCs/>
                <w:color w:val="auto"/>
                <w:sz w:val="24"/>
                <w:szCs w:val="24"/>
                <w:highlight w:val="none"/>
                <w:lang w:val="en-US" w:eastAsia="zh-CN"/>
              </w:rPr>
              <w:t>10月29日</w:t>
            </w:r>
            <w:r>
              <w:rPr>
                <w:rFonts w:hint="eastAsia" w:ascii="宋体" w:hAnsi="宋体" w:eastAsia="宋体" w:cs="宋体"/>
                <w:b/>
                <w:bCs/>
                <w:color w:val="auto"/>
                <w:sz w:val="24"/>
                <w:szCs w:val="24"/>
                <w:highlight w:val="none"/>
              </w:rPr>
              <w:t>-2021年</w:t>
            </w:r>
            <w:r>
              <w:rPr>
                <w:rFonts w:hint="eastAsia" w:ascii="宋体" w:hAnsi="宋体" w:eastAsia="宋体" w:cs="宋体"/>
                <w:b/>
                <w:bCs/>
                <w:color w:val="auto"/>
                <w:sz w:val="24"/>
                <w:szCs w:val="24"/>
                <w:highlight w:val="none"/>
                <w:lang w:val="en-US" w:eastAsia="zh-CN"/>
              </w:rPr>
              <w:t>11月4日</w:t>
            </w:r>
            <w:r>
              <w:rPr>
                <w:rFonts w:hint="eastAsia" w:ascii="宋体" w:hAnsi="宋体" w:eastAsia="宋体" w:cs="宋体"/>
                <w:b/>
                <w:bCs/>
                <w:color w:val="auto"/>
                <w:sz w:val="24"/>
                <w:szCs w:val="24"/>
                <w:highlight w:val="none"/>
                <w:lang w:eastAsia="zh-CN"/>
              </w:rPr>
              <w:t>14：00</w:t>
            </w:r>
            <w:r>
              <w:rPr>
                <w:rFonts w:hint="eastAsia" w:ascii="宋体" w:hAnsi="宋体" w:eastAsia="宋体" w:cs="宋体"/>
                <w:b/>
                <w:bCs/>
                <w:color w:val="auto"/>
                <w:sz w:val="24"/>
                <w:szCs w:val="24"/>
                <w:highlight w:val="none"/>
              </w:rPr>
              <w:t>止，超出时限概不接收。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749"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166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投标截止及开标时间和地点</w:t>
            </w:r>
          </w:p>
        </w:tc>
        <w:tc>
          <w:tcPr>
            <w:tcW w:w="6975" w:type="dxa"/>
            <w:vAlign w:val="center"/>
          </w:tcPr>
          <w:p>
            <w:pP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投标截止及开标时间：2021年</w:t>
            </w:r>
            <w:r>
              <w:rPr>
                <w:rFonts w:hint="eastAsia" w:ascii="宋体" w:hAnsi="宋体" w:eastAsia="宋体" w:cs="宋体"/>
                <w:color w:val="auto"/>
                <w:sz w:val="24"/>
                <w:szCs w:val="24"/>
                <w:highlight w:val="none"/>
                <w:lang w:val="en-US" w:eastAsia="zh-CN"/>
              </w:rPr>
              <w:t>11月4日</w:t>
            </w:r>
            <w:r>
              <w:rPr>
                <w:rFonts w:hint="eastAsia" w:ascii="宋体" w:hAnsi="宋体" w:eastAsia="宋体" w:cs="宋体"/>
                <w:color w:val="auto"/>
                <w:sz w:val="24"/>
                <w:szCs w:val="24"/>
                <w:highlight w:val="none"/>
                <w:lang w:eastAsia="zh-CN"/>
              </w:rPr>
              <w:t>14：00</w:t>
            </w:r>
          </w:p>
          <w:p>
            <w:pPr>
              <w:rPr>
                <w:rFonts w:hint="eastAsia" w:ascii="宋体" w:hAnsi="宋体" w:eastAsia="宋体" w:cs="宋体"/>
                <w:b/>
                <w:bCs/>
                <w:color w:val="auto"/>
                <w:sz w:val="24"/>
                <w:szCs w:val="24"/>
                <w:highlight w:val="none"/>
                <w:lang w:eastAsia="zh-CN"/>
              </w:rPr>
            </w:pPr>
            <w:r>
              <w:rPr>
                <w:rFonts w:hint="eastAsia" w:ascii="宋体" w:hAnsi="宋体" w:eastAsia="宋体" w:cs="宋体"/>
                <w:color w:val="auto"/>
                <w:sz w:val="24"/>
                <w:szCs w:val="24"/>
                <w:highlight w:val="none"/>
              </w:rPr>
              <w:t>开标地点：</w:t>
            </w:r>
            <w:r>
              <w:rPr>
                <w:rFonts w:hint="eastAsia" w:ascii="宋体" w:hAnsi="宋体" w:eastAsia="宋体" w:cs="宋体"/>
                <w:color w:val="auto"/>
                <w:sz w:val="24"/>
                <w:szCs w:val="24"/>
                <w:highlight w:val="none"/>
                <w:lang w:eastAsia="zh-CN"/>
              </w:rPr>
              <w:t>义乌市望道路300号行政服务中心4楼4023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49"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1662"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履约保证金</w:t>
            </w:r>
          </w:p>
        </w:tc>
        <w:tc>
          <w:tcPr>
            <w:tcW w:w="6975" w:type="dxa"/>
            <w:vAlign w:val="center"/>
          </w:tcPr>
          <w:p>
            <w:pPr>
              <w:spacing w:line="3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免收履约保证金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49"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p>
        </w:tc>
        <w:tc>
          <w:tcPr>
            <w:tcW w:w="1662"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评标办法</w:t>
            </w:r>
          </w:p>
        </w:tc>
        <w:tc>
          <w:tcPr>
            <w:tcW w:w="6975" w:type="dxa"/>
            <w:vAlign w:val="center"/>
          </w:tcPr>
          <w:p>
            <w:pPr>
              <w:spacing w:line="380" w:lineRule="exac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trPr>
        <w:tc>
          <w:tcPr>
            <w:tcW w:w="749"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1662" w:type="dxa"/>
            <w:vAlign w:val="center"/>
          </w:tcPr>
          <w:p>
            <w:pPr>
              <w:spacing w:line="380" w:lineRule="exact"/>
              <w:jc w:val="center"/>
              <w:rPr>
                <w:rFonts w:hint="eastAsia" w:ascii="宋体" w:hAnsi="宋体" w:eastAsia="宋体" w:cs="宋体"/>
                <w:color w:val="auto"/>
                <w:sz w:val="24"/>
                <w:szCs w:val="24"/>
                <w:highlight w:val="yellow"/>
              </w:rPr>
            </w:pPr>
            <w:r>
              <w:rPr>
                <w:rFonts w:hint="eastAsia" w:ascii="宋体" w:hAnsi="宋体" w:eastAsia="宋体" w:cs="宋体"/>
                <w:b/>
                <w:bCs/>
                <w:color w:val="auto"/>
                <w:sz w:val="24"/>
                <w:szCs w:val="24"/>
                <w:highlight w:val="none"/>
              </w:rPr>
              <w:t>付款方式</w:t>
            </w:r>
          </w:p>
        </w:tc>
        <w:tc>
          <w:tcPr>
            <w:tcW w:w="6975" w:type="dxa"/>
            <w:vAlign w:val="center"/>
          </w:tcPr>
          <w:p>
            <w:pPr>
              <w:numPr>
                <w:ilvl w:val="0"/>
                <w:numId w:val="0"/>
              </w:numPr>
              <w:spacing w:line="440" w:lineRule="exact"/>
              <w:ind w:leftChars="0"/>
              <w:jc w:val="both"/>
              <w:rPr>
                <w:rFonts w:hint="default" w:ascii="宋体" w:hAnsi="宋体" w:eastAsia="宋体" w:cs="宋体"/>
                <w:color w:val="auto"/>
                <w:sz w:val="24"/>
                <w:szCs w:val="24"/>
                <w:highlight w:val="yellow"/>
                <w:lang w:val="en-US" w:eastAsia="zh-CN"/>
              </w:rPr>
            </w:pPr>
            <w:r>
              <w:rPr>
                <w:rFonts w:hint="eastAsia" w:ascii="宋体" w:hAnsi="宋体" w:eastAsia="宋体" w:cs="宋体"/>
                <w:color w:val="auto"/>
                <w:sz w:val="24"/>
                <w:szCs w:val="24"/>
                <w:highlight w:val="none"/>
                <w:lang w:val="en-US" w:eastAsia="zh-CN"/>
              </w:rPr>
              <w:t>分批安装调试、货到验收合格后，按批次支付至合同总价的95%，余款5%在设备质保期满后一年内一次性支付（扣减同期发生的违约金）。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trPr>
        <w:tc>
          <w:tcPr>
            <w:tcW w:w="749"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w:t>
            </w:r>
          </w:p>
        </w:tc>
        <w:tc>
          <w:tcPr>
            <w:tcW w:w="1662" w:type="dxa"/>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tc>
        <w:tc>
          <w:tcPr>
            <w:tcW w:w="6975" w:type="dxa"/>
            <w:vAlign w:val="center"/>
          </w:tcPr>
          <w:p>
            <w:pPr>
              <w:spacing w:line="380" w:lineRule="exac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1）本项目设有预算价及最高限价</w:t>
            </w:r>
            <w:r>
              <w:rPr>
                <w:rFonts w:hint="eastAsia" w:ascii="宋体" w:hAnsi="宋体" w:eastAsia="宋体" w:cs="宋体"/>
                <w:color w:val="auto"/>
                <w:sz w:val="24"/>
                <w:szCs w:val="24"/>
                <w:highlight w:val="none"/>
              </w:rPr>
              <w:t>，</w:t>
            </w:r>
            <w:r>
              <w:rPr>
                <w:rFonts w:hint="eastAsia" w:ascii="宋体" w:hAnsi="宋体" w:eastAsia="宋体" w:cs="宋体"/>
                <w:color w:val="000000" w:themeColor="text1"/>
                <w:sz w:val="24"/>
                <w:szCs w:val="24"/>
                <w:highlight w:val="none"/>
                <w14:textFill>
                  <w14:solidFill>
                    <w14:schemeClr w14:val="tx1"/>
                  </w14:solidFill>
                </w14:textFill>
              </w:rPr>
              <w:t>投标报价超过</w:t>
            </w:r>
            <w:r>
              <w:rPr>
                <w:rFonts w:hint="eastAsia" w:ascii="宋体" w:hAnsi="宋体" w:eastAsia="宋体" w:cs="宋体"/>
                <w:b/>
                <w:bCs/>
                <w:color w:val="000000" w:themeColor="text1"/>
                <w:sz w:val="24"/>
                <w:szCs w:val="24"/>
                <w:highlight w:val="none"/>
                <w14:textFill>
                  <w14:solidFill>
                    <w14:schemeClr w14:val="tx1"/>
                  </w14:solidFill>
                </w14:textFill>
              </w:rPr>
              <w:t>最高限价</w:t>
            </w:r>
            <w:r>
              <w:rPr>
                <w:rFonts w:hint="eastAsia" w:ascii="宋体" w:hAnsi="宋体" w:eastAsia="宋体" w:cs="宋体"/>
                <w:color w:val="auto"/>
                <w:sz w:val="24"/>
                <w:szCs w:val="24"/>
                <w:highlight w:val="none"/>
              </w:rPr>
              <w:t>的，其投标均为无效标。</w:t>
            </w:r>
          </w:p>
          <w:p>
            <w:pPr>
              <w:spacing w:line="3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招标文件中要求投标人在制作投标文件时，提供的复印件必须根据评审细则对评审的内容复印完整、清晰可辨，否则在评审时以最不利于投标人原则评审。</w:t>
            </w:r>
          </w:p>
        </w:tc>
      </w:tr>
    </w:tbl>
    <w:p>
      <w:pPr>
        <w:spacing w:line="300" w:lineRule="auto"/>
        <w:jc w:val="left"/>
        <w:outlineLvl w:val="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注：投标人须知前附表内容与本招标文件后述内容不一致的，以投标须知前附表为准。</w:t>
      </w:r>
    </w:p>
    <w:p>
      <w:pPr>
        <w:spacing w:line="300" w:lineRule="auto"/>
        <w:jc w:val="center"/>
        <w:outlineLvl w:val="0"/>
        <w:rPr>
          <w:rFonts w:hint="eastAsia" w:ascii="宋体" w:hAnsi="宋体" w:eastAsia="宋体" w:cs="宋体"/>
          <w:b/>
          <w:bCs/>
          <w:color w:val="auto"/>
          <w:sz w:val="48"/>
          <w:szCs w:val="48"/>
          <w:highlight w:val="none"/>
        </w:rPr>
      </w:pPr>
      <w:r>
        <w:rPr>
          <w:rFonts w:hint="eastAsia" w:ascii="宋体" w:hAnsi="宋体" w:eastAsia="宋体" w:cs="宋体"/>
          <w:b/>
          <w:bCs/>
          <w:color w:val="auto"/>
          <w:sz w:val="48"/>
          <w:szCs w:val="48"/>
          <w:highlight w:val="none"/>
        </w:rPr>
        <w:br w:type="page"/>
      </w:r>
      <w:r>
        <w:rPr>
          <w:rFonts w:hint="eastAsia" w:ascii="宋体" w:hAnsi="宋体" w:eastAsia="宋体" w:cs="宋体"/>
          <w:b/>
          <w:bCs/>
          <w:color w:val="auto"/>
          <w:sz w:val="36"/>
          <w:szCs w:val="36"/>
          <w:highlight w:val="none"/>
        </w:rPr>
        <w:t>投标须知</w:t>
      </w:r>
    </w:p>
    <w:p>
      <w:pPr>
        <w:spacing w:line="300" w:lineRule="auto"/>
        <w:outlineLvl w:val="0"/>
        <w:rPr>
          <w:rFonts w:hint="eastAsia" w:ascii="宋体" w:hAnsi="宋体" w:eastAsia="宋体" w:cs="宋体"/>
          <w:b/>
          <w:bCs/>
          <w:color w:val="auto"/>
          <w:sz w:val="24"/>
          <w:szCs w:val="24"/>
          <w:highlight w:val="none"/>
        </w:rPr>
      </w:pPr>
    </w:p>
    <w:p>
      <w:pPr>
        <w:spacing w:line="360" w:lineRule="auto"/>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一、说明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1.适用范围</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1.1本招标文件仅适用于本次招标采购所叙述的服务。</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2.定义</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2.1“招标方”系指组织本次招标的义乌产权交易所有限公司招投标中心，“采购人”指</w:t>
      </w:r>
      <w:r>
        <w:rPr>
          <w:rFonts w:hint="eastAsia" w:ascii="宋体" w:hAnsi="宋体" w:eastAsia="宋体" w:cs="宋体"/>
          <w:color w:val="auto"/>
          <w:sz w:val="24"/>
          <w:szCs w:val="24"/>
          <w:highlight w:val="none"/>
          <w:lang w:eastAsia="zh-CN"/>
        </w:rPr>
        <w:t>义乌市排水有限公司</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2.2“投标方”系指向招标方提交投标文件的货物及服务供应商。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2.3“货物”系指按招标文件要求配置的物品，包括一切配件及备品备件、技术资料等。</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2.4“项目”系指按招标文件要求的机械水表采购项目。</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2.5“服务”系指招标文件规定中标方须承担的安装、调试、技术协助、培训以及其他类似的附随义务。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附随服务”系指根据合同规定中标方必须承担与货物有关的辅助服务，如送货上门、免费维护以及合同中规定中标方应承担的义务，以及合同中未规定，但依有利于合同履行原则，应当由中标方承担的其他义务。</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2.7“★”系指不能负偏离的条款</w:t>
      </w:r>
      <w:r>
        <w:rPr>
          <w:rFonts w:hint="eastAsia" w:ascii="宋体" w:hAnsi="宋体" w:eastAsia="宋体" w:cs="宋体"/>
          <w:color w:val="auto"/>
          <w:sz w:val="24"/>
          <w:szCs w:val="24"/>
          <w:highlight w:val="none"/>
        </w:rPr>
        <w:t>。</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3.合格的投标方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3.1国内具有独立企业法人资格。</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符合《义乌市国有企业采购管理办法（试行）》第十条供应商应当具备的条件，同时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根据《关于在全市公共资源交易活动中应用信用报告的通知》（义行服管[2017]17号）规定，信用等级为D、E类的投标人，不得参与本项目投标（以采购人或其委托代理机构在投标截止时间查询为准）。</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3.3《招标文件》投标方资格要求中所要求的其他条件。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3.4本项目不允许转包，如发现转包行为，采购方将取消其中标资格。</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3.5本项目不允许联合体投标</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3.6本采购项目实行投标人资格审查，根据投标人递交的投标文件，经评标委员会评定投标人资格不符合以上要求的，其投标为无效投标。</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4.投标费用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无论投标过程中的作法和结果如何，投标方自行承担所有与参加投标有关的全部费用。</w:t>
      </w:r>
    </w:p>
    <w:p>
      <w:pPr>
        <w:spacing w:line="360" w:lineRule="auto"/>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二、招标文件说明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5.招标文件的构成</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招标文件用以阐明所须货物及服务、招标、投标程序和合同条款，招标文件除本《招标文件》内容外，招标方在采购期间发出的质疑回答、补遗书和其他正式有效函件，均构成招标文件的组成部分，招标文件内容由下述部分组成：</w:t>
      </w:r>
    </w:p>
    <w:p>
      <w:pPr>
        <w:spacing w:line="360" w:lineRule="auto"/>
        <w:ind w:left="420" w:leftChars="2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spacing w:line="360" w:lineRule="auto"/>
        <w:ind w:left="420" w:leftChars="2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5.1.2投标方须知</w:t>
      </w:r>
    </w:p>
    <w:p>
      <w:pPr>
        <w:spacing w:line="360" w:lineRule="auto"/>
        <w:ind w:left="420" w:leftChars="2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5.1.3招标内容与要求</w:t>
      </w:r>
    </w:p>
    <w:p>
      <w:pPr>
        <w:spacing w:line="360" w:lineRule="auto"/>
        <w:ind w:left="420" w:leftChars="2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5.1.4开标和评标须知</w:t>
      </w:r>
    </w:p>
    <w:p>
      <w:pPr>
        <w:spacing w:line="360" w:lineRule="auto"/>
        <w:ind w:left="420" w:leftChars="2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5.1.5投标文件有效性</w:t>
      </w:r>
    </w:p>
    <w:p>
      <w:pPr>
        <w:spacing w:line="360" w:lineRule="auto"/>
        <w:ind w:left="420" w:leftChars="2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5.1.6评标细则</w:t>
      </w:r>
    </w:p>
    <w:p>
      <w:pPr>
        <w:spacing w:line="360" w:lineRule="auto"/>
        <w:ind w:left="420" w:leftChars="2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5.1.7投标文件格式</w:t>
      </w:r>
    </w:p>
    <w:p>
      <w:pPr>
        <w:spacing w:line="360" w:lineRule="auto"/>
        <w:ind w:left="420" w:leftChars="2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5.1.8采购合同（样本）</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 投标人应认真对照阅读招标文件中所有的事项、格式、条款和技术规范等。投标人没有按照招标文件要求提交全部资料，或者投标人没有对招标文件在各方面都作出实质性响应是投标人的风险，并可能导致其投标被拒绝。</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6.招标文件的澄清</w:t>
      </w:r>
    </w:p>
    <w:p>
      <w:pPr>
        <w:pStyle w:val="14"/>
        <w:spacing w:line="360" w:lineRule="auto"/>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6.1 投标人若对招标文件有任何疑问，应以书面形式送（传真）至义乌行政服务中心望道路300号4楼交易大厅国企采购窗口（传真号码：0579-89919161），邮箱：453367901@qq.com向采购人和代理机构提出。</w:t>
      </w:r>
    </w:p>
    <w:p>
      <w:pPr>
        <w:pStyle w:val="1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rPr>
        <w:t>6.2 无论是采购人根据需要主动对招标文件进行必要澄清，或是根据投标人的要求对招标文件做出澄清，如果修改有可能会对投标单位制作投标文件的时间产生影响，则采购人或采购代理机构应当在投标截止时间至少15日前，以书面形式通知所有获取招标文件的潜在投标人；不足15日的，采购人或采购代理机构应当顺延提交投标文件的截止时间。答疑内容是招标文件的组成部份。</w:t>
      </w: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6.3 对于招标文件中的内容，在规定的时间内没有提出异议的或者没有异议部分,视为同意和认可招标文件中的规定。</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7.招标文件的修改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7.1招标方可主动或在解答投标人对投标文件提出的答疑问题时对招标文件进行修改。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7.2招标文件的修改将以书面形式通知所有购买招标文件的投标人，并对其具有约束力。投标人在收到上述通知后，应立即向招标方回函确认，未在规定时间内回复的视同默认接受。</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7.3为使投标人准备投标时有充分时间对招标文件的修改部分进行研究，招标方可在投标截止期前通知投标人。</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招标文件的澄清、答疑、修改、补充文件是招标文件的组成部分，投标人须按照招标文件的澄清、答疑、修改、补充文件的要求参与投标，投标人没有作出实质性响应是投标人的风险，并可能导致其投标被拒绝。</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7.5 投标人应在收到招标项目的澄清、答疑、修改、补充文件后一天内，以书面或者传真（签署意见并加盖投标单位公章）向采购方回函确认，逾期未回复的，视为默认接受。</w:t>
      </w:r>
    </w:p>
    <w:p>
      <w:pPr>
        <w:spacing w:line="360" w:lineRule="auto"/>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三、投标书编制</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8.招标文件的语言、计量及货币</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 投标及投标方与采购有关的来往通知、函件和文件均应使用中文编写。</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 除在技术规格中另有规定外，计量单位应使用公制单位。</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 投标货币为人民币：元。</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9.对投标文件的要求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9.1投标人应仔细阅读招标文件的所有内容，按招标文件的要求提供投标文件，并保证所提供的全部资料的真实性，以使其投标对招标文件作出实质性响应，否则，其投标可能被拒绝（即无效）。</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 在招标书对货物技术要求中，投标方必须充分应答应满足用户的强制性需求，否则将导致无效标。</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10.投标文件的组成</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 招标文件“投标相关文件格式”所列的内容、格式及其投标人认为有必要提供的其他文件。</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★10.2 递交的投标文件应分为技术标（含资信与服务）和商务标，技术标为除商务报价外的所有内容，且技术标和商务标分开密封</w:t>
      </w: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u w:val="single"/>
        </w:rPr>
        <w:t>技术标（含资信与服务）不得含商务报价，否则作无效标处理</w:t>
      </w:r>
      <w:r>
        <w:rPr>
          <w:rFonts w:hint="eastAsia" w:ascii="宋体" w:hAnsi="宋体" w:eastAsia="宋体" w:cs="宋体"/>
          <w:color w:val="auto"/>
          <w:sz w:val="24"/>
          <w:szCs w:val="24"/>
          <w:highlight w:val="none"/>
        </w:rPr>
        <w:t>。</w:t>
      </w:r>
    </w:p>
    <w:p>
      <w:pPr>
        <w:spacing w:line="360" w:lineRule="auto"/>
        <w:outlineLvl w:val="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11.投标文件内容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11.1技术标的组成</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11.1.1投标方资格、资信合格性的有关证明及资料，投标人应提交证明其有资格参加投标和中标后有能力履行合同的文件，并作为其投标文件的一部分。投标人提交的合格性的证明文件应使招标方满意，投标人在投标时应是符合条件的投标人，其具体内容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（1）参投单位情况介绍 (资产、财务和技术人员水平，如认证工程师数量、等级证书等情况)；</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（2）有效的营业执照副本复印件；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（3）资格的声明函；</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（4）法定代表人资格证明书、法定代表人身份证复印件；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（5）授权委托书、授权代表身份证复印件；（如法定代表人出席投标会的不须提供）；</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（6）义乌市国企采购项目投标承诺书；</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（7）货物简要说明一览表；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en-US" w:eastAsia="zh-CN"/>
        </w:rPr>
        <w:t>相关资信的证明材料</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r>
        <w:rPr>
          <w:rFonts w:hint="eastAsia" w:ascii="宋体" w:hAnsi="宋体" w:eastAsia="宋体" w:cs="宋体"/>
          <w:color w:val="auto"/>
          <w:sz w:val="24"/>
          <w:highlight w:val="none"/>
          <w:lang w:val="en-US" w:eastAsia="zh-CN"/>
        </w:rPr>
        <w:t>对本项目的理解和参投产品的主要技术性能、特点和质量水平的详细描述（含技术样本、说明书、具体结构图等印刷资料）</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（10）产品质量保证和售后服务的内容及承诺。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）投标人认为须提供的其他资料。</w:t>
      </w:r>
    </w:p>
    <w:p>
      <w:pPr>
        <w:spacing w:line="360" w:lineRule="auto"/>
        <w:ind w:firstLine="241" w:firstLineChars="1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11.2 商务投标书内容：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★11.2.1投标函；</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11.2.2开标一览表；</w:t>
      </w:r>
    </w:p>
    <w:p>
      <w:pPr>
        <w:spacing w:line="360" w:lineRule="auto"/>
        <w:ind w:firstLine="480" w:firstLineChars="200"/>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11.2.3其他投标方认为有必要提供的资料</w:t>
      </w:r>
    </w:p>
    <w:p>
      <w:pPr>
        <w:spacing w:line="360" w:lineRule="auto"/>
        <w:outlineLvl w:val="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12.投标报价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12.1投标报价应以人民币为结算货币。须包括</w:t>
      </w:r>
      <w:r>
        <w:rPr>
          <w:rFonts w:hint="eastAsia" w:ascii="宋体" w:hAnsi="宋体" w:eastAsia="宋体" w:cs="宋体"/>
          <w:color w:val="auto"/>
          <w:sz w:val="24"/>
          <w:szCs w:val="24"/>
          <w:highlight w:val="none"/>
          <w:lang w:val="en-US" w:eastAsia="zh-CN"/>
        </w:rPr>
        <w:t>软件使用费、安装调试费、培训费、税费、完成本项目的其它费用和政策性文件规定及合同包含的所有风险、责任等各项应有费用；</w:t>
      </w:r>
      <w:r>
        <w:rPr>
          <w:rFonts w:hint="eastAsia" w:ascii="宋体" w:hAnsi="宋体" w:eastAsia="宋体" w:cs="宋体"/>
          <w:color w:val="auto"/>
          <w:sz w:val="24"/>
          <w:szCs w:val="24"/>
          <w:highlight w:val="none"/>
        </w:rPr>
        <w:t>投标报价为投标方所能承受的最低、最终一次性报价。须由中标单位开具增值税专用发票。投标方的投标报价为整个采购项目的总报价，如有漏项，视同已包含在其总项目中，合同总价不做调整。</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w:t>
      </w:r>
      <w:r>
        <w:rPr>
          <w:rFonts w:hint="eastAsia" w:ascii="宋体" w:hAnsi="宋体" w:eastAsia="宋体" w:cs="宋体"/>
          <w:b/>
          <w:bCs/>
          <w:color w:val="auto"/>
          <w:sz w:val="24"/>
          <w:szCs w:val="24"/>
          <w:highlight w:val="none"/>
        </w:rPr>
        <w:t>投标方须在《开标一览表》上写明投标货物的单价和投标总价。</w:t>
      </w:r>
      <w:r>
        <w:rPr>
          <w:rFonts w:hint="eastAsia" w:ascii="宋体" w:hAnsi="宋体" w:eastAsia="宋体" w:cs="宋体"/>
          <w:color w:val="auto"/>
          <w:sz w:val="24"/>
          <w:szCs w:val="24"/>
          <w:highlight w:val="none"/>
        </w:rPr>
        <w:t>如果大写金额和小写金额不一致的，以大写金额为准；单价金额小数点或者百分比有明显错位的，以开标一览表的总价为准，并修改单价；总价金额与按单价汇总金额不一致的，以单价金额计算结果为准。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12.3采购项目只允许有一个报价，有选择的报价将不予接受。</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12.4投标方的报价不得超过预算价或最高限价，否则其投标无效。</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13.履约保证金</w:t>
      </w:r>
      <w:r>
        <w:rPr>
          <w:rFonts w:hint="eastAsia" w:ascii="宋体" w:hAnsi="宋体" w:eastAsia="宋体" w:cs="宋体"/>
          <w:color w:val="auto"/>
          <w:sz w:val="24"/>
          <w:szCs w:val="24"/>
          <w:highlight w:val="none"/>
        </w:rPr>
        <w:t>：不收取</w:t>
      </w:r>
      <w:r>
        <w:rPr>
          <w:rFonts w:hint="eastAsia" w:ascii="宋体" w:hAnsi="宋体" w:eastAsia="宋体" w:cs="宋体"/>
          <w:b/>
          <w:bCs/>
          <w:color w:val="auto"/>
          <w:sz w:val="24"/>
          <w:szCs w:val="24"/>
          <w:highlight w:val="none"/>
        </w:rPr>
        <w:t>。</w:t>
      </w:r>
    </w:p>
    <w:p>
      <w:pPr>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14.招标服务费</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招标服务费于中标通知书发送前</w:t>
      </w:r>
      <w:r>
        <w:rPr>
          <w:rFonts w:hint="eastAsia" w:ascii="宋体" w:hAnsi="宋体" w:eastAsia="宋体" w:cs="宋体"/>
          <w:b/>
          <w:bCs/>
          <w:color w:val="auto"/>
          <w:kern w:val="0"/>
          <w:sz w:val="24"/>
          <w:szCs w:val="24"/>
          <w:highlight w:val="none"/>
        </w:rPr>
        <w:t>按照</w:t>
      </w:r>
      <w:r>
        <w:rPr>
          <w:rFonts w:hint="eastAsia" w:ascii="宋体" w:hAnsi="宋体" w:eastAsia="宋体" w:cs="宋体"/>
          <w:b/>
          <w:bCs/>
          <w:color w:val="auto"/>
          <w:kern w:val="0"/>
          <w:sz w:val="24"/>
          <w:szCs w:val="24"/>
          <w:highlight w:val="none"/>
          <w:lang w:val="en-US" w:eastAsia="zh-CN"/>
        </w:rPr>
        <w:t>中标价</w:t>
      </w:r>
      <w:r>
        <w:rPr>
          <w:rFonts w:hint="eastAsia" w:ascii="宋体" w:hAnsi="宋体" w:eastAsia="宋体" w:cs="宋体"/>
          <w:color w:val="auto"/>
          <w:kern w:val="0"/>
          <w:sz w:val="24"/>
          <w:szCs w:val="24"/>
          <w:highlight w:val="none"/>
        </w:rPr>
        <w:t xml:space="preserve">向中标方收取。单宗招标服务费不足3000元按3000元收取。 </w:t>
      </w:r>
    </w:p>
    <w:tbl>
      <w:tblPr>
        <w:tblStyle w:val="22"/>
        <w:tblW w:w="7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100"/>
        <w:gridCol w:w="4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727" w:type="dxa"/>
          </w:tcPr>
          <w:p>
            <w:pPr>
              <w:spacing w:line="40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中标金额（万元）</w:t>
            </w:r>
          </w:p>
        </w:tc>
        <w:tc>
          <w:tcPr>
            <w:tcW w:w="1100" w:type="dxa"/>
          </w:tcPr>
          <w:p>
            <w:pPr>
              <w:spacing w:line="40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收费标准</w:t>
            </w:r>
          </w:p>
        </w:tc>
        <w:tc>
          <w:tcPr>
            <w:tcW w:w="4687" w:type="dxa"/>
          </w:tcPr>
          <w:p>
            <w:pPr>
              <w:spacing w:line="40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727" w:type="dxa"/>
          </w:tcPr>
          <w:p>
            <w:pPr>
              <w:spacing w:line="40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100以下</w:t>
            </w:r>
          </w:p>
        </w:tc>
        <w:tc>
          <w:tcPr>
            <w:tcW w:w="1100" w:type="dxa"/>
          </w:tcPr>
          <w:p>
            <w:pPr>
              <w:spacing w:line="40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1.5%</w:t>
            </w:r>
          </w:p>
        </w:tc>
        <w:tc>
          <w:tcPr>
            <w:tcW w:w="4687" w:type="dxa"/>
            <w:vMerge w:val="restart"/>
            <w:vAlign w:val="center"/>
          </w:tcPr>
          <w:p>
            <w:pPr>
              <w:spacing w:line="40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招标服务费采用差额定率累进法计算，向中标方单向收取。</w:t>
            </w:r>
          </w:p>
          <w:p>
            <w:pPr>
              <w:spacing w:line="40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例：中标金额为1000万。服务费=100万×1.5%+400万×1.1%+500万×0.8%=9.9万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727" w:type="dxa"/>
          </w:tcPr>
          <w:p>
            <w:pPr>
              <w:spacing w:line="40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100-500</w:t>
            </w:r>
          </w:p>
        </w:tc>
        <w:tc>
          <w:tcPr>
            <w:tcW w:w="1100" w:type="dxa"/>
          </w:tcPr>
          <w:p>
            <w:pPr>
              <w:spacing w:line="40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1.1%</w:t>
            </w:r>
          </w:p>
        </w:tc>
        <w:tc>
          <w:tcPr>
            <w:tcW w:w="4687" w:type="dxa"/>
            <w:vMerge w:val="continue"/>
          </w:tcPr>
          <w:p>
            <w:pPr>
              <w:spacing w:line="400" w:lineRule="exact"/>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727" w:type="dxa"/>
          </w:tcPr>
          <w:p>
            <w:pPr>
              <w:spacing w:line="40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500-1000</w:t>
            </w:r>
          </w:p>
        </w:tc>
        <w:tc>
          <w:tcPr>
            <w:tcW w:w="1100" w:type="dxa"/>
          </w:tcPr>
          <w:p>
            <w:pPr>
              <w:spacing w:line="40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0.8%</w:t>
            </w:r>
          </w:p>
        </w:tc>
        <w:tc>
          <w:tcPr>
            <w:tcW w:w="4687" w:type="dxa"/>
            <w:vMerge w:val="continue"/>
          </w:tcPr>
          <w:p>
            <w:pPr>
              <w:spacing w:line="400" w:lineRule="exact"/>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727" w:type="dxa"/>
          </w:tcPr>
          <w:p>
            <w:pPr>
              <w:spacing w:line="40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1000-5000</w:t>
            </w:r>
          </w:p>
        </w:tc>
        <w:tc>
          <w:tcPr>
            <w:tcW w:w="1100" w:type="dxa"/>
          </w:tcPr>
          <w:p>
            <w:pPr>
              <w:spacing w:line="40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0.5%</w:t>
            </w:r>
          </w:p>
        </w:tc>
        <w:tc>
          <w:tcPr>
            <w:tcW w:w="4687" w:type="dxa"/>
            <w:vMerge w:val="continue"/>
          </w:tcPr>
          <w:p>
            <w:pPr>
              <w:spacing w:line="400" w:lineRule="exact"/>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727" w:type="dxa"/>
          </w:tcPr>
          <w:p>
            <w:pPr>
              <w:spacing w:line="40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5000-10000</w:t>
            </w:r>
          </w:p>
        </w:tc>
        <w:tc>
          <w:tcPr>
            <w:tcW w:w="1100" w:type="dxa"/>
          </w:tcPr>
          <w:p>
            <w:pPr>
              <w:spacing w:line="40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0.25%</w:t>
            </w:r>
          </w:p>
        </w:tc>
        <w:tc>
          <w:tcPr>
            <w:tcW w:w="4687" w:type="dxa"/>
            <w:vMerge w:val="continue"/>
          </w:tcPr>
          <w:p>
            <w:pPr>
              <w:spacing w:line="400" w:lineRule="exact"/>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727" w:type="dxa"/>
          </w:tcPr>
          <w:p>
            <w:pPr>
              <w:spacing w:line="40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10000以上</w:t>
            </w:r>
          </w:p>
        </w:tc>
        <w:tc>
          <w:tcPr>
            <w:tcW w:w="1100" w:type="dxa"/>
          </w:tcPr>
          <w:p>
            <w:pPr>
              <w:spacing w:line="40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0.05%</w:t>
            </w:r>
          </w:p>
        </w:tc>
        <w:tc>
          <w:tcPr>
            <w:tcW w:w="4687" w:type="dxa"/>
            <w:vMerge w:val="continue"/>
          </w:tcPr>
          <w:p>
            <w:pPr>
              <w:spacing w:line="400" w:lineRule="exact"/>
              <w:rPr>
                <w:rFonts w:hint="eastAsia" w:ascii="宋体" w:hAnsi="宋体" w:eastAsia="宋体" w:cs="宋体"/>
                <w:bCs/>
                <w:color w:val="auto"/>
                <w:sz w:val="24"/>
                <w:highlight w:val="none"/>
              </w:rPr>
            </w:pPr>
          </w:p>
        </w:tc>
      </w:tr>
    </w:tbl>
    <w:p>
      <w:pPr>
        <w:pStyle w:val="14"/>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招标服务费交纳方式：以电汇、转账方式提交招标服务费，并在用途栏注明“招标服务费”字样，禁止第三方代缴服务费，否则将不发放中标通知书。</w:t>
      </w:r>
    </w:p>
    <w:p>
      <w:pPr>
        <w:pStyle w:val="14"/>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招标服务费汇至：</w:t>
      </w:r>
    </w:p>
    <w:p>
      <w:pPr>
        <w:pStyle w:val="14"/>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银行帐号名称：义乌产权交易所有限公司</w:t>
      </w:r>
    </w:p>
    <w:p>
      <w:pPr>
        <w:pStyle w:val="14"/>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银行帐号：1208020009045009586</w:t>
      </w:r>
    </w:p>
    <w:p>
      <w:pPr>
        <w:spacing w:line="360" w:lineRule="auto"/>
        <w:ind w:firstLine="480" w:firstLineChars="20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 xml:space="preserve">     开户银行：中国工商银行义乌分行</w:t>
      </w:r>
    </w:p>
    <w:p>
      <w:pPr>
        <w:spacing w:line="360" w:lineRule="auto"/>
        <w:outlineLvl w:val="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15.投标有效期 </w:t>
      </w:r>
    </w:p>
    <w:p>
      <w:pPr>
        <w:pStyle w:val="9"/>
        <w:spacing w:line="360" w:lineRule="auto"/>
        <w:ind w:firstLine="480" w:firstLineChars="20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15.1 投标文件从开标之日起，投标有效期为60天。</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15.2特殊情况下，在原投标有效期截止之前，招标方可要求投标方同意延长有效期，这种要求与答复均应以书面形式提交。投标方可拒绝这种要求。接受延长投标有效期的投标方将不会被要求和允许修正其投标。</w:t>
      </w:r>
    </w:p>
    <w:p>
      <w:pPr>
        <w:spacing w:line="360" w:lineRule="auto"/>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16.投标偏离及建议</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 投标方如对采购项目的要求在技术和商务方面有偏离，均须在规范的偏离表中提出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 投标方可以在投标文件中对采购设备的技术规格要求提出推荐和替代意见，但所提出的意见应优于招标文件中提出的响应要求，并且使招标方满意。</w:t>
      </w:r>
    </w:p>
    <w:p>
      <w:pPr>
        <w:pStyle w:val="9"/>
        <w:spacing w:line="360" w:lineRule="auto"/>
        <w:ind w:firstLine="480" w:firstLineChars="20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17.投标文件格式和装订</w:t>
      </w:r>
    </w:p>
    <w:p>
      <w:pPr>
        <w:pStyle w:val="9"/>
        <w:spacing w:line="360" w:lineRule="auto"/>
        <w:ind w:firstLine="480" w:firstLineChars="20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17.1 投标方应按招标文件中第七章提供的“投标文件格式”填写并装订。</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四、投标文件的递交</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18.投标文件的签署</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18.1 投标方应按本投标须知规定，提交投标文件的正本和副本。正本与副本如有不一致时，以正本为准。投标文件的正本必须用不退色的墨水书写或打印（副本可以复印），并由投标方法定代表人或其法定代表人授权代表签署；若系授权代表签署，应将法定代表人授权投标委托书装订在投标文件技术标书内。投标方单位名称应为全称，并加盖公章。</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18.2 投标文件的任何一页不得涂改、行间插字或删除。如有错漏必需修改，修改处须由同一签署人签字并加盖公章。由于字迹模糊或表达不清引起的后果由投标方负责。</w:t>
      </w:r>
    </w:p>
    <w:p>
      <w:pPr>
        <w:pStyle w:val="9"/>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19.投标文件的密封和标记</w:t>
      </w:r>
    </w:p>
    <w:p>
      <w:pPr>
        <w:spacing w:line="360" w:lineRule="auto"/>
        <w:ind w:firstLine="480" w:firstLineChars="200"/>
        <w:rPr>
          <w:rFonts w:hint="eastAsia" w:ascii="宋体" w:hAnsi="宋体" w:eastAsia="宋体" w:cs="宋体"/>
          <w:b/>
          <w:bCs/>
          <w:color w:val="auto"/>
          <w:kern w:val="1"/>
          <w:sz w:val="24"/>
          <w:szCs w:val="24"/>
          <w:highlight w:val="none"/>
        </w:rPr>
      </w:pPr>
      <w:r>
        <w:rPr>
          <w:rFonts w:hint="eastAsia" w:ascii="宋体" w:hAnsi="宋体" w:eastAsia="宋体" w:cs="宋体"/>
          <w:color w:val="auto"/>
          <w:sz w:val="24"/>
          <w:szCs w:val="24"/>
          <w:highlight w:val="none"/>
        </w:rPr>
        <w:t>19.1</w:t>
      </w:r>
      <w:r>
        <w:rPr>
          <w:rFonts w:hint="eastAsia" w:ascii="宋体" w:hAnsi="宋体" w:eastAsia="宋体" w:cs="宋体"/>
          <w:b/>
          <w:bCs/>
          <w:color w:val="auto"/>
          <w:kern w:val="1"/>
          <w:sz w:val="24"/>
          <w:szCs w:val="24"/>
          <w:highlight w:val="none"/>
        </w:rPr>
        <w:t>投标文件外包裹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投标人只需邮寄一个包裹，包裹不得体现</w:t>
      </w:r>
      <w:r>
        <w:rPr>
          <w:rFonts w:hint="eastAsia" w:ascii="宋体" w:hAnsi="宋体" w:eastAsia="宋体" w:cs="宋体"/>
          <w:b/>
          <w:bCs/>
          <w:color w:val="auto"/>
          <w:sz w:val="24"/>
          <w:szCs w:val="24"/>
          <w:highlight w:val="none"/>
        </w:rPr>
        <w:t>单位名称及标识，快递邮寄面单按附件格式填写，寄件人与报名人、法定代表授权人为同一人。包裹内的技术标、商务标独立密封包装。包裹内</w:t>
      </w:r>
      <w:r>
        <w:rPr>
          <w:rFonts w:hint="eastAsia" w:ascii="宋体" w:hAnsi="宋体" w:eastAsia="宋体" w:cs="宋体"/>
          <w:color w:val="auto"/>
          <w:sz w:val="24"/>
          <w:szCs w:val="24"/>
          <w:highlight w:val="none"/>
        </w:rPr>
        <w:t>标书封面左上角处应有“正本”或“副本”的清晰文字。</w:t>
      </w:r>
    </w:p>
    <w:p>
      <w:pPr>
        <w:spacing w:line="360" w:lineRule="auto"/>
        <w:ind w:firstLine="480" w:firstLineChars="20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19.2包裹内投标文件应按以下方法装袋密封标记：技术标包装袋内装技术标正本一份和</w:t>
      </w:r>
      <w:r>
        <w:rPr>
          <w:rFonts w:hint="eastAsia" w:ascii="宋体" w:hAnsi="宋体" w:eastAsia="宋体" w:cs="宋体"/>
          <w:color w:val="auto"/>
          <w:sz w:val="24"/>
          <w:szCs w:val="24"/>
          <w:highlight w:val="none"/>
          <w:lang w:eastAsia="zh-CN"/>
        </w:rPr>
        <w:t>副本四份</w:t>
      </w:r>
      <w:r>
        <w:rPr>
          <w:rFonts w:hint="eastAsia" w:ascii="宋体" w:hAnsi="宋体" w:eastAsia="宋体" w:cs="宋体"/>
          <w:color w:val="auto"/>
          <w:sz w:val="24"/>
          <w:szCs w:val="24"/>
          <w:highlight w:val="none"/>
        </w:rPr>
        <w:t>，商务标包装袋内装商务标正本一份和</w:t>
      </w:r>
      <w:r>
        <w:rPr>
          <w:rFonts w:hint="eastAsia" w:ascii="宋体" w:hAnsi="宋体" w:eastAsia="宋体" w:cs="宋体"/>
          <w:color w:val="auto"/>
          <w:sz w:val="24"/>
          <w:szCs w:val="24"/>
          <w:highlight w:val="none"/>
          <w:lang w:eastAsia="zh-CN"/>
        </w:rPr>
        <w:t>副本四份</w:t>
      </w:r>
      <w:r>
        <w:rPr>
          <w:rFonts w:hint="eastAsia" w:ascii="宋体" w:hAnsi="宋体" w:eastAsia="宋体" w:cs="宋体"/>
          <w:color w:val="auto"/>
          <w:sz w:val="24"/>
          <w:szCs w:val="24"/>
          <w:highlight w:val="none"/>
        </w:rPr>
        <w:t>；包装封面上应标明“采购编号、投标项目名称、商务标（或技术标）、投标方名称”等，并注明“</w:t>
      </w:r>
      <w:r>
        <w:rPr>
          <w:rFonts w:hint="eastAsia" w:ascii="宋体" w:hAnsi="宋体" w:eastAsia="宋体" w:cs="宋体"/>
          <w:b/>
          <w:bCs/>
          <w:color w:val="auto"/>
          <w:sz w:val="24"/>
          <w:szCs w:val="24"/>
          <w:highlight w:val="none"/>
        </w:rPr>
        <w:t>于2021年</w:t>
      </w:r>
      <w:r>
        <w:rPr>
          <w:rFonts w:hint="eastAsia" w:ascii="宋体" w:hAnsi="宋体" w:eastAsia="宋体" w:cs="宋体"/>
          <w:b/>
          <w:bCs/>
          <w:color w:val="auto"/>
          <w:sz w:val="24"/>
          <w:szCs w:val="24"/>
          <w:highlight w:val="none"/>
          <w:lang w:val="en-US" w:eastAsia="zh-CN"/>
        </w:rPr>
        <w:t>11月4日</w:t>
      </w:r>
      <w:r>
        <w:rPr>
          <w:rFonts w:hint="eastAsia" w:ascii="宋体" w:hAnsi="宋体" w:eastAsia="宋体" w:cs="宋体"/>
          <w:b/>
          <w:bCs/>
          <w:color w:val="auto"/>
          <w:sz w:val="24"/>
          <w:szCs w:val="24"/>
          <w:highlight w:val="none"/>
          <w:lang w:eastAsia="zh-CN"/>
        </w:rPr>
        <w:t>14：00</w:t>
      </w:r>
      <w:r>
        <w:rPr>
          <w:rFonts w:hint="eastAsia" w:ascii="宋体" w:hAnsi="宋体" w:eastAsia="宋体" w:cs="宋体"/>
          <w:color w:val="auto"/>
          <w:sz w:val="24"/>
          <w:szCs w:val="24"/>
          <w:highlight w:val="none"/>
        </w:rPr>
        <w:t>前不准启封”的字样；封口应加盖单位公章。</w:t>
      </w:r>
      <w:r>
        <w:rPr>
          <w:rFonts w:hint="eastAsia" w:ascii="宋体" w:hAnsi="宋体" w:eastAsia="宋体" w:cs="宋体"/>
          <w:b/>
          <w:bCs/>
          <w:color w:val="auto"/>
          <w:sz w:val="24"/>
          <w:szCs w:val="24"/>
          <w:highlight w:val="none"/>
        </w:rPr>
        <w:t xml:space="preserve"> </w:t>
      </w:r>
    </w:p>
    <w:p>
      <w:pPr>
        <w:pStyle w:val="9"/>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20.投标文件的送达时间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20.1 开标地点即为投标文件的递交地点，招标方在投标截止时间前一小时内接收投标文件。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 投标截止时间即为开标时间，招标方将拒绝在投标截止时间后收到的投标文件。</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21.投标文件的补充、修改与撤回</w:t>
      </w:r>
    </w:p>
    <w:p>
      <w:pPr>
        <w:spacing w:line="360" w:lineRule="auto"/>
        <w:ind w:firstLine="420"/>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21.1 投标截止时间即为开标时间，招标人将拒绝在投标截止时间后收到的投标文件。</w:t>
      </w:r>
    </w:p>
    <w:p>
      <w:pPr>
        <w:spacing w:line="360" w:lineRule="auto"/>
        <w:ind w:firstLine="420"/>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21.2投标人在投标文件签收后，规定的投标截止时间之前，可以补充修改或撤回已提交的投标文件。补充修改的投标文件应按照前述包封要求在投标截止时间之前邮寄送达。确需撤回的投标文件应由投标人授权代表签署书面申请，</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"mailto:书面申请以扫描件形式发送至邮箱453367901@qq.com" </w:instrText>
      </w:r>
      <w:r>
        <w:rPr>
          <w:rFonts w:hint="eastAsia" w:ascii="宋体" w:hAnsi="宋体" w:eastAsia="宋体" w:cs="宋体"/>
          <w:color w:val="auto"/>
          <w:highlight w:val="none"/>
        </w:rPr>
        <w:fldChar w:fldCharType="separate"/>
      </w:r>
      <w:r>
        <w:rPr>
          <w:rStyle w:val="24"/>
          <w:rFonts w:hint="eastAsia" w:ascii="宋体" w:hAnsi="宋体" w:eastAsia="宋体" w:cs="宋体"/>
          <w:color w:val="auto"/>
          <w:kern w:val="1"/>
          <w:sz w:val="24"/>
          <w:szCs w:val="24"/>
          <w:highlight w:val="none"/>
        </w:rPr>
        <w:t>书面申请以扫描件形式发送至邮箱453367901@qq.com</w:t>
      </w:r>
      <w:r>
        <w:rPr>
          <w:rStyle w:val="24"/>
          <w:rFonts w:hint="eastAsia" w:ascii="宋体" w:hAnsi="宋体" w:eastAsia="宋体" w:cs="宋体"/>
          <w:color w:val="auto"/>
          <w:kern w:val="1"/>
          <w:sz w:val="24"/>
          <w:szCs w:val="24"/>
          <w:highlight w:val="none"/>
        </w:rPr>
        <w:fldChar w:fldCharType="end"/>
      </w:r>
      <w:r>
        <w:rPr>
          <w:rFonts w:hint="eastAsia" w:ascii="宋体" w:hAnsi="宋体" w:eastAsia="宋体" w:cs="宋体"/>
          <w:color w:val="auto"/>
          <w:kern w:val="1"/>
          <w:sz w:val="24"/>
          <w:szCs w:val="24"/>
          <w:highlight w:val="none"/>
        </w:rPr>
        <w:t>，应注明项目名称、寄件人名称及电话，并致电</w:t>
      </w:r>
      <w:r>
        <w:rPr>
          <w:rFonts w:hint="eastAsia" w:ascii="宋体" w:hAnsi="宋体" w:eastAsia="宋体" w:cs="宋体"/>
          <w:color w:val="auto"/>
          <w:kern w:val="1"/>
          <w:sz w:val="24"/>
          <w:szCs w:val="24"/>
          <w:highlight w:val="none"/>
          <w:lang w:eastAsia="zh-CN"/>
        </w:rPr>
        <w:t>王小姐15267974119</w:t>
      </w:r>
      <w:r>
        <w:rPr>
          <w:rFonts w:hint="eastAsia" w:ascii="宋体" w:hAnsi="宋体" w:eastAsia="宋体" w:cs="宋体"/>
          <w:color w:val="auto"/>
          <w:kern w:val="1"/>
          <w:sz w:val="24"/>
          <w:szCs w:val="24"/>
          <w:highlight w:val="none"/>
        </w:rPr>
        <w:t>告知撤回地址及收件人。</w:t>
      </w:r>
    </w:p>
    <w:p>
      <w:pPr>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kern w:val="1"/>
          <w:sz w:val="24"/>
          <w:szCs w:val="24"/>
          <w:highlight w:val="none"/>
        </w:rPr>
        <w:t>21.3</w:t>
      </w:r>
      <w:r>
        <w:rPr>
          <w:rFonts w:hint="eastAsia" w:ascii="宋体" w:hAnsi="宋体" w:eastAsia="宋体" w:cs="宋体"/>
          <w:color w:val="auto"/>
          <w:sz w:val="24"/>
          <w:szCs w:val="24"/>
          <w:highlight w:val="none"/>
        </w:rPr>
        <w:t>在投标截止时间之后，投标人不得对其投标做任何修改。</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xml:space="preserve">    21.4从投标截止时间至投标人在投标文件格式中确定的投标有效期期满这段时间内，投标人不得撤回其投标</w:t>
      </w:r>
      <w:r>
        <w:rPr>
          <w:rFonts w:hint="eastAsia" w:ascii="宋体" w:hAnsi="宋体" w:eastAsia="宋体" w:cs="宋体"/>
          <w:color w:val="auto"/>
          <w:kern w:val="1"/>
          <w:sz w:val="24"/>
          <w:szCs w:val="24"/>
          <w:highlight w:val="none"/>
        </w:rPr>
        <w:t>，否则将</w:t>
      </w:r>
      <w:r>
        <w:rPr>
          <w:rFonts w:hint="eastAsia" w:ascii="宋体" w:hAnsi="宋体" w:eastAsia="宋体" w:cs="宋体"/>
          <w:color w:val="auto"/>
          <w:sz w:val="24"/>
          <w:szCs w:val="24"/>
          <w:highlight w:val="none"/>
        </w:rPr>
        <w:t>通报市信用管理部门，列入严重失信名单。</w:t>
      </w:r>
    </w:p>
    <w:p>
      <w:pPr>
        <w:spacing w:line="300" w:lineRule="auto"/>
        <w:ind w:firstLine="420" w:firstLineChars="200"/>
        <w:rPr>
          <w:rFonts w:hint="eastAsia" w:ascii="宋体" w:hAnsi="宋体" w:eastAsia="宋体" w:cs="宋体"/>
          <w:color w:val="auto"/>
          <w:highlight w:val="none"/>
        </w:rPr>
      </w:pPr>
    </w:p>
    <w:p>
      <w:pPr>
        <w:spacing w:line="360" w:lineRule="auto"/>
        <w:ind w:right="480"/>
        <w:jc w:val="both"/>
        <w:rPr>
          <w:rFonts w:hint="eastAsia" w:ascii="宋体" w:hAnsi="宋体" w:eastAsia="宋体" w:cs="宋体"/>
          <w:b/>
          <w:bCs/>
          <w:sz w:val="32"/>
          <w:szCs w:val="32"/>
        </w:rPr>
      </w:pPr>
      <w:r>
        <w:rPr>
          <w:rFonts w:hint="eastAsia" w:ascii="宋体" w:hAnsi="宋体" w:eastAsia="宋体" w:cs="宋体"/>
          <w:b/>
          <w:bCs/>
          <w:color w:val="auto"/>
          <w:sz w:val="48"/>
          <w:szCs w:val="48"/>
          <w:highlight w:val="none"/>
        </w:rPr>
        <w:br w:type="page"/>
      </w:r>
    </w:p>
    <w:p>
      <w:pPr>
        <w:pStyle w:val="3"/>
        <w:numPr>
          <w:ilvl w:val="0"/>
          <w:numId w:val="3"/>
        </w:numPr>
        <w:spacing w:before="0" w:after="0" w:line="240" w:lineRule="auto"/>
        <w:jc w:val="center"/>
        <w:rPr>
          <w:rFonts w:hint="eastAsia" w:ascii="宋体" w:hAnsi="宋体" w:eastAsia="宋体" w:cs="宋体"/>
          <w:sz w:val="36"/>
        </w:rPr>
      </w:pPr>
      <w:bookmarkStart w:id="2" w:name="_Toc274303234"/>
      <w:bookmarkStart w:id="3" w:name="_Toc362250692"/>
      <w:bookmarkStart w:id="4" w:name="_Toc20848"/>
      <w:bookmarkStart w:id="5" w:name="_Toc71549445"/>
      <w:r>
        <w:rPr>
          <w:rFonts w:hint="eastAsia" w:ascii="宋体" w:hAnsi="宋体" w:eastAsia="宋体" w:cs="宋体"/>
          <w:sz w:val="36"/>
        </w:rPr>
        <w:t>招标项目要求</w:t>
      </w:r>
      <w:bookmarkEnd w:id="2"/>
      <w:bookmarkEnd w:id="3"/>
      <w:bookmarkEnd w:id="4"/>
    </w:p>
    <w:bookmarkEnd w:id="5"/>
    <w:p>
      <w:pPr>
        <w:numPr>
          <w:ilvl w:val="0"/>
          <w:numId w:val="4"/>
        </w:numPr>
        <w:spacing w:line="300" w:lineRule="auto"/>
        <w:outlineLvl w:val="0"/>
        <w:rPr>
          <w:rFonts w:hint="eastAsia" w:ascii="宋体" w:hAnsi="宋体" w:eastAsia="宋体" w:cs="宋体"/>
          <w:b/>
          <w:bCs/>
          <w:sz w:val="24"/>
        </w:rPr>
      </w:pPr>
      <w:bookmarkStart w:id="6" w:name="_Toc6401"/>
      <w:r>
        <w:rPr>
          <w:rFonts w:hint="eastAsia" w:ascii="宋体" w:hAnsi="宋体" w:eastAsia="宋体" w:cs="宋体"/>
          <w:b/>
          <w:bCs/>
          <w:sz w:val="24"/>
        </w:rPr>
        <w:t>项目具体要求</w:t>
      </w:r>
    </w:p>
    <w:tbl>
      <w:tblPr>
        <w:tblStyle w:val="22"/>
        <w:tblW w:w="56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2219"/>
        <w:gridCol w:w="5037"/>
        <w:gridCol w:w="827"/>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13" w:type="pct"/>
            <w:shd w:val="clear" w:color="auto" w:fill="F2F2F2"/>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序号</w:t>
            </w:r>
          </w:p>
        </w:tc>
        <w:tc>
          <w:tcPr>
            <w:tcW w:w="1146" w:type="pct"/>
            <w:shd w:val="clear" w:color="auto" w:fill="F2F2F2"/>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类型</w:t>
            </w:r>
          </w:p>
        </w:tc>
        <w:tc>
          <w:tcPr>
            <w:tcW w:w="2602" w:type="pct"/>
            <w:shd w:val="clear" w:color="auto" w:fill="F2F2F2"/>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规格参数</w:t>
            </w:r>
          </w:p>
        </w:tc>
        <w:tc>
          <w:tcPr>
            <w:tcW w:w="427" w:type="pct"/>
            <w:shd w:val="clear" w:color="auto" w:fill="F2F2F2"/>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单位</w:t>
            </w:r>
          </w:p>
        </w:tc>
        <w:tc>
          <w:tcPr>
            <w:tcW w:w="410" w:type="pct"/>
            <w:shd w:val="clear" w:color="auto" w:fill="F2F2F2"/>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41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14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VPDN专用网络申请</w:t>
            </w:r>
          </w:p>
        </w:tc>
        <w:tc>
          <w:tcPr>
            <w:tcW w:w="260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42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套</w:t>
            </w:r>
          </w:p>
        </w:tc>
        <w:tc>
          <w:tcPr>
            <w:tcW w:w="41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41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14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防火墙</w:t>
            </w:r>
          </w:p>
        </w:tc>
        <w:tc>
          <w:tcPr>
            <w:tcW w:w="260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4"/>
                <w:szCs w:val="24"/>
              </w:rPr>
            </w:pPr>
            <w:r>
              <w:rPr>
                <w:rFonts w:hint="eastAsia" w:ascii="宋体" w:hAnsi="宋体" w:eastAsia="宋体" w:cs="宋体"/>
                <w:sz w:val="24"/>
                <w:szCs w:val="24"/>
              </w:rPr>
              <w:t>1.支持VPN</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4"/>
                <w:szCs w:val="24"/>
              </w:rPr>
            </w:pPr>
            <w:r>
              <w:rPr>
                <w:rFonts w:hint="eastAsia" w:ascii="宋体" w:hAnsi="宋体" w:eastAsia="宋体" w:cs="宋体"/>
                <w:sz w:val="24"/>
                <w:szCs w:val="24"/>
              </w:rPr>
              <w:t>2.支持入侵检测</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4"/>
                <w:szCs w:val="24"/>
              </w:rPr>
            </w:pPr>
            <w:r>
              <w:rPr>
                <w:rFonts w:hint="eastAsia" w:ascii="宋体" w:hAnsi="宋体" w:eastAsia="宋体" w:cs="宋体"/>
                <w:sz w:val="24"/>
                <w:szCs w:val="24"/>
              </w:rPr>
              <w:t>3.支持多种用户认证方式</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4"/>
                <w:szCs w:val="24"/>
              </w:rPr>
            </w:pPr>
            <w:r>
              <w:rPr>
                <w:rFonts w:hint="eastAsia" w:ascii="宋体" w:hAnsi="宋体" w:eastAsia="宋体" w:cs="宋体"/>
                <w:sz w:val="24"/>
                <w:szCs w:val="24"/>
              </w:rPr>
              <w:t>4.网口: 6×10GE(SFP+)+6×GE(SFP)+16×GE</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4"/>
                <w:szCs w:val="24"/>
              </w:rPr>
            </w:pPr>
            <w:r>
              <w:rPr>
                <w:rFonts w:hint="eastAsia" w:ascii="宋体" w:hAnsi="宋体" w:eastAsia="宋体" w:cs="宋体"/>
                <w:sz w:val="24"/>
                <w:szCs w:val="24"/>
              </w:rPr>
              <w:t>5.华为、华三等主流品牌商</w:t>
            </w:r>
          </w:p>
        </w:tc>
        <w:tc>
          <w:tcPr>
            <w:tcW w:w="42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台</w:t>
            </w:r>
          </w:p>
        </w:tc>
        <w:tc>
          <w:tcPr>
            <w:tcW w:w="41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41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14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物联网卡</w:t>
            </w:r>
          </w:p>
        </w:tc>
        <w:tc>
          <w:tcPr>
            <w:tcW w:w="260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300MB/月,包年</w:t>
            </w:r>
          </w:p>
        </w:tc>
        <w:tc>
          <w:tcPr>
            <w:tcW w:w="42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张</w:t>
            </w:r>
          </w:p>
        </w:tc>
        <w:tc>
          <w:tcPr>
            <w:tcW w:w="41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41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114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网络运维费</w:t>
            </w:r>
          </w:p>
        </w:tc>
        <w:tc>
          <w:tcPr>
            <w:tcW w:w="260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每年费用</w:t>
            </w:r>
          </w:p>
        </w:tc>
        <w:tc>
          <w:tcPr>
            <w:tcW w:w="42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套</w:t>
            </w:r>
          </w:p>
        </w:tc>
        <w:tc>
          <w:tcPr>
            <w:tcW w:w="41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41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114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技术顾问</w:t>
            </w:r>
          </w:p>
        </w:tc>
        <w:tc>
          <w:tcPr>
            <w:tcW w:w="260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每年费用</w:t>
            </w:r>
          </w:p>
        </w:tc>
        <w:tc>
          <w:tcPr>
            <w:tcW w:w="42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套</w:t>
            </w:r>
          </w:p>
        </w:tc>
        <w:tc>
          <w:tcPr>
            <w:tcW w:w="41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41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114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人员及垃圾桶检测算法开发费</w:t>
            </w:r>
          </w:p>
        </w:tc>
        <w:tc>
          <w:tcPr>
            <w:tcW w:w="260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42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套</w:t>
            </w:r>
          </w:p>
        </w:tc>
        <w:tc>
          <w:tcPr>
            <w:tcW w:w="41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41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7</w:t>
            </w:r>
          </w:p>
        </w:tc>
        <w:tc>
          <w:tcPr>
            <w:tcW w:w="114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算法样本清洗及算法优化</w:t>
            </w:r>
          </w:p>
        </w:tc>
        <w:tc>
          <w:tcPr>
            <w:tcW w:w="260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42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套</w:t>
            </w:r>
          </w:p>
        </w:tc>
        <w:tc>
          <w:tcPr>
            <w:tcW w:w="41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41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8</w:t>
            </w:r>
          </w:p>
        </w:tc>
        <w:tc>
          <w:tcPr>
            <w:tcW w:w="1146"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边缘计算网关</w:t>
            </w:r>
          </w:p>
        </w:tc>
        <w:tc>
          <w:tcPr>
            <w:tcW w:w="2602"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支持30路视频人+垃圾桶违规检测</w:t>
            </w:r>
          </w:p>
        </w:tc>
        <w:tc>
          <w:tcPr>
            <w:tcW w:w="42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套</w:t>
            </w:r>
          </w:p>
        </w:tc>
        <w:tc>
          <w:tcPr>
            <w:tcW w:w="410"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r>
      <w:bookmarkEnd w:id="6"/>
    </w:tbl>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注：所有材料以实际量为准。</w:t>
      </w:r>
    </w:p>
    <w:p>
      <w:pPr>
        <w:spacing w:line="360" w:lineRule="auto"/>
        <w:ind w:firstLine="221" w:firstLineChars="100"/>
        <w:rPr>
          <w:rFonts w:hint="eastAsia" w:ascii="宋体" w:hAnsi="宋体" w:eastAsia="宋体" w:cs="宋体"/>
          <w:b/>
          <w:bCs/>
          <w:color w:val="auto"/>
          <w:sz w:val="22"/>
          <w:szCs w:val="28"/>
          <w:highlight w:val="none"/>
          <w:lang w:val="en-US" w:eastAsia="zh-CN"/>
        </w:rPr>
      </w:pPr>
    </w:p>
    <w:p>
      <w:pPr>
        <w:spacing w:line="360" w:lineRule="auto"/>
        <w:ind w:firstLine="221" w:firstLineChars="100"/>
        <w:rPr>
          <w:rFonts w:hint="eastAsia" w:ascii="宋体" w:hAnsi="宋体" w:eastAsia="宋体" w:cs="宋体"/>
          <w:b/>
          <w:bCs/>
          <w:color w:val="auto"/>
          <w:sz w:val="22"/>
          <w:szCs w:val="28"/>
          <w:highlight w:val="none"/>
          <w:lang w:val="en-US" w:eastAsia="zh-CN"/>
        </w:rPr>
      </w:pPr>
      <w:r>
        <w:rPr>
          <w:rFonts w:hint="eastAsia" w:ascii="宋体" w:hAnsi="宋体" w:eastAsia="宋体" w:cs="宋体"/>
          <w:b/>
          <w:bCs/>
          <w:color w:val="auto"/>
          <w:sz w:val="22"/>
          <w:szCs w:val="28"/>
          <w:highlight w:val="none"/>
          <w:lang w:val="en-US" w:eastAsia="zh-CN"/>
        </w:rPr>
        <w:t>1.1 VPDN专用网络申请</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1）单独组建无线VPDN业务，利用L2TP或GRE隧道技术为物联网客户构建与公众互联网隔离的虚拟专用网络，满足客户的物联网无线终端访问客户内部网络的需求。</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可提供独立、可靠、加密的“管理VPN”，网络管理员通过预先规划的办公网络主机与业务网络构建的VPN管理物联网终端。另外，外场工程师可通过普通手机（普通手机卡）远程与业务网络拨号（用户名、密码、证书验证）建立“文件传输VPN”，在可靠、加密的隧道内直接向物联网终端发送指令或文件。</w:t>
      </w:r>
    </w:p>
    <w:p>
      <w:pPr>
        <w:spacing w:line="360" w:lineRule="auto"/>
        <w:ind w:firstLine="221" w:firstLineChars="100"/>
        <w:rPr>
          <w:rFonts w:hint="eastAsia" w:ascii="宋体" w:hAnsi="宋体" w:eastAsia="宋体" w:cs="宋体"/>
          <w:b/>
          <w:bCs/>
          <w:color w:val="auto"/>
          <w:sz w:val="22"/>
          <w:szCs w:val="28"/>
          <w:highlight w:val="none"/>
          <w:lang w:val="en-US" w:eastAsia="zh-CN"/>
        </w:rPr>
      </w:pPr>
      <w:r>
        <w:rPr>
          <w:rFonts w:hint="eastAsia" w:ascii="宋体" w:hAnsi="宋体" w:eastAsia="宋体" w:cs="宋体"/>
          <w:b/>
          <w:bCs/>
          <w:color w:val="auto"/>
          <w:sz w:val="22"/>
          <w:szCs w:val="28"/>
          <w:highlight w:val="none"/>
          <w:lang w:val="en-US" w:eastAsia="zh-CN"/>
        </w:rPr>
        <w:t>1.2 防火墙</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1）支持丰富高可靠性的VPN特性，如IPSec VPN、SSL VPN、L2TP VPN、MPLS VPN、GRE，提供自研的VPN客户端SecoClient，实现SSL VPN、L2TP VPN和L2TP over IPSec VPN用户远程接入，支持DES、3DES、AES、SHA、SM2/SM3/SM4等多种加密算法。</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2）入侵防御与Web防护：第一时间获取最新威胁信息，准确检测并防御针对漏洞的攻击。可防护各种针对web的攻击，包括SQL注入攻击和跨站脚本攻击等。</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3）支持多种用户认证方式，包括本地认证、RADIUS、HWTACACS、AD、LDAP等。防火墙支持内置Portal及Portal重定向功能，与 Agile Controller配合可以实现多种认证。</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4）网络端口：6×10GE(SFP+)+6×GE(SFP)+16×GE。</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5）控制端口：1×USB2.0。</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6）电源:AC 100-240V。</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7）环境要求：工作温度：0-45℃；工作湿度：5%-95%（非凝露）；储存温度：-40℃-70℃；储存湿度：5%-95%。</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8）应用识别与管控：可识别6000+应用，访问控制精度到应用功能。应用识别与入侵检测、防病毒、内容过滤相结合，提高检测性能和准确率。</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云管理模式：设备自行向云管理平台发起认证注册，实现即插即用，简化网络创建和开局。远程业务配置管理、设备监控故障管理，实现海量设备的云端管理。</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带宽管理：在识别业务应用的基础上，可管理每用户/IP使用的带宽，确保关键业务和关键用户的网络体验。管控方式包括：限制最大带宽或保障最小带宽、修改应用转发优先级等。</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9）防病毒：支持病毒库每日更新，可迅速检出超过500万种病毒。</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APT防御：支持与本地/云端沙箱联动，对恶意文件进行检测和阻断，支持流探针信息采集功能，对流量信息进行全面的信息采集，并将采集的信息发送到网络安全智能系统(CIS)进行分析、评估、识别网络中的威胁和APT攻击，加密流量无需解密，联动CIS，实现对加密流量威胁检测，主动响应恶意扫描行为，并通过联动CIS进行行为分析，快速发现，记录恶意行为，实现对企业威胁的实时防护。</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11）数据防泄漏：支持对传输的文件和内容进行识别过滤，可准确识别常见文件的真实类型，如Word、Excel、PPT、PDF等，并对内容进行过滤。</w:t>
      </w:r>
    </w:p>
    <w:p>
      <w:pPr>
        <w:spacing w:line="360" w:lineRule="auto"/>
        <w:ind w:firstLine="221" w:firstLineChars="100"/>
        <w:rPr>
          <w:rFonts w:hint="eastAsia" w:ascii="宋体" w:hAnsi="宋体" w:eastAsia="宋体" w:cs="宋体"/>
          <w:b/>
          <w:bCs/>
          <w:color w:val="auto"/>
          <w:sz w:val="22"/>
          <w:szCs w:val="28"/>
          <w:highlight w:val="none"/>
          <w:lang w:val="en-US" w:eastAsia="zh-CN"/>
        </w:rPr>
      </w:pPr>
      <w:r>
        <w:rPr>
          <w:rFonts w:hint="eastAsia" w:ascii="宋体" w:hAnsi="宋体" w:eastAsia="宋体" w:cs="宋体"/>
          <w:b/>
          <w:bCs/>
          <w:color w:val="auto"/>
          <w:sz w:val="22"/>
          <w:szCs w:val="28"/>
          <w:highlight w:val="none"/>
          <w:lang w:val="en-US" w:eastAsia="zh-CN"/>
        </w:rPr>
        <w:t>1.3 物联网卡</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1）流量: 300MB/月,包年。</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2）支持流量池、流量共享、达量断网、达量限速功能。</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3）每张物联网SIM卡能与终端IMEI号绑定，当物联网卡更换终端后在网络 IMEI 值与以前的值不同时，物联网卡无法使用但在管理平台上可以设置重新激活使用。</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提供连接管理平台，能实现自动化管理功能及生命周期管理功能，自动化管理要求能在调用平台API查看到SIM卡的状态和其他详细信息，生命周期管理功能要求SIM卡的生命周期分为可测试、库存、可激活、已激活、已停用5种状态。</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所提供的物联网连接管理平台应支持API接口，能够实现后期内部IT系统管理设备与物联网卡的对接需求，能提供不少于10个API接口跟企业的IT系统无缝集成，包括可通过接口实现查询操作功能，可通过接口实现控制类操作功能等。</w:t>
      </w:r>
    </w:p>
    <w:p>
      <w:pPr>
        <w:spacing w:line="360" w:lineRule="auto"/>
        <w:ind w:firstLine="221" w:firstLineChars="100"/>
        <w:rPr>
          <w:rFonts w:hint="eastAsia" w:ascii="宋体" w:hAnsi="宋体" w:eastAsia="宋体" w:cs="宋体"/>
          <w:b/>
          <w:bCs/>
          <w:color w:val="auto"/>
          <w:sz w:val="22"/>
          <w:szCs w:val="28"/>
          <w:highlight w:val="none"/>
          <w:lang w:val="en-US" w:eastAsia="zh-CN"/>
        </w:rPr>
      </w:pPr>
      <w:r>
        <w:rPr>
          <w:rFonts w:hint="eastAsia" w:ascii="宋体" w:hAnsi="宋体" w:eastAsia="宋体" w:cs="宋体"/>
          <w:b/>
          <w:bCs/>
          <w:color w:val="auto"/>
          <w:sz w:val="22"/>
          <w:szCs w:val="28"/>
          <w:highlight w:val="none"/>
          <w:lang w:val="en-US" w:eastAsia="zh-CN"/>
        </w:rPr>
        <w:t>1.4网络运维费</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1）VPDN网络维护，访问用户账号管理，防火墙配置维护。</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2）制定外网端口审批流程，端口审批、开放、关闭等相关维护跟踪。</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3）维护网络拓扑图，调整网络架构，分配与维护网络IP，自动进行网络IP冲突检测，并及时进行预警。</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4）不定期组织网络安全培训，对公司内部员工进行网络安全考试，提高员工网络安全意识。</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5）内网高危端口扫描及风险预警，对于未登记的端口和登陆未超时的连接作为安全预警事件上报。</w:t>
      </w:r>
    </w:p>
    <w:p>
      <w:pPr>
        <w:spacing w:line="360" w:lineRule="auto"/>
        <w:ind w:firstLine="221" w:firstLineChars="100"/>
        <w:rPr>
          <w:rFonts w:hint="eastAsia" w:ascii="宋体" w:hAnsi="宋体" w:eastAsia="宋体" w:cs="宋体"/>
          <w:b/>
          <w:bCs/>
          <w:color w:val="auto"/>
          <w:sz w:val="22"/>
          <w:szCs w:val="28"/>
          <w:highlight w:val="none"/>
          <w:lang w:val="en-US" w:eastAsia="zh-CN"/>
        </w:rPr>
      </w:pPr>
      <w:r>
        <w:rPr>
          <w:rFonts w:hint="eastAsia" w:ascii="宋体" w:hAnsi="宋体" w:eastAsia="宋体" w:cs="宋体"/>
          <w:b/>
          <w:bCs/>
          <w:color w:val="auto"/>
          <w:sz w:val="22"/>
          <w:szCs w:val="28"/>
          <w:highlight w:val="none"/>
          <w:lang w:val="en-US" w:eastAsia="zh-CN"/>
        </w:rPr>
        <w:t>1.5技术顾问</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1)为公司通信、网络、系统方面问题提供合理化建议和解决方案。</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2）维护和更新数据中心系统并提供相应培训。</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3）对公司系统、在线监测点位传输设备等进行日常维护。</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4）数据中心及智联网关日常运维、问题排查及缺陷优化。</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5）数据中心及智联网关日常运维、问题排查及缺陷优化。</w:t>
      </w:r>
    </w:p>
    <w:p>
      <w:pPr>
        <w:spacing w:line="360" w:lineRule="auto"/>
        <w:ind w:firstLine="221" w:firstLineChars="100"/>
        <w:rPr>
          <w:rFonts w:hint="eastAsia" w:ascii="宋体" w:hAnsi="宋体" w:eastAsia="宋体" w:cs="宋体"/>
          <w:b/>
          <w:bCs/>
          <w:color w:val="auto"/>
          <w:sz w:val="22"/>
          <w:szCs w:val="28"/>
          <w:highlight w:val="none"/>
          <w:lang w:val="en-US" w:eastAsia="zh-CN"/>
        </w:rPr>
      </w:pPr>
      <w:r>
        <w:rPr>
          <w:rFonts w:hint="eastAsia" w:ascii="宋体" w:hAnsi="宋体" w:eastAsia="宋体" w:cs="宋体"/>
          <w:b/>
          <w:bCs/>
          <w:color w:val="auto"/>
          <w:sz w:val="22"/>
          <w:szCs w:val="28"/>
          <w:highlight w:val="none"/>
          <w:lang w:val="en-US" w:eastAsia="zh-CN"/>
        </w:rPr>
        <w:t>1.6 人员及垃圾桶检测算法开发费</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采用视频+AI智能分析的技术手段代替现场执法，人工远程视频执法监督的方式，对目前存在的人员在雨水井倾倒污水或者垃圾的行为进行监测，当识别到异常行为时，能够进行相应的报警提醒，并进行抓拍取证。</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2）报警信息和抓拍图片需要对接到数据中心，并进行相应的存储。</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3）报警信息和抓拍图片需要在客户端进行相应的展示，支持报警弹框、异常事件提醒等功能。</w:t>
      </w:r>
    </w:p>
    <w:p>
      <w:pPr>
        <w:spacing w:line="360" w:lineRule="auto"/>
        <w:ind w:firstLine="221" w:firstLineChars="100"/>
        <w:rPr>
          <w:rFonts w:hint="eastAsia" w:ascii="宋体" w:hAnsi="宋体" w:eastAsia="宋体" w:cs="宋体"/>
          <w:b/>
          <w:bCs/>
          <w:color w:val="auto"/>
          <w:sz w:val="22"/>
          <w:szCs w:val="28"/>
          <w:highlight w:val="none"/>
          <w:lang w:val="en-US" w:eastAsia="zh-CN"/>
        </w:rPr>
      </w:pPr>
      <w:r>
        <w:rPr>
          <w:rFonts w:hint="eastAsia" w:ascii="宋体" w:hAnsi="宋体" w:eastAsia="宋体" w:cs="宋体"/>
          <w:b/>
          <w:bCs/>
          <w:color w:val="auto"/>
          <w:sz w:val="22"/>
          <w:szCs w:val="28"/>
          <w:highlight w:val="none"/>
          <w:lang w:val="en-US" w:eastAsia="zh-CN"/>
        </w:rPr>
        <w:t>1.7 算法样本清洗及算法优化</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1）通过采集大批量的现场实际数据，对异常行为进行标注，针对性的进行算法模型训练，将训练好的模型导入到本地设备中心，在真实场景中应用，快速验证应用效果，并持续进行模型迭代优化。</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2）不断丰富实际应用场景，包括但不限于检测各种类型垃圾桶、水桶及其它盛水器皿。</w:t>
      </w:r>
    </w:p>
    <w:p>
      <w:pPr>
        <w:spacing w:line="360" w:lineRule="auto"/>
        <w:ind w:firstLine="221" w:firstLineChars="100"/>
        <w:rPr>
          <w:rFonts w:hint="eastAsia" w:ascii="宋体" w:hAnsi="宋体" w:eastAsia="宋体" w:cs="宋体"/>
          <w:b/>
          <w:bCs/>
          <w:color w:val="auto"/>
          <w:sz w:val="22"/>
          <w:szCs w:val="28"/>
          <w:highlight w:val="none"/>
          <w:lang w:val="en-US" w:eastAsia="zh-CN"/>
        </w:rPr>
      </w:pPr>
      <w:r>
        <w:rPr>
          <w:rFonts w:hint="eastAsia" w:ascii="宋体" w:hAnsi="宋体" w:eastAsia="宋体" w:cs="宋体"/>
          <w:b/>
          <w:bCs/>
          <w:color w:val="auto"/>
          <w:sz w:val="22"/>
          <w:szCs w:val="28"/>
          <w:highlight w:val="none"/>
          <w:lang w:val="en-US" w:eastAsia="zh-CN"/>
        </w:rPr>
        <w:t>1.8 边缘计算网关</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1）支持30路实时视频人+垃圾桶违规检测。</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2）支持算法更新迭代。</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3）支持4G全网通和有线联网，具备与数据中心通信能力，支持定制化协议对接开发。</w:t>
      </w:r>
    </w:p>
    <w:p>
      <w:pPr>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lang w:eastAsia="zh-CN"/>
        </w:rPr>
        <w:t>二</w:t>
      </w:r>
      <w:r>
        <w:rPr>
          <w:rFonts w:hint="eastAsia" w:ascii="宋体" w:hAnsi="宋体" w:eastAsia="宋体" w:cs="宋体"/>
          <w:b/>
          <w:bCs/>
          <w:color w:val="auto"/>
          <w:sz w:val="24"/>
          <w:szCs w:val="32"/>
          <w:highlight w:val="none"/>
        </w:rPr>
        <w:t>、商务要求</w:t>
      </w:r>
    </w:p>
    <w:p>
      <w:pPr>
        <w:spacing w:line="360" w:lineRule="auto"/>
        <w:ind w:firstLine="221" w:firstLineChars="100"/>
        <w:rPr>
          <w:rFonts w:hint="eastAsia" w:ascii="宋体" w:hAnsi="宋体" w:eastAsia="宋体" w:cs="宋体"/>
          <w:b/>
          <w:bCs/>
          <w:color w:val="auto"/>
          <w:sz w:val="22"/>
          <w:szCs w:val="28"/>
          <w:highlight w:val="none"/>
        </w:rPr>
      </w:pPr>
      <w:r>
        <w:rPr>
          <w:rFonts w:hint="eastAsia" w:ascii="宋体" w:hAnsi="宋体" w:eastAsia="宋体" w:cs="宋体"/>
          <w:b/>
          <w:bCs/>
          <w:color w:val="auto"/>
          <w:sz w:val="22"/>
          <w:szCs w:val="28"/>
          <w:highlight w:val="none"/>
        </w:rPr>
        <w:t>（一）项目投标报价要求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1．投标人所投报的投标报价为投标人所能承受的整个项目的一次性最终最低报价，包括</w:t>
      </w:r>
      <w:r>
        <w:rPr>
          <w:rFonts w:hint="eastAsia" w:ascii="宋体" w:hAnsi="宋体" w:eastAsia="宋体" w:cs="宋体"/>
          <w:sz w:val="24"/>
          <w:szCs w:val="24"/>
          <w:lang w:val="en-US" w:eastAsia="zh-CN"/>
        </w:rPr>
        <w:t>软件使用费、安装调试费、培训费、税费、完成本项目的其它费用和政策性文件规定及合同包含的所有风险、责任等各项应有费用。</w:t>
      </w:r>
      <w:r>
        <w:rPr>
          <w:rFonts w:hint="eastAsia" w:ascii="宋体" w:hAnsi="宋体" w:eastAsia="宋体" w:cs="宋体"/>
          <w:sz w:val="24"/>
          <w:szCs w:val="24"/>
        </w:rPr>
        <w:t>投标报价为投标方所能承受的最低、最终一次性报价。须由中标单位开具增值税专用发票。投标方的投标报价为整个采购项目的总报价，如有漏项，视同已包含在其它项目中，合同总价和单价不做调整。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2．投标方投标报价不得超过采购预算，否则会造成采购人因不能支付而导致的投标文件被拒绝。</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3．按国家规定由中标方缴纳的各种税收已包含在投标总价内，由中标方向税务机关缴纳。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★4.本项目的支付发票必须为增值税专用发票</w:t>
      </w:r>
    </w:p>
    <w:p>
      <w:pPr>
        <w:spacing w:line="360" w:lineRule="auto"/>
        <w:ind w:firstLine="241" w:firstLineChars="10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（二）工期要求</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自收到采购人通知之日起</w:t>
      </w:r>
      <w:r>
        <w:rPr>
          <w:rFonts w:hint="eastAsia" w:ascii="宋体" w:hAnsi="宋体" w:eastAsia="宋体" w:cs="宋体"/>
          <w:bCs/>
          <w:color w:val="auto"/>
          <w:sz w:val="24"/>
          <w:szCs w:val="24"/>
          <w:highlight w:val="none"/>
          <w:lang w:val="en-US" w:eastAsia="zh-CN"/>
        </w:rPr>
        <w:t>30</w:t>
      </w:r>
      <w:r>
        <w:rPr>
          <w:rFonts w:hint="eastAsia" w:ascii="宋体" w:hAnsi="宋体" w:eastAsia="宋体" w:cs="宋体"/>
          <w:bCs/>
          <w:color w:val="auto"/>
          <w:sz w:val="24"/>
          <w:szCs w:val="24"/>
          <w:highlight w:val="none"/>
        </w:rPr>
        <w:t>个日历天内完成</w:t>
      </w:r>
      <w:r>
        <w:rPr>
          <w:rFonts w:hint="eastAsia" w:ascii="宋体" w:hAnsi="宋体" w:eastAsia="宋体" w:cs="宋体"/>
          <w:bCs/>
          <w:color w:val="auto"/>
          <w:sz w:val="24"/>
          <w:szCs w:val="24"/>
          <w:highlight w:val="none"/>
          <w:lang w:val="en-US" w:eastAsia="zh-CN"/>
        </w:rPr>
        <w:t>交货安装</w:t>
      </w:r>
      <w:r>
        <w:rPr>
          <w:rFonts w:hint="eastAsia" w:ascii="宋体" w:hAnsi="宋体" w:eastAsia="宋体" w:cs="宋体"/>
          <w:bCs/>
          <w:color w:val="auto"/>
          <w:sz w:val="24"/>
          <w:szCs w:val="24"/>
          <w:highlight w:val="none"/>
        </w:rPr>
        <w:t>。</w:t>
      </w:r>
    </w:p>
    <w:p>
      <w:pPr>
        <w:spacing w:line="360" w:lineRule="auto"/>
        <w:ind w:firstLine="241" w:firstLineChars="100"/>
        <w:rPr>
          <w:rFonts w:hint="eastAsia" w:ascii="宋体" w:hAnsi="宋体" w:eastAsia="宋体" w:cs="宋体"/>
          <w:b/>
          <w:bCs w:val="0"/>
          <w:color w:val="auto"/>
          <w:sz w:val="24"/>
          <w:szCs w:val="24"/>
          <w:highlight w:val="none"/>
          <w:lang w:eastAsia="zh-CN"/>
        </w:rPr>
      </w:pPr>
      <w:r>
        <w:rPr>
          <w:rFonts w:hint="eastAsia" w:ascii="宋体" w:hAnsi="宋体" w:eastAsia="宋体" w:cs="宋体"/>
          <w:b/>
          <w:bCs w:val="0"/>
          <w:color w:val="auto"/>
          <w:sz w:val="24"/>
          <w:szCs w:val="24"/>
          <w:highlight w:val="none"/>
        </w:rPr>
        <w:t>（三）</w:t>
      </w:r>
      <w:r>
        <w:rPr>
          <w:rFonts w:hint="eastAsia" w:ascii="宋体" w:hAnsi="宋体" w:eastAsia="宋体" w:cs="宋体"/>
          <w:b/>
          <w:bCs w:val="0"/>
          <w:color w:val="auto"/>
          <w:sz w:val="24"/>
          <w:szCs w:val="24"/>
          <w:highlight w:val="none"/>
          <w:lang w:val="en-US" w:eastAsia="zh-CN"/>
        </w:rPr>
        <w:t>质保期</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质保期从终验合格之日开始计算，</w:t>
      </w:r>
      <w:r>
        <w:rPr>
          <w:rFonts w:hint="eastAsia" w:ascii="宋体" w:hAnsi="宋体" w:eastAsia="宋体" w:cs="宋体"/>
          <w:bCs/>
          <w:sz w:val="24"/>
          <w:szCs w:val="24"/>
          <w:highlight w:val="none"/>
        </w:rPr>
        <w:t>本次采购硬件设施</w:t>
      </w:r>
      <w:r>
        <w:rPr>
          <w:rFonts w:hint="eastAsia" w:ascii="宋体" w:hAnsi="宋体" w:eastAsia="宋体" w:cs="宋体"/>
          <w:bCs/>
          <w:color w:val="auto"/>
          <w:sz w:val="24"/>
          <w:szCs w:val="24"/>
          <w:highlight w:val="none"/>
        </w:rPr>
        <w:t xml:space="preserve">为期 </w:t>
      </w: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rPr>
        <w:t>年。</w:t>
      </w:r>
    </w:p>
    <w:p>
      <w:pPr>
        <w:spacing w:line="360" w:lineRule="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w:t>
      </w:r>
      <w:r>
        <w:rPr>
          <w:rFonts w:hint="eastAsia" w:ascii="宋体" w:hAnsi="宋体" w:eastAsia="宋体" w:cs="宋体"/>
          <w:b/>
          <w:bCs w:val="0"/>
          <w:color w:val="auto"/>
          <w:sz w:val="24"/>
          <w:szCs w:val="24"/>
          <w:highlight w:val="none"/>
          <w:lang w:val="en-US" w:eastAsia="zh-CN"/>
        </w:rPr>
        <w:t>四</w:t>
      </w:r>
      <w:r>
        <w:rPr>
          <w:rFonts w:hint="eastAsia" w:ascii="宋体" w:hAnsi="宋体" w:eastAsia="宋体" w:cs="宋体"/>
          <w:b/>
          <w:bCs w:val="0"/>
          <w:color w:val="auto"/>
          <w:sz w:val="24"/>
          <w:szCs w:val="24"/>
          <w:highlight w:val="none"/>
        </w:rPr>
        <w:t>）验收办法及其标准</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根据中华人民共和国现行技术标准，按招标文件以及合同规定的验收评定标准等规范，由采购人根据《义乌市人民政府办公室关于印发规范政府采购管理若干意见的通知》（义政办发〔2017〕102号）、《政府采购合同履约和验收管理办法（暂行）》（义招管办【2008】32号）文件要求组织验收。</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验收产生的费用由中标方承担。同时，投标方应在投标文件中提供设备的验收标准、检测方法，验收标准应符合国家有关相应的规定和标准。</w:t>
      </w:r>
    </w:p>
    <w:p>
      <w:pPr>
        <w:spacing w:line="360" w:lineRule="auto"/>
        <w:ind w:firstLine="241" w:firstLineChars="1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五</w:t>
      </w:r>
      <w:r>
        <w:rPr>
          <w:rFonts w:hint="eastAsia" w:ascii="宋体" w:hAnsi="宋体" w:eastAsia="宋体" w:cs="宋体"/>
          <w:b/>
          <w:bCs/>
          <w:color w:val="auto"/>
          <w:sz w:val="24"/>
          <w:szCs w:val="24"/>
          <w:highlight w:val="none"/>
        </w:rPr>
        <w:t>）付款方式</w:t>
      </w:r>
    </w:p>
    <w:p>
      <w:pPr>
        <w:snapToGrid w:val="0"/>
        <w:spacing w:line="360" w:lineRule="auto"/>
        <w:ind w:firstLine="480" w:firstLineChars="200"/>
        <w:outlineLvl w:val="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val="en-US" w:eastAsia="zh-CN"/>
        </w:rPr>
        <w:t>分批安装调试、货到验收合格后，按批次支付至合同总价的95%，余款5%在设备质保期满后一年内一次性支付（扣减同期发生的违约金）。</w:t>
      </w:r>
    </w:p>
    <w:p>
      <w:pPr>
        <w:snapToGrid w:val="0"/>
        <w:spacing w:line="360" w:lineRule="auto"/>
        <w:ind w:firstLine="482" w:firstLineChars="200"/>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四、其它说明</w:t>
      </w:r>
    </w:p>
    <w:p>
      <w:pPr>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color w:val="auto"/>
          <w:sz w:val="24"/>
          <w:szCs w:val="24"/>
          <w:highlight w:val="none"/>
        </w:rPr>
        <w:t>1.中标之后，如发现投标文件与招标文件内容如有不一致，应以有利于采购人原则为准。</w:t>
      </w:r>
    </w:p>
    <w:p>
      <w:pPr>
        <w:pStyle w:val="9"/>
        <w:numPr>
          <w:ilvl w:val="0"/>
          <w:numId w:val="0"/>
        </w:numPr>
        <w:ind w:leftChars="0"/>
        <w:jc w:val="both"/>
        <w:rPr>
          <w:rFonts w:hint="eastAsia" w:ascii="宋体" w:hAnsi="宋体" w:eastAsia="宋体" w:cs="宋体"/>
          <w:sz w:val="24"/>
          <w:szCs w:val="24"/>
          <w:lang w:val="en-US" w:eastAsia="zh-CN"/>
        </w:rPr>
      </w:pPr>
    </w:p>
    <w:p>
      <w:pPr>
        <w:numPr>
          <w:ilvl w:val="0"/>
          <w:numId w:val="0"/>
        </w:numPr>
        <w:ind w:leftChars="0"/>
        <w:rPr>
          <w:rFonts w:hint="eastAsia" w:ascii="宋体" w:hAnsi="宋体" w:eastAsia="宋体" w:cs="宋体"/>
          <w:lang w:val="en-US" w:eastAsia="zh-CN"/>
        </w:rPr>
      </w:pPr>
    </w:p>
    <w:p>
      <w:pPr>
        <w:snapToGrid w:val="0"/>
        <w:spacing w:line="360" w:lineRule="auto"/>
        <w:ind w:firstLine="964" w:firstLineChars="200"/>
        <w:jc w:val="left"/>
        <w:outlineLvl w:val="0"/>
        <w:rPr>
          <w:rFonts w:hint="eastAsia" w:ascii="宋体" w:hAnsi="宋体" w:eastAsia="宋体" w:cs="宋体"/>
          <w:b/>
          <w:bCs/>
          <w:color w:val="auto"/>
          <w:sz w:val="48"/>
          <w:szCs w:val="48"/>
          <w:highlight w:val="none"/>
          <w:lang w:val="en-US" w:eastAsia="zh-CN"/>
        </w:rPr>
      </w:pPr>
      <w:r>
        <w:rPr>
          <w:rFonts w:hint="eastAsia" w:ascii="宋体" w:hAnsi="宋体" w:eastAsia="宋体" w:cs="宋体"/>
          <w:b/>
          <w:bCs/>
          <w:color w:val="auto"/>
          <w:sz w:val="48"/>
          <w:szCs w:val="48"/>
          <w:highlight w:val="none"/>
          <w:lang w:val="en-US" w:eastAsia="zh-CN"/>
        </w:rPr>
        <w:t xml:space="preserve">  </w:t>
      </w:r>
    </w:p>
    <w:p>
      <w:pP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p>
    <w:p>
      <w:pPr>
        <w:jc w:val="center"/>
        <w:rPr>
          <w:rFonts w:hint="eastAsia" w:ascii="宋体" w:hAnsi="宋体" w:eastAsia="宋体" w:cs="宋体"/>
          <w:b/>
          <w:bCs/>
          <w:color w:val="auto"/>
          <w:sz w:val="48"/>
          <w:szCs w:val="48"/>
          <w:highlight w:val="none"/>
        </w:rPr>
      </w:pPr>
      <w:r>
        <w:rPr>
          <w:rFonts w:hint="eastAsia" w:ascii="宋体" w:hAnsi="宋体" w:eastAsia="宋体" w:cs="宋体"/>
          <w:b/>
          <w:bCs/>
          <w:color w:val="auto"/>
          <w:sz w:val="36"/>
          <w:szCs w:val="36"/>
          <w:highlight w:val="none"/>
        </w:rPr>
        <w:t>第</w:t>
      </w:r>
      <w:r>
        <w:rPr>
          <w:rFonts w:hint="eastAsia" w:ascii="宋体" w:hAnsi="宋体" w:eastAsia="宋体" w:cs="宋体"/>
          <w:b/>
          <w:bCs/>
          <w:color w:val="auto"/>
          <w:sz w:val="36"/>
          <w:szCs w:val="36"/>
          <w:highlight w:val="none"/>
          <w:lang w:val="en-US" w:eastAsia="zh-CN"/>
        </w:rPr>
        <w:t>四</w:t>
      </w:r>
      <w:r>
        <w:rPr>
          <w:rFonts w:hint="eastAsia" w:ascii="宋体" w:hAnsi="宋体" w:eastAsia="宋体" w:cs="宋体"/>
          <w:b/>
          <w:bCs/>
          <w:color w:val="auto"/>
          <w:sz w:val="36"/>
          <w:szCs w:val="36"/>
          <w:highlight w:val="none"/>
        </w:rPr>
        <w:t>章 开标、评标和定标须知</w:t>
      </w:r>
    </w:p>
    <w:p>
      <w:pPr>
        <w:numPr>
          <w:ilvl w:val="0"/>
          <w:numId w:val="5"/>
        </w:numPr>
        <w:spacing w:line="360" w:lineRule="auto"/>
        <w:outlineLvl w:val="0"/>
        <w:rPr>
          <w:rFonts w:hint="eastAsia" w:ascii="宋体" w:hAnsi="宋体" w:eastAsia="宋体" w:cs="宋体"/>
          <w:b/>
          <w:bCs/>
          <w:color w:val="auto"/>
          <w:sz w:val="24"/>
          <w:szCs w:val="24"/>
          <w:highlight w:val="none"/>
        </w:rPr>
      </w:pPr>
      <w:bookmarkStart w:id="7" w:name="_Toc362250704"/>
      <w:bookmarkStart w:id="8" w:name="_Toc413402201"/>
      <w:bookmarkStart w:id="9" w:name="_Toc383777372"/>
      <w:bookmarkStart w:id="10" w:name="_Toc274303252"/>
      <w:r>
        <w:rPr>
          <w:rFonts w:hint="eastAsia" w:ascii="宋体" w:hAnsi="宋体" w:eastAsia="宋体" w:cs="宋体"/>
          <w:b/>
          <w:bCs/>
          <w:color w:val="auto"/>
          <w:sz w:val="24"/>
          <w:szCs w:val="24"/>
          <w:highlight w:val="none"/>
        </w:rPr>
        <w:t>开标</w:t>
      </w:r>
      <w:bookmarkEnd w:id="7"/>
      <w:bookmarkEnd w:id="8"/>
      <w:bookmarkEnd w:id="9"/>
      <w:bookmarkEnd w:id="10"/>
    </w:p>
    <w:p>
      <w:pPr>
        <w:pStyle w:val="14"/>
        <w:snapToGrid w:val="0"/>
        <w:spacing w:line="360" w:lineRule="auto"/>
        <w:ind w:firstLine="480" w:firstLineChars="200"/>
        <w:rPr>
          <w:rFonts w:hint="eastAsia" w:ascii="宋体" w:hAnsi="宋体" w:eastAsia="宋体" w:cs="宋体"/>
          <w:color w:val="auto"/>
          <w:spacing w:val="-4"/>
          <w:sz w:val="24"/>
          <w:szCs w:val="24"/>
          <w:highlight w:val="none"/>
        </w:rPr>
      </w:pPr>
      <w:r>
        <w:rPr>
          <w:rFonts w:hint="eastAsia" w:ascii="宋体" w:hAnsi="宋体" w:eastAsia="宋体" w:cs="宋体"/>
          <w:color w:val="auto"/>
          <w:sz w:val="24"/>
          <w:szCs w:val="24"/>
          <w:highlight w:val="none"/>
        </w:rPr>
        <w:t>1、招标代理机构按本招标文件的招标公告中规定的日期、时间和地点组织公开开标。开标时，投标人无须到场参加开标会议，开标全程通过钉钉项目群进行直播。</w:t>
      </w:r>
    </w:p>
    <w:p>
      <w:pPr>
        <w:pStyle w:val="1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2、开标程序：</w:t>
      </w:r>
    </w:p>
    <w:p>
      <w:pPr>
        <w:pStyle w:val="1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招标代理机构需在开标前一小时核对快递材料并根据寄件人信息组建具体项目的开标钉钉群，并做好相关群设置（入群验证、禁言、禁止私聊等）。投标人授权代表应按照群公告内容统一修改群名片，名片格式为“投标单位名字+被授权人姓名”。（快递名单上的寄件人与报名人及授权委托书上的授权代表一致）。</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2.2开标由采购人或委托招标代理机构主持；</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（1）宣布开标纪律</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（2）宣布开标人、唱标人、记录人、监标人等有关人员</w:t>
      </w:r>
    </w:p>
    <w:p>
      <w:pPr>
        <w:pStyle w:val="1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（3）招标人、招标代理机构、招标人监督人共同完成投标文件的现场递交及密封情况检查，并现场见证。经确认无误后，公布在投标截止时间前递交投标文件的投标人名称和招标文件的其他主要内容。</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待技术标评审结束，进行商务标开标。在商务标开标时，招标人监督人或招标人委托的公证人员作为监标人检查并确认投标文件密封情况、现场拆封，对开标记录、询标记录进行确认，并对开标流程进行监督见证。</w:t>
      </w:r>
    </w:p>
    <w:p>
      <w:pPr>
        <w:pStyle w:val="1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3、直播内容分为视频直播及文字直播两部分，投标人须在群内完成投标文件密封性及开标相关记录确认。</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4、各投标单位的授权委托人必须提前列明，并在开标评标期间保持电话畅通。</w:t>
      </w:r>
    </w:p>
    <w:p>
      <w:pPr>
        <w:numPr>
          <w:ilvl w:val="0"/>
          <w:numId w:val="5"/>
        </w:numPr>
        <w:spacing w:line="360" w:lineRule="auto"/>
        <w:outlineLvl w:val="0"/>
        <w:rPr>
          <w:rFonts w:hint="eastAsia" w:ascii="宋体" w:hAnsi="宋体" w:eastAsia="宋体" w:cs="宋体"/>
          <w:b/>
          <w:bCs/>
          <w:color w:val="auto"/>
          <w:sz w:val="24"/>
          <w:szCs w:val="24"/>
          <w:highlight w:val="none"/>
        </w:rPr>
      </w:pPr>
      <w:bookmarkStart w:id="11" w:name="_Toc261519847"/>
      <w:bookmarkStart w:id="12" w:name="_Toc362250705"/>
      <w:bookmarkStart w:id="13" w:name="_Toc274303253"/>
      <w:bookmarkStart w:id="14" w:name="_Toc413402202"/>
      <w:bookmarkStart w:id="15" w:name="_Toc263090375"/>
      <w:bookmarkStart w:id="16" w:name="_Toc383777373"/>
      <w:bookmarkStart w:id="17" w:name="_Toc226973002"/>
      <w:r>
        <w:rPr>
          <w:rFonts w:hint="eastAsia" w:ascii="宋体" w:hAnsi="宋体" w:eastAsia="宋体" w:cs="宋体"/>
          <w:b/>
          <w:bCs/>
          <w:color w:val="auto"/>
          <w:sz w:val="24"/>
          <w:szCs w:val="24"/>
          <w:highlight w:val="none"/>
        </w:rPr>
        <w:t>评标</w:t>
      </w:r>
      <w:bookmarkEnd w:id="11"/>
      <w:bookmarkEnd w:id="12"/>
      <w:bookmarkEnd w:id="13"/>
      <w:bookmarkEnd w:id="14"/>
      <w:bookmarkEnd w:id="15"/>
      <w:bookmarkEnd w:id="16"/>
      <w:bookmarkEnd w:id="17"/>
    </w:p>
    <w:p>
      <w:pPr>
        <w:spacing w:line="360" w:lineRule="auto"/>
        <w:ind w:firstLine="48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3.评标小组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 评标小组将根据招标采购项目的特点确定。其成员由技术等方面专家、采购人代表等5人及以上单数组成。评标小组对投标文件进行审查、质疑、评估和比较。</w:t>
      </w:r>
    </w:p>
    <w:p>
      <w:pPr>
        <w:pStyle w:val="14"/>
        <w:tabs>
          <w:tab w:val="left" w:pos="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3.2评审过程中招标代理人员通过私聊方式进行询标的，投标单位应在30分钟内予以回应，否则后果自负。</w:t>
      </w:r>
    </w:p>
    <w:p>
      <w:pPr>
        <w:spacing w:line="360" w:lineRule="auto"/>
        <w:ind w:firstLine="48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4.评标原则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4.1评标小组将遵循公开、公平、公正的原则，严格遵守评标工作纪律。</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4.2先开技术标，再开商务标，对技术标不符合招标要求的供应商，将予以拒绝，不再参与商务标评审。</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4.3客观公正对待所有投标人，对所有投标评审均采用相同的程序和标准。评标的依据为招标文件和投标文件。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4.4有利于提高投资效益，节约建设资金。</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4.5在评标过程中，出现异常或特殊情况时，由评标小组集体讨论决定。</w:t>
      </w:r>
    </w:p>
    <w:p>
      <w:pPr>
        <w:pStyle w:val="14"/>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5.评标过程的保密</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5.1开标后，直至授予中标人合同为止，凡属于对投标文件的审查、澄清、评价和比较等有关的资料以及中标候选人的推荐情况等与评标有关的任何情况均严格保密。</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5.2在投标文件的评审和比较、中标候选人推荐以及授予合同的过程中，投标人向采购人和评标小组施加影响的任何行为，都将会导致其投标被拒绝。</w:t>
      </w:r>
    </w:p>
    <w:p>
      <w:pPr>
        <w:pStyle w:val="1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5.3中标人确认后，采购人不对未中标人就评标过程以及未能中标原因作出任何解释。未中标人不得向评标小组人员或其他有关人员索问评标过程的全部情况。</w:t>
      </w:r>
    </w:p>
    <w:p>
      <w:pPr>
        <w:spacing w:line="360" w:lineRule="auto"/>
        <w:ind w:firstLine="480" w:firstLineChars="200"/>
        <w:rPr>
          <w:rFonts w:hint="eastAsia" w:ascii="宋体" w:hAnsi="宋体" w:eastAsia="宋体" w:cs="宋体"/>
          <w:color w:val="auto"/>
          <w:spacing w:val="-4"/>
          <w:sz w:val="24"/>
          <w:szCs w:val="24"/>
          <w:highlight w:val="none"/>
        </w:rPr>
      </w:pPr>
      <w:r>
        <w:rPr>
          <w:rFonts w:hint="eastAsia" w:ascii="宋体" w:hAnsi="宋体" w:eastAsia="宋体" w:cs="宋体"/>
          <w:color w:val="auto"/>
          <w:sz w:val="24"/>
          <w:szCs w:val="24"/>
          <w:highlight w:val="none"/>
        </w:rPr>
        <w:t>5.4</w:t>
      </w:r>
      <w:r>
        <w:rPr>
          <w:rFonts w:hint="eastAsia" w:ascii="宋体" w:hAnsi="宋体" w:eastAsia="宋体" w:cs="宋体"/>
          <w:color w:val="auto"/>
          <w:spacing w:val="-4"/>
          <w:sz w:val="24"/>
          <w:szCs w:val="24"/>
          <w:highlight w:val="none"/>
        </w:rPr>
        <w:t>为保证定标的公正性，在评标过程中，评标成员不得与投标人私人交换意见。在招标工作结束后，凡与评标情况有接触的任何人不得也不应将评标情况扩散出评标成员之外。</w:t>
      </w:r>
    </w:p>
    <w:p>
      <w:pPr>
        <w:pStyle w:val="14"/>
        <w:tabs>
          <w:tab w:val="left" w:pos="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5.5评标小组不向落标方解释落标原因，不退还投标文件。</w:t>
      </w:r>
    </w:p>
    <w:p>
      <w:pPr>
        <w:adjustRightInd w:val="0"/>
        <w:snapToGrid w:val="0"/>
        <w:spacing w:line="360" w:lineRule="auto"/>
        <w:ind w:firstLine="472" w:firstLineChars="196"/>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6.供应商的认定</w:t>
      </w:r>
    </w:p>
    <w:p>
      <w:pPr>
        <w:adjustRightInd w:val="0"/>
        <w:snapToGrid w:val="0"/>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不同供应商之间所投核心产品为同一品牌产品的，应当按一个供应商认定，评审时取其中通过资格审查、符合性审查且报价最低的一家为有效供应商，报价也相同时，由评标委员会集体讨论决定</w:t>
      </w:r>
      <w:r>
        <w:rPr>
          <w:rFonts w:hint="eastAsia" w:ascii="宋体" w:hAnsi="宋体" w:eastAsia="宋体" w:cs="宋体"/>
          <w:color w:val="auto"/>
          <w:sz w:val="24"/>
          <w:szCs w:val="24"/>
          <w:highlight w:val="none"/>
        </w:rPr>
        <w:t>。</w:t>
      </w:r>
    </w:p>
    <w:p>
      <w:pPr>
        <w:adjustRightInd w:val="0"/>
        <w:snapToGrid w:val="0"/>
        <w:spacing w:line="360" w:lineRule="auto"/>
        <w:ind w:firstLine="472" w:firstLineChars="196"/>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7.投标文件的澄清</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7.1为有助于投标文件的审查、评价和比较，评标小组可以以书面形式要求投标人对投标文件含义不明确的内容作必要的澄清或说明，投标人应采用书面形式进行澄清或说明，但不得超出投标文件的范围或改变投标文件的实质性内容。根据本须知第9条规定，凡属于评标小组在评标中发现的计算错误并进行核实的修改不在此列。</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b/>
          <w:bCs/>
          <w:color w:val="auto"/>
          <w:sz w:val="24"/>
          <w:szCs w:val="24"/>
          <w:highlight w:val="none"/>
        </w:rPr>
        <w:t>投标文件的初步评审</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8.1开标后，采购人应将投标文件提交评标小组进行初步评审，初步评审内容为：</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8.1.1是否出现第五章规定的内容；</w:t>
      </w:r>
    </w:p>
    <w:p>
      <w:pPr>
        <w:spacing w:line="360" w:lineRule="auto"/>
        <w:ind w:firstLine="480" w:firstLineChars="200"/>
        <w:rPr>
          <w:rFonts w:hint="eastAsia" w:ascii="宋体" w:hAnsi="宋体" w:eastAsia="宋体" w:cs="宋体"/>
          <w:color w:val="auto"/>
          <w:spacing w:val="-4"/>
          <w:sz w:val="24"/>
          <w:szCs w:val="24"/>
          <w:highlight w:val="none"/>
        </w:rPr>
      </w:pPr>
      <w:r>
        <w:rPr>
          <w:rFonts w:hint="eastAsia" w:ascii="宋体" w:hAnsi="宋体" w:eastAsia="宋体" w:cs="宋体"/>
          <w:color w:val="auto"/>
          <w:sz w:val="24"/>
          <w:szCs w:val="24"/>
          <w:highlight w:val="none"/>
        </w:rPr>
        <w:t>违反上述情形之一者，技术文件或商务文件初步评审不予通过，不列入商务标详细评审。</w:t>
      </w:r>
    </w:p>
    <w:p>
      <w:pPr>
        <w:tabs>
          <w:tab w:val="left" w:pos="1219"/>
        </w:tabs>
        <w:adjustRightInd w:val="0"/>
        <w:snapToGrid w:val="0"/>
        <w:spacing w:line="360" w:lineRule="auto"/>
        <w:ind w:left="-67" w:leftChars="-32" w:firstLine="590" w:firstLineChars="24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评标时，评标小组将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pPr>
        <w:adjustRightInd w:val="0"/>
        <w:snapToGrid w:val="0"/>
        <w:spacing w:line="360" w:lineRule="auto"/>
        <w:ind w:firstLine="57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8.3如果投标文件实质上不响应招标文件的各项要求，评标小组将予以拒绝，并且不允许投标人通过修改或撤销其不符合要求的差异或保留，使之成为具有响应性的投标。</w:t>
      </w:r>
    </w:p>
    <w:p>
      <w:pPr>
        <w:pStyle w:val="14"/>
        <w:spacing w:line="360" w:lineRule="auto"/>
        <w:ind w:firstLine="48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9.投标文件计算错误的修正</w:t>
      </w:r>
    </w:p>
    <w:p>
      <w:pPr>
        <w:pStyle w:val="14"/>
        <w:spacing w:line="360" w:lineRule="auto"/>
        <w:ind w:firstLine="48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9.1评标小组将对确定为实质上响应招标文件要求的投标文件进行校核，看其是否有计算或表达上的错误，修正错误的原则如下：</w:t>
      </w:r>
    </w:p>
    <w:p>
      <w:pPr>
        <w:pStyle w:val="14"/>
        <w:spacing w:line="360" w:lineRule="auto"/>
        <w:ind w:firstLine="48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9.1.1投标文件中《开标一览表》（报价表）与投标文件中相应内容不一致的，以《开标一览表》（报价表）为准；</w:t>
      </w:r>
    </w:p>
    <w:p>
      <w:pPr>
        <w:pStyle w:val="14"/>
        <w:spacing w:line="360" w:lineRule="auto"/>
        <w:ind w:firstLine="48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9.1.2大写金额和小写金额不一致的，以大写金额为准；</w:t>
      </w:r>
    </w:p>
    <w:p>
      <w:pPr>
        <w:pStyle w:val="14"/>
        <w:spacing w:line="360" w:lineRule="auto"/>
        <w:ind w:firstLine="48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9.1.3单价金额小数点或者百分比有明显错位的，以开标一览表的总价为准，并修改单价；</w:t>
      </w:r>
    </w:p>
    <w:p>
      <w:pPr>
        <w:pStyle w:val="14"/>
        <w:spacing w:line="360" w:lineRule="auto"/>
        <w:ind w:firstLine="48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9.1.4总价金额与按单价汇总金额不一致的，以单价金额计算结果为准；</w:t>
      </w:r>
    </w:p>
    <w:p>
      <w:pPr>
        <w:pStyle w:val="14"/>
        <w:spacing w:line="360" w:lineRule="auto"/>
        <w:ind w:firstLine="48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时出现两种以上不一致的，按照前款规定的顺序修正。修正后的报价按照《政府采购货物和服务招标投标管理办法》（财政部令第87号）第五十一条第二款的规定经投标人确认后产生约束力，投标人不确认的，其投标无效。</w:t>
      </w:r>
    </w:p>
    <w:p>
      <w:pPr>
        <w:adjustRightInd w:val="0"/>
        <w:snapToGrid w:val="0"/>
        <w:spacing w:line="360" w:lineRule="auto"/>
        <w:ind w:firstLine="472" w:firstLineChars="196"/>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10.投标文件的评审、比较和否决</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10.1评标小组将按照本须知规定，仅对在实质上响应招标文件要求的投标文件进行评估和比较。</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10.2在评审过程后，评标小组可以以书面形式要求投标人就投标文件中含义不明确的内容进行书面说明并提供相关材料。</w:t>
      </w:r>
    </w:p>
    <w:p>
      <w:pPr>
        <w:adjustRightInd w:val="0"/>
        <w:snapToGrid w:val="0"/>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10.3评标小组在作出任何一项无效标决定前，都应当严格遵循以下程序：</w:t>
      </w:r>
    </w:p>
    <w:p>
      <w:pPr>
        <w:adjustRightInd w:val="0"/>
        <w:snapToGrid w:val="0"/>
        <w:spacing w:line="360" w:lineRule="auto"/>
        <w:ind w:firstLine="472" w:firstLineChars="196"/>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10.3.1要求当事投标人作相应的答辩；</w:t>
      </w:r>
    </w:p>
    <w:p>
      <w:pPr>
        <w:adjustRightInd w:val="0"/>
        <w:snapToGrid w:val="0"/>
        <w:spacing w:line="360" w:lineRule="auto"/>
        <w:ind w:firstLine="472" w:firstLineChars="196"/>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10.3.2将答辩记录送当事投标人法定代表人或其授权委托的全权代表签字确认；</w:t>
      </w:r>
    </w:p>
    <w:p>
      <w:pPr>
        <w:adjustRightInd w:val="0"/>
        <w:snapToGrid w:val="0"/>
        <w:spacing w:line="360" w:lineRule="auto"/>
        <w:ind w:firstLine="472" w:firstLineChars="196"/>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10.3.3在充分讨论的基础上集体表决；</w:t>
      </w:r>
    </w:p>
    <w:p>
      <w:pPr>
        <w:adjustRightInd w:val="0"/>
        <w:snapToGrid w:val="0"/>
        <w:spacing w:line="360" w:lineRule="auto"/>
        <w:ind w:firstLine="472" w:firstLineChars="196"/>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10.3.4若表决通过无效标决定，告知当事投标人，并在评标报告中详细载明废标理由、依据、答辩的情况和集体表决的情况（同意废标和不同意废标的评标小组成员均应当注明）。</w:t>
      </w:r>
    </w:p>
    <w:p>
      <w:pPr>
        <w:pStyle w:val="1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10.4评标小组经评审，认为所有投标都不符合招标文件要求时，可以否决所有投标。所有投标被否决后，采购人应当依法重新招标。</w:t>
      </w:r>
    </w:p>
    <w:p>
      <w:pPr>
        <w:pStyle w:val="14"/>
        <w:spacing w:line="360" w:lineRule="auto"/>
        <w:ind w:firstLine="482"/>
        <w:rPr>
          <w:rFonts w:hint="eastAsia" w:ascii="宋体" w:hAnsi="宋体" w:eastAsia="宋体" w:cs="宋体"/>
          <w:b/>
          <w:bCs/>
          <w:color w:val="auto"/>
          <w:spacing w:val="-4"/>
          <w:sz w:val="24"/>
          <w:szCs w:val="24"/>
          <w:highlight w:val="none"/>
        </w:rPr>
      </w:pPr>
      <w:r>
        <w:rPr>
          <w:rFonts w:hint="eastAsia" w:ascii="宋体" w:hAnsi="宋体" w:eastAsia="宋体" w:cs="宋体"/>
          <w:b/>
          <w:bCs/>
          <w:color w:val="auto"/>
          <w:spacing w:val="-4"/>
          <w:sz w:val="24"/>
          <w:szCs w:val="24"/>
          <w:highlight w:val="none"/>
        </w:rPr>
        <w:t>11.评标办法</w:t>
      </w:r>
    </w:p>
    <w:p>
      <w:pPr>
        <w:adjustRightInd w:val="0"/>
        <w:snapToGrid w:val="0"/>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11.1本项目采用综合评分法（具体评标办法见后）。</w:t>
      </w:r>
    </w:p>
    <w:p>
      <w:pPr>
        <w:adjustRightInd w:val="0"/>
        <w:snapToGrid w:val="0"/>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12.决标</w:t>
      </w:r>
    </w:p>
    <w:p>
      <w:pPr>
        <w:adjustRightInd w:val="0"/>
        <w:snapToGrid w:val="0"/>
        <w:spacing w:line="360" w:lineRule="auto"/>
        <w:ind w:firstLine="57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采购人授权评标小组推荐1名中标候选人。</w:t>
      </w:r>
    </w:p>
    <w:p>
      <w:pPr>
        <w:numPr>
          <w:ilvl w:val="0"/>
          <w:numId w:val="5"/>
        </w:numPr>
        <w:spacing w:line="360" w:lineRule="auto"/>
        <w:outlineLvl w:val="0"/>
        <w:rPr>
          <w:rFonts w:hint="eastAsia" w:ascii="宋体" w:hAnsi="宋体" w:eastAsia="宋体" w:cs="宋体"/>
          <w:b/>
          <w:bCs/>
          <w:color w:val="auto"/>
          <w:sz w:val="24"/>
          <w:szCs w:val="24"/>
          <w:highlight w:val="none"/>
        </w:rPr>
      </w:pPr>
      <w:bookmarkStart w:id="18" w:name="_Toc383777374"/>
      <w:bookmarkStart w:id="19" w:name="_Toc226973003"/>
      <w:bookmarkStart w:id="20" w:name="_Toc362250706"/>
      <w:bookmarkStart w:id="21" w:name="_Toc261519848"/>
      <w:bookmarkStart w:id="22" w:name="_Toc413402203"/>
      <w:bookmarkStart w:id="23" w:name="_Toc263090376"/>
      <w:bookmarkStart w:id="24" w:name="_Toc274303254"/>
      <w:r>
        <w:rPr>
          <w:rFonts w:hint="eastAsia" w:ascii="宋体" w:hAnsi="宋体" w:eastAsia="宋体" w:cs="宋体"/>
          <w:b/>
          <w:bCs/>
          <w:color w:val="auto"/>
          <w:sz w:val="24"/>
          <w:szCs w:val="24"/>
          <w:highlight w:val="none"/>
        </w:rPr>
        <w:t>定标</w:t>
      </w:r>
      <w:bookmarkEnd w:id="18"/>
      <w:bookmarkEnd w:id="19"/>
      <w:bookmarkEnd w:id="20"/>
      <w:bookmarkEnd w:id="21"/>
      <w:bookmarkEnd w:id="22"/>
      <w:bookmarkEnd w:id="23"/>
      <w:bookmarkEnd w:id="24"/>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13.</w:t>
      </w:r>
      <w:r>
        <w:rPr>
          <w:rFonts w:hint="eastAsia" w:ascii="宋体" w:hAnsi="宋体" w:eastAsia="宋体" w:cs="宋体"/>
          <w:b/>
          <w:bCs/>
          <w:color w:val="auto"/>
          <w:sz w:val="24"/>
          <w:szCs w:val="24"/>
          <w:highlight w:val="none"/>
        </w:rPr>
        <w:t>中标通知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中标通知书签发之前，采购人或其委托的采购代理机构应尽快向检察机关查询预中标人自2018年1月1日至中标公告期结束前行贿犯罪记录（以法院判决书日期为准）情况。经查实，预中标人有前述行贿犯罪记录的，取消其中标资格，采购人依法重新组织采购。</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13.2评标结束后，发布评标结果公告，公告期为自发布之日起1个工作日，发布评标结果公告的媒体为：义乌产权交易网。</w:t>
      </w:r>
    </w:p>
    <w:p>
      <w:pPr>
        <w:pStyle w:val="14"/>
        <w:snapToGrid w:val="0"/>
        <w:spacing w:line="360" w:lineRule="auto"/>
        <w:ind w:firstLine="480" w:firstLineChars="200"/>
        <w:rPr>
          <w:rFonts w:hint="eastAsia" w:ascii="宋体" w:hAnsi="宋体" w:eastAsia="宋体" w:cs="宋体"/>
          <w:color w:val="auto"/>
          <w:spacing w:val="-4"/>
          <w:sz w:val="24"/>
          <w:szCs w:val="24"/>
          <w:highlight w:val="none"/>
        </w:rPr>
      </w:pPr>
      <w:r>
        <w:rPr>
          <w:rFonts w:hint="eastAsia" w:ascii="宋体" w:hAnsi="宋体" w:eastAsia="宋体" w:cs="宋体"/>
          <w:color w:val="auto"/>
          <w:sz w:val="24"/>
          <w:szCs w:val="24"/>
          <w:highlight w:val="none"/>
        </w:rPr>
        <w:t>13.3公告期内，如无有效异议，公告期结束，由采购人和义乌产权交易所有限公司招投标中心共同签发《中标通知书》，中标人凭有效证明到义乌产权交易所有限公司招投标中心领取《中标通知书》。《中标通知书》一经发出即发生法律效力。</w:t>
      </w:r>
    </w:p>
    <w:p>
      <w:pPr>
        <w:pStyle w:val="14"/>
        <w:tabs>
          <w:tab w:val="left" w:pos="90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13.4开标过程中，投标人对开标有异议的，应当以书面形式在项目群内提出，评审委员会应对异常情况作记录。投标人若对开评标结果提出质疑的，质疑材料可加盖单位公章后以扫描件形式通过私聊或邮箱（</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"mailto:453367901@qq.com" </w:instrText>
      </w:r>
      <w:r>
        <w:rPr>
          <w:rFonts w:hint="eastAsia" w:ascii="宋体" w:hAnsi="宋体" w:eastAsia="宋体" w:cs="宋体"/>
          <w:color w:val="auto"/>
          <w:highlight w:val="none"/>
        </w:rPr>
        <w:fldChar w:fldCharType="separate"/>
      </w:r>
      <w:r>
        <w:rPr>
          <w:rStyle w:val="24"/>
          <w:rFonts w:hint="eastAsia" w:ascii="宋体" w:hAnsi="宋体" w:eastAsia="宋体" w:cs="宋体"/>
          <w:color w:val="auto"/>
          <w:sz w:val="24"/>
          <w:szCs w:val="24"/>
          <w:highlight w:val="none"/>
        </w:rPr>
        <w:t>453367901@qq.com</w:t>
      </w:r>
      <w:r>
        <w:rPr>
          <w:rStyle w:val="24"/>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）送达。</w:t>
      </w:r>
    </w:p>
    <w:p>
      <w:pPr>
        <w:pStyle w:val="14"/>
        <w:tabs>
          <w:tab w:val="left" w:pos="90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13.5质疑投诉的相关规定</w:t>
      </w:r>
    </w:p>
    <w:p>
      <w:pPr>
        <w:pStyle w:val="14"/>
        <w:tabs>
          <w:tab w:val="left" w:pos="90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（一）供应商认为采购文件、采购过程和中标、成交结果使自己的权益受到损害的，可以在知道或者应知其权益受到损害之日起7个工作日内，以书面形式向采购人提出质疑。</w:t>
      </w:r>
    </w:p>
    <w:p>
      <w:pPr>
        <w:pStyle w:val="14"/>
        <w:tabs>
          <w:tab w:val="left" w:pos="90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前款所称的供应商应知其权益受到损害之日，是指：</w:t>
      </w:r>
    </w:p>
    <w:p>
      <w:pPr>
        <w:pStyle w:val="14"/>
        <w:tabs>
          <w:tab w:val="left" w:pos="90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1.对可以质疑的采购文件提出质疑的，为收到采购文件之日或者采购文件公告期限届满之日；</w:t>
      </w:r>
    </w:p>
    <w:p>
      <w:pPr>
        <w:pStyle w:val="14"/>
        <w:tabs>
          <w:tab w:val="left" w:pos="90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2.对采购过程提出质疑的，为各采购程序环节结束之日；</w:t>
      </w:r>
    </w:p>
    <w:p>
      <w:pPr>
        <w:pStyle w:val="14"/>
        <w:tabs>
          <w:tab w:val="left" w:pos="90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3.对中标或者成交结果提出质疑的，为中标或者成交结果公告期限届满之日。</w:t>
      </w:r>
    </w:p>
    <w:p>
      <w:pPr>
        <w:pStyle w:val="14"/>
        <w:tabs>
          <w:tab w:val="left" w:pos="90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采购人应当按规定在收到质疑后3个工作日内作出书面答复，但答复的内容不得涉及商业秘密。</w:t>
      </w:r>
    </w:p>
    <w:p>
      <w:pPr>
        <w:pStyle w:val="14"/>
        <w:tabs>
          <w:tab w:val="left" w:pos="90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供应商对采购人、采购代理机构的答复不满意或者采购人、采购代理机构未在规定的时间内作出答复的，可以在答复期满后10个工作日内向国企采购监督管理部门投诉。质疑投诉递交的资料需为书面材料。质疑投诉书面材料需法人代表人或授权代表签字并加盖公章。</w:t>
      </w:r>
    </w:p>
    <w:p>
      <w:pPr>
        <w:pStyle w:val="14"/>
        <w:tabs>
          <w:tab w:val="left" w:pos="900"/>
        </w:tabs>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14.合同签订</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14.1中标人自接到《中标通知书》后应在三十天内到采购人处与采购人签订三方合同。</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14.2招标文件、中标人的投标文件、评标过程中投标人在询标时作出的承诺及其澄清文件等，均为签订合同的依据。</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14.4采购人与中标人签订合同后招标代理机构将中标结果通知落选投标人，采购人和招标代理机构对评标结果不负责解释。</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14.5采购人变更数量的权利</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采购人在授予合同时有权对“技术要求及采购货物一览表”中规定的货物数量和服务予以增加或减少，但必须符合《中华人民共和国政府采购法》及义乌市政府采购的相关规定。</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360" w:lineRule="auto"/>
        <w:ind w:left="480"/>
        <w:jc w:val="center"/>
        <w:rPr>
          <w:rFonts w:hint="eastAsia" w:ascii="宋体" w:hAnsi="宋体" w:eastAsia="宋体" w:cs="宋体"/>
          <w:b/>
          <w:bCs/>
          <w:color w:val="auto"/>
          <w:sz w:val="48"/>
          <w:szCs w:val="48"/>
          <w:highlight w:val="none"/>
        </w:rPr>
      </w:pPr>
      <w:r>
        <w:rPr>
          <w:rFonts w:hint="eastAsia" w:ascii="宋体" w:hAnsi="宋体" w:eastAsia="宋体" w:cs="宋体"/>
          <w:b/>
          <w:bCs/>
          <w:color w:val="auto"/>
          <w:sz w:val="48"/>
          <w:szCs w:val="48"/>
          <w:highlight w:val="none"/>
        </w:rPr>
        <w:br w:type="page"/>
      </w:r>
      <w:r>
        <w:rPr>
          <w:rFonts w:hint="eastAsia" w:ascii="宋体" w:hAnsi="宋体" w:eastAsia="宋体" w:cs="宋体"/>
          <w:b/>
          <w:bCs/>
          <w:color w:val="auto"/>
          <w:sz w:val="36"/>
          <w:szCs w:val="36"/>
          <w:highlight w:val="none"/>
        </w:rPr>
        <w:t>第</w:t>
      </w:r>
      <w:r>
        <w:rPr>
          <w:rFonts w:hint="eastAsia" w:ascii="宋体" w:hAnsi="宋体" w:eastAsia="宋体" w:cs="宋体"/>
          <w:b/>
          <w:bCs/>
          <w:color w:val="auto"/>
          <w:sz w:val="36"/>
          <w:szCs w:val="36"/>
          <w:highlight w:val="none"/>
          <w:lang w:val="en-US" w:eastAsia="zh-CN"/>
        </w:rPr>
        <w:t>五</w:t>
      </w:r>
      <w:r>
        <w:rPr>
          <w:rFonts w:hint="eastAsia" w:ascii="宋体" w:hAnsi="宋体" w:eastAsia="宋体" w:cs="宋体"/>
          <w:b/>
          <w:bCs/>
          <w:color w:val="auto"/>
          <w:sz w:val="36"/>
          <w:szCs w:val="36"/>
          <w:highlight w:val="none"/>
        </w:rPr>
        <w:t xml:space="preserve">章 </w:t>
      </w:r>
      <w:bookmarkStart w:id="25" w:name="_Toc4939"/>
      <w:r>
        <w:rPr>
          <w:rFonts w:hint="eastAsia" w:ascii="宋体" w:hAnsi="宋体" w:eastAsia="宋体" w:cs="宋体"/>
          <w:b/>
          <w:bCs/>
          <w:color w:val="auto"/>
          <w:sz w:val="36"/>
          <w:szCs w:val="36"/>
          <w:highlight w:val="none"/>
        </w:rPr>
        <w:t>投标文件的有效性</w:t>
      </w:r>
      <w:bookmarkEnd w:id="25"/>
    </w:p>
    <w:p>
      <w:pPr>
        <w:pStyle w:val="14"/>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1.有下列情形之一的，采购人将不予受理投标文件：</w:t>
      </w:r>
    </w:p>
    <w:p>
      <w:pPr>
        <w:pStyle w:val="1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1.1邮寄的投标文件未在投标截止时间内送达指定地点；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1.2投标文件未按规定密封的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快递运输途中破损</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1.3参加开标会时，投标人的法定代表人或其授权委托人未携带身份证的不得入场，且投标将被拒绝。</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1.4投标文件包封不符合招标文件要求；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1.5投标文件只有技术标或者只有商务标；</w:t>
      </w:r>
    </w:p>
    <w:p>
      <w:pPr>
        <w:pStyle w:val="14"/>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2.投标文件技术标评审出现下列情形之一的，由评标小组审核后按无效投标文件处理：</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投标文件未按招标文件要求加盖单位公章；或无法定代表人或法定代表人授权的全权代表签字或盖章的；或有授权的全权代表签字或盖章但未提交“授权委托书”原件的；或授权委托书无法定代表人签字或盖章的；或授权委托书未加盖单位公章的；</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kern w:val="0"/>
          <w:sz w:val="24"/>
          <w:szCs w:val="24"/>
          <w:highlight w:val="none"/>
        </w:rPr>
        <w:t>未按招标文件规定提供相关文件，如资格证明、身份证明等；超出经营范围投标的；</w:t>
      </w:r>
      <w:r>
        <w:rPr>
          <w:rFonts w:hint="eastAsia" w:ascii="宋体" w:hAnsi="宋体" w:eastAsia="宋体" w:cs="宋体"/>
          <w:color w:val="auto"/>
          <w:sz w:val="24"/>
          <w:szCs w:val="24"/>
          <w:highlight w:val="none"/>
        </w:rPr>
        <w:t>提供虚假资料的（含中标后查实的）；</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w:t>
      </w:r>
      <w:r>
        <w:rPr>
          <w:rFonts w:hint="eastAsia" w:ascii="宋体" w:hAnsi="宋体" w:eastAsia="宋体" w:cs="宋体"/>
          <w:color w:val="auto"/>
          <w:kern w:val="0"/>
          <w:sz w:val="24"/>
          <w:szCs w:val="24"/>
          <w:highlight w:val="none"/>
        </w:rPr>
        <w:t>投标文件不符合招标文件规定，未按规定格式填写的；或投标文件内容不全或关键字迹模糊、无法辨认的；或投标文件内容自相矛盾的；</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2.4投标人递交两份或多份内容不同的投标文件，且未声明哪一个有效，但按招标文件规定提交备选投标方案的除外；</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2.5借用或冒用他人名义或证件、涂改文件、伪造或编造投标文件的；</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2.6投标中不同投标单位的投标文件出现雷同或相似（包括部分雷同或相似），对所有雷同或相似投标人按废标处理，采购人将保留进一步追究责任的权利；</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2.7投标文件附有采购人不能接受的条件；</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2.8技术标中体现或包含商务报价；</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2.9若发现有意串标或提供虚假证明材料者；</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2.10评标小组认为技术或商务与招标文件偏离的部分过多，或在实质上不响应招标文件的；</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2.11未提交《义乌市国企采购项目投标承诺书》；</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2.12投标人名称或组织结构与资格审查时不一致，投标人不以自己真正身份参加竞标，以挂户或以他人名义参与竞标的；投标人不具备独立法人资格或不具备独立承担民事责任能力的（如分公司、办事处等）；投标人参加采购、招投标等活动前三年内在经济活动中有重大违法记录的；</w:t>
      </w:r>
    </w:p>
    <w:p>
      <w:pPr>
        <w:pStyle w:val="14"/>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3.投标文件商务标评审出现下列情形之一的，由评标小组审核后按无效投标文件处理：</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3.1.要求加盖公章的地方未按招标文件要求加盖单位公章或未按招标文件规定签字。</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w:t>
      </w:r>
      <w:r>
        <w:rPr>
          <w:rFonts w:hint="eastAsia" w:ascii="宋体" w:hAnsi="宋体" w:eastAsia="宋体" w:cs="宋体"/>
          <w:color w:val="auto"/>
          <w:kern w:val="0"/>
          <w:sz w:val="24"/>
          <w:szCs w:val="24"/>
          <w:highlight w:val="none"/>
        </w:rPr>
        <w:t>投标文件不符合招标文件规定，未按规定格式填写的；或投标文件内容不全或关键字迹模糊、无法辨认的；或投标文件内容自相矛盾的；</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3.3投标报价高于预算价或最高限价的；</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如评标委员会一致认为最低投标报价或某些分项明显不合理，有降低质量、不能诚信履约的可能时，评标委员会有权通知投标人限期进行解释。如投标人未在规定期限内做出解释，或所作解释不合理，经评标委员会取得一致意见后，可列为异常报价，确定该投标为无效标。</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3.5投标人递交两份或多份内容不同的投标文件，或在同一份投标文件中对同一招标项目报有两个或多个报价，且未声明哪一个有效。</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3.6</w:t>
      </w:r>
      <w:r>
        <w:rPr>
          <w:rFonts w:hint="eastAsia" w:ascii="宋体" w:hAnsi="宋体" w:eastAsia="宋体" w:cs="宋体"/>
          <w:color w:val="auto"/>
          <w:sz w:val="24"/>
          <w:szCs w:val="24"/>
          <w:highlight w:val="none"/>
        </w:rPr>
        <w:t>投标文件附有采购人不能接受的条件；</w:t>
      </w:r>
    </w:p>
    <w:p>
      <w:pPr>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4.评标过程中，非上述所罗列的情况，不得以无效标（废标）处理。</w:t>
      </w:r>
    </w:p>
    <w:p>
      <w:pPr>
        <w:spacing w:line="380" w:lineRule="exact"/>
        <w:ind w:left="480"/>
        <w:rPr>
          <w:rFonts w:hint="eastAsia" w:ascii="宋体" w:hAnsi="宋体" w:eastAsia="宋体" w:cs="宋体"/>
          <w:color w:val="auto"/>
          <w:kern w:val="0"/>
          <w:sz w:val="24"/>
          <w:szCs w:val="24"/>
          <w:highlight w:val="none"/>
        </w:rPr>
      </w:pPr>
    </w:p>
    <w:p>
      <w:pPr>
        <w:spacing w:line="300" w:lineRule="auto"/>
        <w:jc w:val="center"/>
        <w:outlineLvl w:val="0"/>
        <w:rPr>
          <w:rFonts w:hint="eastAsia" w:ascii="宋体" w:hAnsi="宋体" w:eastAsia="宋体" w:cs="宋体"/>
          <w:b/>
          <w:bCs/>
          <w:color w:val="auto"/>
          <w:sz w:val="48"/>
          <w:szCs w:val="48"/>
          <w:highlight w:val="none"/>
        </w:rPr>
      </w:pPr>
      <w:r>
        <w:rPr>
          <w:rFonts w:hint="eastAsia" w:ascii="宋体" w:hAnsi="宋体" w:eastAsia="宋体" w:cs="宋体"/>
          <w:b/>
          <w:bCs/>
          <w:color w:val="auto"/>
          <w:sz w:val="48"/>
          <w:szCs w:val="48"/>
          <w:highlight w:val="none"/>
        </w:rPr>
        <w:br w:type="page"/>
      </w:r>
      <w:bookmarkStart w:id="26" w:name="_Toc31410"/>
      <w:r>
        <w:rPr>
          <w:rFonts w:hint="eastAsia" w:ascii="宋体" w:hAnsi="宋体" w:eastAsia="宋体" w:cs="宋体"/>
          <w:b/>
          <w:bCs/>
          <w:color w:val="auto"/>
          <w:sz w:val="36"/>
          <w:szCs w:val="36"/>
          <w:highlight w:val="none"/>
        </w:rPr>
        <w:t>第</w:t>
      </w:r>
      <w:r>
        <w:rPr>
          <w:rFonts w:hint="eastAsia" w:ascii="宋体" w:hAnsi="宋体" w:eastAsia="宋体" w:cs="宋体"/>
          <w:b/>
          <w:bCs/>
          <w:color w:val="auto"/>
          <w:sz w:val="36"/>
          <w:szCs w:val="36"/>
          <w:highlight w:val="none"/>
          <w:lang w:val="en-US" w:eastAsia="zh-CN"/>
        </w:rPr>
        <w:t>六</w:t>
      </w:r>
      <w:r>
        <w:rPr>
          <w:rFonts w:hint="eastAsia" w:ascii="宋体" w:hAnsi="宋体" w:eastAsia="宋体" w:cs="宋体"/>
          <w:b/>
          <w:bCs/>
          <w:color w:val="auto"/>
          <w:sz w:val="36"/>
          <w:szCs w:val="36"/>
          <w:highlight w:val="none"/>
        </w:rPr>
        <w:t>章 评标细则</w:t>
      </w:r>
      <w:bookmarkEnd w:id="26"/>
    </w:p>
    <w:p>
      <w:pPr>
        <w:pStyle w:val="1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根据《中华人民共和国招标投标法》的有关规定，为更好地做到公开、公平、公正，结合本次招标的特点，特制定本评标办法。</w:t>
      </w:r>
    </w:p>
    <w:p>
      <w:pPr>
        <w:pStyle w:val="14"/>
        <w:spacing w:line="360" w:lineRule="auto"/>
        <w:ind w:firstLine="482"/>
        <w:rPr>
          <w:rFonts w:hint="eastAsia" w:ascii="宋体" w:hAnsi="宋体" w:eastAsia="宋体" w:cs="宋体"/>
          <w:b/>
          <w:bCs/>
          <w:color w:val="auto"/>
          <w:sz w:val="24"/>
          <w:szCs w:val="24"/>
          <w:highlight w:val="none"/>
        </w:rPr>
      </w:pPr>
      <w:r>
        <w:rPr>
          <w:rFonts w:hint="eastAsia" w:ascii="宋体" w:hAnsi="宋体" w:eastAsia="宋体" w:cs="宋体"/>
          <w:b/>
          <w:color w:val="auto"/>
          <w:spacing w:val="-4"/>
          <w:sz w:val="24"/>
          <w:szCs w:val="24"/>
          <w:highlight w:val="none"/>
        </w:rPr>
        <w:t>一、</w:t>
      </w:r>
      <w:r>
        <w:rPr>
          <w:rFonts w:hint="eastAsia" w:ascii="宋体" w:hAnsi="宋体" w:eastAsia="宋体" w:cs="宋体"/>
          <w:b/>
          <w:bCs/>
          <w:color w:val="auto"/>
          <w:sz w:val="24"/>
          <w:szCs w:val="24"/>
          <w:highlight w:val="none"/>
        </w:rPr>
        <w:t>评审程序</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1.对投标人的技术文件进行符合性审查；</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2.对技术文件符合性审查通过的投标人的技术文件进行详细评审，确定技术标有效单位；</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3.对有效技术标的单位的商务文件进行符合性审查</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4.对商务文件符合性审查通过的商务文件进行详细评审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5.推荐中标候选人、出具评标报告</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评标小组以开标、评标、询标情况为基本依据，对有效的投标文件分技术部分、商务报价二个部分进行分析、评议，</w:t>
      </w:r>
      <w:r>
        <w:rPr>
          <w:rFonts w:hint="eastAsia" w:ascii="宋体" w:hAnsi="宋体" w:eastAsia="宋体" w:cs="宋体"/>
          <w:b/>
          <w:color w:val="auto"/>
          <w:sz w:val="24"/>
          <w:highlight w:val="none"/>
        </w:rPr>
        <w:t>先评技术标，技术标入围单位进行商务报价评审，商务标在开标室进行开封、唱标并作记录；技术标未入围单位不再进行商务报价评审。</w:t>
      </w:r>
    </w:p>
    <w:p>
      <w:pPr>
        <w:pStyle w:val="14"/>
        <w:spacing w:line="360" w:lineRule="auto"/>
        <w:ind w:firstLine="480" w:firstLineChars="200"/>
        <w:rPr>
          <w:rFonts w:hint="eastAsia" w:ascii="宋体" w:hAnsi="宋体" w:eastAsia="宋体" w:cs="宋体"/>
          <w:b/>
          <w:bCs/>
          <w:color w:val="auto"/>
          <w:sz w:val="24"/>
          <w:szCs w:val="24"/>
          <w:highlight w:val="none"/>
        </w:rPr>
      </w:pPr>
      <w:bookmarkStart w:id="27" w:name="_Toc434324699"/>
      <w:bookmarkEnd w:id="27"/>
      <w:r>
        <w:rPr>
          <w:rFonts w:hint="eastAsia" w:ascii="宋体" w:hAnsi="宋体" w:eastAsia="宋体" w:cs="宋体"/>
          <w:color w:val="auto"/>
          <w:sz w:val="24"/>
          <w:szCs w:val="24"/>
          <w:highlight w:val="none"/>
        </w:rPr>
        <w:t>二、</w:t>
      </w:r>
      <w:r>
        <w:rPr>
          <w:rFonts w:hint="eastAsia" w:ascii="宋体" w:hAnsi="宋体" w:eastAsia="宋体" w:cs="宋体"/>
          <w:b/>
          <w:bCs/>
          <w:color w:val="auto"/>
          <w:sz w:val="24"/>
          <w:szCs w:val="24"/>
          <w:highlight w:val="none"/>
        </w:rPr>
        <w:t>评审办法</w:t>
      </w:r>
    </w:p>
    <w:p>
      <w:pPr>
        <w:pStyle w:val="14"/>
        <w:spacing w:line="360" w:lineRule="auto"/>
        <w:ind w:firstLine="480" w:firstLineChars="20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b/>
          <w:color w:val="auto"/>
          <w:sz w:val="24"/>
          <w:szCs w:val="24"/>
          <w:highlight w:val="none"/>
        </w:rPr>
        <w:t>技术标评审</w:t>
      </w:r>
    </w:p>
    <w:p>
      <w:pPr>
        <w:pStyle w:val="1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1.1技术标符合性评审</w:t>
      </w:r>
    </w:p>
    <w:p>
      <w:pPr>
        <w:pStyle w:val="14"/>
        <w:spacing w:line="360" w:lineRule="auto"/>
        <w:ind w:firstLine="480" w:firstLineChars="200"/>
        <w:rPr>
          <w:rFonts w:hint="eastAsia" w:ascii="宋体" w:hAnsi="宋体" w:eastAsia="宋体" w:cs="宋体"/>
          <w:bCs/>
          <w:color w:val="auto"/>
          <w:sz w:val="22"/>
          <w:szCs w:val="22"/>
          <w:highlight w:val="none"/>
        </w:rPr>
      </w:pPr>
      <w:r>
        <w:rPr>
          <w:rFonts w:hint="eastAsia" w:ascii="宋体" w:hAnsi="宋体" w:eastAsia="宋体" w:cs="宋体"/>
          <w:color w:val="auto"/>
          <w:sz w:val="24"/>
          <w:szCs w:val="24"/>
          <w:highlight w:val="none"/>
        </w:rPr>
        <w:t>1.1.1</w:t>
      </w:r>
      <w:r>
        <w:rPr>
          <w:rFonts w:hint="eastAsia" w:ascii="宋体" w:hAnsi="宋体" w:eastAsia="宋体" w:cs="宋体"/>
          <w:bCs/>
          <w:color w:val="auto"/>
          <w:sz w:val="22"/>
          <w:szCs w:val="22"/>
          <w:highlight w:val="none"/>
        </w:rPr>
        <w:t>根据招标文件第六章投标文件的有效性的规定，是否属于无效标或废标；</w:t>
      </w:r>
    </w:p>
    <w:p>
      <w:pPr>
        <w:pStyle w:val="14"/>
        <w:spacing w:line="360" w:lineRule="auto"/>
        <w:ind w:firstLine="480" w:firstLineChars="200"/>
        <w:rPr>
          <w:rFonts w:hint="eastAsia" w:ascii="宋体" w:hAnsi="宋体" w:eastAsia="宋体" w:cs="宋体"/>
          <w:color w:val="FF0000"/>
          <w:sz w:val="22"/>
          <w:szCs w:val="22"/>
          <w:highlight w:val="none"/>
          <w:lang w:val="en-US" w:eastAsia="zh-CN"/>
        </w:rPr>
      </w:pPr>
      <w:r>
        <w:rPr>
          <w:rFonts w:hint="eastAsia" w:ascii="宋体" w:hAnsi="宋体" w:eastAsia="宋体" w:cs="宋体"/>
          <w:color w:val="auto"/>
          <w:sz w:val="24"/>
          <w:szCs w:val="24"/>
          <w:highlight w:val="none"/>
        </w:rPr>
        <w:t>1.2技术标详细评审（</w:t>
      </w:r>
      <w:r>
        <w:rPr>
          <w:rFonts w:hint="eastAsia" w:ascii="宋体" w:hAnsi="宋体" w:eastAsia="宋体" w:cs="宋体"/>
          <w:color w:val="auto"/>
          <w:sz w:val="24"/>
          <w:szCs w:val="24"/>
          <w:highlight w:val="none"/>
          <w:u w:val="single"/>
        </w:rPr>
        <w:t xml:space="preserve"> </w:t>
      </w:r>
      <w:r>
        <w:rPr>
          <w:rFonts w:hint="eastAsia" w:hAnsi="宋体" w:eastAsia="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 xml:space="preserve">0 </w:t>
      </w:r>
      <w:r>
        <w:rPr>
          <w:rFonts w:hint="eastAsia" w:ascii="宋体" w:hAnsi="宋体" w:eastAsia="宋体" w:cs="宋体"/>
          <w:color w:val="auto"/>
          <w:sz w:val="24"/>
          <w:szCs w:val="24"/>
          <w:highlight w:val="none"/>
        </w:rPr>
        <w:t>分）</w:t>
      </w:r>
    </w:p>
    <w:tbl>
      <w:tblPr>
        <w:tblStyle w:val="22"/>
        <w:tblW w:w="8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245"/>
        <w:gridCol w:w="873"/>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07" w:type="dxa"/>
            <w:noWrap w:val="0"/>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序号</w:t>
            </w:r>
          </w:p>
        </w:tc>
        <w:tc>
          <w:tcPr>
            <w:tcW w:w="1245" w:type="dxa"/>
            <w:noWrap w:val="0"/>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评分因素</w:t>
            </w:r>
          </w:p>
        </w:tc>
        <w:tc>
          <w:tcPr>
            <w:tcW w:w="873" w:type="dxa"/>
            <w:noWrap w:val="0"/>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分值</w:t>
            </w:r>
          </w:p>
        </w:tc>
        <w:tc>
          <w:tcPr>
            <w:tcW w:w="5749" w:type="dxa"/>
            <w:noWrap w:val="0"/>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707" w:type="dxa"/>
            <w:vMerge w:val="restart"/>
            <w:noWrap w:val="0"/>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1</w:t>
            </w:r>
          </w:p>
          <w:p>
            <w:pPr>
              <w:spacing w:line="360" w:lineRule="auto"/>
              <w:jc w:val="center"/>
              <w:rPr>
                <w:rFonts w:hint="eastAsia" w:ascii="宋体" w:hAnsi="宋体" w:eastAsia="宋体" w:cs="宋体"/>
                <w:sz w:val="22"/>
                <w:szCs w:val="22"/>
              </w:rPr>
            </w:pPr>
          </w:p>
        </w:tc>
        <w:tc>
          <w:tcPr>
            <w:tcW w:w="1245" w:type="dxa"/>
            <w:vMerge w:val="restart"/>
            <w:noWrap w:val="0"/>
            <w:vAlign w:val="center"/>
          </w:tcPr>
          <w:p>
            <w:pPr>
              <w:pStyle w:val="49"/>
              <w:spacing w:line="360" w:lineRule="auto"/>
              <w:rPr>
                <w:rFonts w:hint="eastAsia" w:ascii="宋体" w:hAnsi="宋体" w:eastAsia="宋体" w:cs="宋体"/>
                <w:sz w:val="22"/>
                <w:szCs w:val="22"/>
              </w:rPr>
            </w:pPr>
            <w:r>
              <w:rPr>
                <w:rFonts w:hint="eastAsia" w:ascii="宋体" w:hAnsi="宋体" w:eastAsia="宋体" w:cs="宋体"/>
                <w:bCs w:val="0"/>
                <w:sz w:val="22"/>
                <w:szCs w:val="22"/>
              </w:rPr>
              <w:t>公司资质与技术实力（共10分）</w:t>
            </w:r>
          </w:p>
        </w:tc>
        <w:tc>
          <w:tcPr>
            <w:tcW w:w="873" w:type="dxa"/>
            <w:noWrap w:val="0"/>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1分</w:t>
            </w:r>
          </w:p>
        </w:tc>
        <w:tc>
          <w:tcPr>
            <w:tcW w:w="5749" w:type="dxa"/>
            <w:noWrap w:val="0"/>
            <w:vAlign w:val="center"/>
          </w:tcPr>
          <w:p>
            <w:pPr>
              <w:pStyle w:val="49"/>
              <w:numPr>
                <w:ilvl w:val="0"/>
                <w:numId w:val="0"/>
              </w:numPr>
              <w:spacing w:line="360" w:lineRule="auto"/>
              <w:jc w:val="both"/>
              <w:rPr>
                <w:rFonts w:hint="eastAsia" w:ascii="宋体" w:hAnsi="宋体" w:eastAsia="宋体" w:cs="宋体"/>
                <w:bCs w:val="0"/>
                <w:sz w:val="22"/>
                <w:szCs w:val="22"/>
              </w:rPr>
            </w:pPr>
            <w:r>
              <w:rPr>
                <w:rFonts w:hint="eastAsia" w:ascii="宋体" w:hAnsi="宋体" w:eastAsia="宋体" w:cs="宋体"/>
                <w:bCs w:val="0"/>
                <w:sz w:val="22"/>
                <w:szCs w:val="22"/>
                <w:lang w:val="en-US" w:eastAsia="zh-CN"/>
              </w:rPr>
              <w:t>1、</w:t>
            </w:r>
            <w:r>
              <w:rPr>
                <w:rFonts w:hint="eastAsia" w:ascii="宋体" w:hAnsi="宋体" w:eastAsia="宋体" w:cs="宋体"/>
                <w:bCs w:val="0"/>
                <w:sz w:val="22"/>
                <w:szCs w:val="22"/>
              </w:rPr>
              <w:t>具有系统集成三级及以上资质，得0.5分；</w:t>
            </w:r>
          </w:p>
          <w:p>
            <w:pPr>
              <w:pStyle w:val="49"/>
              <w:numPr>
                <w:ilvl w:val="0"/>
                <w:numId w:val="0"/>
              </w:numPr>
              <w:spacing w:line="360" w:lineRule="auto"/>
              <w:jc w:val="both"/>
              <w:rPr>
                <w:rFonts w:hint="eastAsia" w:ascii="宋体" w:hAnsi="宋体" w:eastAsia="宋体" w:cs="宋体"/>
                <w:bCs w:val="0"/>
                <w:sz w:val="22"/>
                <w:szCs w:val="22"/>
              </w:rPr>
            </w:pPr>
            <w:r>
              <w:rPr>
                <w:rFonts w:hint="eastAsia" w:ascii="宋体" w:hAnsi="宋体" w:eastAsia="宋体" w:cs="宋体"/>
                <w:bCs w:val="0"/>
                <w:sz w:val="22"/>
                <w:szCs w:val="22"/>
                <w:lang w:val="en-US" w:eastAsia="zh-CN"/>
              </w:rPr>
              <w:t>2、</w:t>
            </w:r>
            <w:r>
              <w:rPr>
                <w:rFonts w:hint="eastAsia" w:ascii="宋体" w:hAnsi="宋体" w:eastAsia="宋体" w:cs="宋体"/>
                <w:bCs w:val="0"/>
                <w:sz w:val="22"/>
                <w:szCs w:val="22"/>
              </w:rPr>
              <w:t>通过并具有国家住房和城乡建设部</w:t>
            </w:r>
            <w:r>
              <w:rPr>
                <w:rFonts w:hint="eastAsia" w:ascii="宋体" w:hAnsi="宋体" w:eastAsia="宋体" w:cs="宋体"/>
                <w:bCs w:val="0"/>
                <w:sz w:val="22"/>
                <w:szCs w:val="22"/>
                <w:lang w:val="zh-TW" w:eastAsia="zh-TW"/>
              </w:rPr>
              <w:t>颁发的</w:t>
            </w:r>
            <w:r>
              <w:rPr>
                <w:rFonts w:hint="eastAsia" w:ascii="宋体" w:hAnsi="宋体" w:eastAsia="宋体" w:cs="宋体"/>
                <w:bCs w:val="0"/>
                <w:sz w:val="22"/>
                <w:szCs w:val="22"/>
              </w:rPr>
              <w:t>工作单管理软件测评证书的，得0.5分。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707" w:type="dxa"/>
            <w:vMerge w:val="continue"/>
            <w:noWrap w:val="0"/>
            <w:vAlign w:val="center"/>
          </w:tcPr>
          <w:p>
            <w:pPr>
              <w:spacing w:line="360" w:lineRule="auto"/>
              <w:jc w:val="center"/>
              <w:rPr>
                <w:rFonts w:hint="eastAsia" w:ascii="宋体" w:hAnsi="宋体" w:eastAsia="宋体" w:cs="宋体"/>
                <w:sz w:val="22"/>
                <w:szCs w:val="22"/>
              </w:rPr>
            </w:pPr>
          </w:p>
        </w:tc>
        <w:tc>
          <w:tcPr>
            <w:tcW w:w="1245" w:type="dxa"/>
            <w:vMerge w:val="continue"/>
            <w:noWrap w:val="0"/>
            <w:vAlign w:val="center"/>
          </w:tcPr>
          <w:p>
            <w:pPr>
              <w:spacing w:line="360" w:lineRule="auto"/>
              <w:jc w:val="center"/>
              <w:rPr>
                <w:rFonts w:hint="eastAsia" w:ascii="宋体" w:hAnsi="宋体" w:eastAsia="宋体" w:cs="宋体"/>
                <w:sz w:val="22"/>
                <w:szCs w:val="22"/>
              </w:rPr>
            </w:pPr>
          </w:p>
        </w:tc>
        <w:tc>
          <w:tcPr>
            <w:tcW w:w="873" w:type="dxa"/>
            <w:noWrap w:val="0"/>
            <w:vAlign w:val="center"/>
          </w:tcPr>
          <w:p>
            <w:pPr>
              <w:spacing w:line="360" w:lineRule="auto"/>
              <w:jc w:val="center"/>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4</w:t>
            </w:r>
            <w:r>
              <w:rPr>
                <w:rFonts w:hint="eastAsia" w:ascii="宋体" w:hAnsi="宋体" w:eastAsia="宋体" w:cs="宋体"/>
                <w:sz w:val="22"/>
                <w:szCs w:val="22"/>
                <w:highlight w:val="none"/>
              </w:rPr>
              <w:t>分</w:t>
            </w:r>
          </w:p>
        </w:tc>
        <w:tc>
          <w:tcPr>
            <w:tcW w:w="5749" w:type="dxa"/>
            <w:noWrap w:val="0"/>
            <w:vAlign w:val="center"/>
          </w:tcPr>
          <w:p>
            <w:pPr>
              <w:widowControl/>
              <w:spacing w:line="360" w:lineRule="auto"/>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rPr>
              <w:t>自2019年以来（含2019年）每具有一个与本项目同类型的水务类信息化项目且建设内容包含4G智能网关模块，</w:t>
            </w:r>
            <w:r>
              <w:rPr>
                <w:rFonts w:hint="eastAsia" w:ascii="宋体" w:hAnsi="宋体" w:eastAsia="宋体" w:cs="宋体"/>
                <w:sz w:val="22"/>
                <w:szCs w:val="22"/>
                <w:highlight w:val="none"/>
                <w:lang w:val="en-US" w:eastAsia="zh-CN"/>
              </w:rPr>
              <w:t>提供一个得1分，最高</w:t>
            </w:r>
            <w:r>
              <w:rPr>
                <w:rFonts w:hint="eastAsia" w:ascii="宋体" w:hAnsi="宋体" w:eastAsia="宋体" w:cs="宋体"/>
                <w:sz w:val="22"/>
                <w:szCs w:val="22"/>
                <w:highlight w:val="none"/>
              </w:rPr>
              <w:t>得</w:t>
            </w:r>
            <w:r>
              <w:rPr>
                <w:rFonts w:hint="eastAsia" w:ascii="宋体" w:hAnsi="宋体" w:eastAsia="宋体" w:cs="宋体"/>
                <w:sz w:val="22"/>
                <w:szCs w:val="22"/>
                <w:highlight w:val="none"/>
                <w:lang w:val="en-US" w:eastAsia="zh-CN"/>
              </w:rPr>
              <w:t>4</w:t>
            </w:r>
            <w:r>
              <w:rPr>
                <w:rFonts w:hint="eastAsia" w:ascii="宋体" w:hAnsi="宋体" w:eastAsia="宋体" w:cs="宋体"/>
                <w:sz w:val="22"/>
                <w:szCs w:val="22"/>
                <w:highlight w:val="none"/>
              </w:rPr>
              <w:t>分。</w:t>
            </w:r>
            <w:r>
              <w:rPr>
                <w:rFonts w:hint="eastAsia" w:ascii="宋体" w:hAnsi="宋体" w:eastAsia="宋体" w:cs="宋体"/>
                <w:sz w:val="22"/>
                <w:szCs w:val="22"/>
                <w:highlight w:val="none"/>
                <w:lang w:eastAsia="zh-CN"/>
              </w:rPr>
              <w:t>（</w:t>
            </w:r>
            <w:r>
              <w:rPr>
                <w:rFonts w:hint="eastAsia" w:ascii="宋体" w:hAnsi="宋体" w:eastAsia="宋体" w:cs="宋体"/>
                <w:bCs w:val="0"/>
                <w:sz w:val="22"/>
                <w:szCs w:val="22"/>
                <w:highlight w:val="none"/>
              </w:rPr>
              <w:t>以合同签订日期为准，合同名称能够明确识别业绩相关性。合同业绩的甲方必须为水务运营主体单位或水务企业，且不与投标方存在关联公司情况、资本合作或参股情况。</w:t>
            </w:r>
            <w:r>
              <w:rPr>
                <w:rFonts w:hint="eastAsia" w:ascii="宋体" w:hAnsi="宋体" w:eastAsia="宋体" w:cs="宋体"/>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07" w:type="dxa"/>
            <w:vMerge w:val="continue"/>
            <w:noWrap w:val="0"/>
            <w:vAlign w:val="center"/>
          </w:tcPr>
          <w:p>
            <w:pPr>
              <w:spacing w:line="360" w:lineRule="auto"/>
              <w:jc w:val="center"/>
              <w:rPr>
                <w:rFonts w:hint="eastAsia" w:ascii="宋体" w:hAnsi="宋体" w:eastAsia="宋体" w:cs="宋体"/>
                <w:sz w:val="22"/>
                <w:szCs w:val="22"/>
              </w:rPr>
            </w:pPr>
          </w:p>
        </w:tc>
        <w:tc>
          <w:tcPr>
            <w:tcW w:w="1245" w:type="dxa"/>
            <w:vMerge w:val="continue"/>
            <w:noWrap w:val="0"/>
            <w:vAlign w:val="center"/>
          </w:tcPr>
          <w:p>
            <w:pPr>
              <w:spacing w:line="360" w:lineRule="auto"/>
              <w:jc w:val="center"/>
              <w:rPr>
                <w:rFonts w:hint="eastAsia" w:ascii="宋体" w:hAnsi="宋体" w:eastAsia="宋体" w:cs="宋体"/>
                <w:sz w:val="22"/>
                <w:szCs w:val="22"/>
              </w:rPr>
            </w:pPr>
          </w:p>
        </w:tc>
        <w:tc>
          <w:tcPr>
            <w:tcW w:w="873" w:type="dxa"/>
            <w:noWrap w:val="0"/>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1分</w:t>
            </w:r>
          </w:p>
        </w:tc>
        <w:tc>
          <w:tcPr>
            <w:tcW w:w="5749" w:type="dxa"/>
            <w:noWrap w:val="0"/>
            <w:vAlign w:val="center"/>
          </w:tcPr>
          <w:p>
            <w:pPr>
              <w:pStyle w:val="49"/>
              <w:spacing w:line="360" w:lineRule="auto"/>
              <w:rPr>
                <w:rFonts w:hint="eastAsia" w:ascii="宋体" w:hAnsi="宋体" w:eastAsia="宋体" w:cs="宋体"/>
                <w:bCs w:val="0"/>
                <w:sz w:val="22"/>
                <w:szCs w:val="22"/>
              </w:rPr>
            </w:pPr>
            <w:r>
              <w:rPr>
                <w:rFonts w:hint="eastAsia" w:ascii="宋体" w:hAnsi="宋体" w:eastAsia="宋体" w:cs="宋体"/>
                <w:bCs w:val="0"/>
                <w:sz w:val="22"/>
                <w:szCs w:val="22"/>
                <w:lang w:val="en-US" w:eastAsia="zh-CN"/>
              </w:rPr>
              <w:t>1、</w:t>
            </w:r>
            <w:r>
              <w:rPr>
                <w:rFonts w:hint="eastAsia" w:ascii="宋体" w:hAnsi="宋体" w:eastAsia="宋体" w:cs="宋体"/>
                <w:bCs w:val="0"/>
                <w:sz w:val="22"/>
                <w:szCs w:val="22"/>
              </w:rPr>
              <w:t>近三年实施的水务信息化类项目每获得一次省级、国家级或协会行业类科技进步/优秀工程金奖的得0.5分；</w:t>
            </w:r>
          </w:p>
          <w:p>
            <w:pPr>
              <w:pStyle w:val="49"/>
              <w:spacing w:line="360" w:lineRule="auto"/>
              <w:rPr>
                <w:rFonts w:hint="eastAsia" w:ascii="宋体" w:hAnsi="宋体" w:eastAsia="宋体" w:cs="宋体"/>
                <w:bCs w:val="0"/>
                <w:sz w:val="22"/>
                <w:szCs w:val="22"/>
              </w:rPr>
            </w:pPr>
            <w:r>
              <w:rPr>
                <w:rFonts w:hint="eastAsia" w:ascii="宋体" w:hAnsi="宋体" w:eastAsia="宋体" w:cs="宋体"/>
                <w:bCs w:val="0"/>
                <w:sz w:val="22"/>
                <w:szCs w:val="22"/>
                <w:lang w:val="en-US" w:eastAsia="zh-CN"/>
              </w:rPr>
              <w:t>2、</w:t>
            </w:r>
            <w:r>
              <w:rPr>
                <w:rFonts w:hint="eastAsia" w:ascii="宋体" w:hAnsi="宋体" w:eastAsia="宋体" w:cs="宋体"/>
                <w:bCs w:val="0"/>
                <w:sz w:val="22"/>
                <w:szCs w:val="22"/>
              </w:rPr>
              <w:t>每获得一次省级、国家级或协会行业类科技进步/优秀工程银铜奖或二三等奖的得0.5分。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07" w:type="dxa"/>
            <w:vMerge w:val="continue"/>
            <w:noWrap w:val="0"/>
            <w:vAlign w:val="center"/>
          </w:tcPr>
          <w:p>
            <w:pPr>
              <w:spacing w:line="360" w:lineRule="auto"/>
              <w:jc w:val="center"/>
              <w:rPr>
                <w:rFonts w:hint="eastAsia" w:ascii="宋体" w:hAnsi="宋体" w:eastAsia="宋体" w:cs="宋体"/>
                <w:sz w:val="22"/>
                <w:szCs w:val="22"/>
              </w:rPr>
            </w:pPr>
          </w:p>
        </w:tc>
        <w:tc>
          <w:tcPr>
            <w:tcW w:w="1245" w:type="dxa"/>
            <w:vMerge w:val="continue"/>
            <w:noWrap w:val="0"/>
            <w:vAlign w:val="center"/>
          </w:tcPr>
          <w:p>
            <w:pPr>
              <w:spacing w:line="360" w:lineRule="auto"/>
              <w:jc w:val="center"/>
              <w:rPr>
                <w:rFonts w:hint="eastAsia" w:ascii="宋体" w:hAnsi="宋体" w:eastAsia="宋体" w:cs="宋体"/>
                <w:sz w:val="22"/>
                <w:szCs w:val="22"/>
              </w:rPr>
            </w:pPr>
          </w:p>
        </w:tc>
        <w:tc>
          <w:tcPr>
            <w:tcW w:w="873" w:type="dxa"/>
            <w:noWrap w:val="0"/>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4分</w:t>
            </w:r>
          </w:p>
        </w:tc>
        <w:tc>
          <w:tcPr>
            <w:tcW w:w="5749" w:type="dxa"/>
            <w:noWrap w:val="0"/>
            <w:vAlign w:val="center"/>
          </w:tcPr>
          <w:p>
            <w:pPr>
              <w:pStyle w:val="49"/>
              <w:spacing w:line="360" w:lineRule="auto"/>
              <w:rPr>
                <w:rFonts w:hint="eastAsia" w:ascii="宋体" w:hAnsi="宋体" w:eastAsia="宋体" w:cs="宋体"/>
                <w:bCs w:val="0"/>
                <w:sz w:val="22"/>
                <w:szCs w:val="22"/>
              </w:rPr>
            </w:pPr>
            <w:r>
              <w:rPr>
                <w:rFonts w:hint="eastAsia" w:ascii="宋体" w:hAnsi="宋体" w:eastAsia="宋体" w:cs="宋体"/>
                <w:bCs w:val="0"/>
                <w:sz w:val="22"/>
                <w:szCs w:val="22"/>
              </w:rPr>
              <w:t>项目负责的项目经理具有PMP证书得2分；</w:t>
            </w:r>
          </w:p>
          <w:p>
            <w:pPr>
              <w:pStyle w:val="7"/>
              <w:spacing w:line="360" w:lineRule="auto"/>
              <w:ind w:left="0" w:leftChars="0" w:firstLine="0" w:firstLineChars="0"/>
              <w:rPr>
                <w:rFonts w:hint="eastAsia" w:ascii="宋体" w:hAnsi="宋体" w:eastAsia="宋体" w:cs="宋体"/>
                <w:sz w:val="22"/>
                <w:szCs w:val="22"/>
              </w:rPr>
            </w:pPr>
            <w:r>
              <w:rPr>
                <w:rFonts w:hint="eastAsia" w:ascii="宋体" w:hAnsi="宋体" w:eastAsia="宋体" w:cs="宋体"/>
                <w:sz w:val="22"/>
                <w:szCs w:val="22"/>
              </w:rPr>
              <w:t>项目负责的开发人员具有相应的软件证书（嵌入式系统设计师/软件开发工程师等）得2分。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07" w:type="dxa"/>
            <w:vMerge w:val="restart"/>
            <w:noWrap w:val="0"/>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2</w:t>
            </w:r>
          </w:p>
        </w:tc>
        <w:tc>
          <w:tcPr>
            <w:tcW w:w="1245" w:type="dxa"/>
            <w:vMerge w:val="restart"/>
            <w:noWrap w:val="0"/>
            <w:vAlign w:val="center"/>
          </w:tcPr>
          <w:p>
            <w:pPr>
              <w:pStyle w:val="49"/>
              <w:spacing w:line="360" w:lineRule="auto"/>
              <w:rPr>
                <w:rFonts w:hint="eastAsia" w:ascii="宋体" w:hAnsi="宋体" w:eastAsia="宋体" w:cs="宋体"/>
                <w:sz w:val="22"/>
                <w:szCs w:val="22"/>
              </w:rPr>
            </w:pPr>
            <w:r>
              <w:rPr>
                <w:rFonts w:hint="eastAsia" w:ascii="宋体" w:hAnsi="宋体" w:eastAsia="宋体" w:cs="宋体"/>
                <w:bCs w:val="0"/>
                <w:sz w:val="22"/>
                <w:szCs w:val="22"/>
              </w:rPr>
              <w:t>方案设计（共</w:t>
            </w:r>
            <w:r>
              <w:rPr>
                <w:rFonts w:hint="eastAsia" w:ascii="宋体" w:hAnsi="宋体" w:eastAsia="宋体" w:cs="宋体"/>
                <w:bCs w:val="0"/>
                <w:sz w:val="22"/>
                <w:szCs w:val="22"/>
                <w:lang w:val="en-US" w:eastAsia="zh-CN"/>
              </w:rPr>
              <w:t>30分</w:t>
            </w:r>
            <w:r>
              <w:rPr>
                <w:rFonts w:hint="eastAsia" w:ascii="宋体" w:hAnsi="宋体" w:eastAsia="宋体" w:cs="宋体"/>
                <w:bCs w:val="0"/>
                <w:sz w:val="22"/>
                <w:szCs w:val="22"/>
              </w:rPr>
              <w:t>）</w:t>
            </w:r>
          </w:p>
        </w:tc>
        <w:tc>
          <w:tcPr>
            <w:tcW w:w="873" w:type="dxa"/>
            <w:noWrap w:val="0"/>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0-</w:t>
            </w:r>
            <w:r>
              <w:rPr>
                <w:rFonts w:hint="eastAsia" w:ascii="宋体" w:hAnsi="宋体" w:eastAsia="宋体" w:cs="宋体"/>
                <w:sz w:val="22"/>
                <w:szCs w:val="22"/>
                <w:lang w:val="en-US" w:eastAsia="zh-CN"/>
              </w:rPr>
              <w:t>8</w:t>
            </w:r>
            <w:r>
              <w:rPr>
                <w:rFonts w:hint="eastAsia" w:ascii="宋体" w:hAnsi="宋体" w:eastAsia="宋体" w:cs="宋体"/>
                <w:sz w:val="22"/>
                <w:szCs w:val="22"/>
              </w:rPr>
              <w:t>分</w:t>
            </w:r>
          </w:p>
        </w:tc>
        <w:tc>
          <w:tcPr>
            <w:tcW w:w="5749" w:type="dxa"/>
            <w:noWrap w:val="0"/>
            <w:vAlign w:val="center"/>
          </w:tcPr>
          <w:p>
            <w:pPr>
              <w:pStyle w:val="49"/>
              <w:spacing w:line="360" w:lineRule="auto"/>
              <w:rPr>
                <w:rFonts w:hint="eastAsia" w:ascii="宋体" w:hAnsi="宋体" w:eastAsia="宋体" w:cs="宋体"/>
                <w:bCs w:val="0"/>
                <w:color w:val="auto"/>
                <w:sz w:val="22"/>
                <w:szCs w:val="22"/>
              </w:rPr>
            </w:pPr>
            <w:r>
              <w:rPr>
                <w:rFonts w:hint="eastAsia" w:ascii="宋体" w:hAnsi="宋体" w:eastAsia="宋体" w:cs="宋体"/>
                <w:bCs w:val="0"/>
                <w:sz w:val="22"/>
                <w:szCs w:val="22"/>
              </w:rPr>
              <w:t>总体性设计达到要求，充分考虑采购人系统需求，是否满足项目落地实施的要求，符合系统整体设计原则、设计合理、具备良好的可靠性、扩展性、易操作性，具有严格的网络安全机制。</w:t>
            </w:r>
          </w:p>
          <w:p>
            <w:pPr>
              <w:pStyle w:val="49"/>
              <w:spacing w:line="360" w:lineRule="auto"/>
              <w:rPr>
                <w:rFonts w:hint="eastAsia" w:ascii="宋体" w:hAnsi="宋体" w:eastAsia="宋体" w:cs="宋体"/>
                <w:bCs w:val="0"/>
                <w:sz w:val="22"/>
                <w:szCs w:val="22"/>
              </w:rPr>
            </w:pPr>
            <w:r>
              <w:rPr>
                <w:rFonts w:hint="eastAsia" w:ascii="宋体" w:hAnsi="宋体" w:eastAsia="宋体" w:cs="宋体"/>
                <w:bCs w:val="0"/>
                <w:color w:val="auto"/>
                <w:sz w:val="22"/>
                <w:szCs w:val="22"/>
              </w:rPr>
              <w:t>依据与招标要求的响应度进行横向比较综合打分。排名第一的得</w:t>
            </w:r>
            <w:r>
              <w:rPr>
                <w:rFonts w:hint="eastAsia" w:ascii="宋体" w:hAnsi="宋体" w:eastAsia="宋体" w:cs="宋体"/>
                <w:bCs w:val="0"/>
                <w:color w:val="auto"/>
                <w:sz w:val="22"/>
                <w:szCs w:val="22"/>
                <w:lang w:val="en-US" w:eastAsia="zh-CN"/>
              </w:rPr>
              <w:t>8</w:t>
            </w:r>
            <w:r>
              <w:rPr>
                <w:rFonts w:hint="eastAsia" w:ascii="宋体" w:hAnsi="宋体" w:eastAsia="宋体" w:cs="宋体"/>
                <w:bCs w:val="0"/>
                <w:color w:val="auto"/>
                <w:sz w:val="22"/>
                <w:szCs w:val="22"/>
              </w:rPr>
              <w:t>分，第二的得</w:t>
            </w:r>
            <w:r>
              <w:rPr>
                <w:rFonts w:hint="eastAsia" w:ascii="宋体" w:hAnsi="宋体" w:eastAsia="宋体" w:cs="宋体"/>
                <w:bCs w:val="0"/>
                <w:color w:val="auto"/>
                <w:sz w:val="22"/>
                <w:szCs w:val="22"/>
                <w:lang w:val="en-US" w:eastAsia="zh-CN"/>
              </w:rPr>
              <w:t>5</w:t>
            </w:r>
            <w:r>
              <w:rPr>
                <w:rFonts w:hint="eastAsia" w:ascii="宋体" w:hAnsi="宋体" w:eastAsia="宋体" w:cs="宋体"/>
                <w:bCs w:val="0"/>
                <w:color w:val="auto"/>
                <w:sz w:val="22"/>
                <w:szCs w:val="22"/>
              </w:rPr>
              <w:t>分，第三的得</w:t>
            </w:r>
            <w:r>
              <w:rPr>
                <w:rFonts w:hint="eastAsia" w:ascii="宋体" w:hAnsi="宋体" w:eastAsia="宋体" w:cs="宋体"/>
                <w:bCs w:val="0"/>
                <w:color w:val="auto"/>
                <w:sz w:val="22"/>
                <w:szCs w:val="22"/>
                <w:lang w:val="en-US" w:eastAsia="zh-CN"/>
              </w:rPr>
              <w:t>2</w:t>
            </w:r>
            <w:r>
              <w:rPr>
                <w:rFonts w:hint="eastAsia" w:ascii="宋体" w:hAnsi="宋体" w:eastAsia="宋体" w:cs="宋体"/>
                <w:bCs w:val="0"/>
                <w:color w:val="auto"/>
                <w:sz w:val="22"/>
                <w:szCs w:val="22"/>
              </w:rPr>
              <w:t>分，其他的</w:t>
            </w:r>
            <w:r>
              <w:rPr>
                <w:rFonts w:hint="eastAsia" w:ascii="宋体" w:hAnsi="宋体" w:eastAsia="宋体" w:cs="宋体"/>
                <w:bCs w:val="0"/>
                <w:color w:val="auto"/>
                <w:sz w:val="22"/>
                <w:szCs w:val="22"/>
                <w:lang w:val="en-US" w:eastAsia="zh-CN"/>
              </w:rPr>
              <w:t>不得分</w:t>
            </w:r>
            <w:r>
              <w:rPr>
                <w:rFonts w:hint="eastAsia" w:ascii="宋体" w:hAnsi="宋体" w:eastAsia="宋体" w:cs="宋体"/>
                <w:bCs w:val="0"/>
                <w:color w:val="auto"/>
                <w:sz w:val="22"/>
                <w:szCs w:val="22"/>
              </w:rPr>
              <w:t>，不同供应商之间名次可并列且不影响后</w:t>
            </w:r>
            <w:r>
              <w:rPr>
                <w:rFonts w:hint="eastAsia" w:ascii="宋体" w:hAnsi="宋体" w:eastAsia="宋体" w:cs="宋体"/>
                <w:bCs w:val="0"/>
                <w:sz w:val="22"/>
                <w:szCs w:val="22"/>
              </w:rPr>
              <w:t>续供应商排名。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07" w:type="dxa"/>
            <w:vMerge w:val="continue"/>
            <w:noWrap w:val="0"/>
            <w:vAlign w:val="center"/>
          </w:tcPr>
          <w:p>
            <w:pPr>
              <w:spacing w:line="360" w:lineRule="auto"/>
              <w:jc w:val="center"/>
              <w:rPr>
                <w:rFonts w:hint="eastAsia" w:ascii="宋体" w:hAnsi="宋体" w:eastAsia="宋体" w:cs="宋体"/>
                <w:sz w:val="22"/>
                <w:szCs w:val="22"/>
              </w:rPr>
            </w:pPr>
          </w:p>
        </w:tc>
        <w:tc>
          <w:tcPr>
            <w:tcW w:w="1245" w:type="dxa"/>
            <w:vMerge w:val="continue"/>
            <w:noWrap w:val="0"/>
            <w:vAlign w:val="center"/>
          </w:tcPr>
          <w:p>
            <w:pPr>
              <w:spacing w:line="360" w:lineRule="auto"/>
              <w:jc w:val="center"/>
              <w:rPr>
                <w:rFonts w:hint="eastAsia" w:ascii="宋体" w:hAnsi="宋体" w:eastAsia="宋体" w:cs="宋体"/>
                <w:sz w:val="22"/>
                <w:szCs w:val="22"/>
              </w:rPr>
            </w:pPr>
          </w:p>
        </w:tc>
        <w:tc>
          <w:tcPr>
            <w:tcW w:w="873" w:type="dxa"/>
            <w:noWrap w:val="0"/>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0-</w:t>
            </w:r>
            <w:r>
              <w:rPr>
                <w:rFonts w:hint="eastAsia" w:ascii="宋体" w:hAnsi="宋体" w:eastAsia="宋体" w:cs="宋体"/>
                <w:sz w:val="22"/>
                <w:szCs w:val="22"/>
                <w:lang w:val="en-US" w:eastAsia="zh-CN"/>
              </w:rPr>
              <w:t>8</w:t>
            </w:r>
            <w:r>
              <w:rPr>
                <w:rFonts w:hint="eastAsia" w:ascii="宋体" w:hAnsi="宋体" w:eastAsia="宋体" w:cs="宋体"/>
                <w:sz w:val="22"/>
                <w:szCs w:val="22"/>
              </w:rPr>
              <w:t>分</w:t>
            </w:r>
          </w:p>
        </w:tc>
        <w:tc>
          <w:tcPr>
            <w:tcW w:w="5749" w:type="dxa"/>
            <w:noWrap w:val="0"/>
            <w:vAlign w:val="center"/>
          </w:tcPr>
          <w:p>
            <w:pPr>
              <w:pStyle w:val="49"/>
              <w:spacing w:line="360" w:lineRule="auto"/>
              <w:rPr>
                <w:rFonts w:hint="eastAsia" w:ascii="宋体" w:hAnsi="宋体" w:eastAsia="宋体" w:cs="宋体"/>
                <w:bCs w:val="0"/>
                <w:color w:val="auto"/>
                <w:sz w:val="22"/>
                <w:szCs w:val="22"/>
              </w:rPr>
            </w:pPr>
            <w:r>
              <w:rPr>
                <w:rFonts w:hint="eastAsia" w:ascii="宋体" w:hAnsi="宋体" w:eastAsia="宋体" w:cs="宋体"/>
                <w:bCs w:val="0"/>
                <w:sz w:val="22"/>
                <w:szCs w:val="22"/>
              </w:rPr>
              <w:t>物联网卡支持流量池、流量共享、达量断网、达量限速功能；物联网卡能与终端绑定；提供管理平台，能实现自动化监测流量使用情况及生命周期</w:t>
            </w:r>
            <w:r>
              <w:rPr>
                <w:rFonts w:hint="eastAsia" w:ascii="宋体" w:hAnsi="宋体" w:eastAsia="宋体" w:cs="宋体"/>
                <w:bCs w:val="0"/>
                <w:color w:val="auto"/>
                <w:sz w:val="22"/>
                <w:szCs w:val="22"/>
              </w:rPr>
              <w:t>管理功能。</w:t>
            </w:r>
          </w:p>
          <w:p>
            <w:pPr>
              <w:pStyle w:val="49"/>
              <w:spacing w:line="360" w:lineRule="auto"/>
              <w:rPr>
                <w:rFonts w:hint="eastAsia" w:ascii="宋体" w:hAnsi="宋体" w:eastAsia="宋体" w:cs="宋体"/>
                <w:bCs w:val="0"/>
                <w:sz w:val="22"/>
                <w:szCs w:val="22"/>
              </w:rPr>
            </w:pPr>
            <w:r>
              <w:rPr>
                <w:rFonts w:hint="eastAsia" w:ascii="宋体" w:hAnsi="宋体" w:eastAsia="宋体" w:cs="宋体"/>
                <w:bCs w:val="0"/>
                <w:color w:val="auto"/>
                <w:sz w:val="22"/>
                <w:szCs w:val="22"/>
              </w:rPr>
              <w:t>依据与招标要求的响应度进行横向比较综合打分。排名第一的得</w:t>
            </w:r>
            <w:r>
              <w:rPr>
                <w:rFonts w:hint="eastAsia" w:ascii="宋体" w:hAnsi="宋体" w:eastAsia="宋体" w:cs="宋体"/>
                <w:bCs w:val="0"/>
                <w:color w:val="auto"/>
                <w:sz w:val="22"/>
                <w:szCs w:val="22"/>
                <w:lang w:val="en-US" w:eastAsia="zh-CN"/>
              </w:rPr>
              <w:t>8</w:t>
            </w:r>
            <w:r>
              <w:rPr>
                <w:rFonts w:hint="eastAsia" w:ascii="宋体" w:hAnsi="宋体" w:eastAsia="宋体" w:cs="宋体"/>
                <w:bCs w:val="0"/>
                <w:color w:val="auto"/>
                <w:sz w:val="22"/>
                <w:szCs w:val="22"/>
              </w:rPr>
              <w:t>分，第二的得</w:t>
            </w:r>
            <w:r>
              <w:rPr>
                <w:rFonts w:hint="eastAsia" w:ascii="宋体" w:hAnsi="宋体" w:eastAsia="宋体" w:cs="宋体"/>
                <w:bCs w:val="0"/>
                <w:color w:val="auto"/>
                <w:sz w:val="22"/>
                <w:szCs w:val="22"/>
                <w:lang w:val="en-US" w:eastAsia="zh-CN"/>
              </w:rPr>
              <w:t>5</w:t>
            </w:r>
            <w:r>
              <w:rPr>
                <w:rFonts w:hint="eastAsia" w:ascii="宋体" w:hAnsi="宋体" w:eastAsia="宋体" w:cs="宋体"/>
                <w:bCs w:val="0"/>
                <w:color w:val="auto"/>
                <w:sz w:val="22"/>
                <w:szCs w:val="22"/>
              </w:rPr>
              <w:t>分，第三的得</w:t>
            </w:r>
            <w:r>
              <w:rPr>
                <w:rFonts w:hint="eastAsia" w:ascii="宋体" w:hAnsi="宋体" w:eastAsia="宋体" w:cs="宋体"/>
                <w:bCs w:val="0"/>
                <w:color w:val="auto"/>
                <w:sz w:val="22"/>
                <w:szCs w:val="22"/>
                <w:lang w:val="en-US" w:eastAsia="zh-CN"/>
              </w:rPr>
              <w:t>2</w:t>
            </w:r>
            <w:r>
              <w:rPr>
                <w:rFonts w:hint="eastAsia" w:ascii="宋体" w:hAnsi="宋体" w:eastAsia="宋体" w:cs="宋体"/>
                <w:bCs w:val="0"/>
                <w:color w:val="auto"/>
                <w:sz w:val="22"/>
                <w:szCs w:val="22"/>
              </w:rPr>
              <w:t>分，其他的</w:t>
            </w:r>
            <w:r>
              <w:rPr>
                <w:rFonts w:hint="eastAsia" w:ascii="宋体" w:hAnsi="宋体" w:eastAsia="宋体" w:cs="宋体"/>
                <w:bCs w:val="0"/>
                <w:color w:val="auto"/>
                <w:sz w:val="22"/>
                <w:szCs w:val="22"/>
                <w:lang w:val="en-US" w:eastAsia="zh-CN"/>
              </w:rPr>
              <w:t>不得分</w:t>
            </w:r>
            <w:r>
              <w:rPr>
                <w:rFonts w:hint="eastAsia" w:ascii="宋体" w:hAnsi="宋体" w:eastAsia="宋体" w:cs="宋体"/>
                <w:bCs w:val="0"/>
                <w:color w:val="auto"/>
                <w:sz w:val="22"/>
                <w:szCs w:val="22"/>
              </w:rPr>
              <w:t>，不同供应商之间名次可并列且不</w:t>
            </w:r>
            <w:r>
              <w:rPr>
                <w:rFonts w:hint="eastAsia" w:ascii="宋体" w:hAnsi="宋体" w:eastAsia="宋体" w:cs="宋体"/>
                <w:bCs w:val="0"/>
                <w:sz w:val="22"/>
                <w:szCs w:val="22"/>
              </w:rPr>
              <w:t>影响后续供应商排名。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07" w:type="dxa"/>
            <w:vMerge w:val="continue"/>
            <w:noWrap w:val="0"/>
            <w:vAlign w:val="center"/>
          </w:tcPr>
          <w:p>
            <w:pPr>
              <w:spacing w:line="360" w:lineRule="auto"/>
              <w:jc w:val="center"/>
              <w:rPr>
                <w:rFonts w:hint="eastAsia" w:ascii="宋体" w:hAnsi="宋体" w:eastAsia="宋体" w:cs="宋体"/>
                <w:sz w:val="22"/>
                <w:szCs w:val="22"/>
              </w:rPr>
            </w:pPr>
          </w:p>
        </w:tc>
        <w:tc>
          <w:tcPr>
            <w:tcW w:w="1245" w:type="dxa"/>
            <w:vMerge w:val="continue"/>
            <w:noWrap w:val="0"/>
            <w:vAlign w:val="center"/>
          </w:tcPr>
          <w:p>
            <w:pPr>
              <w:spacing w:line="360" w:lineRule="auto"/>
              <w:jc w:val="center"/>
              <w:rPr>
                <w:rFonts w:hint="eastAsia" w:ascii="宋体" w:hAnsi="宋体" w:eastAsia="宋体" w:cs="宋体"/>
                <w:sz w:val="22"/>
                <w:szCs w:val="22"/>
              </w:rPr>
            </w:pPr>
          </w:p>
        </w:tc>
        <w:tc>
          <w:tcPr>
            <w:tcW w:w="873" w:type="dxa"/>
            <w:noWrap w:val="0"/>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0-</w:t>
            </w:r>
            <w:r>
              <w:rPr>
                <w:rFonts w:hint="eastAsia" w:ascii="宋体" w:hAnsi="宋体" w:eastAsia="宋体" w:cs="宋体"/>
                <w:sz w:val="22"/>
                <w:szCs w:val="22"/>
                <w:lang w:val="en-US" w:eastAsia="zh-CN"/>
              </w:rPr>
              <w:t>7</w:t>
            </w:r>
            <w:r>
              <w:rPr>
                <w:rFonts w:hint="eastAsia" w:ascii="宋体" w:hAnsi="宋体" w:eastAsia="宋体" w:cs="宋体"/>
                <w:sz w:val="22"/>
                <w:szCs w:val="22"/>
              </w:rPr>
              <w:t>分</w:t>
            </w:r>
          </w:p>
        </w:tc>
        <w:tc>
          <w:tcPr>
            <w:tcW w:w="5749" w:type="dxa"/>
            <w:noWrap w:val="0"/>
            <w:vAlign w:val="center"/>
          </w:tcPr>
          <w:p>
            <w:pPr>
              <w:pStyle w:val="49"/>
              <w:spacing w:line="360" w:lineRule="auto"/>
              <w:rPr>
                <w:rFonts w:hint="eastAsia" w:ascii="宋体" w:hAnsi="宋体" w:eastAsia="宋体" w:cs="宋体"/>
                <w:bCs w:val="0"/>
                <w:color w:val="auto"/>
                <w:sz w:val="22"/>
                <w:szCs w:val="22"/>
              </w:rPr>
            </w:pPr>
            <w:r>
              <w:rPr>
                <w:rFonts w:hint="eastAsia" w:ascii="宋体" w:hAnsi="宋体" w:eastAsia="宋体" w:cs="宋体"/>
                <w:bCs w:val="0"/>
                <w:color w:val="auto"/>
                <w:sz w:val="22"/>
                <w:szCs w:val="22"/>
              </w:rPr>
              <w:t>熟悉网络拓扑图情况；具备根据故障现象迅速排查出故障点位置及原因的能力；具备防火墙配置能力；具备网络安全培训能力。</w:t>
            </w:r>
          </w:p>
          <w:p>
            <w:pPr>
              <w:pStyle w:val="49"/>
              <w:spacing w:line="360" w:lineRule="auto"/>
              <w:rPr>
                <w:rFonts w:hint="eastAsia" w:ascii="宋体" w:hAnsi="宋体" w:eastAsia="宋体" w:cs="宋体"/>
                <w:bCs w:val="0"/>
                <w:color w:val="auto"/>
                <w:sz w:val="22"/>
                <w:szCs w:val="22"/>
              </w:rPr>
            </w:pPr>
            <w:r>
              <w:rPr>
                <w:rFonts w:hint="eastAsia" w:ascii="宋体" w:hAnsi="宋体" w:eastAsia="宋体" w:cs="宋体"/>
                <w:bCs w:val="0"/>
                <w:color w:val="auto"/>
                <w:sz w:val="22"/>
                <w:szCs w:val="22"/>
              </w:rPr>
              <w:t>依据与招标要求的响应度进行横向比较综合打分。排名第一的得</w:t>
            </w:r>
            <w:r>
              <w:rPr>
                <w:rFonts w:hint="eastAsia" w:ascii="宋体" w:hAnsi="宋体" w:eastAsia="宋体" w:cs="宋体"/>
                <w:bCs w:val="0"/>
                <w:color w:val="auto"/>
                <w:sz w:val="22"/>
                <w:szCs w:val="22"/>
                <w:lang w:val="en-US" w:eastAsia="zh-CN"/>
              </w:rPr>
              <w:t>7</w:t>
            </w:r>
            <w:r>
              <w:rPr>
                <w:rFonts w:hint="eastAsia" w:ascii="宋体" w:hAnsi="宋体" w:eastAsia="宋体" w:cs="宋体"/>
                <w:bCs w:val="0"/>
                <w:color w:val="auto"/>
                <w:sz w:val="22"/>
                <w:szCs w:val="22"/>
              </w:rPr>
              <w:t>分，第二的得</w:t>
            </w:r>
            <w:r>
              <w:rPr>
                <w:rFonts w:hint="eastAsia" w:ascii="宋体" w:hAnsi="宋体" w:eastAsia="宋体" w:cs="宋体"/>
                <w:bCs w:val="0"/>
                <w:color w:val="auto"/>
                <w:sz w:val="22"/>
                <w:szCs w:val="22"/>
                <w:lang w:val="en-US" w:eastAsia="zh-CN"/>
              </w:rPr>
              <w:t>4</w:t>
            </w:r>
            <w:r>
              <w:rPr>
                <w:rFonts w:hint="eastAsia" w:ascii="宋体" w:hAnsi="宋体" w:eastAsia="宋体" w:cs="宋体"/>
                <w:bCs w:val="0"/>
                <w:color w:val="auto"/>
                <w:sz w:val="22"/>
                <w:szCs w:val="22"/>
              </w:rPr>
              <w:t>分，第三的得</w:t>
            </w:r>
            <w:r>
              <w:rPr>
                <w:rFonts w:hint="eastAsia" w:ascii="宋体" w:hAnsi="宋体" w:eastAsia="宋体" w:cs="宋体"/>
                <w:bCs w:val="0"/>
                <w:color w:val="auto"/>
                <w:sz w:val="22"/>
                <w:szCs w:val="22"/>
                <w:lang w:val="en-US" w:eastAsia="zh-CN"/>
              </w:rPr>
              <w:t>1</w:t>
            </w:r>
            <w:r>
              <w:rPr>
                <w:rFonts w:hint="eastAsia" w:ascii="宋体" w:hAnsi="宋体" w:eastAsia="宋体" w:cs="宋体"/>
                <w:bCs w:val="0"/>
                <w:color w:val="auto"/>
                <w:sz w:val="22"/>
                <w:szCs w:val="22"/>
              </w:rPr>
              <w:t>分，其他的</w:t>
            </w:r>
            <w:r>
              <w:rPr>
                <w:rFonts w:hint="eastAsia" w:ascii="宋体" w:hAnsi="宋体" w:eastAsia="宋体" w:cs="宋体"/>
                <w:bCs w:val="0"/>
                <w:color w:val="auto"/>
                <w:sz w:val="22"/>
                <w:szCs w:val="22"/>
                <w:lang w:val="en-US" w:eastAsia="zh-CN"/>
              </w:rPr>
              <w:t>不得分</w:t>
            </w:r>
            <w:r>
              <w:rPr>
                <w:rFonts w:hint="eastAsia" w:ascii="宋体" w:hAnsi="宋体" w:eastAsia="宋体" w:cs="宋体"/>
                <w:bCs w:val="0"/>
                <w:color w:val="auto"/>
                <w:sz w:val="22"/>
                <w:szCs w:val="22"/>
              </w:rPr>
              <w:t>，不同供应商之间名次可并列且不影响后续供应商排名。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07" w:type="dxa"/>
            <w:vMerge w:val="continue"/>
            <w:noWrap w:val="0"/>
            <w:vAlign w:val="center"/>
          </w:tcPr>
          <w:p>
            <w:pPr>
              <w:spacing w:line="360" w:lineRule="auto"/>
              <w:jc w:val="center"/>
              <w:rPr>
                <w:rFonts w:hint="eastAsia" w:ascii="宋体" w:hAnsi="宋体" w:eastAsia="宋体" w:cs="宋体"/>
                <w:sz w:val="22"/>
                <w:szCs w:val="22"/>
              </w:rPr>
            </w:pPr>
          </w:p>
        </w:tc>
        <w:tc>
          <w:tcPr>
            <w:tcW w:w="1245" w:type="dxa"/>
            <w:vMerge w:val="continue"/>
            <w:noWrap w:val="0"/>
            <w:vAlign w:val="center"/>
          </w:tcPr>
          <w:p>
            <w:pPr>
              <w:spacing w:line="360" w:lineRule="auto"/>
              <w:jc w:val="center"/>
              <w:rPr>
                <w:rFonts w:hint="eastAsia" w:ascii="宋体" w:hAnsi="宋体" w:eastAsia="宋体" w:cs="宋体"/>
                <w:sz w:val="22"/>
                <w:szCs w:val="22"/>
              </w:rPr>
            </w:pPr>
          </w:p>
        </w:tc>
        <w:tc>
          <w:tcPr>
            <w:tcW w:w="873" w:type="dxa"/>
            <w:noWrap w:val="0"/>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0-</w:t>
            </w:r>
            <w:r>
              <w:rPr>
                <w:rFonts w:hint="eastAsia" w:ascii="宋体" w:hAnsi="宋体" w:eastAsia="宋体" w:cs="宋体"/>
                <w:sz w:val="22"/>
                <w:szCs w:val="22"/>
                <w:lang w:val="en-US" w:eastAsia="zh-CN"/>
              </w:rPr>
              <w:t>7</w:t>
            </w:r>
            <w:r>
              <w:rPr>
                <w:rFonts w:hint="eastAsia" w:ascii="宋体" w:hAnsi="宋体" w:eastAsia="宋体" w:cs="宋体"/>
                <w:sz w:val="22"/>
                <w:szCs w:val="22"/>
              </w:rPr>
              <w:t>分</w:t>
            </w:r>
          </w:p>
        </w:tc>
        <w:tc>
          <w:tcPr>
            <w:tcW w:w="5749" w:type="dxa"/>
            <w:noWrap w:val="0"/>
            <w:vAlign w:val="center"/>
          </w:tcPr>
          <w:p>
            <w:pPr>
              <w:pStyle w:val="49"/>
              <w:spacing w:line="360" w:lineRule="auto"/>
              <w:rPr>
                <w:rFonts w:hint="eastAsia" w:ascii="宋体" w:hAnsi="宋体" w:eastAsia="宋体" w:cs="宋体"/>
                <w:bCs w:val="0"/>
                <w:color w:val="auto"/>
                <w:sz w:val="22"/>
                <w:szCs w:val="22"/>
              </w:rPr>
            </w:pPr>
            <w:r>
              <w:rPr>
                <w:rFonts w:hint="eastAsia" w:ascii="宋体" w:hAnsi="宋体" w:eastAsia="宋体" w:cs="宋体"/>
                <w:bCs w:val="0"/>
                <w:color w:val="auto"/>
                <w:sz w:val="22"/>
                <w:szCs w:val="22"/>
              </w:rPr>
              <w:t>具备算法训练平台，具备人员和垃圾桶同时检测能力；支持算法模型持续迭代优化；支持异常报警和抓拍取证，上传到数据中心，进行相应的展示。</w:t>
            </w:r>
          </w:p>
          <w:p>
            <w:pPr>
              <w:pStyle w:val="49"/>
              <w:spacing w:line="360" w:lineRule="auto"/>
              <w:rPr>
                <w:rFonts w:hint="eastAsia" w:ascii="宋体" w:hAnsi="宋体" w:eastAsia="宋体" w:cs="宋体"/>
                <w:bCs w:val="0"/>
                <w:color w:val="auto"/>
                <w:sz w:val="22"/>
                <w:szCs w:val="22"/>
              </w:rPr>
            </w:pPr>
            <w:r>
              <w:rPr>
                <w:rFonts w:hint="eastAsia" w:ascii="宋体" w:hAnsi="宋体" w:eastAsia="宋体" w:cs="宋体"/>
                <w:bCs w:val="0"/>
                <w:color w:val="auto"/>
                <w:sz w:val="22"/>
                <w:szCs w:val="22"/>
              </w:rPr>
              <w:t>依据与招标要求的响应度进行横向比较综合打分。排名第一的得</w:t>
            </w:r>
            <w:r>
              <w:rPr>
                <w:rFonts w:hint="eastAsia" w:ascii="宋体" w:hAnsi="宋体" w:eastAsia="宋体" w:cs="宋体"/>
                <w:bCs w:val="0"/>
                <w:color w:val="auto"/>
                <w:sz w:val="22"/>
                <w:szCs w:val="22"/>
                <w:lang w:val="en-US" w:eastAsia="zh-CN"/>
              </w:rPr>
              <w:t>7</w:t>
            </w:r>
            <w:r>
              <w:rPr>
                <w:rFonts w:hint="eastAsia" w:ascii="宋体" w:hAnsi="宋体" w:eastAsia="宋体" w:cs="宋体"/>
                <w:bCs w:val="0"/>
                <w:color w:val="auto"/>
                <w:sz w:val="22"/>
                <w:szCs w:val="22"/>
              </w:rPr>
              <w:t>分，第二的得</w:t>
            </w:r>
            <w:r>
              <w:rPr>
                <w:rFonts w:hint="eastAsia" w:ascii="宋体" w:hAnsi="宋体" w:eastAsia="宋体" w:cs="宋体"/>
                <w:bCs w:val="0"/>
                <w:color w:val="auto"/>
                <w:sz w:val="22"/>
                <w:szCs w:val="22"/>
                <w:lang w:val="en-US" w:eastAsia="zh-CN"/>
              </w:rPr>
              <w:t>4</w:t>
            </w:r>
            <w:r>
              <w:rPr>
                <w:rFonts w:hint="eastAsia" w:ascii="宋体" w:hAnsi="宋体" w:eastAsia="宋体" w:cs="宋体"/>
                <w:bCs w:val="0"/>
                <w:color w:val="auto"/>
                <w:sz w:val="22"/>
                <w:szCs w:val="22"/>
              </w:rPr>
              <w:t>分，第三的得</w:t>
            </w:r>
            <w:r>
              <w:rPr>
                <w:rFonts w:hint="eastAsia" w:ascii="宋体" w:hAnsi="宋体" w:eastAsia="宋体" w:cs="宋体"/>
                <w:bCs w:val="0"/>
                <w:color w:val="auto"/>
                <w:sz w:val="22"/>
                <w:szCs w:val="22"/>
                <w:lang w:val="en-US" w:eastAsia="zh-CN"/>
              </w:rPr>
              <w:t>1</w:t>
            </w:r>
            <w:r>
              <w:rPr>
                <w:rFonts w:hint="eastAsia" w:ascii="宋体" w:hAnsi="宋体" w:eastAsia="宋体" w:cs="宋体"/>
                <w:bCs w:val="0"/>
                <w:color w:val="auto"/>
                <w:sz w:val="22"/>
                <w:szCs w:val="22"/>
              </w:rPr>
              <w:t>分，其他的</w:t>
            </w:r>
            <w:r>
              <w:rPr>
                <w:rFonts w:hint="eastAsia" w:ascii="宋体" w:hAnsi="宋体" w:eastAsia="宋体" w:cs="宋体"/>
                <w:bCs w:val="0"/>
                <w:color w:val="auto"/>
                <w:sz w:val="22"/>
                <w:szCs w:val="22"/>
                <w:lang w:val="en-US" w:eastAsia="zh-CN"/>
              </w:rPr>
              <w:t>不得分</w:t>
            </w:r>
            <w:r>
              <w:rPr>
                <w:rFonts w:hint="eastAsia" w:ascii="宋体" w:hAnsi="宋体" w:eastAsia="宋体" w:cs="宋体"/>
                <w:bCs w:val="0"/>
                <w:color w:val="auto"/>
                <w:sz w:val="22"/>
                <w:szCs w:val="22"/>
              </w:rPr>
              <w:t>，不同供应商之间名次可并列且不影响后续供应商排名。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07" w:type="dxa"/>
            <w:vMerge w:val="restart"/>
            <w:noWrap w:val="0"/>
            <w:vAlign w:val="center"/>
          </w:tcPr>
          <w:p>
            <w:pPr>
              <w:spacing w:line="360" w:lineRule="auto"/>
              <w:jc w:val="center"/>
              <w:rPr>
                <w:rFonts w:hint="eastAsia" w:ascii="宋体" w:hAnsi="宋体" w:eastAsia="宋体" w:cs="宋体"/>
                <w:sz w:val="22"/>
                <w:szCs w:val="22"/>
              </w:rPr>
            </w:pPr>
          </w:p>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3</w:t>
            </w:r>
          </w:p>
        </w:tc>
        <w:tc>
          <w:tcPr>
            <w:tcW w:w="1245" w:type="dxa"/>
            <w:vMerge w:val="restart"/>
            <w:noWrap w:val="0"/>
            <w:vAlign w:val="center"/>
          </w:tcPr>
          <w:p>
            <w:pPr>
              <w:pStyle w:val="49"/>
              <w:spacing w:line="360" w:lineRule="auto"/>
              <w:rPr>
                <w:rFonts w:hint="eastAsia" w:ascii="宋体" w:hAnsi="宋体" w:eastAsia="宋体" w:cs="宋体"/>
                <w:bCs w:val="0"/>
                <w:sz w:val="22"/>
                <w:szCs w:val="22"/>
              </w:rPr>
            </w:pPr>
            <w:r>
              <w:rPr>
                <w:rFonts w:hint="eastAsia" w:ascii="宋体" w:hAnsi="宋体" w:eastAsia="宋体" w:cs="宋体"/>
                <w:bCs w:val="0"/>
                <w:sz w:val="22"/>
                <w:szCs w:val="22"/>
              </w:rPr>
              <w:t>项目实施、质量控制体系的评价（共5分）</w:t>
            </w:r>
          </w:p>
        </w:tc>
        <w:tc>
          <w:tcPr>
            <w:tcW w:w="873" w:type="dxa"/>
            <w:noWrap w:val="0"/>
            <w:vAlign w:val="center"/>
          </w:tcPr>
          <w:p>
            <w:pPr>
              <w:pStyle w:val="49"/>
              <w:spacing w:line="360" w:lineRule="auto"/>
              <w:jc w:val="center"/>
              <w:rPr>
                <w:rFonts w:hint="eastAsia" w:ascii="宋体" w:hAnsi="宋体" w:eastAsia="宋体" w:cs="宋体"/>
                <w:bCs w:val="0"/>
                <w:sz w:val="22"/>
                <w:szCs w:val="22"/>
              </w:rPr>
            </w:pPr>
            <w:r>
              <w:rPr>
                <w:rFonts w:hint="eastAsia" w:ascii="宋体" w:hAnsi="宋体" w:eastAsia="宋体" w:cs="宋体"/>
                <w:bCs w:val="0"/>
                <w:sz w:val="22"/>
                <w:szCs w:val="22"/>
              </w:rPr>
              <w:t>2分</w:t>
            </w:r>
          </w:p>
        </w:tc>
        <w:tc>
          <w:tcPr>
            <w:tcW w:w="5749" w:type="dxa"/>
            <w:noWrap w:val="0"/>
            <w:vAlign w:val="center"/>
          </w:tcPr>
          <w:p>
            <w:pPr>
              <w:pStyle w:val="49"/>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lang w:val="zh-TW" w:eastAsia="zh-TW"/>
              </w:rPr>
              <w:t>提供项目</w:t>
            </w:r>
            <w:r>
              <w:rPr>
                <w:rFonts w:hint="eastAsia" w:ascii="宋体" w:hAnsi="宋体" w:eastAsia="宋体" w:cs="宋体"/>
                <w:color w:val="auto"/>
                <w:sz w:val="22"/>
                <w:szCs w:val="22"/>
                <w:lang w:val="zh-TW"/>
              </w:rPr>
              <w:t>开发管理计划，包括但不限于项目启动、需求分析和优化设计、安装调试等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07" w:type="dxa"/>
            <w:vMerge w:val="continue"/>
            <w:noWrap w:val="0"/>
            <w:vAlign w:val="center"/>
          </w:tcPr>
          <w:p>
            <w:pPr>
              <w:spacing w:line="360" w:lineRule="auto"/>
              <w:jc w:val="center"/>
              <w:rPr>
                <w:rFonts w:hint="eastAsia" w:ascii="宋体" w:hAnsi="宋体" w:eastAsia="宋体" w:cs="宋体"/>
                <w:sz w:val="22"/>
                <w:szCs w:val="22"/>
              </w:rPr>
            </w:pPr>
          </w:p>
        </w:tc>
        <w:tc>
          <w:tcPr>
            <w:tcW w:w="1245" w:type="dxa"/>
            <w:vMerge w:val="continue"/>
            <w:noWrap w:val="0"/>
            <w:vAlign w:val="center"/>
          </w:tcPr>
          <w:p>
            <w:pPr>
              <w:pStyle w:val="49"/>
              <w:spacing w:line="360" w:lineRule="auto"/>
              <w:rPr>
                <w:rFonts w:hint="eastAsia" w:ascii="宋体" w:hAnsi="宋体" w:eastAsia="宋体" w:cs="宋体"/>
                <w:bCs w:val="0"/>
                <w:sz w:val="22"/>
                <w:szCs w:val="22"/>
              </w:rPr>
            </w:pPr>
          </w:p>
        </w:tc>
        <w:tc>
          <w:tcPr>
            <w:tcW w:w="873" w:type="dxa"/>
            <w:noWrap w:val="0"/>
            <w:vAlign w:val="center"/>
          </w:tcPr>
          <w:p>
            <w:pPr>
              <w:pStyle w:val="49"/>
              <w:spacing w:line="360" w:lineRule="auto"/>
              <w:jc w:val="center"/>
              <w:rPr>
                <w:rFonts w:hint="eastAsia" w:ascii="宋体" w:hAnsi="宋体" w:eastAsia="宋体" w:cs="宋体"/>
                <w:bCs w:val="0"/>
                <w:sz w:val="22"/>
                <w:szCs w:val="22"/>
              </w:rPr>
            </w:pPr>
            <w:r>
              <w:rPr>
                <w:rFonts w:hint="eastAsia" w:ascii="宋体" w:hAnsi="宋体" w:eastAsia="宋体" w:cs="宋体"/>
                <w:bCs w:val="0"/>
                <w:sz w:val="22"/>
                <w:szCs w:val="22"/>
              </w:rPr>
              <w:t>2分</w:t>
            </w:r>
          </w:p>
        </w:tc>
        <w:tc>
          <w:tcPr>
            <w:tcW w:w="5749" w:type="dxa"/>
            <w:noWrap w:val="0"/>
            <w:vAlign w:val="center"/>
          </w:tcPr>
          <w:p>
            <w:pPr>
              <w:pStyle w:val="49"/>
              <w:spacing w:line="360" w:lineRule="auto"/>
              <w:rPr>
                <w:rFonts w:hint="eastAsia" w:ascii="宋体" w:hAnsi="宋体" w:eastAsia="宋体" w:cs="宋体"/>
                <w:color w:val="auto"/>
                <w:sz w:val="22"/>
                <w:szCs w:val="22"/>
                <w:lang w:val="zh-TW" w:eastAsia="zh-TW"/>
              </w:rPr>
            </w:pPr>
            <w:r>
              <w:rPr>
                <w:rFonts w:hint="eastAsia" w:ascii="宋体" w:hAnsi="宋体" w:eastAsia="宋体" w:cs="宋体"/>
                <w:color w:val="auto"/>
                <w:sz w:val="22"/>
                <w:szCs w:val="22"/>
                <w:lang w:val="zh-TW"/>
              </w:rPr>
              <w:t>提供项目管理计划，包括但不限于进度管理计划、变更管理计划、质量管理计划和问题风险管理计划等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707" w:type="dxa"/>
            <w:vMerge w:val="continue"/>
            <w:noWrap w:val="0"/>
            <w:vAlign w:val="center"/>
          </w:tcPr>
          <w:p>
            <w:pPr>
              <w:spacing w:line="360" w:lineRule="auto"/>
              <w:jc w:val="center"/>
              <w:rPr>
                <w:rFonts w:hint="eastAsia" w:ascii="宋体" w:hAnsi="宋体" w:eastAsia="宋体" w:cs="宋体"/>
                <w:sz w:val="22"/>
                <w:szCs w:val="22"/>
              </w:rPr>
            </w:pPr>
          </w:p>
        </w:tc>
        <w:tc>
          <w:tcPr>
            <w:tcW w:w="1245" w:type="dxa"/>
            <w:vMerge w:val="continue"/>
            <w:noWrap w:val="0"/>
            <w:vAlign w:val="center"/>
          </w:tcPr>
          <w:p>
            <w:pPr>
              <w:spacing w:line="360" w:lineRule="auto"/>
              <w:jc w:val="center"/>
              <w:rPr>
                <w:rFonts w:hint="eastAsia" w:ascii="宋体" w:hAnsi="宋体" w:eastAsia="宋体" w:cs="宋体"/>
                <w:sz w:val="22"/>
                <w:szCs w:val="22"/>
              </w:rPr>
            </w:pPr>
          </w:p>
        </w:tc>
        <w:tc>
          <w:tcPr>
            <w:tcW w:w="873" w:type="dxa"/>
            <w:noWrap w:val="0"/>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1分</w:t>
            </w:r>
          </w:p>
        </w:tc>
        <w:tc>
          <w:tcPr>
            <w:tcW w:w="5749" w:type="dxa"/>
            <w:noWrap w:val="0"/>
            <w:vAlign w:val="center"/>
          </w:tcPr>
          <w:p>
            <w:pPr>
              <w:pStyle w:val="49"/>
              <w:spacing w:line="360" w:lineRule="auto"/>
              <w:rPr>
                <w:rFonts w:hint="eastAsia" w:ascii="宋体" w:hAnsi="宋体" w:eastAsia="宋体" w:cs="宋体"/>
                <w:sz w:val="22"/>
                <w:szCs w:val="22"/>
              </w:rPr>
            </w:pPr>
            <w:r>
              <w:rPr>
                <w:rFonts w:hint="eastAsia" w:ascii="宋体" w:hAnsi="宋体" w:eastAsia="宋体" w:cs="宋体"/>
                <w:sz w:val="22"/>
                <w:szCs w:val="22"/>
              </w:rPr>
              <w:t>提供相应的项目应急保障计划，包括但不限于进度保障措施、技术保障措施和后勤保障措施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07" w:type="dxa"/>
            <w:vMerge w:val="restart"/>
            <w:noWrap w:val="0"/>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4</w:t>
            </w:r>
          </w:p>
        </w:tc>
        <w:tc>
          <w:tcPr>
            <w:tcW w:w="1245" w:type="dxa"/>
            <w:vMerge w:val="restart"/>
            <w:noWrap w:val="0"/>
            <w:vAlign w:val="center"/>
          </w:tcPr>
          <w:p>
            <w:pPr>
              <w:pStyle w:val="49"/>
              <w:spacing w:line="360" w:lineRule="auto"/>
              <w:rPr>
                <w:rFonts w:hint="eastAsia" w:ascii="宋体" w:hAnsi="宋体" w:eastAsia="宋体" w:cs="宋体"/>
                <w:bCs w:val="0"/>
                <w:sz w:val="22"/>
                <w:szCs w:val="22"/>
              </w:rPr>
            </w:pPr>
            <w:r>
              <w:rPr>
                <w:rFonts w:hint="eastAsia" w:ascii="宋体" w:hAnsi="宋体" w:eastAsia="宋体" w:cs="宋体"/>
                <w:bCs w:val="0"/>
                <w:sz w:val="22"/>
                <w:szCs w:val="22"/>
              </w:rPr>
              <w:t>质保期与售后服务保证措施（共5分）</w:t>
            </w:r>
          </w:p>
        </w:tc>
        <w:tc>
          <w:tcPr>
            <w:tcW w:w="873" w:type="dxa"/>
            <w:noWrap w:val="0"/>
            <w:vAlign w:val="center"/>
          </w:tcPr>
          <w:p>
            <w:pPr>
              <w:pStyle w:val="49"/>
              <w:spacing w:line="360" w:lineRule="auto"/>
              <w:jc w:val="center"/>
              <w:rPr>
                <w:rFonts w:hint="eastAsia" w:ascii="宋体" w:hAnsi="宋体" w:eastAsia="宋体" w:cs="宋体"/>
                <w:bCs w:val="0"/>
                <w:sz w:val="22"/>
                <w:szCs w:val="22"/>
              </w:rPr>
            </w:pPr>
            <w:r>
              <w:rPr>
                <w:rFonts w:hint="eastAsia" w:ascii="宋体" w:hAnsi="宋体" w:eastAsia="宋体" w:cs="宋体"/>
                <w:bCs w:val="0"/>
                <w:sz w:val="22"/>
                <w:szCs w:val="22"/>
              </w:rPr>
              <w:t>1分</w:t>
            </w:r>
          </w:p>
        </w:tc>
        <w:tc>
          <w:tcPr>
            <w:tcW w:w="5749" w:type="dxa"/>
            <w:noWrap w:val="0"/>
            <w:vAlign w:val="center"/>
          </w:tcPr>
          <w:p>
            <w:pPr>
              <w:pStyle w:val="49"/>
              <w:spacing w:line="360" w:lineRule="auto"/>
              <w:rPr>
                <w:rFonts w:hint="eastAsia" w:ascii="宋体" w:hAnsi="宋体" w:eastAsia="宋体" w:cs="宋体"/>
                <w:sz w:val="22"/>
                <w:szCs w:val="22"/>
              </w:rPr>
            </w:pPr>
            <w:r>
              <w:rPr>
                <w:rFonts w:hint="eastAsia" w:ascii="宋体" w:hAnsi="宋体" w:eastAsia="宋体" w:cs="宋体"/>
                <w:sz w:val="22"/>
                <w:szCs w:val="22"/>
              </w:rPr>
              <w:t>售后服务响应时间比较，维护范围、服务回应时间、服务方式及内容、需求变更等内容比较。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07" w:type="dxa"/>
            <w:vMerge w:val="continue"/>
            <w:noWrap w:val="0"/>
            <w:vAlign w:val="center"/>
          </w:tcPr>
          <w:p>
            <w:pPr>
              <w:spacing w:line="360" w:lineRule="auto"/>
              <w:jc w:val="center"/>
              <w:rPr>
                <w:rFonts w:hint="eastAsia" w:ascii="宋体" w:hAnsi="宋体" w:eastAsia="宋体" w:cs="宋体"/>
                <w:sz w:val="22"/>
                <w:szCs w:val="22"/>
              </w:rPr>
            </w:pPr>
          </w:p>
        </w:tc>
        <w:tc>
          <w:tcPr>
            <w:tcW w:w="1245" w:type="dxa"/>
            <w:vMerge w:val="continue"/>
            <w:noWrap w:val="0"/>
            <w:vAlign w:val="center"/>
          </w:tcPr>
          <w:p>
            <w:pPr>
              <w:spacing w:line="360" w:lineRule="auto"/>
              <w:jc w:val="center"/>
              <w:rPr>
                <w:rFonts w:hint="eastAsia" w:ascii="宋体" w:hAnsi="宋体" w:eastAsia="宋体" w:cs="宋体"/>
                <w:sz w:val="22"/>
                <w:szCs w:val="22"/>
              </w:rPr>
            </w:pPr>
          </w:p>
        </w:tc>
        <w:tc>
          <w:tcPr>
            <w:tcW w:w="873" w:type="dxa"/>
            <w:noWrap w:val="0"/>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3分</w:t>
            </w:r>
          </w:p>
        </w:tc>
        <w:tc>
          <w:tcPr>
            <w:tcW w:w="5749" w:type="dxa"/>
            <w:noWrap w:val="0"/>
            <w:vAlign w:val="center"/>
          </w:tcPr>
          <w:p>
            <w:pPr>
              <w:pStyle w:val="49"/>
              <w:spacing w:line="360" w:lineRule="auto"/>
              <w:rPr>
                <w:rFonts w:hint="eastAsia" w:ascii="宋体" w:hAnsi="宋体" w:eastAsia="宋体" w:cs="宋体"/>
                <w:sz w:val="22"/>
                <w:szCs w:val="22"/>
              </w:rPr>
            </w:pPr>
            <w:r>
              <w:rPr>
                <w:rFonts w:hint="eastAsia" w:ascii="宋体" w:hAnsi="宋体" w:eastAsia="宋体" w:cs="宋体"/>
                <w:sz w:val="22"/>
                <w:szCs w:val="22"/>
              </w:rPr>
              <w:t>提供相应的售后服务体系与维保方案，包括但不限于服务承诺、服务方式、服务保障措施等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07" w:type="dxa"/>
            <w:vMerge w:val="continue"/>
            <w:noWrap w:val="0"/>
            <w:vAlign w:val="center"/>
          </w:tcPr>
          <w:p>
            <w:pPr>
              <w:spacing w:line="360" w:lineRule="auto"/>
              <w:jc w:val="center"/>
              <w:rPr>
                <w:rFonts w:hint="eastAsia" w:ascii="宋体" w:hAnsi="宋体" w:eastAsia="宋体" w:cs="宋体"/>
                <w:sz w:val="22"/>
                <w:szCs w:val="22"/>
              </w:rPr>
            </w:pPr>
          </w:p>
        </w:tc>
        <w:tc>
          <w:tcPr>
            <w:tcW w:w="1245" w:type="dxa"/>
            <w:vMerge w:val="continue"/>
            <w:noWrap w:val="0"/>
            <w:vAlign w:val="center"/>
          </w:tcPr>
          <w:p>
            <w:pPr>
              <w:spacing w:line="360" w:lineRule="auto"/>
              <w:jc w:val="center"/>
              <w:rPr>
                <w:rFonts w:hint="eastAsia" w:ascii="宋体" w:hAnsi="宋体" w:eastAsia="宋体" w:cs="宋体"/>
                <w:sz w:val="22"/>
                <w:szCs w:val="22"/>
              </w:rPr>
            </w:pPr>
          </w:p>
        </w:tc>
        <w:tc>
          <w:tcPr>
            <w:tcW w:w="873" w:type="dxa"/>
            <w:noWrap w:val="0"/>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1分</w:t>
            </w:r>
          </w:p>
        </w:tc>
        <w:tc>
          <w:tcPr>
            <w:tcW w:w="5749" w:type="dxa"/>
            <w:noWrap w:val="0"/>
            <w:vAlign w:val="center"/>
          </w:tcPr>
          <w:p>
            <w:pPr>
              <w:pStyle w:val="49"/>
              <w:spacing w:line="360" w:lineRule="auto"/>
              <w:rPr>
                <w:rFonts w:hint="eastAsia" w:ascii="宋体" w:hAnsi="宋体" w:eastAsia="宋体" w:cs="宋体"/>
                <w:sz w:val="22"/>
                <w:szCs w:val="22"/>
              </w:rPr>
            </w:pPr>
            <w:r>
              <w:rPr>
                <w:rFonts w:hint="eastAsia" w:ascii="宋体" w:hAnsi="宋体" w:eastAsia="宋体" w:cs="宋体"/>
                <w:sz w:val="22"/>
                <w:szCs w:val="22"/>
              </w:rPr>
              <w:t>售后服务体系比较。</w:t>
            </w:r>
          </w:p>
        </w:tc>
      </w:tr>
    </w:tbl>
    <w:p>
      <w:pPr>
        <w:pStyle w:val="14"/>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评标委员会根据表格，对各投标单位的技术标进行书面审核和评论后，由各专家独立酌情给分，打分时保留小数1位，每人一份评分表，并签名。在统计得分时，如果发现某一单项评分超过评分细则规定的分值范围，则该张评分表无效。投标人的技术标的最终得分为评标委员会成员的算术平均值。计算时保留小数2位（第3位四舍五入）。</w:t>
      </w:r>
    </w:p>
    <w:p>
      <w:pPr>
        <w:pStyle w:val="14"/>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2.商务标评审</w:t>
      </w:r>
    </w:p>
    <w:p>
      <w:pPr>
        <w:pStyle w:val="14"/>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rPr>
        <w:t>2.1</w:t>
      </w:r>
      <w:r>
        <w:rPr>
          <w:rFonts w:hint="eastAsia" w:ascii="宋体" w:hAnsi="宋体" w:eastAsia="宋体" w:cs="宋体"/>
          <w:b/>
          <w:bCs/>
          <w:color w:val="auto"/>
          <w:sz w:val="24"/>
          <w:szCs w:val="24"/>
          <w:highlight w:val="none"/>
        </w:rPr>
        <w:t>按以下步骤确定进入算术平均值计算的范围：</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（1）甄别异常报价：有下列情况之一的投标报价不进入商务分计算环节：</w:t>
      </w:r>
    </w:p>
    <w:p>
      <w:pPr>
        <w:adjustRightInd w:val="0"/>
        <w:snapToGrid w:val="0"/>
        <w:spacing w:line="360" w:lineRule="auto"/>
        <w:ind w:firstLine="475" w:firstLineChars="198"/>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eq \o\ac(</w:instrText>
      </w:r>
      <w:r>
        <w:rPr>
          <w:rFonts w:hint="eastAsia" w:ascii="宋体" w:hAnsi="宋体" w:eastAsia="宋体" w:cs="宋体"/>
          <w:color w:val="auto"/>
          <w:position w:val="-4"/>
          <w:sz w:val="36"/>
          <w:highlight w:val="none"/>
        </w:rPr>
        <w:instrText xml:space="preserve">○</w:instrText>
      </w:r>
      <w:r>
        <w:rPr>
          <w:rFonts w:hint="eastAsia" w:ascii="宋体" w:hAnsi="宋体" w:eastAsia="宋体" w:cs="宋体"/>
          <w:color w:val="auto"/>
          <w:sz w:val="24"/>
          <w:highlight w:val="none"/>
        </w:rPr>
        <w:instrText xml:space="preserve">,1)</w:instrTex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技术标未入围单位的投标报价；</w:t>
      </w:r>
    </w:p>
    <w:p>
      <w:pPr>
        <w:adjustRightInd w:val="0"/>
        <w:snapToGrid w:val="0"/>
        <w:spacing w:line="360" w:lineRule="auto"/>
        <w:ind w:firstLine="475" w:firstLineChars="198"/>
        <w:rPr>
          <w:rFonts w:hint="eastAsia" w:ascii="宋体" w:hAnsi="宋体" w:eastAsia="宋体" w:cs="宋体"/>
          <w:b/>
          <w:color w:val="auto"/>
          <w:sz w:val="24"/>
          <w:highlight w:val="none"/>
          <w:shd w:val="pct10" w:color="auto" w:fill="FFFFFF"/>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eq \o\ac(</w:instrText>
      </w:r>
      <w:r>
        <w:rPr>
          <w:rFonts w:hint="eastAsia" w:ascii="宋体" w:hAnsi="宋体" w:eastAsia="宋体" w:cs="宋体"/>
          <w:color w:val="auto"/>
          <w:position w:val="-4"/>
          <w:sz w:val="36"/>
          <w:highlight w:val="none"/>
        </w:rPr>
        <w:instrText xml:space="preserve">○</w:instrText>
      </w:r>
      <w:r>
        <w:rPr>
          <w:rFonts w:hint="eastAsia" w:ascii="宋体" w:hAnsi="宋体" w:eastAsia="宋体" w:cs="宋体"/>
          <w:color w:val="auto"/>
          <w:sz w:val="24"/>
          <w:highlight w:val="none"/>
        </w:rPr>
        <w:instrText xml:space="preserve">,2)</w:instrTex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报价高于预算价；</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eq \o\ac(</w:instrText>
      </w:r>
      <w:r>
        <w:rPr>
          <w:rFonts w:hint="eastAsia" w:ascii="宋体" w:hAnsi="宋体" w:eastAsia="宋体" w:cs="宋体"/>
          <w:color w:val="auto"/>
          <w:position w:val="-4"/>
          <w:sz w:val="36"/>
          <w:highlight w:val="none"/>
        </w:rPr>
        <w:instrText xml:space="preserve">○</w:instrText>
      </w:r>
      <w:r>
        <w:rPr>
          <w:rFonts w:hint="eastAsia" w:ascii="宋体" w:hAnsi="宋体" w:eastAsia="宋体" w:cs="宋体"/>
          <w:color w:val="auto"/>
          <w:sz w:val="24"/>
          <w:highlight w:val="none"/>
        </w:rPr>
        <w:instrText xml:space="preserve">,3)</w:instrTex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投标报价高于最高限价；</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eq \o\ac(</w:instrText>
      </w:r>
      <w:r>
        <w:rPr>
          <w:rFonts w:hint="eastAsia" w:ascii="宋体" w:hAnsi="宋体" w:eastAsia="宋体" w:cs="宋体"/>
          <w:color w:val="auto"/>
          <w:position w:val="-4"/>
          <w:sz w:val="36"/>
          <w:highlight w:val="none"/>
        </w:rPr>
        <w:instrText xml:space="preserve">○</w:instrText>
      </w:r>
      <w:r>
        <w:rPr>
          <w:rFonts w:hint="eastAsia" w:ascii="宋体" w:hAnsi="宋体" w:eastAsia="宋体" w:cs="宋体"/>
          <w:color w:val="auto"/>
          <w:sz w:val="24"/>
          <w:highlight w:val="none"/>
        </w:rPr>
        <w:instrText xml:space="preserve">,4)</w:instrTex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如评标委员会一致认为最低投标报价或某些分项明显不合理，有降低质量、不能诚信履约的可能时，评标委员会有权通知投标人限期进行解释。如投标人未在规定期限内做出解释，或所作解释不合理，经评标委员会取得一致意见后，可列为异常报价，确定该投标为无效标。</w:t>
      </w:r>
    </w:p>
    <w:p>
      <w:pPr>
        <w:adjustRightInd w:val="0"/>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2.2商务标详细评审</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1）报价（</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0分）</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评定评标基准价：以满足招标文件要求且评标价最低的为评标基准价，其商务报价分为</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0分；平均价、基准价的计算范围和计算结果一经确定，后续评审的任何情形（包括复议、重新评审等）都将不会产生变化。</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其他投标人的商务报价分统一按照下列公式计算：。</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商务报价得分= （评标基准价／评标价）×</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 xml:space="preserve">0%×100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计算结果保留小数两位（第3位四舍五入）。</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2)计算总得分：技术标评审得分＋商务标评审得分＝投标人总得分</w:t>
      </w:r>
    </w:p>
    <w:p>
      <w:pPr>
        <w:pStyle w:val="46"/>
        <w:spacing w:line="360" w:lineRule="auto"/>
        <w:ind w:firstLine="241" w:firstLineChars="1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3.推荐中标候选人，完成评标报告</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（1）推荐中标候选人</w:t>
      </w:r>
    </w:p>
    <w:p>
      <w:pPr>
        <w:spacing w:line="360" w:lineRule="auto"/>
        <w:ind w:firstLine="480" w:firstLineChars="200"/>
        <w:rPr>
          <w:rFonts w:hint="eastAsia" w:ascii="宋体" w:hAnsi="宋体" w:eastAsia="宋体" w:cs="宋体"/>
          <w:color w:val="auto"/>
          <w:sz w:val="24"/>
          <w:highlight w:val="none"/>
        </w:rPr>
      </w:pPr>
      <w:bookmarkStart w:id="28" w:name="_Toc18574"/>
      <w:r>
        <w:rPr>
          <w:rFonts w:hint="eastAsia" w:ascii="宋体" w:hAnsi="宋体" w:eastAsia="宋体" w:cs="宋体"/>
          <w:color w:val="auto"/>
          <w:sz w:val="24"/>
          <w:highlight w:val="none"/>
        </w:rPr>
        <w:t>评标委员会完成评标后，按总得分由高到低排定顺序（得分相同的，按投标报价由低到高顺序排列；得分且投标报价相同的，按技术指标由高到低顺序排列。若以上排序全都相同的，则由采购人代表采用公共资源交易中心抽取程序随机确定。），</w:t>
      </w:r>
      <w:bookmarkEnd w:id="28"/>
      <w:r>
        <w:rPr>
          <w:rFonts w:hint="eastAsia" w:ascii="宋体" w:hAnsi="宋体" w:eastAsia="宋体" w:cs="宋体"/>
          <w:color w:val="auto"/>
          <w:sz w:val="24"/>
          <w:highlight w:val="none"/>
        </w:rPr>
        <w:t>评标委员会根据以上排序直接确定第一名的投标单位为中标人。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当确定的中标人放弃中标，因不可抗力提出不能履行合同的，重新组织招标。</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（2）完成评标报告</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评标委员会向采购人提出评标报告，内容包括评标过程、投标人的优劣对比分析、中标候选人推荐情况、基本结论、存在的问题和评标专家的不同意见。评标报告应经评标委员会所有专家签字，在评标结束时当场提交给采购人</w:t>
      </w:r>
      <w:r>
        <w:rPr>
          <w:rFonts w:hint="eastAsia" w:ascii="宋体" w:hAnsi="宋体" w:eastAsia="宋体" w:cs="宋体"/>
          <w:color w:val="auto"/>
          <w:sz w:val="24"/>
          <w:highlight w:val="none"/>
        </w:rPr>
        <w:t>。</w:t>
      </w:r>
    </w:p>
    <w:p>
      <w:pPr>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highlight w:val="none"/>
        </w:rPr>
        <w:t>三、评标小组不向落标方解释落标原因，不退还投标文件。</w:t>
      </w:r>
    </w:p>
    <w:p>
      <w:pPr>
        <w:pStyle w:val="14"/>
        <w:spacing w:after="156" w:line="360" w:lineRule="exact"/>
        <w:ind w:firstLine="420"/>
        <w:rPr>
          <w:rFonts w:hint="eastAsia" w:ascii="宋体" w:hAnsi="宋体" w:eastAsia="宋体" w:cs="宋体"/>
          <w:color w:val="auto"/>
          <w:sz w:val="24"/>
          <w:szCs w:val="24"/>
          <w:highlight w:val="none"/>
          <w:lang w:val="en-US" w:eastAsia="zh-CN"/>
        </w:rPr>
      </w:pPr>
    </w:p>
    <w:p>
      <w:pPr>
        <w:rPr>
          <w:rFonts w:hint="eastAsia" w:ascii="宋体" w:hAnsi="宋体" w:eastAsia="宋体" w:cs="宋体"/>
          <w:b/>
          <w:bCs/>
          <w:color w:val="auto"/>
          <w:sz w:val="36"/>
          <w:szCs w:val="36"/>
          <w:highlight w:val="none"/>
        </w:rPr>
      </w:pPr>
      <w:bookmarkStart w:id="29" w:name="_Toc18089"/>
      <w:r>
        <w:rPr>
          <w:rFonts w:hint="eastAsia" w:ascii="宋体" w:hAnsi="宋体" w:eastAsia="宋体" w:cs="宋体"/>
          <w:b/>
          <w:bCs/>
          <w:color w:val="auto"/>
          <w:sz w:val="36"/>
          <w:szCs w:val="36"/>
          <w:highlight w:val="none"/>
        </w:rPr>
        <w:br w:type="page"/>
      </w:r>
    </w:p>
    <w:p>
      <w:pPr>
        <w:jc w:val="center"/>
        <w:rPr>
          <w:rFonts w:hint="eastAsia" w:ascii="宋体" w:hAnsi="宋体" w:eastAsia="宋体" w:cs="宋体"/>
          <w:b/>
          <w:bCs/>
          <w:color w:val="auto"/>
          <w:kern w:val="1"/>
          <w:sz w:val="44"/>
          <w:szCs w:val="44"/>
          <w:highlight w:val="none"/>
        </w:rPr>
      </w:pPr>
      <w:r>
        <w:rPr>
          <w:rFonts w:hint="eastAsia" w:ascii="宋体" w:hAnsi="宋体" w:eastAsia="宋体" w:cs="宋体"/>
          <w:b/>
          <w:bCs/>
          <w:color w:val="auto"/>
          <w:sz w:val="36"/>
          <w:szCs w:val="36"/>
          <w:highlight w:val="none"/>
        </w:rPr>
        <w:t>第</w:t>
      </w:r>
      <w:r>
        <w:rPr>
          <w:rFonts w:hint="eastAsia" w:ascii="宋体" w:hAnsi="宋体" w:eastAsia="宋体" w:cs="宋体"/>
          <w:b/>
          <w:bCs/>
          <w:color w:val="auto"/>
          <w:sz w:val="36"/>
          <w:szCs w:val="36"/>
          <w:highlight w:val="none"/>
          <w:lang w:val="en-US" w:eastAsia="zh-CN"/>
        </w:rPr>
        <w:t>七</w:t>
      </w:r>
      <w:r>
        <w:rPr>
          <w:rFonts w:hint="eastAsia" w:ascii="宋体" w:hAnsi="宋体" w:eastAsia="宋体" w:cs="宋体"/>
          <w:b/>
          <w:bCs/>
          <w:color w:val="auto"/>
          <w:sz w:val="36"/>
          <w:szCs w:val="36"/>
          <w:highlight w:val="none"/>
        </w:rPr>
        <w:t>章</w:t>
      </w:r>
      <w:r>
        <w:rPr>
          <w:rFonts w:hint="eastAsia" w:ascii="宋体" w:hAnsi="宋体" w:eastAsia="宋体" w:cs="宋体"/>
          <w:b/>
          <w:bCs/>
          <w:color w:val="auto"/>
          <w:sz w:val="48"/>
          <w:szCs w:val="48"/>
          <w:highlight w:val="none"/>
        </w:rPr>
        <w:t xml:space="preserve"> </w:t>
      </w:r>
      <w:bookmarkEnd w:id="29"/>
      <w:r>
        <w:rPr>
          <w:rFonts w:hint="eastAsia" w:ascii="宋体" w:hAnsi="宋体" w:eastAsia="宋体" w:cs="宋体"/>
          <w:b/>
          <w:bCs/>
          <w:color w:val="auto"/>
          <w:kern w:val="1"/>
          <w:sz w:val="36"/>
          <w:szCs w:val="36"/>
          <w:highlight w:val="none"/>
        </w:rPr>
        <w:t>投标文件部分格式</w:t>
      </w:r>
    </w:p>
    <w:p>
      <w:pPr>
        <w:pStyle w:val="18"/>
        <w:spacing w:beforeLines="50" w:afterLines="50" w:line="600" w:lineRule="exact"/>
        <w:rPr>
          <w:rFonts w:hint="eastAsia" w:ascii="宋体" w:hAnsi="宋体" w:eastAsia="宋体" w:cs="宋体"/>
          <w:color w:val="auto"/>
          <w:highlight w:val="none"/>
        </w:rPr>
      </w:pPr>
      <w:r>
        <w:rPr>
          <w:rFonts w:hint="eastAsia" w:ascii="宋体" w:hAnsi="宋体" w:eastAsia="宋体" w:cs="宋体"/>
          <w:color w:val="auto"/>
          <w:highlight w:val="none"/>
        </w:rPr>
        <w:t>一、技术标部分格式：</w:t>
      </w:r>
    </w:p>
    <w:p>
      <w:pPr>
        <w:tabs>
          <w:tab w:val="left" w:pos="1050"/>
        </w:tabs>
        <w:spacing w:line="520" w:lineRule="exact"/>
        <w:ind w:left="52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1、关于资格的声明函</w:t>
      </w:r>
    </w:p>
    <w:p>
      <w:pPr>
        <w:tabs>
          <w:tab w:val="left" w:pos="1050"/>
        </w:tabs>
        <w:spacing w:line="520" w:lineRule="exact"/>
        <w:ind w:left="52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2、法定代表人证明书</w:t>
      </w:r>
    </w:p>
    <w:p>
      <w:pPr>
        <w:tabs>
          <w:tab w:val="left" w:pos="1050"/>
        </w:tabs>
        <w:spacing w:line="520" w:lineRule="exact"/>
        <w:ind w:left="52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3、货物简要说明一览表</w:t>
      </w:r>
    </w:p>
    <w:p>
      <w:pPr>
        <w:tabs>
          <w:tab w:val="left" w:pos="1050"/>
        </w:tabs>
        <w:spacing w:line="520" w:lineRule="exact"/>
        <w:ind w:left="52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4、投标人法定代表人授权书</w:t>
      </w:r>
    </w:p>
    <w:p>
      <w:pPr>
        <w:tabs>
          <w:tab w:val="left" w:pos="1050"/>
        </w:tabs>
        <w:spacing w:line="520" w:lineRule="exact"/>
        <w:ind w:left="52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5、售后服务承诺书</w:t>
      </w:r>
    </w:p>
    <w:p>
      <w:pPr>
        <w:tabs>
          <w:tab w:val="left" w:pos="1050"/>
        </w:tabs>
        <w:spacing w:line="520" w:lineRule="exact"/>
        <w:ind w:left="52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6、产品质量保证承诺书</w:t>
      </w:r>
    </w:p>
    <w:p>
      <w:pPr>
        <w:tabs>
          <w:tab w:val="left" w:pos="1050"/>
        </w:tabs>
        <w:spacing w:line="520" w:lineRule="exact"/>
        <w:ind w:left="52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7、义乌市国企采购项目投标承诺书</w:t>
      </w:r>
    </w:p>
    <w:p>
      <w:pPr>
        <w:tabs>
          <w:tab w:val="left" w:pos="1050"/>
        </w:tabs>
        <w:spacing w:line="520" w:lineRule="exact"/>
        <w:ind w:left="528"/>
        <w:rPr>
          <w:rFonts w:hint="eastAsia" w:ascii="宋体" w:hAnsi="宋体" w:eastAsia="宋体" w:cs="宋体"/>
          <w:color w:val="auto"/>
          <w:sz w:val="24"/>
          <w:szCs w:val="24"/>
          <w:highlight w:val="none"/>
        </w:rPr>
      </w:pPr>
    </w:p>
    <w:p>
      <w:pPr>
        <w:pStyle w:val="18"/>
        <w:spacing w:beforeLines="50" w:afterLines="50" w:line="600" w:lineRule="exact"/>
        <w:rPr>
          <w:rFonts w:hint="eastAsia" w:ascii="宋体" w:hAnsi="宋体" w:eastAsia="宋体" w:cs="宋体"/>
          <w:color w:val="auto"/>
          <w:highlight w:val="none"/>
        </w:rPr>
      </w:pPr>
      <w:r>
        <w:rPr>
          <w:rFonts w:hint="eastAsia" w:ascii="宋体" w:hAnsi="宋体" w:eastAsia="宋体" w:cs="宋体"/>
          <w:color w:val="auto"/>
          <w:highlight w:val="none"/>
        </w:rPr>
        <w:t>二、商务标投标文件部分格式：</w:t>
      </w:r>
    </w:p>
    <w:p>
      <w:pPr>
        <w:tabs>
          <w:tab w:val="left" w:pos="1050"/>
        </w:tabs>
        <w:spacing w:line="520" w:lineRule="exact"/>
        <w:ind w:left="52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1、投标函格式</w:t>
      </w:r>
    </w:p>
    <w:p>
      <w:pPr>
        <w:tabs>
          <w:tab w:val="left" w:pos="1080"/>
        </w:tabs>
        <w:spacing w:line="520" w:lineRule="exact"/>
        <w:ind w:left="52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2、报价一览表格式</w:t>
      </w:r>
    </w:p>
    <w:p>
      <w:pPr>
        <w:rPr>
          <w:rFonts w:hint="eastAsia" w:ascii="宋体" w:hAnsi="宋体" w:eastAsia="宋体" w:cs="宋体"/>
          <w:color w:val="auto"/>
          <w:sz w:val="30"/>
          <w:szCs w:val="30"/>
          <w:highlight w:val="none"/>
        </w:rPr>
      </w:pPr>
    </w:p>
    <w:p>
      <w:pPr>
        <w:rPr>
          <w:rFonts w:hint="eastAsia" w:ascii="宋体" w:hAnsi="宋体" w:eastAsia="宋体" w:cs="宋体"/>
          <w:color w:val="auto"/>
          <w:sz w:val="30"/>
          <w:szCs w:val="30"/>
          <w:highlight w:val="none"/>
        </w:rPr>
      </w:pPr>
    </w:p>
    <w:p>
      <w:pPr>
        <w:rPr>
          <w:rFonts w:hint="eastAsia" w:ascii="宋体" w:hAnsi="宋体" w:eastAsia="宋体" w:cs="宋体"/>
          <w:color w:val="auto"/>
          <w:sz w:val="30"/>
          <w:szCs w:val="30"/>
          <w:highlight w:val="none"/>
        </w:rPr>
      </w:pPr>
    </w:p>
    <w:p>
      <w:pPr>
        <w:rPr>
          <w:rFonts w:hint="eastAsia" w:ascii="宋体" w:hAnsi="宋体" w:eastAsia="宋体" w:cs="宋体"/>
          <w:color w:val="auto"/>
          <w:sz w:val="30"/>
          <w:szCs w:val="30"/>
          <w:highlight w:val="none"/>
        </w:rPr>
      </w:pPr>
    </w:p>
    <w:p>
      <w:pPr>
        <w:rPr>
          <w:rFonts w:hint="eastAsia" w:ascii="宋体" w:hAnsi="宋体" w:eastAsia="宋体" w:cs="宋体"/>
          <w:color w:val="auto"/>
          <w:sz w:val="30"/>
          <w:szCs w:val="30"/>
          <w:highlight w:val="none"/>
        </w:rPr>
      </w:pPr>
    </w:p>
    <w:p>
      <w:pPr>
        <w:jc w:val="center"/>
        <w:rPr>
          <w:rFonts w:hint="eastAsia" w:ascii="宋体" w:hAnsi="宋体" w:eastAsia="宋体" w:cs="宋体"/>
          <w:color w:val="auto"/>
          <w:sz w:val="24"/>
          <w:szCs w:val="24"/>
          <w:highlight w:val="none"/>
          <w:u w:val="single"/>
        </w:rPr>
      </w:pPr>
    </w:p>
    <w:p>
      <w:pPr>
        <w:rPr>
          <w:rFonts w:hint="eastAsia" w:ascii="宋体" w:hAnsi="宋体" w:eastAsia="宋体" w:cs="宋体"/>
          <w:color w:val="auto"/>
          <w:sz w:val="52"/>
          <w:szCs w:val="52"/>
          <w:highlight w:val="none"/>
          <w:u w:val="single"/>
        </w:rPr>
      </w:pPr>
      <w:r>
        <w:rPr>
          <w:rFonts w:hint="eastAsia" w:ascii="宋体" w:hAnsi="宋体" w:eastAsia="宋体" w:cs="宋体"/>
          <w:b/>
          <w:bCs/>
          <w:color w:val="auto"/>
          <w:sz w:val="28"/>
          <w:szCs w:val="28"/>
          <w:highlight w:val="none"/>
        </w:rPr>
        <w:br w:type="page"/>
      </w:r>
      <w:r>
        <w:rPr>
          <w:rFonts w:hint="eastAsia" w:ascii="宋体" w:hAnsi="宋体" w:eastAsia="宋体" w:cs="宋体"/>
          <w:b/>
          <w:bCs/>
          <w:color w:val="auto"/>
          <w:sz w:val="28"/>
          <w:szCs w:val="28"/>
          <w:highlight w:val="none"/>
        </w:rPr>
        <w:t>封面格式</w:t>
      </w:r>
    </w:p>
    <w:p>
      <w:pPr>
        <w:jc w:val="right"/>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正本（副本）</w:t>
      </w:r>
    </w:p>
    <w:p>
      <w:pPr>
        <w:jc w:val="center"/>
        <w:rPr>
          <w:rFonts w:hint="eastAsia" w:ascii="宋体" w:hAnsi="宋体" w:eastAsia="宋体" w:cs="宋体"/>
          <w:color w:val="auto"/>
          <w:sz w:val="24"/>
          <w:szCs w:val="24"/>
          <w:highlight w:val="none"/>
          <w:u w:val="single"/>
        </w:rPr>
      </w:pPr>
    </w:p>
    <w:p>
      <w:pPr>
        <w:jc w:val="center"/>
        <w:rPr>
          <w:rFonts w:hint="eastAsia" w:ascii="宋体" w:hAnsi="宋体" w:eastAsia="宋体" w:cs="宋体"/>
          <w:color w:val="auto"/>
          <w:sz w:val="24"/>
          <w:szCs w:val="24"/>
          <w:highlight w:val="none"/>
          <w:u w:val="single"/>
        </w:rPr>
      </w:pPr>
    </w:p>
    <w:p>
      <w:pPr>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u w:val="single"/>
        </w:rPr>
        <w:t xml:space="preserve">                        </w:t>
      </w:r>
      <w:r>
        <w:rPr>
          <w:rFonts w:hint="eastAsia" w:ascii="宋体" w:hAnsi="宋体" w:eastAsia="宋体" w:cs="宋体"/>
          <w:color w:val="auto"/>
          <w:sz w:val="52"/>
          <w:szCs w:val="52"/>
          <w:highlight w:val="none"/>
        </w:rPr>
        <w:t>项目</w:t>
      </w:r>
    </w:p>
    <w:p>
      <w:pPr>
        <w:rPr>
          <w:rFonts w:hint="eastAsia" w:ascii="宋体" w:hAnsi="宋体" w:eastAsia="宋体" w:cs="宋体"/>
          <w:color w:val="auto"/>
          <w:sz w:val="52"/>
          <w:szCs w:val="52"/>
          <w:highlight w:val="none"/>
        </w:rPr>
      </w:pP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投 标文件</w:t>
      </w: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（招标编号）</w:t>
      </w: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p>
    <w:p>
      <w:pPr>
        <w:spacing w:line="900" w:lineRule="exact"/>
        <w:ind w:firstLine="320" w:firstLineChars="100"/>
        <w:rPr>
          <w:rFonts w:hint="eastAsia" w:ascii="宋体" w:hAnsi="宋体" w:eastAsia="宋体" w:cs="宋体"/>
          <w:color w:val="auto"/>
          <w:sz w:val="32"/>
          <w:szCs w:val="32"/>
          <w:highlight w:val="none"/>
          <w:u w:val="single"/>
        </w:rPr>
      </w:pPr>
      <w:r>
        <w:rPr>
          <w:rFonts w:hint="eastAsia" w:ascii="宋体" w:hAnsi="宋体" w:eastAsia="宋体" w:cs="宋体"/>
          <w:color w:val="auto"/>
          <w:sz w:val="32"/>
          <w:szCs w:val="32"/>
          <w:highlight w:val="none"/>
        </w:rPr>
        <w:t>投标文件内容：</w:t>
      </w:r>
      <w:r>
        <w:rPr>
          <w:rFonts w:hint="eastAsia" w:ascii="宋体" w:hAnsi="宋体" w:eastAsia="宋体" w:cs="宋体"/>
          <w:color w:val="auto"/>
          <w:sz w:val="32"/>
          <w:szCs w:val="32"/>
          <w:highlight w:val="none"/>
          <w:u w:val="single"/>
        </w:rPr>
        <w:t xml:space="preserve">           （技术标或商务标）                    </w:t>
      </w:r>
    </w:p>
    <w:p>
      <w:pPr>
        <w:spacing w:line="900" w:lineRule="exact"/>
        <w:ind w:firstLine="313" w:firstLineChars="98"/>
        <w:rPr>
          <w:rFonts w:hint="eastAsia" w:ascii="宋体" w:hAnsi="宋体" w:eastAsia="宋体" w:cs="宋体"/>
          <w:color w:val="auto"/>
          <w:sz w:val="32"/>
          <w:szCs w:val="32"/>
          <w:highlight w:val="none"/>
          <w:u w:val="single"/>
        </w:rPr>
      </w:pPr>
      <w:r>
        <w:rPr>
          <w:rFonts w:hint="eastAsia" w:ascii="宋体" w:hAnsi="宋体" w:eastAsia="宋体" w:cs="宋体"/>
          <w:color w:val="auto"/>
          <w:sz w:val="32"/>
          <w:szCs w:val="32"/>
          <w:highlight w:val="none"/>
        </w:rPr>
        <w:t>投   标   人：</w:t>
      </w:r>
      <w:r>
        <w:rPr>
          <w:rFonts w:hint="eastAsia" w:ascii="宋体" w:hAnsi="宋体" w:eastAsia="宋体" w:cs="宋体"/>
          <w:color w:val="auto"/>
          <w:sz w:val="32"/>
          <w:szCs w:val="32"/>
          <w:highlight w:val="none"/>
          <w:u w:val="single"/>
        </w:rPr>
        <w:t xml:space="preserve">                                 （盖章）  </w:t>
      </w:r>
    </w:p>
    <w:p>
      <w:pPr>
        <w:spacing w:line="900" w:lineRule="exact"/>
        <w:ind w:left="-4" w:leftChars="-2" w:firstLine="320" w:firstLineChars="100"/>
        <w:rPr>
          <w:rFonts w:hint="eastAsia" w:ascii="宋体" w:hAnsi="宋体" w:eastAsia="宋体" w:cs="宋体"/>
          <w:color w:val="auto"/>
          <w:sz w:val="32"/>
          <w:szCs w:val="32"/>
          <w:highlight w:val="none"/>
          <w:u w:val="single"/>
        </w:rPr>
      </w:pPr>
      <w:r>
        <w:rPr>
          <w:rFonts w:hint="eastAsia" w:ascii="宋体" w:hAnsi="宋体" w:eastAsia="宋体" w:cs="宋体"/>
          <w:color w:val="auto"/>
          <w:sz w:val="32"/>
          <w:szCs w:val="32"/>
          <w:highlight w:val="none"/>
        </w:rPr>
        <w:t>法定代表人或其委托代理人：</w:t>
      </w:r>
      <w:r>
        <w:rPr>
          <w:rFonts w:hint="eastAsia" w:ascii="宋体" w:hAnsi="宋体" w:eastAsia="宋体" w:cs="宋体"/>
          <w:color w:val="auto"/>
          <w:sz w:val="32"/>
          <w:szCs w:val="32"/>
          <w:highlight w:val="none"/>
          <w:u w:val="single"/>
        </w:rPr>
        <w:t xml:space="preserve">                （签字或盖章） </w:t>
      </w:r>
    </w:p>
    <w:p>
      <w:pPr>
        <w:spacing w:line="900" w:lineRule="exact"/>
        <w:ind w:firstLine="160" w:firstLineChars="5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 日 期：</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年</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月</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日</w:t>
      </w:r>
    </w:p>
    <w:p>
      <w:pPr>
        <w:rPr>
          <w:rFonts w:hint="eastAsia" w:ascii="宋体" w:hAnsi="宋体" w:eastAsia="宋体" w:cs="宋体"/>
          <w:color w:val="auto"/>
          <w:highlight w:val="none"/>
        </w:rPr>
      </w:pPr>
    </w:p>
    <w:p>
      <w:pP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p>
    <w:p>
      <w:pPr>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关于资格的声明函（格式）</w:t>
      </w:r>
    </w:p>
    <w:p>
      <w:pPr>
        <w:pStyle w:val="9"/>
        <w:rPr>
          <w:rFonts w:hint="eastAsia" w:ascii="宋体" w:hAnsi="宋体" w:eastAsia="宋体" w:cs="宋体"/>
          <w:color w:val="auto"/>
          <w:sz w:val="24"/>
          <w:szCs w:val="24"/>
          <w:highlight w:val="none"/>
        </w:rPr>
      </w:pPr>
    </w:p>
    <w:p>
      <w:pPr>
        <w:pStyle w:val="9"/>
        <w:jc w:val="both"/>
        <w:rPr>
          <w:rFonts w:hint="eastAsia" w:ascii="宋体" w:hAnsi="宋体" w:eastAsia="宋体" w:cs="宋体"/>
          <w:b w:val="0"/>
          <w:bCs w:val="0"/>
          <w:color w:val="auto"/>
          <w:sz w:val="24"/>
          <w:szCs w:val="24"/>
          <w:highlight w:val="none"/>
          <w:u w:val="single"/>
        </w:rPr>
      </w:pPr>
      <w:r>
        <w:rPr>
          <w:rFonts w:hint="eastAsia" w:ascii="宋体" w:hAnsi="宋体" w:eastAsia="宋体" w:cs="宋体"/>
          <w:b w:val="0"/>
          <w:bCs w:val="0"/>
          <w:color w:val="auto"/>
          <w:sz w:val="24"/>
          <w:szCs w:val="24"/>
          <w:highlight w:val="none"/>
        </w:rPr>
        <w:t>致：（</w:t>
      </w:r>
      <w:r>
        <w:rPr>
          <w:rFonts w:hint="eastAsia" w:ascii="宋体" w:hAnsi="宋体" w:eastAsia="宋体" w:cs="宋体"/>
          <w:b w:val="0"/>
          <w:bCs w:val="0"/>
          <w:color w:val="auto"/>
          <w:sz w:val="24"/>
          <w:szCs w:val="24"/>
          <w:highlight w:val="none"/>
          <w:u w:val="single"/>
        </w:rPr>
        <w:t xml:space="preserve">采购人名称）                    </w:t>
      </w:r>
    </w:p>
    <w:p>
      <w:pPr>
        <w:spacing w:line="48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xml:space="preserve">（招标代理机构名称）             </w:t>
      </w:r>
    </w:p>
    <w:p>
      <w:pPr>
        <w:spacing w:line="4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关于贵方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（招标编号）招标公告，本签字人愿意参加投标，按招标文件要求提供</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（项目名称）的 设备和服务，并证明提交的下列文件和说明是正确和真实的。</w:t>
      </w:r>
    </w:p>
    <w:p>
      <w:pPr>
        <w:spacing w:line="4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1、由</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（签发单位）签发的我方工商营业执照副本（复印件加盖公章后附该声明函后）。</w:t>
      </w:r>
    </w:p>
    <w:p>
      <w:pPr>
        <w:spacing w:line="4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2、由</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（签发人）签发的投标人情况介绍。</w:t>
      </w:r>
    </w:p>
    <w:p>
      <w:pPr>
        <w:spacing w:line="460" w:lineRule="exact"/>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3、其他资格、资质文件：</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4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（空格处填写资格证书名称、复印件加盖公章后附该声明函后）。</w:t>
      </w:r>
    </w:p>
    <w:p>
      <w:pPr>
        <w:spacing w:line="4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4、本签字人确认所提供的投标文件内容是真实的、准确的。</w:t>
      </w:r>
    </w:p>
    <w:p>
      <w:pPr>
        <w:spacing w:line="460" w:lineRule="exact"/>
        <w:ind w:firstLine="480" w:firstLineChars="200"/>
        <w:rPr>
          <w:rFonts w:hint="eastAsia" w:ascii="宋体" w:hAnsi="宋体" w:eastAsia="宋体" w:cs="宋体"/>
          <w:color w:val="auto"/>
          <w:sz w:val="24"/>
          <w:szCs w:val="24"/>
          <w:highlight w:val="none"/>
        </w:rPr>
      </w:pPr>
    </w:p>
    <w:p>
      <w:pPr>
        <w:spacing w:line="460" w:lineRule="exact"/>
        <w:ind w:firstLine="480" w:firstLineChars="200"/>
        <w:rPr>
          <w:rFonts w:hint="eastAsia" w:ascii="宋体" w:hAnsi="宋体" w:eastAsia="宋体" w:cs="宋体"/>
          <w:color w:val="auto"/>
          <w:sz w:val="24"/>
          <w:szCs w:val="24"/>
          <w:highlight w:val="none"/>
        </w:rPr>
      </w:pPr>
    </w:p>
    <w:p>
      <w:pPr>
        <w:spacing w:line="460" w:lineRule="exact"/>
        <w:ind w:firstLine="480" w:firstLineChars="200"/>
        <w:rPr>
          <w:rFonts w:hint="eastAsia" w:ascii="宋体" w:hAnsi="宋体" w:eastAsia="宋体" w:cs="宋体"/>
          <w:color w:val="auto"/>
          <w:sz w:val="24"/>
          <w:szCs w:val="24"/>
          <w:highlight w:val="none"/>
        </w:rPr>
      </w:pPr>
    </w:p>
    <w:p>
      <w:pPr>
        <w:spacing w:line="460" w:lineRule="exact"/>
        <w:ind w:firstLine="480" w:firstLineChars="200"/>
        <w:rPr>
          <w:rFonts w:hint="eastAsia" w:ascii="宋体" w:hAnsi="宋体" w:eastAsia="宋体" w:cs="宋体"/>
          <w:color w:val="auto"/>
          <w:sz w:val="24"/>
          <w:szCs w:val="24"/>
          <w:highlight w:val="none"/>
        </w:rPr>
      </w:pPr>
    </w:p>
    <w:p>
      <w:pPr>
        <w:spacing w:line="8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单位的名称和地址                         授权签署本资格文件人</w:t>
      </w:r>
    </w:p>
    <w:p>
      <w:pPr>
        <w:spacing w:line="8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签字（或盖章）：</w:t>
      </w:r>
      <w:r>
        <w:rPr>
          <w:rFonts w:hint="eastAsia" w:ascii="宋体" w:hAnsi="宋体" w:eastAsia="宋体" w:cs="宋体"/>
          <w:color w:val="auto"/>
          <w:sz w:val="24"/>
          <w:szCs w:val="24"/>
          <w:highlight w:val="none"/>
          <w:u w:val="single"/>
        </w:rPr>
        <w:t xml:space="preserve">                 </w:t>
      </w:r>
    </w:p>
    <w:p>
      <w:pPr>
        <w:spacing w:line="8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职务：</w:t>
      </w:r>
      <w:r>
        <w:rPr>
          <w:rFonts w:hint="eastAsia" w:ascii="宋体" w:hAnsi="宋体" w:eastAsia="宋体" w:cs="宋体"/>
          <w:color w:val="auto"/>
          <w:sz w:val="24"/>
          <w:szCs w:val="24"/>
          <w:highlight w:val="none"/>
          <w:u w:val="single"/>
        </w:rPr>
        <w:t xml:space="preserve">                        </w:t>
      </w:r>
    </w:p>
    <w:p>
      <w:pPr>
        <w:spacing w:line="800" w:lineRule="exac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传真：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pacing w:line="800" w:lineRule="exac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签署日期：</w:t>
      </w:r>
      <w:r>
        <w:rPr>
          <w:rFonts w:hint="eastAsia" w:ascii="宋体" w:hAnsi="宋体" w:eastAsia="宋体" w:cs="宋体"/>
          <w:color w:val="auto"/>
          <w:sz w:val="24"/>
          <w:szCs w:val="24"/>
          <w:highlight w:val="none"/>
          <w:u w:val="single"/>
        </w:rPr>
        <w:t xml:space="preserve">                    </w:t>
      </w:r>
    </w:p>
    <w:p>
      <w:pPr>
        <w:spacing w:line="800" w:lineRule="exact"/>
        <w:rPr>
          <w:rFonts w:hint="eastAsia" w:ascii="宋体" w:hAnsi="宋体" w:eastAsia="宋体" w:cs="宋体"/>
          <w:color w:val="auto"/>
          <w:sz w:val="24"/>
          <w:szCs w:val="24"/>
          <w:highlight w:val="none"/>
        </w:rPr>
      </w:pPr>
    </w:p>
    <w:p>
      <w:pPr>
        <w:spacing w:line="480" w:lineRule="auto"/>
        <w:ind w:firstLine="177" w:firstLineChars="49"/>
        <w:jc w:val="center"/>
        <w:rPr>
          <w:rFonts w:hint="eastAsia" w:ascii="宋体" w:hAnsi="宋体" w:eastAsia="宋体" w:cs="宋体"/>
          <w:color w:val="auto"/>
          <w:sz w:val="36"/>
          <w:szCs w:val="36"/>
          <w:highlight w:val="none"/>
        </w:rPr>
      </w:pPr>
      <w:r>
        <w:rPr>
          <w:rFonts w:hint="eastAsia" w:ascii="宋体" w:hAnsi="宋体" w:eastAsia="宋体" w:cs="宋体"/>
          <w:b/>
          <w:bCs/>
          <w:color w:val="auto"/>
          <w:sz w:val="36"/>
          <w:szCs w:val="36"/>
          <w:highlight w:val="none"/>
        </w:rPr>
        <w:t>法定代表人证明书（格式）</w:t>
      </w:r>
    </w:p>
    <w:p>
      <w:pPr>
        <w:spacing w:line="540" w:lineRule="exact"/>
        <w:rPr>
          <w:rFonts w:hint="eastAsia" w:ascii="宋体" w:hAnsi="宋体" w:eastAsia="宋体" w:cs="宋体"/>
          <w:color w:val="auto"/>
          <w:sz w:val="24"/>
          <w:szCs w:val="24"/>
          <w:highlight w:val="none"/>
        </w:rPr>
      </w:pPr>
    </w:p>
    <w:p>
      <w:pPr>
        <w:spacing w:line="540" w:lineRule="exact"/>
        <w:rPr>
          <w:rFonts w:hint="eastAsia" w:ascii="宋体" w:hAnsi="宋体" w:eastAsia="宋体" w:cs="宋体"/>
          <w:color w:val="auto"/>
          <w:sz w:val="24"/>
          <w:szCs w:val="24"/>
          <w:highlight w:val="none"/>
        </w:rPr>
      </w:pPr>
    </w:p>
    <w:p>
      <w:pPr>
        <w:spacing w:line="540" w:lineRule="exact"/>
        <w:rPr>
          <w:rFonts w:hint="eastAsia" w:ascii="宋体" w:hAnsi="宋体" w:eastAsia="宋体" w:cs="宋体"/>
          <w:color w:val="auto"/>
          <w:sz w:val="24"/>
          <w:szCs w:val="24"/>
          <w:highlight w:val="none"/>
        </w:rPr>
      </w:pPr>
    </w:p>
    <w:p>
      <w:pPr>
        <w:spacing w:line="5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                           性别：</w:t>
      </w:r>
    </w:p>
    <w:p>
      <w:pPr>
        <w:spacing w:line="5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年龄：                           职务：</w:t>
      </w:r>
    </w:p>
    <w:p>
      <w:pPr>
        <w:spacing w:line="5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身份证号码：</w:t>
      </w:r>
    </w:p>
    <w:p>
      <w:pPr>
        <w:spacing w:line="5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（单位名称）的法定代表人，法定地址：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项目的投标、开标等事宜，签署上述投标文件，进行合同谈判、签署合同和处理与之有关的一切事务。</w:t>
      </w:r>
    </w:p>
    <w:p>
      <w:pPr>
        <w:spacing w:line="540" w:lineRule="exact"/>
        <w:ind w:firstLine="480" w:firstLineChars="200"/>
        <w:rPr>
          <w:rFonts w:hint="eastAsia" w:ascii="宋体" w:hAnsi="宋体" w:eastAsia="宋体" w:cs="宋体"/>
          <w:color w:val="auto"/>
          <w:sz w:val="24"/>
          <w:szCs w:val="24"/>
          <w:highlight w:val="none"/>
        </w:rPr>
      </w:pPr>
    </w:p>
    <w:p>
      <w:pPr>
        <w:spacing w:line="5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spacing w:line="540" w:lineRule="exact"/>
        <w:rPr>
          <w:rFonts w:hint="eastAsia" w:ascii="宋体" w:hAnsi="宋体" w:eastAsia="宋体" w:cs="宋体"/>
          <w:color w:val="auto"/>
          <w:sz w:val="24"/>
          <w:szCs w:val="24"/>
          <w:highlight w:val="none"/>
        </w:rPr>
      </w:pPr>
    </w:p>
    <w:p>
      <w:pPr>
        <w:spacing w:line="540" w:lineRule="exact"/>
        <w:rPr>
          <w:rFonts w:hint="eastAsia" w:ascii="宋体" w:hAnsi="宋体" w:eastAsia="宋体" w:cs="宋体"/>
          <w:color w:val="auto"/>
          <w:sz w:val="24"/>
          <w:szCs w:val="24"/>
          <w:highlight w:val="none"/>
        </w:rPr>
      </w:pPr>
    </w:p>
    <w:p>
      <w:pPr>
        <w:spacing w:line="5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投标单位：（盖章）                </w:t>
      </w:r>
    </w:p>
    <w:p>
      <w:pPr>
        <w:spacing w:line="5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w:t>
      </w:r>
    </w:p>
    <w:p>
      <w:pPr>
        <w:spacing w:line="540" w:lineRule="exact"/>
        <w:rPr>
          <w:rFonts w:hint="eastAsia" w:ascii="宋体" w:hAnsi="宋体" w:eastAsia="宋体" w:cs="宋体"/>
          <w:color w:val="auto"/>
          <w:sz w:val="24"/>
          <w:szCs w:val="24"/>
          <w:highlight w:val="none"/>
        </w:rPr>
      </w:pPr>
    </w:p>
    <w:p>
      <w:pPr>
        <w:spacing w:line="5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日期：    年   月    日              </w:t>
      </w:r>
    </w:p>
    <w:p>
      <w:pPr>
        <w:spacing w:line="540" w:lineRule="exact"/>
        <w:rPr>
          <w:rFonts w:hint="eastAsia" w:ascii="宋体" w:hAnsi="宋体" w:eastAsia="宋体" w:cs="宋体"/>
          <w:color w:val="auto"/>
          <w:sz w:val="24"/>
          <w:szCs w:val="24"/>
          <w:highlight w:val="none"/>
        </w:rPr>
      </w:pPr>
    </w:p>
    <w:p>
      <w:pPr>
        <w:spacing w:line="540" w:lineRule="exact"/>
        <w:rPr>
          <w:rFonts w:hint="eastAsia" w:ascii="宋体" w:hAnsi="宋体" w:eastAsia="宋体" w:cs="宋体"/>
          <w:color w:val="auto"/>
          <w:sz w:val="24"/>
          <w:szCs w:val="24"/>
          <w:highlight w:val="none"/>
        </w:rPr>
      </w:pPr>
    </w:p>
    <w:p>
      <w:pPr>
        <w:spacing w:line="500" w:lineRule="exact"/>
        <w:rPr>
          <w:rFonts w:hint="eastAsia" w:ascii="宋体" w:hAnsi="宋体" w:eastAsia="宋体" w:cs="宋体"/>
          <w:color w:val="auto"/>
          <w:sz w:val="24"/>
          <w:szCs w:val="24"/>
          <w:highlight w:val="none"/>
        </w:rPr>
      </w:pPr>
    </w:p>
    <w:p>
      <w:pPr>
        <w:spacing w:line="500" w:lineRule="exact"/>
        <w:rPr>
          <w:rFonts w:hint="eastAsia" w:ascii="宋体" w:hAnsi="宋体" w:eastAsia="宋体" w:cs="宋体"/>
          <w:color w:val="auto"/>
          <w:sz w:val="24"/>
          <w:szCs w:val="24"/>
          <w:highlight w:val="none"/>
        </w:rPr>
      </w:pPr>
    </w:p>
    <w:p>
      <w:pPr>
        <w:spacing w:line="500" w:lineRule="exact"/>
        <w:rPr>
          <w:rFonts w:hint="eastAsia" w:ascii="宋体" w:hAnsi="宋体" w:eastAsia="宋体" w:cs="宋体"/>
          <w:color w:val="auto"/>
          <w:sz w:val="24"/>
          <w:szCs w:val="24"/>
          <w:highlight w:val="none"/>
        </w:rPr>
      </w:pPr>
    </w:p>
    <w:p>
      <w:pPr>
        <w:spacing w:line="480" w:lineRule="auto"/>
        <w:rPr>
          <w:rFonts w:hint="eastAsia" w:ascii="宋体" w:hAnsi="宋体" w:eastAsia="宋体" w:cs="宋体"/>
          <w:b/>
          <w:bCs/>
          <w:color w:val="auto"/>
          <w:sz w:val="36"/>
          <w:szCs w:val="36"/>
          <w:highlight w:val="none"/>
        </w:rPr>
      </w:pPr>
    </w:p>
    <w:p>
      <w:pPr>
        <w:spacing w:line="480"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投标人法定代表人授权书（格式）</w:t>
      </w:r>
    </w:p>
    <w:p>
      <w:pPr>
        <w:spacing w:line="480" w:lineRule="auto"/>
        <w:jc w:val="center"/>
        <w:rPr>
          <w:rFonts w:hint="eastAsia" w:ascii="宋体" w:hAnsi="宋体" w:eastAsia="宋体" w:cs="宋体"/>
          <w:b/>
          <w:bCs/>
          <w:color w:val="auto"/>
          <w:sz w:val="48"/>
          <w:szCs w:val="48"/>
          <w:highlight w:val="none"/>
        </w:rPr>
      </w:pP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 xml:space="preserve">采购人名称）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招标代理机构名称）         </w:t>
      </w:r>
      <w:r>
        <w:rPr>
          <w:rFonts w:hint="eastAsia" w:ascii="宋体" w:hAnsi="宋体" w:eastAsia="宋体" w:cs="宋体"/>
          <w:color w:val="auto"/>
          <w:sz w:val="24"/>
          <w:szCs w:val="24"/>
          <w:highlight w:val="none"/>
        </w:rPr>
        <w:t xml:space="preserve">    </w:t>
      </w:r>
    </w:p>
    <w:p>
      <w:pPr>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注册于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（注册地址）的</w:t>
      </w:r>
      <w:r>
        <w:rPr>
          <w:rFonts w:hint="eastAsia" w:ascii="宋体" w:hAnsi="宋体" w:eastAsia="宋体" w:cs="宋体"/>
          <w:color w:val="auto"/>
          <w:sz w:val="24"/>
          <w:szCs w:val="24"/>
          <w:highlight w:val="none"/>
          <w:u w:val="single"/>
        </w:rPr>
        <w:t xml:space="preserve">                                         </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（投标人名称），系中华人民共和国合法企业；本人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（授权人姓名）系该公司的法定代表人。现特授权本单位的（被授权人姓名）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（身份证号码）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为我公司合法代理人，全权代表我公司办理就</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项目的投标、谈判、签约等具体工作，并签署全部有关的文件、协议及合同。</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我公司对被授权人的签名负全部责任。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在撤销授权的书面通知以前，本授权书一直有效。被授权人签署的所有文件（在授权书有效期内签署的）不因授权的撤销而失效。被授权人无转委托。特此声明。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被授权人身份证复印件：</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8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投标人公章：</w:t>
      </w:r>
    </w:p>
    <w:p>
      <w:pPr>
        <w:spacing w:line="800" w:lineRule="exac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授权人签名：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职        务：</w:t>
      </w:r>
      <w:r>
        <w:rPr>
          <w:rFonts w:hint="eastAsia" w:ascii="宋体" w:hAnsi="宋体" w:eastAsia="宋体" w:cs="宋体"/>
          <w:color w:val="auto"/>
          <w:sz w:val="24"/>
          <w:szCs w:val="24"/>
          <w:highlight w:val="none"/>
          <w:u w:val="single"/>
        </w:rPr>
        <w:t xml:space="preserve">                </w:t>
      </w:r>
    </w:p>
    <w:p>
      <w:pPr>
        <w:spacing w:line="8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被授权人签名：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注：投标人法定代表人参加投标的，提供法定代表人证明书和身份证明即可。</w:t>
      </w:r>
    </w:p>
    <w:p>
      <w:pPr>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货物简要说明一览表</w:t>
      </w:r>
    </w:p>
    <w:p>
      <w:pPr>
        <w:spacing w:beforeLines="50" w:afterLine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投标方名称（盖章）：___________________    采购编号：_____________</w:t>
      </w:r>
    </w:p>
    <w:tbl>
      <w:tblPr>
        <w:tblStyle w:val="22"/>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60"/>
        <w:gridCol w:w="855"/>
        <w:gridCol w:w="2745"/>
        <w:gridCol w:w="82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260" w:type="dxa"/>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产品名称</w:t>
            </w:r>
          </w:p>
        </w:tc>
        <w:tc>
          <w:tcPr>
            <w:tcW w:w="855" w:type="dxa"/>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产地</w:t>
            </w:r>
          </w:p>
        </w:tc>
        <w:tc>
          <w:tcPr>
            <w:tcW w:w="2745" w:type="dxa"/>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型号规格及技术参数</w:t>
            </w:r>
          </w:p>
        </w:tc>
        <w:tc>
          <w:tcPr>
            <w:tcW w:w="825" w:type="dxa"/>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c>
          <w:tcPr>
            <w:tcW w:w="2955" w:type="dxa"/>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性能说明及其他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Align w:val="center"/>
          </w:tcPr>
          <w:p>
            <w:pPr>
              <w:spacing w:line="360" w:lineRule="auto"/>
              <w:jc w:val="center"/>
              <w:rPr>
                <w:rFonts w:hint="eastAsia" w:ascii="宋体" w:hAnsi="宋体" w:eastAsia="宋体" w:cs="宋体"/>
                <w:b/>
                <w:bCs/>
                <w:color w:val="auto"/>
                <w:sz w:val="24"/>
                <w:szCs w:val="24"/>
                <w:highlight w:val="none"/>
              </w:rPr>
            </w:pPr>
          </w:p>
        </w:tc>
        <w:tc>
          <w:tcPr>
            <w:tcW w:w="1260" w:type="dxa"/>
          </w:tcPr>
          <w:p>
            <w:pPr>
              <w:spacing w:line="360" w:lineRule="auto"/>
              <w:jc w:val="center"/>
              <w:rPr>
                <w:rFonts w:hint="eastAsia" w:ascii="宋体" w:hAnsi="宋体" w:eastAsia="宋体" w:cs="宋体"/>
                <w:b/>
                <w:bCs/>
                <w:color w:val="auto"/>
                <w:sz w:val="24"/>
                <w:szCs w:val="24"/>
                <w:highlight w:val="none"/>
              </w:rPr>
            </w:pPr>
          </w:p>
        </w:tc>
        <w:tc>
          <w:tcPr>
            <w:tcW w:w="855" w:type="dxa"/>
            <w:vAlign w:val="center"/>
          </w:tcPr>
          <w:p>
            <w:pPr>
              <w:spacing w:line="360" w:lineRule="auto"/>
              <w:jc w:val="center"/>
              <w:rPr>
                <w:rFonts w:hint="eastAsia" w:ascii="宋体" w:hAnsi="宋体" w:eastAsia="宋体" w:cs="宋体"/>
                <w:b/>
                <w:bCs/>
                <w:color w:val="auto"/>
                <w:sz w:val="24"/>
                <w:szCs w:val="24"/>
                <w:highlight w:val="none"/>
              </w:rPr>
            </w:pPr>
          </w:p>
        </w:tc>
        <w:tc>
          <w:tcPr>
            <w:tcW w:w="2745" w:type="dxa"/>
            <w:vAlign w:val="center"/>
          </w:tcPr>
          <w:p>
            <w:pPr>
              <w:spacing w:line="360" w:lineRule="auto"/>
              <w:jc w:val="center"/>
              <w:rPr>
                <w:rFonts w:hint="eastAsia" w:ascii="宋体" w:hAnsi="宋体" w:eastAsia="宋体" w:cs="宋体"/>
                <w:b/>
                <w:bCs/>
                <w:color w:val="auto"/>
                <w:sz w:val="24"/>
                <w:szCs w:val="24"/>
                <w:highlight w:val="none"/>
              </w:rPr>
            </w:pPr>
          </w:p>
        </w:tc>
        <w:tc>
          <w:tcPr>
            <w:tcW w:w="825" w:type="dxa"/>
            <w:vAlign w:val="center"/>
          </w:tcPr>
          <w:p>
            <w:pPr>
              <w:spacing w:line="360" w:lineRule="auto"/>
              <w:jc w:val="center"/>
              <w:rPr>
                <w:rFonts w:hint="eastAsia" w:ascii="宋体" w:hAnsi="宋体" w:eastAsia="宋体" w:cs="宋体"/>
                <w:b/>
                <w:bCs/>
                <w:color w:val="auto"/>
                <w:sz w:val="24"/>
                <w:szCs w:val="24"/>
                <w:highlight w:val="none"/>
              </w:rPr>
            </w:pPr>
          </w:p>
        </w:tc>
        <w:tc>
          <w:tcPr>
            <w:tcW w:w="2955" w:type="dxa"/>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Align w:val="center"/>
          </w:tcPr>
          <w:p>
            <w:pPr>
              <w:spacing w:line="360" w:lineRule="auto"/>
              <w:jc w:val="center"/>
              <w:rPr>
                <w:rFonts w:hint="eastAsia" w:ascii="宋体" w:hAnsi="宋体" w:eastAsia="宋体" w:cs="宋体"/>
                <w:b/>
                <w:bCs/>
                <w:color w:val="auto"/>
                <w:sz w:val="24"/>
                <w:szCs w:val="24"/>
                <w:highlight w:val="none"/>
              </w:rPr>
            </w:pPr>
          </w:p>
        </w:tc>
        <w:tc>
          <w:tcPr>
            <w:tcW w:w="1260" w:type="dxa"/>
          </w:tcPr>
          <w:p>
            <w:pPr>
              <w:spacing w:line="360" w:lineRule="auto"/>
              <w:jc w:val="center"/>
              <w:rPr>
                <w:rFonts w:hint="eastAsia" w:ascii="宋体" w:hAnsi="宋体" w:eastAsia="宋体" w:cs="宋体"/>
                <w:b/>
                <w:bCs/>
                <w:color w:val="auto"/>
                <w:sz w:val="24"/>
                <w:szCs w:val="24"/>
                <w:highlight w:val="none"/>
              </w:rPr>
            </w:pPr>
          </w:p>
        </w:tc>
        <w:tc>
          <w:tcPr>
            <w:tcW w:w="855" w:type="dxa"/>
            <w:vAlign w:val="center"/>
          </w:tcPr>
          <w:p>
            <w:pPr>
              <w:spacing w:line="360" w:lineRule="auto"/>
              <w:jc w:val="center"/>
              <w:rPr>
                <w:rFonts w:hint="eastAsia" w:ascii="宋体" w:hAnsi="宋体" w:eastAsia="宋体" w:cs="宋体"/>
                <w:b/>
                <w:bCs/>
                <w:color w:val="auto"/>
                <w:sz w:val="24"/>
                <w:szCs w:val="24"/>
                <w:highlight w:val="none"/>
              </w:rPr>
            </w:pPr>
          </w:p>
        </w:tc>
        <w:tc>
          <w:tcPr>
            <w:tcW w:w="2745" w:type="dxa"/>
            <w:vAlign w:val="center"/>
          </w:tcPr>
          <w:p>
            <w:pPr>
              <w:spacing w:line="360" w:lineRule="auto"/>
              <w:jc w:val="center"/>
              <w:rPr>
                <w:rFonts w:hint="eastAsia" w:ascii="宋体" w:hAnsi="宋体" w:eastAsia="宋体" w:cs="宋体"/>
                <w:b/>
                <w:bCs/>
                <w:color w:val="auto"/>
                <w:sz w:val="24"/>
                <w:szCs w:val="24"/>
                <w:highlight w:val="none"/>
              </w:rPr>
            </w:pPr>
          </w:p>
        </w:tc>
        <w:tc>
          <w:tcPr>
            <w:tcW w:w="825" w:type="dxa"/>
            <w:vAlign w:val="center"/>
          </w:tcPr>
          <w:p>
            <w:pPr>
              <w:spacing w:line="360" w:lineRule="auto"/>
              <w:jc w:val="center"/>
              <w:rPr>
                <w:rFonts w:hint="eastAsia" w:ascii="宋体" w:hAnsi="宋体" w:eastAsia="宋体" w:cs="宋体"/>
                <w:b/>
                <w:bCs/>
                <w:color w:val="auto"/>
                <w:sz w:val="24"/>
                <w:szCs w:val="24"/>
                <w:highlight w:val="none"/>
              </w:rPr>
            </w:pPr>
          </w:p>
        </w:tc>
        <w:tc>
          <w:tcPr>
            <w:tcW w:w="2955" w:type="dxa"/>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Align w:val="center"/>
          </w:tcPr>
          <w:p>
            <w:pPr>
              <w:spacing w:line="360" w:lineRule="auto"/>
              <w:jc w:val="center"/>
              <w:rPr>
                <w:rFonts w:hint="eastAsia" w:ascii="宋体" w:hAnsi="宋体" w:eastAsia="宋体" w:cs="宋体"/>
                <w:b/>
                <w:bCs/>
                <w:color w:val="auto"/>
                <w:sz w:val="24"/>
                <w:szCs w:val="24"/>
                <w:highlight w:val="none"/>
              </w:rPr>
            </w:pPr>
          </w:p>
        </w:tc>
        <w:tc>
          <w:tcPr>
            <w:tcW w:w="1260" w:type="dxa"/>
          </w:tcPr>
          <w:p>
            <w:pPr>
              <w:spacing w:line="360" w:lineRule="auto"/>
              <w:jc w:val="center"/>
              <w:rPr>
                <w:rFonts w:hint="eastAsia" w:ascii="宋体" w:hAnsi="宋体" w:eastAsia="宋体" w:cs="宋体"/>
                <w:b/>
                <w:bCs/>
                <w:color w:val="auto"/>
                <w:sz w:val="24"/>
                <w:szCs w:val="24"/>
                <w:highlight w:val="none"/>
              </w:rPr>
            </w:pPr>
          </w:p>
        </w:tc>
        <w:tc>
          <w:tcPr>
            <w:tcW w:w="855" w:type="dxa"/>
            <w:vAlign w:val="center"/>
          </w:tcPr>
          <w:p>
            <w:pPr>
              <w:spacing w:line="360" w:lineRule="auto"/>
              <w:jc w:val="center"/>
              <w:rPr>
                <w:rFonts w:hint="eastAsia" w:ascii="宋体" w:hAnsi="宋体" w:eastAsia="宋体" w:cs="宋体"/>
                <w:b/>
                <w:bCs/>
                <w:color w:val="auto"/>
                <w:sz w:val="24"/>
                <w:szCs w:val="24"/>
                <w:highlight w:val="none"/>
              </w:rPr>
            </w:pPr>
          </w:p>
        </w:tc>
        <w:tc>
          <w:tcPr>
            <w:tcW w:w="2745" w:type="dxa"/>
            <w:vAlign w:val="center"/>
          </w:tcPr>
          <w:p>
            <w:pPr>
              <w:spacing w:line="360" w:lineRule="auto"/>
              <w:jc w:val="center"/>
              <w:rPr>
                <w:rFonts w:hint="eastAsia" w:ascii="宋体" w:hAnsi="宋体" w:eastAsia="宋体" w:cs="宋体"/>
                <w:b/>
                <w:bCs/>
                <w:color w:val="auto"/>
                <w:sz w:val="24"/>
                <w:szCs w:val="24"/>
                <w:highlight w:val="none"/>
              </w:rPr>
            </w:pPr>
          </w:p>
        </w:tc>
        <w:tc>
          <w:tcPr>
            <w:tcW w:w="825" w:type="dxa"/>
            <w:vAlign w:val="center"/>
          </w:tcPr>
          <w:p>
            <w:pPr>
              <w:spacing w:line="360" w:lineRule="auto"/>
              <w:jc w:val="center"/>
              <w:rPr>
                <w:rFonts w:hint="eastAsia" w:ascii="宋体" w:hAnsi="宋体" w:eastAsia="宋体" w:cs="宋体"/>
                <w:b/>
                <w:bCs/>
                <w:color w:val="auto"/>
                <w:sz w:val="24"/>
                <w:szCs w:val="24"/>
                <w:highlight w:val="none"/>
              </w:rPr>
            </w:pPr>
          </w:p>
        </w:tc>
        <w:tc>
          <w:tcPr>
            <w:tcW w:w="2955" w:type="dxa"/>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Align w:val="center"/>
          </w:tcPr>
          <w:p>
            <w:pPr>
              <w:spacing w:line="360" w:lineRule="auto"/>
              <w:jc w:val="center"/>
              <w:rPr>
                <w:rFonts w:hint="eastAsia" w:ascii="宋体" w:hAnsi="宋体" w:eastAsia="宋体" w:cs="宋体"/>
                <w:b/>
                <w:bCs/>
                <w:color w:val="auto"/>
                <w:sz w:val="24"/>
                <w:szCs w:val="24"/>
                <w:highlight w:val="none"/>
              </w:rPr>
            </w:pPr>
          </w:p>
        </w:tc>
        <w:tc>
          <w:tcPr>
            <w:tcW w:w="1260" w:type="dxa"/>
          </w:tcPr>
          <w:p>
            <w:pPr>
              <w:spacing w:line="360" w:lineRule="auto"/>
              <w:jc w:val="center"/>
              <w:rPr>
                <w:rFonts w:hint="eastAsia" w:ascii="宋体" w:hAnsi="宋体" w:eastAsia="宋体" w:cs="宋体"/>
                <w:b/>
                <w:bCs/>
                <w:color w:val="auto"/>
                <w:sz w:val="24"/>
                <w:szCs w:val="24"/>
                <w:highlight w:val="none"/>
              </w:rPr>
            </w:pPr>
          </w:p>
        </w:tc>
        <w:tc>
          <w:tcPr>
            <w:tcW w:w="855" w:type="dxa"/>
            <w:vAlign w:val="center"/>
          </w:tcPr>
          <w:p>
            <w:pPr>
              <w:spacing w:line="360" w:lineRule="auto"/>
              <w:jc w:val="center"/>
              <w:rPr>
                <w:rFonts w:hint="eastAsia" w:ascii="宋体" w:hAnsi="宋体" w:eastAsia="宋体" w:cs="宋体"/>
                <w:b/>
                <w:bCs/>
                <w:color w:val="auto"/>
                <w:sz w:val="24"/>
                <w:szCs w:val="24"/>
                <w:highlight w:val="none"/>
              </w:rPr>
            </w:pPr>
          </w:p>
        </w:tc>
        <w:tc>
          <w:tcPr>
            <w:tcW w:w="2745" w:type="dxa"/>
            <w:vAlign w:val="center"/>
          </w:tcPr>
          <w:p>
            <w:pPr>
              <w:spacing w:line="360" w:lineRule="auto"/>
              <w:jc w:val="center"/>
              <w:rPr>
                <w:rFonts w:hint="eastAsia" w:ascii="宋体" w:hAnsi="宋体" w:eastAsia="宋体" w:cs="宋体"/>
                <w:b/>
                <w:bCs/>
                <w:color w:val="auto"/>
                <w:sz w:val="24"/>
                <w:szCs w:val="24"/>
                <w:highlight w:val="none"/>
              </w:rPr>
            </w:pPr>
          </w:p>
        </w:tc>
        <w:tc>
          <w:tcPr>
            <w:tcW w:w="825" w:type="dxa"/>
            <w:vAlign w:val="center"/>
          </w:tcPr>
          <w:p>
            <w:pPr>
              <w:spacing w:line="360" w:lineRule="auto"/>
              <w:jc w:val="center"/>
              <w:rPr>
                <w:rFonts w:hint="eastAsia" w:ascii="宋体" w:hAnsi="宋体" w:eastAsia="宋体" w:cs="宋体"/>
                <w:b/>
                <w:bCs/>
                <w:color w:val="auto"/>
                <w:sz w:val="24"/>
                <w:szCs w:val="24"/>
                <w:highlight w:val="none"/>
              </w:rPr>
            </w:pPr>
          </w:p>
        </w:tc>
        <w:tc>
          <w:tcPr>
            <w:tcW w:w="2955" w:type="dxa"/>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Align w:val="center"/>
          </w:tcPr>
          <w:p>
            <w:pPr>
              <w:spacing w:line="360" w:lineRule="auto"/>
              <w:jc w:val="center"/>
              <w:rPr>
                <w:rFonts w:hint="eastAsia" w:ascii="宋体" w:hAnsi="宋体" w:eastAsia="宋体" w:cs="宋体"/>
                <w:b/>
                <w:bCs/>
                <w:color w:val="auto"/>
                <w:sz w:val="24"/>
                <w:szCs w:val="24"/>
                <w:highlight w:val="none"/>
              </w:rPr>
            </w:pPr>
          </w:p>
        </w:tc>
        <w:tc>
          <w:tcPr>
            <w:tcW w:w="1260" w:type="dxa"/>
          </w:tcPr>
          <w:p>
            <w:pPr>
              <w:spacing w:line="360" w:lineRule="auto"/>
              <w:jc w:val="center"/>
              <w:rPr>
                <w:rFonts w:hint="eastAsia" w:ascii="宋体" w:hAnsi="宋体" w:eastAsia="宋体" w:cs="宋体"/>
                <w:b/>
                <w:bCs/>
                <w:color w:val="auto"/>
                <w:sz w:val="24"/>
                <w:szCs w:val="24"/>
                <w:highlight w:val="none"/>
              </w:rPr>
            </w:pPr>
          </w:p>
        </w:tc>
        <w:tc>
          <w:tcPr>
            <w:tcW w:w="855" w:type="dxa"/>
            <w:vAlign w:val="center"/>
          </w:tcPr>
          <w:p>
            <w:pPr>
              <w:spacing w:line="360" w:lineRule="auto"/>
              <w:jc w:val="center"/>
              <w:rPr>
                <w:rFonts w:hint="eastAsia" w:ascii="宋体" w:hAnsi="宋体" w:eastAsia="宋体" w:cs="宋体"/>
                <w:b/>
                <w:bCs/>
                <w:color w:val="auto"/>
                <w:sz w:val="24"/>
                <w:szCs w:val="24"/>
                <w:highlight w:val="none"/>
              </w:rPr>
            </w:pPr>
          </w:p>
        </w:tc>
        <w:tc>
          <w:tcPr>
            <w:tcW w:w="2745" w:type="dxa"/>
            <w:vAlign w:val="center"/>
          </w:tcPr>
          <w:p>
            <w:pPr>
              <w:spacing w:line="360" w:lineRule="auto"/>
              <w:jc w:val="center"/>
              <w:rPr>
                <w:rFonts w:hint="eastAsia" w:ascii="宋体" w:hAnsi="宋体" w:eastAsia="宋体" w:cs="宋体"/>
                <w:b/>
                <w:bCs/>
                <w:color w:val="auto"/>
                <w:sz w:val="24"/>
                <w:szCs w:val="24"/>
                <w:highlight w:val="none"/>
              </w:rPr>
            </w:pPr>
          </w:p>
        </w:tc>
        <w:tc>
          <w:tcPr>
            <w:tcW w:w="825" w:type="dxa"/>
            <w:vAlign w:val="center"/>
          </w:tcPr>
          <w:p>
            <w:pPr>
              <w:spacing w:line="360" w:lineRule="auto"/>
              <w:jc w:val="center"/>
              <w:rPr>
                <w:rFonts w:hint="eastAsia" w:ascii="宋体" w:hAnsi="宋体" w:eastAsia="宋体" w:cs="宋体"/>
                <w:b/>
                <w:bCs/>
                <w:color w:val="auto"/>
                <w:sz w:val="24"/>
                <w:szCs w:val="24"/>
                <w:highlight w:val="none"/>
              </w:rPr>
            </w:pPr>
          </w:p>
        </w:tc>
        <w:tc>
          <w:tcPr>
            <w:tcW w:w="2955" w:type="dxa"/>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Align w:val="center"/>
          </w:tcPr>
          <w:p>
            <w:pPr>
              <w:spacing w:line="360" w:lineRule="auto"/>
              <w:jc w:val="center"/>
              <w:rPr>
                <w:rFonts w:hint="eastAsia" w:ascii="宋体" w:hAnsi="宋体" w:eastAsia="宋体" w:cs="宋体"/>
                <w:b/>
                <w:bCs/>
                <w:color w:val="auto"/>
                <w:sz w:val="24"/>
                <w:szCs w:val="24"/>
                <w:highlight w:val="none"/>
              </w:rPr>
            </w:pPr>
          </w:p>
        </w:tc>
        <w:tc>
          <w:tcPr>
            <w:tcW w:w="1260" w:type="dxa"/>
          </w:tcPr>
          <w:p>
            <w:pPr>
              <w:spacing w:line="360" w:lineRule="auto"/>
              <w:jc w:val="center"/>
              <w:rPr>
                <w:rFonts w:hint="eastAsia" w:ascii="宋体" w:hAnsi="宋体" w:eastAsia="宋体" w:cs="宋体"/>
                <w:b/>
                <w:bCs/>
                <w:color w:val="auto"/>
                <w:sz w:val="24"/>
                <w:szCs w:val="24"/>
                <w:highlight w:val="none"/>
              </w:rPr>
            </w:pPr>
          </w:p>
        </w:tc>
        <w:tc>
          <w:tcPr>
            <w:tcW w:w="855" w:type="dxa"/>
            <w:vAlign w:val="center"/>
          </w:tcPr>
          <w:p>
            <w:pPr>
              <w:spacing w:line="360" w:lineRule="auto"/>
              <w:jc w:val="center"/>
              <w:rPr>
                <w:rFonts w:hint="eastAsia" w:ascii="宋体" w:hAnsi="宋体" w:eastAsia="宋体" w:cs="宋体"/>
                <w:b/>
                <w:bCs/>
                <w:color w:val="auto"/>
                <w:sz w:val="24"/>
                <w:szCs w:val="24"/>
                <w:highlight w:val="none"/>
              </w:rPr>
            </w:pPr>
          </w:p>
        </w:tc>
        <w:tc>
          <w:tcPr>
            <w:tcW w:w="2745" w:type="dxa"/>
            <w:vAlign w:val="center"/>
          </w:tcPr>
          <w:p>
            <w:pPr>
              <w:spacing w:line="360" w:lineRule="auto"/>
              <w:jc w:val="center"/>
              <w:rPr>
                <w:rFonts w:hint="eastAsia" w:ascii="宋体" w:hAnsi="宋体" w:eastAsia="宋体" w:cs="宋体"/>
                <w:b/>
                <w:bCs/>
                <w:color w:val="auto"/>
                <w:sz w:val="24"/>
                <w:szCs w:val="24"/>
                <w:highlight w:val="none"/>
              </w:rPr>
            </w:pPr>
          </w:p>
        </w:tc>
        <w:tc>
          <w:tcPr>
            <w:tcW w:w="825" w:type="dxa"/>
            <w:vAlign w:val="center"/>
          </w:tcPr>
          <w:p>
            <w:pPr>
              <w:spacing w:line="360" w:lineRule="auto"/>
              <w:jc w:val="center"/>
              <w:rPr>
                <w:rFonts w:hint="eastAsia" w:ascii="宋体" w:hAnsi="宋体" w:eastAsia="宋体" w:cs="宋体"/>
                <w:b/>
                <w:bCs/>
                <w:color w:val="auto"/>
                <w:sz w:val="24"/>
                <w:szCs w:val="24"/>
                <w:highlight w:val="none"/>
              </w:rPr>
            </w:pPr>
          </w:p>
        </w:tc>
        <w:tc>
          <w:tcPr>
            <w:tcW w:w="2955" w:type="dxa"/>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Align w:val="center"/>
          </w:tcPr>
          <w:p>
            <w:pPr>
              <w:spacing w:line="360" w:lineRule="auto"/>
              <w:jc w:val="center"/>
              <w:rPr>
                <w:rFonts w:hint="eastAsia" w:ascii="宋体" w:hAnsi="宋体" w:eastAsia="宋体" w:cs="宋体"/>
                <w:b/>
                <w:bCs/>
                <w:color w:val="auto"/>
                <w:sz w:val="24"/>
                <w:szCs w:val="24"/>
                <w:highlight w:val="none"/>
              </w:rPr>
            </w:pPr>
          </w:p>
        </w:tc>
        <w:tc>
          <w:tcPr>
            <w:tcW w:w="1260" w:type="dxa"/>
          </w:tcPr>
          <w:p>
            <w:pPr>
              <w:spacing w:line="360" w:lineRule="auto"/>
              <w:jc w:val="center"/>
              <w:rPr>
                <w:rFonts w:hint="eastAsia" w:ascii="宋体" w:hAnsi="宋体" w:eastAsia="宋体" w:cs="宋体"/>
                <w:b/>
                <w:bCs/>
                <w:color w:val="auto"/>
                <w:sz w:val="24"/>
                <w:szCs w:val="24"/>
                <w:highlight w:val="none"/>
              </w:rPr>
            </w:pPr>
          </w:p>
        </w:tc>
        <w:tc>
          <w:tcPr>
            <w:tcW w:w="855" w:type="dxa"/>
            <w:vAlign w:val="center"/>
          </w:tcPr>
          <w:p>
            <w:pPr>
              <w:spacing w:line="360" w:lineRule="auto"/>
              <w:jc w:val="center"/>
              <w:rPr>
                <w:rFonts w:hint="eastAsia" w:ascii="宋体" w:hAnsi="宋体" w:eastAsia="宋体" w:cs="宋体"/>
                <w:b/>
                <w:bCs/>
                <w:color w:val="auto"/>
                <w:sz w:val="24"/>
                <w:szCs w:val="24"/>
                <w:highlight w:val="none"/>
              </w:rPr>
            </w:pPr>
          </w:p>
        </w:tc>
        <w:tc>
          <w:tcPr>
            <w:tcW w:w="2745" w:type="dxa"/>
            <w:vAlign w:val="center"/>
          </w:tcPr>
          <w:p>
            <w:pPr>
              <w:spacing w:line="360" w:lineRule="auto"/>
              <w:jc w:val="center"/>
              <w:rPr>
                <w:rFonts w:hint="eastAsia" w:ascii="宋体" w:hAnsi="宋体" w:eastAsia="宋体" w:cs="宋体"/>
                <w:b/>
                <w:bCs/>
                <w:color w:val="auto"/>
                <w:sz w:val="24"/>
                <w:szCs w:val="24"/>
                <w:highlight w:val="none"/>
              </w:rPr>
            </w:pPr>
          </w:p>
        </w:tc>
        <w:tc>
          <w:tcPr>
            <w:tcW w:w="825" w:type="dxa"/>
            <w:vAlign w:val="center"/>
          </w:tcPr>
          <w:p>
            <w:pPr>
              <w:spacing w:line="360" w:lineRule="auto"/>
              <w:jc w:val="center"/>
              <w:rPr>
                <w:rFonts w:hint="eastAsia" w:ascii="宋体" w:hAnsi="宋体" w:eastAsia="宋体" w:cs="宋体"/>
                <w:b/>
                <w:bCs/>
                <w:color w:val="auto"/>
                <w:sz w:val="24"/>
                <w:szCs w:val="24"/>
                <w:highlight w:val="none"/>
              </w:rPr>
            </w:pPr>
          </w:p>
        </w:tc>
        <w:tc>
          <w:tcPr>
            <w:tcW w:w="2955" w:type="dxa"/>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Align w:val="center"/>
          </w:tcPr>
          <w:p>
            <w:pPr>
              <w:spacing w:line="360" w:lineRule="auto"/>
              <w:jc w:val="center"/>
              <w:rPr>
                <w:rFonts w:hint="eastAsia" w:ascii="宋体" w:hAnsi="宋体" w:eastAsia="宋体" w:cs="宋体"/>
                <w:b/>
                <w:bCs/>
                <w:color w:val="auto"/>
                <w:sz w:val="24"/>
                <w:szCs w:val="24"/>
                <w:highlight w:val="none"/>
              </w:rPr>
            </w:pPr>
          </w:p>
        </w:tc>
        <w:tc>
          <w:tcPr>
            <w:tcW w:w="1260" w:type="dxa"/>
          </w:tcPr>
          <w:p>
            <w:pPr>
              <w:spacing w:line="360" w:lineRule="auto"/>
              <w:jc w:val="center"/>
              <w:rPr>
                <w:rFonts w:hint="eastAsia" w:ascii="宋体" w:hAnsi="宋体" w:eastAsia="宋体" w:cs="宋体"/>
                <w:b/>
                <w:bCs/>
                <w:color w:val="auto"/>
                <w:sz w:val="24"/>
                <w:szCs w:val="24"/>
                <w:highlight w:val="none"/>
              </w:rPr>
            </w:pPr>
          </w:p>
        </w:tc>
        <w:tc>
          <w:tcPr>
            <w:tcW w:w="855" w:type="dxa"/>
            <w:vAlign w:val="center"/>
          </w:tcPr>
          <w:p>
            <w:pPr>
              <w:spacing w:line="360" w:lineRule="auto"/>
              <w:jc w:val="center"/>
              <w:rPr>
                <w:rFonts w:hint="eastAsia" w:ascii="宋体" w:hAnsi="宋体" w:eastAsia="宋体" w:cs="宋体"/>
                <w:b/>
                <w:bCs/>
                <w:color w:val="auto"/>
                <w:sz w:val="24"/>
                <w:szCs w:val="24"/>
                <w:highlight w:val="none"/>
              </w:rPr>
            </w:pPr>
          </w:p>
        </w:tc>
        <w:tc>
          <w:tcPr>
            <w:tcW w:w="2745" w:type="dxa"/>
            <w:vAlign w:val="center"/>
          </w:tcPr>
          <w:p>
            <w:pPr>
              <w:spacing w:line="360" w:lineRule="auto"/>
              <w:jc w:val="center"/>
              <w:rPr>
                <w:rFonts w:hint="eastAsia" w:ascii="宋体" w:hAnsi="宋体" w:eastAsia="宋体" w:cs="宋体"/>
                <w:b/>
                <w:bCs/>
                <w:color w:val="auto"/>
                <w:sz w:val="24"/>
                <w:szCs w:val="24"/>
                <w:highlight w:val="none"/>
              </w:rPr>
            </w:pPr>
          </w:p>
        </w:tc>
        <w:tc>
          <w:tcPr>
            <w:tcW w:w="825" w:type="dxa"/>
            <w:vAlign w:val="center"/>
          </w:tcPr>
          <w:p>
            <w:pPr>
              <w:spacing w:line="360" w:lineRule="auto"/>
              <w:jc w:val="center"/>
              <w:rPr>
                <w:rFonts w:hint="eastAsia" w:ascii="宋体" w:hAnsi="宋体" w:eastAsia="宋体" w:cs="宋体"/>
                <w:b/>
                <w:bCs/>
                <w:color w:val="auto"/>
                <w:sz w:val="24"/>
                <w:szCs w:val="24"/>
                <w:highlight w:val="none"/>
              </w:rPr>
            </w:pPr>
          </w:p>
        </w:tc>
        <w:tc>
          <w:tcPr>
            <w:tcW w:w="2955" w:type="dxa"/>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Align w:val="center"/>
          </w:tcPr>
          <w:p>
            <w:pPr>
              <w:spacing w:line="360" w:lineRule="auto"/>
              <w:jc w:val="center"/>
              <w:rPr>
                <w:rFonts w:hint="eastAsia" w:ascii="宋体" w:hAnsi="宋体" w:eastAsia="宋体" w:cs="宋体"/>
                <w:b/>
                <w:bCs/>
                <w:color w:val="auto"/>
                <w:sz w:val="24"/>
                <w:szCs w:val="24"/>
                <w:highlight w:val="none"/>
              </w:rPr>
            </w:pPr>
          </w:p>
        </w:tc>
        <w:tc>
          <w:tcPr>
            <w:tcW w:w="1260" w:type="dxa"/>
          </w:tcPr>
          <w:p>
            <w:pPr>
              <w:spacing w:line="360" w:lineRule="auto"/>
              <w:jc w:val="center"/>
              <w:rPr>
                <w:rFonts w:hint="eastAsia" w:ascii="宋体" w:hAnsi="宋体" w:eastAsia="宋体" w:cs="宋体"/>
                <w:b/>
                <w:bCs/>
                <w:color w:val="auto"/>
                <w:sz w:val="24"/>
                <w:szCs w:val="24"/>
                <w:highlight w:val="none"/>
              </w:rPr>
            </w:pPr>
          </w:p>
        </w:tc>
        <w:tc>
          <w:tcPr>
            <w:tcW w:w="855" w:type="dxa"/>
            <w:vAlign w:val="center"/>
          </w:tcPr>
          <w:p>
            <w:pPr>
              <w:spacing w:line="360" w:lineRule="auto"/>
              <w:jc w:val="center"/>
              <w:rPr>
                <w:rFonts w:hint="eastAsia" w:ascii="宋体" w:hAnsi="宋体" w:eastAsia="宋体" w:cs="宋体"/>
                <w:b/>
                <w:bCs/>
                <w:color w:val="auto"/>
                <w:sz w:val="24"/>
                <w:szCs w:val="24"/>
                <w:highlight w:val="none"/>
              </w:rPr>
            </w:pPr>
          </w:p>
        </w:tc>
        <w:tc>
          <w:tcPr>
            <w:tcW w:w="2745" w:type="dxa"/>
            <w:vAlign w:val="center"/>
          </w:tcPr>
          <w:p>
            <w:pPr>
              <w:spacing w:line="360" w:lineRule="auto"/>
              <w:jc w:val="center"/>
              <w:rPr>
                <w:rFonts w:hint="eastAsia" w:ascii="宋体" w:hAnsi="宋体" w:eastAsia="宋体" w:cs="宋体"/>
                <w:b/>
                <w:bCs/>
                <w:color w:val="auto"/>
                <w:sz w:val="24"/>
                <w:szCs w:val="24"/>
                <w:highlight w:val="none"/>
              </w:rPr>
            </w:pPr>
          </w:p>
        </w:tc>
        <w:tc>
          <w:tcPr>
            <w:tcW w:w="825" w:type="dxa"/>
            <w:vAlign w:val="center"/>
          </w:tcPr>
          <w:p>
            <w:pPr>
              <w:spacing w:line="360" w:lineRule="auto"/>
              <w:jc w:val="center"/>
              <w:rPr>
                <w:rFonts w:hint="eastAsia" w:ascii="宋体" w:hAnsi="宋体" w:eastAsia="宋体" w:cs="宋体"/>
                <w:b/>
                <w:bCs/>
                <w:color w:val="auto"/>
                <w:sz w:val="24"/>
                <w:szCs w:val="24"/>
                <w:highlight w:val="none"/>
              </w:rPr>
            </w:pPr>
          </w:p>
        </w:tc>
        <w:tc>
          <w:tcPr>
            <w:tcW w:w="2955" w:type="dxa"/>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Align w:val="center"/>
          </w:tcPr>
          <w:p>
            <w:pPr>
              <w:spacing w:line="360" w:lineRule="auto"/>
              <w:jc w:val="center"/>
              <w:rPr>
                <w:rFonts w:hint="eastAsia" w:ascii="宋体" w:hAnsi="宋体" w:eastAsia="宋体" w:cs="宋体"/>
                <w:b/>
                <w:bCs/>
                <w:color w:val="auto"/>
                <w:sz w:val="24"/>
                <w:szCs w:val="24"/>
                <w:highlight w:val="none"/>
              </w:rPr>
            </w:pPr>
          </w:p>
        </w:tc>
        <w:tc>
          <w:tcPr>
            <w:tcW w:w="1260" w:type="dxa"/>
          </w:tcPr>
          <w:p>
            <w:pPr>
              <w:spacing w:line="360" w:lineRule="auto"/>
              <w:jc w:val="center"/>
              <w:rPr>
                <w:rFonts w:hint="eastAsia" w:ascii="宋体" w:hAnsi="宋体" w:eastAsia="宋体" w:cs="宋体"/>
                <w:b/>
                <w:bCs/>
                <w:color w:val="auto"/>
                <w:sz w:val="24"/>
                <w:szCs w:val="24"/>
                <w:highlight w:val="none"/>
              </w:rPr>
            </w:pPr>
          </w:p>
        </w:tc>
        <w:tc>
          <w:tcPr>
            <w:tcW w:w="855" w:type="dxa"/>
            <w:vAlign w:val="center"/>
          </w:tcPr>
          <w:p>
            <w:pPr>
              <w:spacing w:line="360" w:lineRule="auto"/>
              <w:jc w:val="center"/>
              <w:rPr>
                <w:rFonts w:hint="eastAsia" w:ascii="宋体" w:hAnsi="宋体" w:eastAsia="宋体" w:cs="宋体"/>
                <w:b/>
                <w:bCs/>
                <w:color w:val="auto"/>
                <w:sz w:val="24"/>
                <w:szCs w:val="24"/>
                <w:highlight w:val="none"/>
              </w:rPr>
            </w:pPr>
          </w:p>
        </w:tc>
        <w:tc>
          <w:tcPr>
            <w:tcW w:w="2745" w:type="dxa"/>
            <w:vAlign w:val="center"/>
          </w:tcPr>
          <w:p>
            <w:pPr>
              <w:spacing w:line="360" w:lineRule="auto"/>
              <w:jc w:val="center"/>
              <w:rPr>
                <w:rFonts w:hint="eastAsia" w:ascii="宋体" w:hAnsi="宋体" w:eastAsia="宋体" w:cs="宋体"/>
                <w:b/>
                <w:bCs/>
                <w:color w:val="auto"/>
                <w:sz w:val="24"/>
                <w:szCs w:val="24"/>
                <w:highlight w:val="none"/>
              </w:rPr>
            </w:pPr>
          </w:p>
        </w:tc>
        <w:tc>
          <w:tcPr>
            <w:tcW w:w="825" w:type="dxa"/>
            <w:vAlign w:val="center"/>
          </w:tcPr>
          <w:p>
            <w:pPr>
              <w:spacing w:line="360" w:lineRule="auto"/>
              <w:jc w:val="center"/>
              <w:rPr>
                <w:rFonts w:hint="eastAsia" w:ascii="宋体" w:hAnsi="宋体" w:eastAsia="宋体" w:cs="宋体"/>
                <w:b/>
                <w:bCs/>
                <w:color w:val="auto"/>
                <w:sz w:val="24"/>
                <w:szCs w:val="24"/>
                <w:highlight w:val="none"/>
              </w:rPr>
            </w:pPr>
          </w:p>
        </w:tc>
        <w:tc>
          <w:tcPr>
            <w:tcW w:w="2955" w:type="dxa"/>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Align w:val="center"/>
          </w:tcPr>
          <w:p>
            <w:pPr>
              <w:spacing w:line="360" w:lineRule="auto"/>
              <w:jc w:val="center"/>
              <w:rPr>
                <w:rFonts w:hint="eastAsia" w:ascii="宋体" w:hAnsi="宋体" w:eastAsia="宋体" w:cs="宋体"/>
                <w:b/>
                <w:bCs/>
                <w:color w:val="auto"/>
                <w:sz w:val="24"/>
                <w:szCs w:val="24"/>
                <w:highlight w:val="none"/>
              </w:rPr>
            </w:pPr>
          </w:p>
        </w:tc>
        <w:tc>
          <w:tcPr>
            <w:tcW w:w="1260" w:type="dxa"/>
          </w:tcPr>
          <w:p>
            <w:pPr>
              <w:spacing w:line="360" w:lineRule="auto"/>
              <w:jc w:val="center"/>
              <w:rPr>
                <w:rFonts w:hint="eastAsia" w:ascii="宋体" w:hAnsi="宋体" w:eastAsia="宋体" w:cs="宋体"/>
                <w:b/>
                <w:bCs/>
                <w:color w:val="auto"/>
                <w:sz w:val="24"/>
                <w:szCs w:val="24"/>
                <w:highlight w:val="none"/>
              </w:rPr>
            </w:pPr>
          </w:p>
        </w:tc>
        <w:tc>
          <w:tcPr>
            <w:tcW w:w="855" w:type="dxa"/>
            <w:vAlign w:val="center"/>
          </w:tcPr>
          <w:p>
            <w:pPr>
              <w:spacing w:line="360" w:lineRule="auto"/>
              <w:jc w:val="center"/>
              <w:rPr>
                <w:rFonts w:hint="eastAsia" w:ascii="宋体" w:hAnsi="宋体" w:eastAsia="宋体" w:cs="宋体"/>
                <w:b/>
                <w:bCs/>
                <w:color w:val="auto"/>
                <w:sz w:val="24"/>
                <w:szCs w:val="24"/>
                <w:highlight w:val="none"/>
              </w:rPr>
            </w:pPr>
          </w:p>
        </w:tc>
        <w:tc>
          <w:tcPr>
            <w:tcW w:w="2745" w:type="dxa"/>
            <w:vAlign w:val="center"/>
          </w:tcPr>
          <w:p>
            <w:pPr>
              <w:spacing w:line="360" w:lineRule="auto"/>
              <w:jc w:val="center"/>
              <w:rPr>
                <w:rFonts w:hint="eastAsia" w:ascii="宋体" w:hAnsi="宋体" w:eastAsia="宋体" w:cs="宋体"/>
                <w:b/>
                <w:bCs/>
                <w:color w:val="auto"/>
                <w:sz w:val="24"/>
                <w:szCs w:val="24"/>
                <w:highlight w:val="none"/>
              </w:rPr>
            </w:pPr>
          </w:p>
        </w:tc>
        <w:tc>
          <w:tcPr>
            <w:tcW w:w="825" w:type="dxa"/>
            <w:vAlign w:val="center"/>
          </w:tcPr>
          <w:p>
            <w:pPr>
              <w:spacing w:line="360" w:lineRule="auto"/>
              <w:jc w:val="center"/>
              <w:rPr>
                <w:rFonts w:hint="eastAsia" w:ascii="宋体" w:hAnsi="宋体" w:eastAsia="宋体" w:cs="宋体"/>
                <w:b/>
                <w:bCs/>
                <w:color w:val="auto"/>
                <w:sz w:val="24"/>
                <w:szCs w:val="24"/>
                <w:highlight w:val="none"/>
              </w:rPr>
            </w:pPr>
          </w:p>
        </w:tc>
        <w:tc>
          <w:tcPr>
            <w:tcW w:w="2955" w:type="dxa"/>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Align w:val="center"/>
          </w:tcPr>
          <w:p>
            <w:pPr>
              <w:spacing w:line="360" w:lineRule="auto"/>
              <w:jc w:val="center"/>
              <w:rPr>
                <w:rFonts w:hint="eastAsia" w:ascii="宋体" w:hAnsi="宋体" w:eastAsia="宋体" w:cs="宋体"/>
                <w:b/>
                <w:bCs/>
                <w:color w:val="auto"/>
                <w:sz w:val="24"/>
                <w:szCs w:val="24"/>
                <w:highlight w:val="none"/>
              </w:rPr>
            </w:pPr>
          </w:p>
        </w:tc>
        <w:tc>
          <w:tcPr>
            <w:tcW w:w="1260" w:type="dxa"/>
          </w:tcPr>
          <w:p>
            <w:pPr>
              <w:spacing w:line="360" w:lineRule="auto"/>
              <w:jc w:val="center"/>
              <w:rPr>
                <w:rFonts w:hint="eastAsia" w:ascii="宋体" w:hAnsi="宋体" w:eastAsia="宋体" w:cs="宋体"/>
                <w:b/>
                <w:bCs/>
                <w:color w:val="auto"/>
                <w:sz w:val="24"/>
                <w:szCs w:val="24"/>
                <w:highlight w:val="none"/>
              </w:rPr>
            </w:pPr>
          </w:p>
        </w:tc>
        <w:tc>
          <w:tcPr>
            <w:tcW w:w="855" w:type="dxa"/>
            <w:vAlign w:val="center"/>
          </w:tcPr>
          <w:p>
            <w:pPr>
              <w:spacing w:line="360" w:lineRule="auto"/>
              <w:jc w:val="center"/>
              <w:rPr>
                <w:rFonts w:hint="eastAsia" w:ascii="宋体" w:hAnsi="宋体" w:eastAsia="宋体" w:cs="宋体"/>
                <w:b/>
                <w:bCs/>
                <w:color w:val="auto"/>
                <w:sz w:val="24"/>
                <w:szCs w:val="24"/>
                <w:highlight w:val="none"/>
              </w:rPr>
            </w:pPr>
          </w:p>
        </w:tc>
        <w:tc>
          <w:tcPr>
            <w:tcW w:w="2745" w:type="dxa"/>
            <w:vAlign w:val="center"/>
          </w:tcPr>
          <w:p>
            <w:pPr>
              <w:spacing w:line="360" w:lineRule="auto"/>
              <w:jc w:val="center"/>
              <w:rPr>
                <w:rFonts w:hint="eastAsia" w:ascii="宋体" w:hAnsi="宋体" w:eastAsia="宋体" w:cs="宋体"/>
                <w:b/>
                <w:bCs/>
                <w:color w:val="auto"/>
                <w:sz w:val="24"/>
                <w:szCs w:val="24"/>
                <w:highlight w:val="none"/>
              </w:rPr>
            </w:pPr>
          </w:p>
        </w:tc>
        <w:tc>
          <w:tcPr>
            <w:tcW w:w="825" w:type="dxa"/>
            <w:vAlign w:val="center"/>
          </w:tcPr>
          <w:p>
            <w:pPr>
              <w:spacing w:line="360" w:lineRule="auto"/>
              <w:jc w:val="center"/>
              <w:rPr>
                <w:rFonts w:hint="eastAsia" w:ascii="宋体" w:hAnsi="宋体" w:eastAsia="宋体" w:cs="宋体"/>
                <w:b/>
                <w:bCs/>
                <w:color w:val="auto"/>
                <w:sz w:val="24"/>
                <w:szCs w:val="24"/>
                <w:highlight w:val="none"/>
              </w:rPr>
            </w:pPr>
          </w:p>
        </w:tc>
        <w:tc>
          <w:tcPr>
            <w:tcW w:w="2955" w:type="dxa"/>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Align w:val="center"/>
          </w:tcPr>
          <w:p>
            <w:pPr>
              <w:spacing w:line="360" w:lineRule="auto"/>
              <w:jc w:val="center"/>
              <w:rPr>
                <w:rFonts w:hint="eastAsia" w:ascii="宋体" w:hAnsi="宋体" w:eastAsia="宋体" w:cs="宋体"/>
                <w:b/>
                <w:bCs/>
                <w:color w:val="auto"/>
                <w:sz w:val="24"/>
                <w:szCs w:val="24"/>
                <w:highlight w:val="none"/>
              </w:rPr>
            </w:pPr>
          </w:p>
        </w:tc>
        <w:tc>
          <w:tcPr>
            <w:tcW w:w="1260" w:type="dxa"/>
          </w:tcPr>
          <w:p>
            <w:pPr>
              <w:spacing w:line="360" w:lineRule="auto"/>
              <w:jc w:val="center"/>
              <w:rPr>
                <w:rFonts w:hint="eastAsia" w:ascii="宋体" w:hAnsi="宋体" w:eastAsia="宋体" w:cs="宋体"/>
                <w:b/>
                <w:bCs/>
                <w:color w:val="auto"/>
                <w:sz w:val="24"/>
                <w:szCs w:val="24"/>
                <w:highlight w:val="none"/>
              </w:rPr>
            </w:pPr>
          </w:p>
        </w:tc>
        <w:tc>
          <w:tcPr>
            <w:tcW w:w="855" w:type="dxa"/>
            <w:vAlign w:val="center"/>
          </w:tcPr>
          <w:p>
            <w:pPr>
              <w:spacing w:line="360" w:lineRule="auto"/>
              <w:jc w:val="center"/>
              <w:rPr>
                <w:rFonts w:hint="eastAsia" w:ascii="宋体" w:hAnsi="宋体" w:eastAsia="宋体" w:cs="宋体"/>
                <w:b/>
                <w:bCs/>
                <w:color w:val="auto"/>
                <w:sz w:val="24"/>
                <w:szCs w:val="24"/>
                <w:highlight w:val="none"/>
              </w:rPr>
            </w:pPr>
          </w:p>
        </w:tc>
        <w:tc>
          <w:tcPr>
            <w:tcW w:w="2745" w:type="dxa"/>
            <w:vAlign w:val="center"/>
          </w:tcPr>
          <w:p>
            <w:pPr>
              <w:spacing w:line="360" w:lineRule="auto"/>
              <w:jc w:val="center"/>
              <w:rPr>
                <w:rFonts w:hint="eastAsia" w:ascii="宋体" w:hAnsi="宋体" w:eastAsia="宋体" w:cs="宋体"/>
                <w:b/>
                <w:bCs/>
                <w:color w:val="auto"/>
                <w:sz w:val="24"/>
                <w:szCs w:val="24"/>
                <w:highlight w:val="none"/>
              </w:rPr>
            </w:pPr>
          </w:p>
        </w:tc>
        <w:tc>
          <w:tcPr>
            <w:tcW w:w="825" w:type="dxa"/>
            <w:vAlign w:val="center"/>
          </w:tcPr>
          <w:p>
            <w:pPr>
              <w:spacing w:line="360" w:lineRule="auto"/>
              <w:jc w:val="center"/>
              <w:rPr>
                <w:rFonts w:hint="eastAsia" w:ascii="宋体" w:hAnsi="宋体" w:eastAsia="宋体" w:cs="宋体"/>
                <w:b/>
                <w:bCs/>
                <w:color w:val="auto"/>
                <w:sz w:val="24"/>
                <w:szCs w:val="24"/>
                <w:highlight w:val="none"/>
              </w:rPr>
            </w:pPr>
          </w:p>
        </w:tc>
        <w:tc>
          <w:tcPr>
            <w:tcW w:w="2955" w:type="dxa"/>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Align w:val="center"/>
          </w:tcPr>
          <w:p>
            <w:pPr>
              <w:spacing w:line="360" w:lineRule="auto"/>
              <w:jc w:val="center"/>
              <w:rPr>
                <w:rFonts w:hint="eastAsia" w:ascii="宋体" w:hAnsi="宋体" w:eastAsia="宋体" w:cs="宋体"/>
                <w:b/>
                <w:bCs/>
                <w:color w:val="auto"/>
                <w:sz w:val="24"/>
                <w:szCs w:val="24"/>
                <w:highlight w:val="none"/>
              </w:rPr>
            </w:pPr>
          </w:p>
        </w:tc>
        <w:tc>
          <w:tcPr>
            <w:tcW w:w="1260" w:type="dxa"/>
          </w:tcPr>
          <w:p>
            <w:pPr>
              <w:spacing w:line="360" w:lineRule="auto"/>
              <w:jc w:val="center"/>
              <w:rPr>
                <w:rFonts w:hint="eastAsia" w:ascii="宋体" w:hAnsi="宋体" w:eastAsia="宋体" w:cs="宋体"/>
                <w:b/>
                <w:bCs/>
                <w:color w:val="auto"/>
                <w:sz w:val="24"/>
                <w:szCs w:val="24"/>
                <w:highlight w:val="none"/>
              </w:rPr>
            </w:pPr>
          </w:p>
        </w:tc>
        <w:tc>
          <w:tcPr>
            <w:tcW w:w="855" w:type="dxa"/>
            <w:vAlign w:val="center"/>
          </w:tcPr>
          <w:p>
            <w:pPr>
              <w:spacing w:line="360" w:lineRule="auto"/>
              <w:jc w:val="center"/>
              <w:rPr>
                <w:rFonts w:hint="eastAsia" w:ascii="宋体" w:hAnsi="宋体" w:eastAsia="宋体" w:cs="宋体"/>
                <w:b/>
                <w:bCs/>
                <w:color w:val="auto"/>
                <w:sz w:val="24"/>
                <w:szCs w:val="24"/>
                <w:highlight w:val="none"/>
              </w:rPr>
            </w:pPr>
          </w:p>
        </w:tc>
        <w:tc>
          <w:tcPr>
            <w:tcW w:w="2745" w:type="dxa"/>
            <w:vAlign w:val="center"/>
          </w:tcPr>
          <w:p>
            <w:pPr>
              <w:spacing w:line="360" w:lineRule="auto"/>
              <w:jc w:val="center"/>
              <w:rPr>
                <w:rFonts w:hint="eastAsia" w:ascii="宋体" w:hAnsi="宋体" w:eastAsia="宋体" w:cs="宋体"/>
                <w:b/>
                <w:bCs/>
                <w:color w:val="auto"/>
                <w:sz w:val="24"/>
                <w:szCs w:val="24"/>
                <w:highlight w:val="none"/>
              </w:rPr>
            </w:pPr>
          </w:p>
        </w:tc>
        <w:tc>
          <w:tcPr>
            <w:tcW w:w="825" w:type="dxa"/>
            <w:vAlign w:val="center"/>
          </w:tcPr>
          <w:p>
            <w:pPr>
              <w:spacing w:line="360" w:lineRule="auto"/>
              <w:jc w:val="center"/>
              <w:rPr>
                <w:rFonts w:hint="eastAsia" w:ascii="宋体" w:hAnsi="宋体" w:eastAsia="宋体" w:cs="宋体"/>
                <w:b/>
                <w:bCs/>
                <w:color w:val="auto"/>
                <w:sz w:val="24"/>
                <w:szCs w:val="24"/>
                <w:highlight w:val="none"/>
              </w:rPr>
            </w:pPr>
          </w:p>
        </w:tc>
        <w:tc>
          <w:tcPr>
            <w:tcW w:w="2955" w:type="dxa"/>
          </w:tcPr>
          <w:p>
            <w:pPr>
              <w:rPr>
                <w:rFonts w:hint="eastAsia" w:ascii="宋体" w:hAnsi="宋体" w:eastAsia="宋体" w:cs="宋体"/>
                <w:color w:val="auto"/>
                <w:sz w:val="24"/>
                <w:szCs w:val="24"/>
                <w:highlight w:val="none"/>
              </w:rPr>
            </w:pPr>
          </w:p>
        </w:tc>
      </w:tr>
    </w:tbl>
    <w:p>
      <w:pPr>
        <w:pStyle w:val="14"/>
        <w:spacing w:line="4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投标方代表签字：____________________        职  务:____________</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期:________________</w:t>
      </w:r>
    </w:p>
    <w:p>
      <w:pPr>
        <w:pStyle w:val="14"/>
        <w:spacing w:line="4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 1、该表根据前面《招标货物一览表》中所列明货物清单，按每项货物详细填写。</w:t>
      </w:r>
    </w:p>
    <w:p>
      <w:pPr>
        <w:pStyle w:val="14"/>
        <w:spacing w:line="4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2、“规格及技术参数”栏中必须写明所投货物化学成分及物理性能参数等技术参数。</w:t>
      </w:r>
    </w:p>
    <w:p>
      <w:pPr>
        <w:pStyle w:val="14"/>
        <w:spacing w:line="4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3、此表可在不改变格式的情况下自行制作。</w:t>
      </w:r>
    </w:p>
    <w:p>
      <w:pPr>
        <w:pStyle w:val="14"/>
        <w:spacing w:line="480" w:lineRule="auto"/>
        <w:outlineLvl w:val="0"/>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b/>
          <w:bCs/>
          <w:color w:val="auto"/>
          <w:sz w:val="44"/>
          <w:szCs w:val="44"/>
          <w:highlight w:val="none"/>
        </w:rPr>
      </w:pPr>
      <w:r>
        <w:rPr>
          <w:rFonts w:hint="eastAsia" w:ascii="宋体" w:hAnsi="宋体" w:eastAsia="宋体" w:cs="宋体"/>
          <w:color w:val="auto"/>
          <w:highlight w:val="none"/>
        </w:rPr>
        <w:br w:type="page"/>
      </w:r>
      <w:r>
        <w:rPr>
          <w:rFonts w:hint="eastAsia" w:ascii="宋体" w:hAnsi="宋体" w:eastAsia="宋体" w:cs="宋体"/>
          <w:b/>
          <w:bCs/>
          <w:color w:val="auto"/>
          <w:sz w:val="36"/>
          <w:szCs w:val="36"/>
          <w:highlight w:val="none"/>
        </w:rPr>
        <w:t>售后服务承诺书</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1、保修年限、范围、保修条件</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2、解决问题、排除故障的速度</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3、设备使用的培训、指导</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4、售后服务方面的其他承诺（安装、定期巡检等）</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5、售后服务联系方式（联系人、联系电话、维修点等）</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6、其他优惠条件</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企业名称（盖章）：</w:t>
      </w:r>
      <w:r>
        <w:rPr>
          <w:rFonts w:hint="eastAsia" w:ascii="宋体" w:hAnsi="宋体" w:eastAsia="宋体" w:cs="宋体"/>
          <w:color w:val="auto"/>
          <w:sz w:val="24"/>
          <w:szCs w:val="24"/>
          <w:highlight w:val="none"/>
          <w:u w:val="single"/>
        </w:rPr>
        <w:t xml:space="preserve">                           </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签字代表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pacing w:line="360" w:lineRule="auto"/>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月      日</w:t>
      </w:r>
    </w:p>
    <w:p>
      <w:pPr>
        <w:spacing w:line="360" w:lineRule="auto"/>
        <w:jc w:val="right"/>
        <w:rPr>
          <w:rFonts w:hint="eastAsia" w:ascii="宋体" w:hAnsi="宋体" w:eastAsia="宋体" w:cs="宋体"/>
          <w:color w:val="auto"/>
          <w:sz w:val="24"/>
          <w:szCs w:val="24"/>
          <w:highlight w:val="none"/>
        </w:rPr>
      </w:pPr>
    </w:p>
    <w:p>
      <w:pPr>
        <w:spacing w:line="360" w:lineRule="auto"/>
        <w:ind w:firstLine="2633" w:firstLineChars="596"/>
        <w:rPr>
          <w:rFonts w:hint="eastAsia" w:ascii="宋体" w:hAnsi="宋体" w:eastAsia="宋体" w:cs="宋体"/>
          <w:b/>
          <w:bCs/>
          <w:color w:val="auto"/>
          <w:sz w:val="36"/>
          <w:szCs w:val="36"/>
          <w:highlight w:val="none"/>
        </w:rPr>
      </w:pPr>
      <w:r>
        <w:rPr>
          <w:rFonts w:hint="eastAsia" w:ascii="宋体" w:hAnsi="宋体" w:eastAsia="宋体" w:cs="宋体"/>
          <w:b/>
          <w:bCs/>
          <w:color w:val="auto"/>
          <w:sz w:val="44"/>
          <w:szCs w:val="44"/>
          <w:highlight w:val="none"/>
        </w:rPr>
        <w:br w:type="page"/>
      </w:r>
      <w:r>
        <w:rPr>
          <w:rFonts w:hint="eastAsia" w:ascii="宋体" w:hAnsi="宋体" w:eastAsia="宋体" w:cs="宋体"/>
          <w:b/>
          <w:bCs/>
          <w:color w:val="auto"/>
          <w:sz w:val="36"/>
          <w:szCs w:val="36"/>
          <w:highlight w:val="none"/>
        </w:rPr>
        <w:t>产品质量保证承诺书</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w:t>
      </w:r>
    </w:p>
    <w:p>
      <w:pPr>
        <w:pStyle w:val="21"/>
        <w:snapToGrid w:val="0"/>
        <w:spacing w:line="360" w:lineRule="auto"/>
        <w:rPr>
          <w:rFonts w:hint="eastAsia" w:ascii="宋体" w:hAnsi="宋体" w:eastAsia="宋体" w:cs="宋体"/>
          <w:color w:val="auto"/>
          <w:highlight w:val="none"/>
        </w:rPr>
      </w:pPr>
      <w:r>
        <w:rPr>
          <w:rFonts w:hint="eastAsia" w:ascii="宋体" w:hAnsi="宋体" w:eastAsia="宋体" w:cs="宋体"/>
          <w:b/>
          <w:bCs/>
          <w:color w:val="auto"/>
          <w:highlight w:val="none"/>
        </w:rPr>
        <w:t xml:space="preserve">    </w:t>
      </w:r>
      <w:r>
        <w:rPr>
          <w:rFonts w:hint="eastAsia" w:ascii="宋体" w:hAnsi="宋体" w:eastAsia="宋体" w:cs="宋体"/>
          <w:color w:val="auto"/>
          <w:highlight w:val="none"/>
        </w:rPr>
        <w:t>根据贵方为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年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（采购编号）招标项目的投标邀请，我方对该项目做出如下产品质量承诺：</w:t>
      </w:r>
    </w:p>
    <w:p>
      <w:pPr>
        <w:numPr>
          <w:ilvl w:val="0"/>
          <w:numId w:val="6"/>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技术规范及相关产品标准：</w:t>
      </w:r>
    </w:p>
    <w:p>
      <w:pPr>
        <w:spacing w:line="360" w:lineRule="auto"/>
        <w:rPr>
          <w:rFonts w:hint="eastAsia" w:ascii="宋体" w:hAnsi="宋体" w:eastAsia="宋体" w:cs="宋体"/>
          <w:color w:val="auto"/>
          <w:sz w:val="24"/>
          <w:szCs w:val="24"/>
          <w:highlight w:val="none"/>
        </w:rPr>
      </w:pPr>
    </w:p>
    <w:p>
      <w:pPr>
        <w:numPr>
          <w:ilvl w:val="0"/>
          <w:numId w:val="6"/>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产品都属于厂家原装正品产品：</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numPr>
          <w:ilvl w:val="0"/>
          <w:numId w:val="6"/>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产品“三包”内容：</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numPr>
          <w:ilvl w:val="0"/>
          <w:numId w:val="6"/>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质量问题的处理：</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numPr>
          <w:ilvl w:val="0"/>
          <w:numId w:val="6"/>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质量投诉的处理：</w:t>
      </w:r>
    </w:p>
    <w:p>
      <w:pPr>
        <w:spacing w:line="360" w:lineRule="auto"/>
        <w:jc w:val="center"/>
        <w:rPr>
          <w:rFonts w:hint="eastAsia" w:ascii="宋体" w:hAnsi="宋体" w:eastAsia="宋体" w:cs="宋体"/>
          <w:b/>
          <w:bCs/>
          <w:color w:val="auto"/>
          <w:sz w:val="24"/>
          <w:szCs w:val="24"/>
          <w:highlight w:val="none"/>
        </w:rPr>
      </w:pPr>
    </w:p>
    <w:p>
      <w:pPr>
        <w:spacing w:line="360" w:lineRule="auto"/>
        <w:jc w:val="center"/>
        <w:rPr>
          <w:rFonts w:hint="eastAsia" w:ascii="宋体" w:hAnsi="宋体" w:eastAsia="宋体" w:cs="宋体"/>
          <w:b/>
          <w:bCs/>
          <w:color w:val="auto"/>
          <w:sz w:val="24"/>
          <w:szCs w:val="24"/>
          <w:highlight w:val="none"/>
        </w:rPr>
      </w:pP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 xml:space="preserve">    6、其它：</w:t>
      </w:r>
    </w:p>
    <w:p>
      <w:pPr>
        <w:spacing w:line="360" w:lineRule="auto"/>
        <w:jc w:val="center"/>
        <w:rPr>
          <w:rFonts w:hint="eastAsia" w:ascii="宋体" w:hAnsi="宋体" w:eastAsia="宋体" w:cs="宋体"/>
          <w:b/>
          <w:bCs/>
          <w:color w:val="auto"/>
          <w:sz w:val="24"/>
          <w:szCs w:val="24"/>
          <w:highlight w:val="none"/>
        </w:rPr>
      </w:pPr>
    </w:p>
    <w:p>
      <w:pPr>
        <w:spacing w:line="360" w:lineRule="auto"/>
        <w:jc w:val="righ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企业名称（盖章）:________________________</w:t>
      </w:r>
    </w:p>
    <w:p>
      <w:pPr>
        <w:spacing w:line="360" w:lineRule="auto"/>
        <w:jc w:val="righ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签字代表：________________________</w:t>
      </w:r>
    </w:p>
    <w:p>
      <w:pPr>
        <w:pStyle w:val="14"/>
        <w:spacing w:line="360" w:lineRule="auto"/>
        <w:jc w:val="righ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年        月        日</w:t>
      </w:r>
    </w:p>
    <w:p>
      <w:pPr>
        <w:widowControl/>
        <w:jc w:val="center"/>
        <w:rPr>
          <w:rFonts w:hint="eastAsia" w:ascii="宋体" w:hAnsi="宋体" w:eastAsia="宋体" w:cs="宋体"/>
          <w:b/>
          <w:bCs/>
          <w:color w:val="auto"/>
          <w:sz w:val="24"/>
          <w:szCs w:val="24"/>
          <w:highlight w:val="none"/>
        </w:rPr>
      </w:pPr>
      <w:r>
        <w:rPr>
          <w:rFonts w:hint="eastAsia" w:ascii="宋体" w:hAnsi="宋体" w:eastAsia="宋体" w:cs="宋体"/>
          <w:color w:val="auto"/>
          <w:highlight w:val="none"/>
        </w:rPr>
        <w:br w:type="page"/>
      </w:r>
      <w:r>
        <w:rPr>
          <w:rFonts w:hint="eastAsia" w:ascii="宋体" w:hAnsi="宋体" w:eastAsia="宋体" w:cs="宋体"/>
          <w:b/>
          <w:bCs/>
          <w:color w:val="auto"/>
          <w:sz w:val="28"/>
          <w:szCs w:val="28"/>
          <w:highlight w:val="none"/>
        </w:rPr>
        <w:t>义乌市国企采购项目投标承诺书</w:t>
      </w:r>
    </w:p>
    <w:p>
      <w:pPr>
        <w:pStyle w:val="14"/>
        <w:spacing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我单位已认真阅读了本项目的招标公告、招标文件、技术要求、图纸、招标补充（答疑）文件及相关资料，对其全部内容和要求有实质性了解，并对这些内容表示理解且无任何异议，接受其全部内容及要求，承诺本单位的投标文件已经完全响应并符合其全部条件和要求，愿意参加投标并愿意中标；</w:t>
      </w:r>
    </w:p>
    <w:p>
      <w:pPr>
        <w:pStyle w:val="14"/>
        <w:spacing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2.自愿接受义乌市财政局（以下简称市财政局）的管理，并严格遵守市财政局制定的招投标管理制度、规范和纪律。</w:t>
      </w:r>
    </w:p>
    <w:p>
      <w:pPr>
        <w:pStyle w:val="14"/>
        <w:spacing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我单位承诺参与本次投标的资格符合《中华人民共和国政府采购法》的规定，并承诺近三年内，在经营活动中没有重大违法记录，承诺财务状况良好，并已依法按时缴纳税收和社会保障资金。我单位承诺具备履行本项目合同所必需的设备和专业技术能力。</w:t>
      </w:r>
    </w:p>
    <w:p>
      <w:pPr>
        <w:pStyle w:val="14"/>
        <w:spacing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积极主动配合市财政局的调查。及时、如实、全面地回答市财政局提出的问题，并在调查笔录中签字确认。如拒绝签字确认的，则视为我单位及有关工作人员认可调查笔录中的全部内容，并对最终的调查结果无任何异议，且自愿放弃一切救济途径。</w:t>
      </w:r>
    </w:p>
    <w:p>
      <w:pPr>
        <w:pStyle w:val="14"/>
        <w:spacing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5.不转让、出借、涂改、伪造资质（资格）证书或者以其他方式允许其他单位（个人）以我单位（本人）名义承接业务。</w:t>
      </w:r>
    </w:p>
    <w:p>
      <w:pPr>
        <w:pStyle w:val="14"/>
        <w:spacing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6.不与采购人或者其他投标人相互串通投标，围标，不以行贿等不正当手段谋取中标。</w:t>
      </w:r>
    </w:p>
    <w:p>
      <w:pPr>
        <w:pStyle w:val="14"/>
        <w:spacing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7.在备案、招标、投标、报名、开标、评标、询标、中标、签订合同、合同备案等招投标预备和进行的全过程中提供的资料均真实、有效，不弄虚作假。</w:t>
      </w:r>
    </w:p>
    <w:p>
      <w:pPr>
        <w:pStyle w:val="14"/>
        <w:spacing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8.我方已详细审核全部招标文件，包括修改文件(如果有的话)，及有关附件，我方同意放弃提出含糊不清或误解的权力。 </w:t>
      </w:r>
    </w:p>
    <w:p>
      <w:pPr>
        <w:pStyle w:val="14"/>
        <w:spacing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9.我方同意所递交的投标文件在招标期内有效，在此期间内我方有可能中标，我方将受此约束。</w:t>
      </w:r>
    </w:p>
    <w:p>
      <w:pPr>
        <w:pStyle w:val="14"/>
        <w:spacing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10.我方相信贵方的招标结果是公正、合法的，无论我方中标还是落标，我方将接受这一结果。 </w:t>
      </w:r>
    </w:p>
    <w:p>
      <w:pPr>
        <w:pStyle w:val="14"/>
        <w:spacing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11.一旦我方中标，我方将严格依照招标文件中的相关规定与招标方签订合同。</w:t>
      </w:r>
    </w:p>
    <w:p>
      <w:pPr>
        <w:pStyle w:val="14"/>
        <w:spacing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12.不低于企业成本价投标，不恶意过高报价，不扰乱招投标的正常秩序。</w:t>
      </w:r>
    </w:p>
    <w:p>
      <w:pPr>
        <w:pStyle w:val="14"/>
        <w:spacing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13.严格遵守开标会议纪律，不在开标会场吵闹、滋事，服从工作人员指挥。</w:t>
      </w:r>
    </w:p>
    <w:p>
      <w:pPr>
        <w:pStyle w:val="14"/>
        <w:spacing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14.按照法律法规和本项目招标文件规定的程序和方式进行异议和投诉，不越级投诉，不无理投诉。如捏造事实、伪造材料或者以非法手段取得证明材料进行投诉，给他人造成损失的，依法承担赔偿责任。</w:t>
      </w:r>
    </w:p>
    <w:p>
      <w:pPr>
        <w:pStyle w:val="14"/>
        <w:spacing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上述承诺事项已认真逐项核对，均表达我单位真实意见，愿承担任何责任。若有任何弄虚作假内容或未遵守上述约定的，经查实后，愿意放弃投标及中标资格。如我单位违反上述承诺事项，无条件接受市财政局或相关监管部门作出的任何管理和处理决定，并自愿承担一切不利的后果。</w:t>
      </w:r>
    </w:p>
    <w:p>
      <w:pPr>
        <w:pStyle w:val="14"/>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2"/>
          <w:szCs w:val="22"/>
          <w:highlight w:val="none"/>
        </w:rPr>
        <w:t>投标人（公章）：法定代表人或其授权的委托代理人（签字或盖章）：   年   月   日</w:t>
      </w:r>
    </w:p>
    <w:p>
      <w:pPr>
        <w:pStyle w:val="14"/>
        <w:spacing w:line="360" w:lineRule="auto"/>
        <w:jc w:val="center"/>
        <w:rPr>
          <w:rFonts w:hint="eastAsia" w:ascii="宋体" w:hAnsi="宋体" w:eastAsia="宋体" w:cs="宋体"/>
          <w:b/>
          <w:bCs/>
          <w:color w:val="auto"/>
          <w:sz w:val="52"/>
          <w:szCs w:val="36"/>
          <w:highlight w:val="none"/>
        </w:rPr>
      </w:pPr>
      <w:r>
        <w:rPr>
          <w:rFonts w:hint="eastAsia" w:ascii="宋体" w:hAnsi="宋体" w:eastAsia="宋体" w:cs="宋体"/>
          <w:color w:val="auto"/>
          <w:sz w:val="24"/>
          <w:szCs w:val="24"/>
          <w:highlight w:val="none"/>
        </w:rPr>
        <w:br w:type="page"/>
      </w:r>
      <w:r>
        <w:rPr>
          <w:rFonts w:hint="eastAsia" w:ascii="宋体" w:hAnsi="宋体" w:eastAsia="宋体" w:cs="宋体"/>
          <w:b/>
          <w:bCs/>
          <w:color w:val="auto"/>
          <w:sz w:val="52"/>
          <w:szCs w:val="36"/>
          <w:highlight w:val="none"/>
        </w:rPr>
        <w:t>投  标  函</w:t>
      </w:r>
    </w:p>
    <w:p>
      <w:pPr>
        <w:pStyle w:val="14"/>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致：</w:t>
      </w:r>
      <w:r>
        <w:rPr>
          <w:rFonts w:hint="eastAsia" w:ascii="宋体" w:hAnsi="宋体" w:eastAsia="宋体" w:cs="宋体"/>
          <w:color w:val="auto"/>
          <w:sz w:val="24"/>
          <w:szCs w:val="24"/>
          <w:highlight w:val="none"/>
          <w:u w:val="single"/>
        </w:rPr>
        <w:t xml:space="preserve">                          </w:t>
      </w:r>
    </w:p>
    <w:p>
      <w:pPr>
        <w:pStyle w:val="14"/>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_________________________（投标人全称）授权_________________（全名、职务）为全权代表参加贵方组织的_________________________（招标项目名称、采购编号）招标的有关活动。为此提交下述文件。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1、技术投标书，正本一份，副本__份；</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2、商务投标书，正本一份，副本__份；</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3、其他：</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4、据此函，签字代表宣布同意如下：</w:t>
      </w:r>
    </w:p>
    <w:p>
      <w:pP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1）所附投标报价表中规定的应提供和支付的货物和服务投标总价为(人民币) ______， 即_____________________________________________________(大写)。</w:t>
      </w:r>
    </w:p>
    <w:p>
      <w:pP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2)投标方已详细审查全部招标文件，我们完全理解并同意放弃对这方面有不明及误解的权利。</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3)投标方将按招标文件规定履行合同责任和义务。</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4)其投标自开标之日起有效期</w:t>
      </w:r>
      <w:r>
        <w:rPr>
          <w:rFonts w:hint="eastAsia" w:ascii="宋体" w:hAnsi="宋体" w:eastAsia="宋体" w:cs="宋体"/>
          <w:color w:val="auto"/>
          <w:sz w:val="24"/>
          <w:szCs w:val="24"/>
          <w:highlight w:val="none"/>
          <w:u w:val="single"/>
        </w:rPr>
        <w:t xml:space="preserve">  60 </w:t>
      </w:r>
      <w:r>
        <w:rPr>
          <w:rFonts w:hint="eastAsia" w:ascii="宋体" w:hAnsi="宋体" w:eastAsia="宋体" w:cs="宋体"/>
          <w:color w:val="auto"/>
          <w:sz w:val="24"/>
          <w:szCs w:val="24"/>
          <w:highlight w:val="none"/>
        </w:rPr>
        <w:t>个工作日。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5)如果在规定的开标时间后，我方在投标有效期内撤回投标，将按失信行为上报市信用管理部门，并列入严重失信名单。</w:t>
      </w:r>
    </w:p>
    <w:p>
      <w:pP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6)投标方同意提供按照贵方可能要求的与其投标有关的一切数据或资料，理解贵方不一定要接受最低价的投标或收到的任何投标。</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7)与本投标有关的一切正式往来通讯请寄：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地址：______________________邮编：______________________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电话：______________________传真：______________________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投标方名称: ___________________________ (公章)</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投标方代表姓名、职务: ______________________</w:t>
      </w:r>
    </w:p>
    <w:p>
      <w:pPr>
        <w:spacing w:line="400" w:lineRule="exact"/>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 xml:space="preserve">       投标日期: _______年____月____日  全权代表签字: ____________</w:t>
      </w:r>
      <w:r>
        <w:rPr>
          <w:rFonts w:hint="eastAsia" w:ascii="宋体" w:hAnsi="宋体" w:eastAsia="宋体" w:cs="宋体"/>
          <w:b/>
          <w:bCs/>
          <w:color w:val="auto"/>
          <w:sz w:val="24"/>
          <w:szCs w:val="24"/>
          <w:highlight w:val="none"/>
        </w:rPr>
        <w:t xml:space="preserve"> </w:t>
      </w:r>
    </w:p>
    <w:p>
      <w:pPr>
        <w:spacing w:line="400" w:lineRule="exact"/>
        <w:jc w:val="center"/>
        <w:rPr>
          <w:rFonts w:hint="eastAsia" w:ascii="宋体" w:hAnsi="宋体" w:eastAsia="宋体" w:cs="宋体"/>
          <w:color w:val="auto"/>
          <w:kern w:val="1"/>
          <w:sz w:val="24"/>
          <w:szCs w:val="24"/>
          <w:highlight w:val="none"/>
        </w:rPr>
      </w:pPr>
    </w:p>
    <w:p>
      <w:pPr>
        <w:spacing w:line="400" w:lineRule="exact"/>
        <w:jc w:val="center"/>
        <w:rPr>
          <w:rFonts w:hint="eastAsia" w:ascii="宋体" w:hAnsi="宋体" w:eastAsia="宋体" w:cs="宋体"/>
          <w:color w:val="auto"/>
          <w:kern w:val="1"/>
          <w:sz w:val="24"/>
          <w:szCs w:val="24"/>
          <w:highlight w:val="none"/>
        </w:rPr>
      </w:pPr>
    </w:p>
    <w:p>
      <w:pPr>
        <w:spacing w:line="400" w:lineRule="exact"/>
        <w:jc w:val="center"/>
        <w:rPr>
          <w:rFonts w:hint="eastAsia" w:ascii="宋体" w:hAnsi="宋体" w:eastAsia="宋体" w:cs="宋体"/>
          <w:color w:val="auto"/>
          <w:kern w:val="1"/>
          <w:sz w:val="24"/>
          <w:szCs w:val="24"/>
          <w:highlight w:val="none"/>
        </w:rPr>
      </w:pPr>
    </w:p>
    <w:p>
      <w:pPr>
        <w:jc w:val="center"/>
        <w:rPr>
          <w:rFonts w:hint="eastAsia" w:ascii="宋体" w:hAnsi="宋体" w:eastAsia="宋体" w:cs="宋体"/>
          <w:b/>
          <w:bCs/>
          <w:color w:val="auto"/>
          <w:sz w:val="32"/>
          <w:szCs w:val="32"/>
          <w:highlight w:val="none"/>
        </w:rPr>
      </w:pPr>
      <w:r>
        <w:rPr>
          <w:rFonts w:hint="eastAsia" w:ascii="宋体" w:hAnsi="宋体" w:eastAsia="宋体" w:cs="宋体"/>
          <w:color w:val="auto"/>
          <w:kern w:val="1"/>
          <w:sz w:val="24"/>
          <w:szCs w:val="24"/>
          <w:highlight w:val="none"/>
        </w:rPr>
        <w:br w:type="page"/>
      </w:r>
      <w:r>
        <w:rPr>
          <w:rFonts w:hint="eastAsia" w:ascii="宋体" w:hAnsi="宋体" w:eastAsia="宋体" w:cs="宋体"/>
          <w:b/>
          <w:bCs/>
          <w:color w:val="auto"/>
          <w:sz w:val="36"/>
          <w:szCs w:val="36"/>
          <w:highlight w:val="none"/>
        </w:rPr>
        <w:t>开标一览表</w:t>
      </w:r>
    </w:p>
    <w:p>
      <w:pPr>
        <w:rPr>
          <w:rFonts w:hint="eastAsia" w:ascii="宋体" w:hAnsi="宋体" w:eastAsia="宋体" w:cs="宋体"/>
          <w:color w:val="auto"/>
          <w:highlight w:val="none"/>
          <w:u w:val="single"/>
        </w:rPr>
      </w:pPr>
      <w:r>
        <w:rPr>
          <w:rFonts w:hint="eastAsia" w:ascii="宋体" w:hAnsi="宋体" w:eastAsia="宋体" w:cs="宋体"/>
          <w:color w:val="auto"/>
          <w:sz w:val="24"/>
          <w:highlight w:val="none"/>
        </w:rPr>
        <w:t xml:space="preserve">                                          </w:t>
      </w:r>
    </w:p>
    <w:p>
      <w:pPr>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投标人名称（盖章）：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spacing w:line="480" w:lineRule="exact"/>
        <w:rPr>
          <w:rFonts w:hint="eastAsia" w:ascii="宋体" w:hAnsi="宋体" w:eastAsia="宋体" w:cs="宋体"/>
          <w:color w:val="auto"/>
          <w:highlight w:val="none"/>
          <w:u w:val="single"/>
        </w:rPr>
      </w:pPr>
      <w:r>
        <w:rPr>
          <w:rFonts w:hint="eastAsia" w:ascii="宋体" w:hAnsi="宋体" w:eastAsia="宋体" w:cs="宋体"/>
          <w:color w:val="auto"/>
          <w:highlight w:val="none"/>
        </w:rPr>
        <w:t>招标编号：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tbl>
      <w:tblPr>
        <w:tblStyle w:val="22"/>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829"/>
        <w:gridCol w:w="1024"/>
        <w:gridCol w:w="1418"/>
        <w:gridCol w:w="212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99" w:type="dxa"/>
            <w:vAlign w:val="center"/>
          </w:tcPr>
          <w:p>
            <w:pPr>
              <w:spacing w:line="48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2853" w:type="dxa"/>
            <w:gridSpan w:val="2"/>
            <w:vAlign w:val="center"/>
          </w:tcPr>
          <w:p>
            <w:pPr>
              <w:spacing w:line="48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名称</w:t>
            </w:r>
          </w:p>
        </w:tc>
        <w:tc>
          <w:tcPr>
            <w:tcW w:w="1418" w:type="dxa"/>
            <w:vAlign w:val="center"/>
          </w:tcPr>
          <w:p>
            <w:pPr>
              <w:spacing w:line="48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数量</w:t>
            </w:r>
          </w:p>
        </w:tc>
        <w:tc>
          <w:tcPr>
            <w:tcW w:w="2126" w:type="dxa"/>
            <w:vAlign w:val="center"/>
          </w:tcPr>
          <w:p>
            <w:pPr>
              <w:spacing w:line="48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单价（元）</w:t>
            </w:r>
          </w:p>
        </w:tc>
        <w:tc>
          <w:tcPr>
            <w:tcW w:w="2268" w:type="dxa"/>
            <w:vAlign w:val="center"/>
          </w:tcPr>
          <w:p>
            <w:pPr>
              <w:spacing w:line="48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99" w:type="dxa"/>
            <w:vAlign w:val="center"/>
          </w:tcPr>
          <w:p>
            <w:pPr>
              <w:spacing w:line="48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2853" w:type="dxa"/>
            <w:gridSpan w:val="2"/>
            <w:vAlign w:val="center"/>
          </w:tcPr>
          <w:p>
            <w:pPr>
              <w:jc w:val="left"/>
              <w:rPr>
                <w:rFonts w:hint="eastAsia" w:ascii="宋体" w:hAnsi="宋体" w:eastAsia="宋体" w:cs="宋体"/>
                <w:color w:val="auto"/>
                <w:highlight w:val="none"/>
              </w:rPr>
            </w:pPr>
          </w:p>
        </w:tc>
        <w:tc>
          <w:tcPr>
            <w:tcW w:w="1418" w:type="dxa"/>
            <w:vAlign w:val="center"/>
          </w:tcPr>
          <w:p>
            <w:pPr>
              <w:spacing w:line="480" w:lineRule="exact"/>
              <w:jc w:val="center"/>
              <w:rPr>
                <w:rFonts w:hint="eastAsia" w:ascii="宋体" w:hAnsi="宋体" w:eastAsia="宋体" w:cs="宋体"/>
                <w:color w:val="auto"/>
                <w:highlight w:val="none"/>
              </w:rPr>
            </w:pPr>
          </w:p>
        </w:tc>
        <w:tc>
          <w:tcPr>
            <w:tcW w:w="2126" w:type="dxa"/>
            <w:vAlign w:val="center"/>
          </w:tcPr>
          <w:p>
            <w:pPr>
              <w:spacing w:line="480" w:lineRule="exact"/>
              <w:jc w:val="center"/>
              <w:rPr>
                <w:rFonts w:hint="eastAsia" w:ascii="宋体" w:hAnsi="宋体" w:eastAsia="宋体" w:cs="宋体"/>
                <w:color w:val="auto"/>
                <w:highlight w:val="none"/>
              </w:rPr>
            </w:pPr>
          </w:p>
        </w:tc>
        <w:tc>
          <w:tcPr>
            <w:tcW w:w="2268" w:type="dxa"/>
            <w:vAlign w:val="center"/>
          </w:tcPr>
          <w:p>
            <w:pPr>
              <w:spacing w:line="48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99" w:type="dxa"/>
            <w:vAlign w:val="center"/>
          </w:tcPr>
          <w:p>
            <w:pPr>
              <w:spacing w:line="48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2853" w:type="dxa"/>
            <w:gridSpan w:val="2"/>
            <w:vAlign w:val="center"/>
          </w:tcPr>
          <w:p>
            <w:pPr>
              <w:jc w:val="left"/>
              <w:rPr>
                <w:rFonts w:hint="eastAsia" w:ascii="宋体" w:hAnsi="宋体" w:eastAsia="宋体" w:cs="宋体"/>
                <w:color w:val="auto"/>
                <w:highlight w:val="none"/>
              </w:rPr>
            </w:pPr>
          </w:p>
        </w:tc>
        <w:tc>
          <w:tcPr>
            <w:tcW w:w="1418" w:type="dxa"/>
            <w:vAlign w:val="center"/>
          </w:tcPr>
          <w:p>
            <w:pPr>
              <w:spacing w:line="480" w:lineRule="exact"/>
              <w:jc w:val="center"/>
              <w:rPr>
                <w:rFonts w:hint="eastAsia" w:ascii="宋体" w:hAnsi="宋体" w:eastAsia="宋体" w:cs="宋体"/>
                <w:color w:val="auto"/>
                <w:highlight w:val="none"/>
              </w:rPr>
            </w:pPr>
          </w:p>
        </w:tc>
        <w:tc>
          <w:tcPr>
            <w:tcW w:w="2126" w:type="dxa"/>
            <w:vAlign w:val="center"/>
          </w:tcPr>
          <w:p>
            <w:pPr>
              <w:spacing w:line="480" w:lineRule="exact"/>
              <w:jc w:val="center"/>
              <w:rPr>
                <w:rFonts w:hint="eastAsia" w:ascii="宋体" w:hAnsi="宋体" w:eastAsia="宋体" w:cs="宋体"/>
                <w:color w:val="auto"/>
                <w:highlight w:val="none"/>
              </w:rPr>
            </w:pPr>
          </w:p>
        </w:tc>
        <w:tc>
          <w:tcPr>
            <w:tcW w:w="2268" w:type="dxa"/>
            <w:vAlign w:val="center"/>
          </w:tcPr>
          <w:p>
            <w:pPr>
              <w:spacing w:line="48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99" w:type="dxa"/>
            <w:vAlign w:val="center"/>
          </w:tcPr>
          <w:p>
            <w:pPr>
              <w:spacing w:line="48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2853" w:type="dxa"/>
            <w:gridSpan w:val="2"/>
            <w:vAlign w:val="center"/>
          </w:tcPr>
          <w:p>
            <w:pPr>
              <w:jc w:val="left"/>
              <w:rPr>
                <w:rFonts w:hint="eastAsia" w:ascii="宋体" w:hAnsi="宋体" w:eastAsia="宋体" w:cs="宋体"/>
                <w:color w:val="auto"/>
                <w:highlight w:val="none"/>
              </w:rPr>
            </w:pPr>
          </w:p>
        </w:tc>
        <w:tc>
          <w:tcPr>
            <w:tcW w:w="1418" w:type="dxa"/>
            <w:vAlign w:val="center"/>
          </w:tcPr>
          <w:p>
            <w:pPr>
              <w:spacing w:line="480" w:lineRule="exact"/>
              <w:jc w:val="center"/>
              <w:rPr>
                <w:rFonts w:hint="eastAsia" w:ascii="宋体" w:hAnsi="宋体" w:eastAsia="宋体" w:cs="宋体"/>
                <w:color w:val="auto"/>
                <w:highlight w:val="none"/>
              </w:rPr>
            </w:pPr>
          </w:p>
        </w:tc>
        <w:tc>
          <w:tcPr>
            <w:tcW w:w="2126" w:type="dxa"/>
            <w:vAlign w:val="center"/>
          </w:tcPr>
          <w:p>
            <w:pPr>
              <w:spacing w:line="480" w:lineRule="exact"/>
              <w:jc w:val="center"/>
              <w:rPr>
                <w:rFonts w:hint="eastAsia" w:ascii="宋体" w:hAnsi="宋体" w:eastAsia="宋体" w:cs="宋体"/>
                <w:color w:val="auto"/>
                <w:highlight w:val="none"/>
              </w:rPr>
            </w:pPr>
          </w:p>
        </w:tc>
        <w:tc>
          <w:tcPr>
            <w:tcW w:w="2268" w:type="dxa"/>
            <w:vAlign w:val="center"/>
          </w:tcPr>
          <w:p>
            <w:pPr>
              <w:spacing w:line="48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99" w:type="dxa"/>
            <w:vAlign w:val="center"/>
          </w:tcPr>
          <w:p>
            <w:pPr>
              <w:spacing w:line="48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2853" w:type="dxa"/>
            <w:gridSpan w:val="2"/>
            <w:vAlign w:val="center"/>
          </w:tcPr>
          <w:p>
            <w:pPr>
              <w:jc w:val="left"/>
              <w:rPr>
                <w:rFonts w:hint="eastAsia" w:ascii="宋体" w:hAnsi="宋体" w:eastAsia="宋体" w:cs="宋体"/>
                <w:color w:val="auto"/>
                <w:highlight w:val="none"/>
              </w:rPr>
            </w:pPr>
          </w:p>
        </w:tc>
        <w:tc>
          <w:tcPr>
            <w:tcW w:w="1418" w:type="dxa"/>
            <w:vAlign w:val="center"/>
          </w:tcPr>
          <w:p>
            <w:pPr>
              <w:spacing w:line="480" w:lineRule="exact"/>
              <w:jc w:val="center"/>
              <w:rPr>
                <w:rFonts w:hint="eastAsia" w:ascii="宋体" w:hAnsi="宋体" w:eastAsia="宋体" w:cs="宋体"/>
                <w:color w:val="auto"/>
                <w:highlight w:val="none"/>
              </w:rPr>
            </w:pPr>
          </w:p>
        </w:tc>
        <w:tc>
          <w:tcPr>
            <w:tcW w:w="2126" w:type="dxa"/>
            <w:vAlign w:val="center"/>
          </w:tcPr>
          <w:p>
            <w:pPr>
              <w:spacing w:line="480" w:lineRule="exact"/>
              <w:jc w:val="center"/>
              <w:rPr>
                <w:rFonts w:hint="eastAsia" w:ascii="宋体" w:hAnsi="宋体" w:eastAsia="宋体" w:cs="宋体"/>
                <w:color w:val="auto"/>
                <w:highlight w:val="none"/>
              </w:rPr>
            </w:pPr>
          </w:p>
        </w:tc>
        <w:tc>
          <w:tcPr>
            <w:tcW w:w="2268" w:type="dxa"/>
            <w:vAlign w:val="center"/>
          </w:tcPr>
          <w:p>
            <w:pPr>
              <w:spacing w:line="48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99" w:type="dxa"/>
            <w:vAlign w:val="center"/>
          </w:tcPr>
          <w:p>
            <w:pPr>
              <w:spacing w:line="48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2853" w:type="dxa"/>
            <w:gridSpan w:val="2"/>
            <w:vAlign w:val="center"/>
          </w:tcPr>
          <w:p>
            <w:pPr>
              <w:jc w:val="left"/>
              <w:rPr>
                <w:rFonts w:hint="eastAsia" w:ascii="宋体" w:hAnsi="宋体" w:eastAsia="宋体" w:cs="宋体"/>
                <w:color w:val="auto"/>
                <w:highlight w:val="none"/>
              </w:rPr>
            </w:pPr>
          </w:p>
        </w:tc>
        <w:tc>
          <w:tcPr>
            <w:tcW w:w="1418" w:type="dxa"/>
            <w:vAlign w:val="center"/>
          </w:tcPr>
          <w:p>
            <w:pPr>
              <w:spacing w:line="480" w:lineRule="exact"/>
              <w:jc w:val="center"/>
              <w:rPr>
                <w:rFonts w:hint="eastAsia" w:ascii="宋体" w:hAnsi="宋体" w:eastAsia="宋体" w:cs="宋体"/>
                <w:color w:val="auto"/>
                <w:highlight w:val="none"/>
              </w:rPr>
            </w:pPr>
          </w:p>
        </w:tc>
        <w:tc>
          <w:tcPr>
            <w:tcW w:w="2126" w:type="dxa"/>
            <w:vAlign w:val="center"/>
          </w:tcPr>
          <w:p>
            <w:pPr>
              <w:spacing w:line="480" w:lineRule="exact"/>
              <w:jc w:val="center"/>
              <w:rPr>
                <w:rFonts w:hint="eastAsia" w:ascii="宋体" w:hAnsi="宋体" w:eastAsia="宋体" w:cs="宋体"/>
                <w:color w:val="auto"/>
                <w:highlight w:val="none"/>
              </w:rPr>
            </w:pPr>
          </w:p>
        </w:tc>
        <w:tc>
          <w:tcPr>
            <w:tcW w:w="2268" w:type="dxa"/>
            <w:vAlign w:val="center"/>
          </w:tcPr>
          <w:p>
            <w:pPr>
              <w:spacing w:line="48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99" w:type="dxa"/>
            <w:vAlign w:val="center"/>
          </w:tcPr>
          <w:p>
            <w:pPr>
              <w:spacing w:line="48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2853" w:type="dxa"/>
            <w:gridSpan w:val="2"/>
            <w:vAlign w:val="center"/>
          </w:tcPr>
          <w:p>
            <w:pPr>
              <w:jc w:val="left"/>
              <w:rPr>
                <w:rFonts w:hint="eastAsia" w:ascii="宋体" w:hAnsi="宋体" w:eastAsia="宋体" w:cs="宋体"/>
                <w:color w:val="auto"/>
                <w:highlight w:val="none"/>
              </w:rPr>
            </w:pPr>
          </w:p>
        </w:tc>
        <w:tc>
          <w:tcPr>
            <w:tcW w:w="1418" w:type="dxa"/>
            <w:vAlign w:val="center"/>
          </w:tcPr>
          <w:p>
            <w:pPr>
              <w:spacing w:line="480" w:lineRule="exact"/>
              <w:jc w:val="center"/>
              <w:rPr>
                <w:rFonts w:hint="eastAsia" w:ascii="宋体" w:hAnsi="宋体" w:eastAsia="宋体" w:cs="宋体"/>
                <w:color w:val="auto"/>
                <w:highlight w:val="none"/>
              </w:rPr>
            </w:pPr>
          </w:p>
        </w:tc>
        <w:tc>
          <w:tcPr>
            <w:tcW w:w="2126" w:type="dxa"/>
            <w:vAlign w:val="center"/>
          </w:tcPr>
          <w:p>
            <w:pPr>
              <w:spacing w:line="480" w:lineRule="exact"/>
              <w:jc w:val="center"/>
              <w:rPr>
                <w:rFonts w:hint="eastAsia" w:ascii="宋体" w:hAnsi="宋体" w:eastAsia="宋体" w:cs="宋体"/>
                <w:color w:val="auto"/>
                <w:highlight w:val="none"/>
              </w:rPr>
            </w:pPr>
          </w:p>
        </w:tc>
        <w:tc>
          <w:tcPr>
            <w:tcW w:w="2268" w:type="dxa"/>
            <w:vAlign w:val="center"/>
          </w:tcPr>
          <w:p>
            <w:pPr>
              <w:spacing w:line="48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99" w:type="dxa"/>
            <w:vAlign w:val="center"/>
          </w:tcPr>
          <w:p>
            <w:pPr>
              <w:spacing w:line="48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7</w:t>
            </w:r>
          </w:p>
        </w:tc>
        <w:tc>
          <w:tcPr>
            <w:tcW w:w="2853" w:type="dxa"/>
            <w:gridSpan w:val="2"/>
          </w:tcPr>
          <w:p>
            <w:pPr>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w:t>
            </w:r>
          </w:p>
        </w:tc>
        <w:tc>
          <w:tcPr>
            <w:tcW w:w="1418" w:type="dxa"/>
            <w:vAlign w:val="center"/>
          </w:tcPr>
          <w:p>
            <w:pPr>
              <w:spacing w:line="480" w:lineRule="exact"/>
              <w:jc w:val="center"/>
              <w:rPr>
                <w:rFonts w:hint="eastAsia" w:ascii="宋体" w:hAnsi="宋体" w:eastAsia="宋体" w:cs="宋体"/>
                <w:color w:val="auto"/>
                <w:highlight w:val="none"/>
              </w:rPr>
            </w:pPr>
          </w:p>
        </w:tc>
        <w:tc>
          <w:tcPr>
            <w:tcW w:w="2126" w:type="dxa"/>
            <w:vAlign w:val="center"/>
          </w:tcPr>
          <w:p>
            <w:pPr>
              <w:spacing w:line="480" w:lineRule="exact"/>
              <w:jc w:val="center"/>
              <w:rPr>
                <w:rFonts w:hint="eastAsia" w:ascii="宋体" w:hAnsi="宋体" w:eastAsia="宋体" w:cs="宋体"/>
                <w:color w:val="auto"/>
                <w:highlight w:val="none"/>
              </w:rPr>
            </w:pPr>
          </w:p>
        </w:tc>
        <w:tc>
          <w:tcPr>
            <w:tcW w:w="2268" w:type="dxa"/>
            <w:vAlign w:val="center"/>
          </w:tcPr>
          <w:p>
            <w:pPr>
              <w:spacing w:line="48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jc w:val="center"/>
        </w:trPr>
        <w:tc>
          <w:tcPr>
            <w:tcW w:w="799" w:type="dxa"/>
          </w:tcPr>
          <w:p>
            <w:pPr>
              <w:spacing w:line="480" w:lineRule="exact"/>
              <w:jc w:val="center"/>
              <w:rPr>
                <w:rFonts w:hint="eastAsia" w:ascii="宋体" w:hAnsi="宋体" w:eastAsia="宋体" w:cs="宋体"/>
                <w:color w:val="auto"/>
                <w:highlight w:val="none"/>
              </w:rPr>
            </w:pPr>
          </w:p>
          <w:p>
            <w:pPr>
              <w:spacing w:line="48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8</w:t>
            </w:r>
          </w:p>
        </w:tc>
        <w:tc>
          <w:tcPr>
            <w:tcW w:w="1829" w:type="dxa"/>
          </w:tcPr>
          <w:p>
            <w:pPr>
              <w:spacing w:line="480" w:lineRule="exact"/>
              <w:jc w:val="center"/>
              <w:rPr>
                <w:rFonts w:hint="eastAsia" w:ascii="宋体" w:hAnsi="宋体" w:eastAsia="宋体" w:cs="宋体"/>
                <w:color w:val="auto"/>
                <w:highlight w:val="none"/>
              </w:rPr>
            </w:pPr>
          </w:p>
          <w:p>
            <w:pPr>
              <w:spacing w:line="48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合计</w:t>
            </w:r>
          </w:p>
        </w:tc>
        <w:tc>
          <w:tcPr>
            <w:tcW w:w="6836" w:type="dxa"/>
            <w:gridSpan w:val="4"/>
          </w:tcPr>
          <w:p>
            <w:pPr>
              <w:spacing w:line="480" w:lineRule="exact"/>
              <w:rPr>
                <w:rFonts w:hint="eastAsia" w:ascii="宋体" w:hAnsi="宋体" w:eastAsia="宋体" w:cs="宋体"/>
                <w:color w:val="auto"/>
                <w:highlight w:val="none"/>
              </w:rPr>
            </w:pPr>
          </w:p>
          <w:p>
            <w:pPr>
              <w:spacing w:line="480" w:lineRule="exact"/>
              <w:rPr>
                <w:rFonts w:hint="eastAsia" w:ascii="宋体" w:hAnsi="宋体" w:eastAsia="宋体" w:cs="宋体"/>
                <w:color w:val="auto"/>
                <w:highlight w:val="none"/>
                <w:u w:val="single"/>
              </w:rPr>
            </w:pPr>
            <w:r>
              <w:rPr>
                <w:rFonts w:hint="eastAsia" w:ascii="宋体" w:hAnsi="宋体" w:eastAsia="宋体" w:cs="宋体"/>
                <w:color w:val="auto"/>
                <w:highlight w:val="none"/>
              </w:rPr>
              <w:t>大写：</w:t>
            </w:r>
            <w:r>
              <w:rPr>
                <w:rFonts w:hint="eastAsia" w:ascii="宋体" w:hAnsi="宋体" w:eastAsia="宋体" w:cs="宋体"/>
                <w:color w:val="auto"/>
                <w:highlight w:val="none"/>
                <w:u w:val="single"/>
              </w:rPr>
              <w:t xml:space="preserve">                                  。</w:t>
            </w:r>
          </w:p>
          <w:p>
            <w:pPr>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（小写：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799" w:type="dxa"/>
          </w:tcPr>
          <w:p>
            <w:pPr>
              <w:spacing w:line="48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9</w:t>
            </w:r>
          </w:p>
        </w:tc>
        <w:tc>
          <w:tcPr>
            <w:tcW w:w="1829" w:type="dxa"/>
          </w:tcPr>
          <w:p>
            <w:pPr>
              <w:spacing w:line="48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成本价</w:t>
            </w:r>
          </w:p>
        </w:tc>
        <w:tc>
          <w:tcPr>
            <w:tcW w:w="6836" w:type="dxa"/>
            <w:gridSpan w:val="4"/>
          </w:tcPr>
          <w:p>
            <w:pPr>
              <w:spacing w:line="480" w:lineRule="exact"/>
              <w:rPr>
                <w:rFonts w:hint="eastAsia" w:ascii="宋体" w:hAnsi="宋体" w:eastAsia="宋体" w:cs="宋体"/>
                <w:color w:val="auto"/>
                <w:highlight w:val="none"/>
              </w:rPr>
            </w:pPr>
          </w:p>
        </w:tc>
      </w:tr>
    </w:tbl>
    <w:p>
      <w:pPr>
        <w:spacing w:line="480" w:lineRule="exact"/>
        <w:rPr>
          <w:rFonts w:hint="eastAsia" w:ascii="宋体" w:hAnsi="宋体" w:eastAsia="宋体" w:cs="宋体"/>
          <w:color w:val="auto"/>
          <w:highlight w:val="none"/>
        </w:rPr>
      </w:pPr>
    </w:p>
    <w:p>
      <w:pPr>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全权代表签字：                   </w:t>
      </w:r>
    </w:p>
    <w:p>
      <w:pPr>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日 期：           </w:t>
      </w:r>
    </w:p>
    <w:p>
      <w:pPr>
        <w:spacing w:line="480" w:lineRule="exact"/>
        <w:ind w:left="420" w:hanging="420" w:hangingChars="200"/>
        <w:rPr>
          <w:rFonts w:hint="eastAsia" w:ascii="宋体" w:hAnsi="宋体" w:eastAsia="宋体" w:cs="宋体"/>
          <w:color w:val="auto"/>
          <w:highlight w:val="none"/>
        </w:rPr>
      </w:pPr>
      <w:r>
        <w:rPr>
          <w:rFonts w:hint="eastAsia" w:ascii="宋体" w:hAnsi="宋体" w:eastAsia="宋体" w:cs="宋体"/>
          <w:color w:val="auto"/>
          <w:highlight w:val="none"/>
        </w:rPr>
        <w:t>注：</w:t>
      </w:r>
    </w:p>
    <w:p>
      <w:pPr>
        <w:pStyle w:val="14"/>
        <w:spacing w:line="360" w:lineRule="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1.投标人应根据国家的有关规定和</w:t>
      </w:r>
      <w:r>
        <w:rPr>
          <w:rFonts w:hint="eastAsia" w:ascii="宋体" w:hAnsi="宋体" w:eastAsia="宋体" w:cs="宋体"/>
          <w:b/>
          <w:color w:val="auto"/>
          <w:sz w:val="21"/>
          <w:szCs w:val="21"/>
          <w:highlight w:val="none"/>
          <w:shd w:val="pct10" w:color="auto" w:fill="FFFFFF"/>
        </w:rPr>
        <w:t>实际情况</w:t>
      </w:r>
      <w:r>
        <w:rPr>
          <w:rFonts w:hint="eastAsia" w:ascii="宋体" w:hAnsi="宋体" w:eastAsia="宋体" w:cs="宋体"/>
          <w:color w:val="auto"/>
          <w:sz w:val="21"/>
          <w:szCs w:val="21"/>
          <w:highlight w:val="none"/>
        </w:rPr>
        <w:t>并结合企业的实际情况进行投标报价。</w:t>
      </w:r>
      <w:r>
        <w:rPr>
          <w:rFonts w:hint="eastAsia" w:ascii="宋体" w:hAnsi="宋体" w:eastAsia="宋体" w:cs="宋体"/>
          <w:b/>
          <w:color w:val="auto"/>
          <w:sz w:val="21"/>
          <w:szCs w:val="21"/>
          <w:highlight w:val="none"/>
        </w:rPr>
        <w:t>投标报价为投标人所能承受的最低、最终一次性报价。</w:t>
      </w:r>
    </w:p>
    <w:p>
      <w:pPr>
        <w:pStyle w:val="14"/>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2.投标报价低于自报成本价的，投标将被拒绝。</w:t>
      </w:r>
    </w:p>
    <w:p>
      <w:pPr>
        <w:pStyle w:val="14"/>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3.此表在不改变表式内容的情况下，可自行制作</w:t>
      </w:r>
    </w:p>
    <w:p>
      <w:pPr>
        <w:pStyle w:val="3"/>
        <w:keepNext w:val="0"/>
        <w:keepLines w:val="0"/>
        <w:pageBreakBefore/>
        <w:numPr>
          <w:ilvl w:val="0"/>
          <w:numId w:val="0"/>
        </w:numPr>
        <w:spacing w:before="0" w:after="0" w:line="480" w:lineRule="exact"/>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第</w:t>
      </w:r>
      <w:r>
        <w:rPr>
          <w:rFonts w:hint="eastAsia" w:ascii="宋体" w:hAnsi="宋体" w:eastAsia="宋体" w:cs="宋体"/>
          <w:color w:val="auto"/>
          <w:sz w:val="36"/>
          <w:szCs w:val="36"/>
          <w:highlight w:val="none"/>
          <w:lang w:val="en-US" w:eastAsia="zh-CN"/>
        </w:rPr>
        <w:t>八</w:t>
      </w:r>
      <w:r>
        <w:rPr>
          <w:rFonts w:hint="eastAsia" w:ascii="宋体" w:hAnsi="宋体" w:eastAsia="宋体" w:cs="宋体"/>
          <w:color w:val="auto"/>
          <w:sz w:val="36"/>
          <w:szCs w:val="36"/>
          <w:highlight w:val="none"/>
        </w:rPr>
        <w:t>章  合同主要条款</w:t>
      </w:r>
    </w:p>
    <w:p>
      <w:pPr>
        <w:widowControl/>
        <w:spacing w:line="360" w:lineRule="auto"/>
        <w:ind w:firstLine="482" w:firstLineChars="200"/>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义乌市国企采购合同（样本）</w:t>
      </w:r>
    </w:p>
    <w:p>
      <w:pPr>
        <w:widowControl/>
        <w:spacing w:line="340" w:lineRule="exact"/>
        <w:ind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供方：________________________________</w:t>
      </w:r>
    </w:p>
    <w:p>
      <w:pPr>
        <w:widowControl/>
        <w:spacing w:line="370" w:lineRule="exact"/>
        <w:ind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需方：________________________________</w:t>
      </w:r>
    </w:p>
    <w:p>
      <w:pPr>
        <w:widowControl/>
        <w:spacing w:line="370" w:lineRule="exact"/>
        <w:ind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供、需双方根据__</w:t>
      </w:r>
      <w:r>
        <w:rPr>
          <w:rFonts w:hint="eastAsia" w:ascii="宋体" w:hAnsi="宋体" w:eastAsia="宋体" w:cs="宋体"/>
          <w:color w:val="auto"/>
          <w:kern w:val="0"/>
          <w:highlight w:val="none"/>
          <w:u w:val="single"/>
        </w:rPr>
        <w:t>_ _</w:t>
      </w:r>
      <w:r>
        <w:rPr>
          <w:rFonts w:hint="eastAsia" w:ascii="宋体" w:hAnsi="宋体" w:eastAsia="宋体" w:cs="宋体"/>
          <w:color w:val="auto"/>
          <w:kern w:val="0"/>
          <w:highlight w:val="none"/>
        </w:rPr>
        <w:t>年____月____日浙江省义乌市政府采购</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项目成交结果和投标文件的要求，依据《中华人民共和国</w:t>
      </w:r>
      <w:r>
        <w:rPr>
          <w:rFonts w:hint="eastAsia" w:ascii="宋体" w:hAnsi="宋体" w:eastAsia="宋体" w:cs="宋体"/>
          <w:color w:val="auto"/>
          <w:kern w:val="0"/>
          <w:highlight w:val="none"/>
          <w:lang w:eastAsia="zh-CN"/>
        </w:rPr>
        <w:t>民法典</w:t>
      </w:r>
      <w:r>
        <w:rPr>
          <w:rFonts w:hint="eastAsia" w:ascii="宋体" w:hAnsi="宋体" w:eastAsia="宋体" w:cs="宋体"/>
          <w:color w:val="auto"/>
          <w:kern w:val="0"/>
          <w:highlight w:val="none"/>
        </w:rPr>
        <w:t>》并经双方协调一致，订立本采购合同。</w:t>
      </w:r>
    </w:p>
    <w:p>
      <w:pPr>
        <w:widowControl/>
        <w:spacing w:line="370" w:lineRule="exact"/>
        <w:ind w:firstLine="480"/>
        <w:jc w:val="left"/>
        <w:rPr>
          <w:rFonts w:hint="eastAsia" w:ascii="宋体" w:hAnsi="宋体" w:eastAsia="宋体" w:cs="宋体"/>
          <w:color w:val="auto"/>
          <w:kern w:val="0"/>
          <w:highlight w:val="none"/>
        </w:rPr>
      </w:pPr>
      <w:r>
        <w:rPr>
          <w:rFonts w:hint="eastAsia" w:ascii="宋体" w:hAnsi="宋体" w:eastAsia="宋体" w:cs="宋体"/>
          <w:b/>
          <w:color w:val="auto"/>
          <w:kern w:val="0"/>
          <w:highlight w:val="none"/>
        </w:rPr>
        <w:t>一、合同文件组成：</w:t>
      </w:r>
      <w:r>
        <w:rPr>
          <w:rFonts w:hint="eastAsia" w:ascii="宋体" w:hAnsi="宋体" w:eastAsia="宋体" w:cs="宋体"/>
          <w:color w:val="auto"/>
          <w:kern w:val="0"/>
          <w:highlight w:val="none"/>
        </w:rPr>
        <w:t>招标文件及其补充文件、询标承诺、询疑答复、投标响应文件、双方来函。合同文件组成的所有内容是构成合同不可分割的部分，与合同具有同等法律效力。</w:t>
      </w:r>
    </w:p>
    <w:p>
      <w:pPr>
        <w:widowControl/>
        <w:spacing w:after="120" w:line="370" w:lineRule="exact"/>
        <w:ind w:firstLine="480"/>
        <w:jc w:val="left"/>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二、合同金额</w:t>
      </w:r>
    </w:p>
    <w:p>
      <w:pPr>
        <w:widowControl/>
        <w:spacing w:line="370" w:lineRule="exact"/>
        <w:ind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合同总价中须包括___________________及合同中明示或暗示的所有一般风险、责任和义务等一切应由采购人支付的费用。</w:t>
      </w:r>
    </w:p>
    <w:tbl>
      <w:tblPr>
        <w:tblStyle w:val="22"/>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794"/>
        <w:gridCol w:w="1980"/>
        <w:gridCol w:w="1162"/>
        <w:gridCol w:w="1334"/>
        <w:gridCol w:w="1564"/>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80" w:type="dxa"/>
            <w:vAlign w:val="center"/>
          </w:tcPr>
          <w:p>
            <w:pPr>
              <w:spacing w:line="370" w:lineRule="exact"/>
              <w:jc w:val="center"/>
              <w:rPr>
                <w:rFonts w:hint="eastAsia" w:ascii="宋体" w:hAnsi="宋体" w:eastAsia="宋体" w:cs="宋体"/>
                <w:color w:val="auto"/>
                <w:highlight w:val="none"/>
              </w:rPr>
            </w:pPr>
            <w:r>
              <w:rPr>
                <w:rFonts w:hint="eastAsia" w:ascii="宋体" w:hAnsi="宋体" w:eastAsia="宋体" w:cs="宋体"/>
                <w:b/>
                <w:bCs/>
                <w:color w:val="auto"/>
                <w:highlight w:val="none"/>
              </w:rPr>
              <w:t>序号</w:t>
            </w:r>
          </w:p>
        </w:tc>
        <w:tc>
          <w:tcPr>
            <w:tcW w:w="1794" w:type="dxa"/>
            <w:vAlign w:val="center"/>
          </w:tcPr>
          <w:p>
            <w:pPr>
              <w:spacing w:line="370" w:lineRule="exact"/>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货物规格</w:t>
            </w:r>
          </w:p>
        </w:tc>
        <w:tc>
          <w:tcPr>
            <w:tcW w:w="1980" w:type="dxa"/>
            <w:vAlign w:val="center"/>
          </w:tcPr>
          <w:p>
            <w:pPr>
              <w:spacing w:line="370" w:lineRule="exact"/>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品牌型号</w:t>
            </w:r>
          </w:p>
        </w:tc>
        <w:tc>
          <w:tcPr>
            <w:tcW w:w="1162" w:type="dxa"/>
            <w:vAlign w:val="center"/>
          </w:tcPr>
          <w:p>
            <w:pPr>
              <w:spacing w:line="370" w:lineRule="exact"/>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 数量（km）</w:t>
            </w:r>
          </w:p>
        </w:tc>
        <w:tc>
          <w:tcPr>
            <w:tcW w:w="1334" w:type="dxa"/>
            <w:vAlign w:val="center"/>
          </w:tcPr>
          <w:p>
            <w:pPr>
              <w:spacing w:line="370" w:lineRule="exact"/>
              <w:ind w:right="-1153" w:rightChars="-549"/>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 单价（元）</w:t>
            </w:r>
          </w:p>
        </w:tc>
        <w:tc>
          <w:tcPr>
            <w:tcW w:w="1564" w:type="dxa"/>
            <w:vAlign w:val="center"/>
          </w:tcPr>
          <w:p>
            <w:pPr>
              <w:spacing w:line="370" w:lineRule="exact"/>
              <w:ind w:right="-1153" w:rightChars="-549"/>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 总价（元）</w:t>
            </w:r>
          </w:p>
        </w:tc>
        <w:tc>
          <w:tcPr>
            <w:tcW w:w="1062" w:type="dxa"/>
            <w:vAlign w:val="center"/>
          </w:tcPr>
          <w:p>
            <w:pPr>
              <w:spacing w:line="370" w:lineRule="exact"/>
              <w:ind w:right="-1153" w:rightChars="-549"/>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80" w:type="dxa"/>
            <w:vAlign w:val="center"/>
          </w:tcPr>
          <w:p>
            <w:pPr>
              <w:spacing w:line="370" w:lineRule="exact"/>
              <w:jc w:val="center"/>
              <w:rPr>
                <w:rFonts w:hint="eastAsia" w:ascii="宋体" w:hAnsi="宋体" w:eastAsia="宋体" w:cs="宋体"/>
                <w:b/>
                <w:bCs/>
                <w:color w:val="auto"/>
                <w:highlight w:val="none"/>
              </w:rPr>
            </w:pPr>
          </w:p>
        </w:tc>
        <w:tc>
          <w:tcPr>
            <w:tcW w:w="1794" w:type="dxa"/>
            <w:vAlign w:val="center"/>
          </w:tcPr>
          <w:p>
            <w:pPr>
              <w:pStyle w:val="47"/>
              <w:spacing w:line="370" w:lineRule="exact"/>
              <w:ind w:firstLine="72"/>
              <w:rPr>
                <w:rFonts w:hint="eastAsia" w:ascii="宋体" w:hAnsi="宋体" w:eastAsia="宋体" w:cs="宋体"/>
                <w:color w:val="auto"/>
                <w:highlight w:val="none"/>
              </w:rPr>
            </w:pPr>
          </w:p>
        </w:tc>
        <w:tc>
          <w:tcPr>
            <w:tcW w:w="1980" w:type="dxa"/>
            <w:vAlign w:val="center"/>
          </w:tcPr>
          <w:p>
            <w:pPr>
              <w:spacing w:line="370" w:lineRule="exact"/>
              <w:jc w:val="center"/>
              <w:rPr>
                <w:rFonts w:hint="eastAsia" w:ascii="宋体" w:hAnsi="宋体" w:eastAsia="宋体" w:cs="宋体"/>
                <w:color w:val="auto"/>
                <w:highlight w:val="none"/>
              </w:rPr>
            </w:pPr>
          </w:p>
        </w:tc>
        <w:tc>
          <w:tcPr>
            <w:tcW w:w="1162" w:type="dxa"/>
            <w:vAlign w:val="center"/>
          </w:tcPr>
          <w:p>
            <w:pPr>
              <w:spacing w:line="370" w:lineRule="exact"/>
              <w:jc w:val="center"/>
              <w:rPr>
                <w:rFonts w:hint="eastAsia" w:ascii="宋体" w:hAnsi="宋体" w:eastAsia="宋体" w:cs="宋体"/>
                <w:color w:val="auto"/>
                <w:highlight w:val="none"/>
              </w:rPr>
            </w:pPr>
          </w:p>
        </w:tc>
        <w:tc>
          <w:tcPr>
            <w:tcW w:w="1334" w:type="dxa"/>
            <w:vAlign w:val="center"/>
          </w:tcPr>
          <w:p>
            <w:pPr>
              <w:spacing w:line="370" w:lineRule="exact"/>
              <w:rPr>
                <w:rFonts w:hint="eastAsia" w:ascii="宋体" w:hAnsi="宋体" w:eastAsia="宋体" w:cs="宋体"/>
                <w:color w:val="auto"/>
                <w:highlight w:val="none"/>
                <w:u w:val="single"/>
              </w:rPr>
            </w:pPr>
          </w:p>
        </w:tc>
        <w:tc>
          <w:tcPr>
            <w:tcW w:w="1564" w:type="dxa"/>
            <w:vAlign w:val="center"/>
          </w:tcPr>
          <w:p>
            <w:pPr>
              <w:spacing w:line="370" w:lineRule="exact"/>
              <w:rPr>
                <w:rFonts w:hint="eastAsia" w:ascii="宋体" w:hAnsi="宋体" w:eastAsia="宋体" w:cs="宋体"/>
                <w:color w:val="auto"/>
                <w:highlight w:val="none"/>
                <w:u w:val="single"/>
              </w:rPr>
            </w:pPr>
          </w:p>
        </w:tc>
        <w:tc>
          <w:tcPr>
            <w:tcW w:w="1062" w:type="dxa"/>
            <w:vAlign w:val="center"/>
          </w:tcPr>
          <w:p>
            <w:pPr>
              <w:spacing w:line="37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80" w:type="dxa"/>
            <w:vAlign w:val="center"/>
          </w:tcPr>
          <w:p>
            <w:pPr>
              <w:spacing w:line="370" w:lineRule="exact"/>
              <w:jc w:val="center"/>
              <w:rPr>
                <w:rFonts w:hint="eastAsia" w:ascii="宋体" w:hAnsi="宋体" w:eastAsia="宋体" w:cs="宋体"/>
                <w:b/>
                <w:bCs/>
                <w:color w:val="auto"/>
                <w:highlight w:val="none"/>
              </w:rPr>
            </w:pPr>
          </w:p>
        </w:tc>
        <w:tc>
          <w:tcPr>
            <w:tcW w:w="1794" w:type="dxa"/>
            <w:vAlign w:val="center"/>
          </w:tcPr>
          <w:p>
            <w:pPr>
              <w:pStyle w:val="47"/>
              <w:spacing w:line="370" w:lineRule="exact"/>
              <w:ind w:firstLine="72"/>
              <w:rPr>
                <w:rFonts w:hint="eastAsia" w:ascii="宋体" w:hAnsi="宋体" w:eastAsia="宋体" w:cs="宋体"/>
                <w:color w:val="auto"/>
                <w:highlight w:val="none"/>
              </w:rPr>
            </w:pPr>
          </w:p>
        </w:tc>
        <w:tc>
          <w:tcPr>
            <w:tcW w:w="1980" w:type="dxa"/>
            <w:vAlign w:val="center"/>
          </w:tcPr>
          <w:p>
            <w:pPr>
              <w:spacing w:line="370" w:lineRule="exact"/>
              <w:jc w:val="center"/>
              <w:rPr>
                <w:rFonts w:hint="eastAsia" w:ascii="宋体" w:hAnsi="宋体" w:eastAsia="宋体" w:cs="宋体"/>
                <w:color w:val="auto"/>
                <w:highlight w:val="none"/>
              </w:rPr>
            </w:pPr>
          </w:p>
        </w:tc>
        <w:tc>
          <w:tcPr>
            <w:tcW w:w="1162" w:type="dxa"/>
            <w:vAlign w:val="center"/>
          </w:tcPr>
          <w:p>
            <w:pPr>
              <w:spacing w:line="370" w:lineRule="exact"/>
              <w:jc w:val="center"/>
              <w:rPr>
                <w:rFonts w:hint="eastAsia" w:ascii="宋体" w:hAnsi="宋体" w:eastAsia="宋体" w:cs="宋体"/>
                <w:color w:val="auto"/>
                <w:highlight w:val="none"/>
              </w:rPr>
            </w:pPr>
          </w:p>
        </w:tc>
        <w:tc>
          <w:tcPr>
            <w:tcW w:w="1334" w:type="dxa"/>
            <w:vAlign w:val="center"/>
          </w:tcPr>
          <w:p>
            <w:pPr>
              <w:spacing w:line="370" w:lineRule="exact"/>
              <w:rPr>
                <w:rFonts w:hint="eastAsia" w:ascii="宋体" w:hAnsi="宋体" w:eastAsia="宋体" w:cs="宋体"/>
                <w:color w:val="auto"/>
                <w:highlight w:val="none"/>
                <w:u w:val="single"/>
              </w:rPr>
            </w:pPr>
          </w:p>
        </w:tc>
        <w:tc>
          <w:tcPr>
            <w:tcW w:w="1564" w:type="dxa"/>
            <w:vAlign w:val="center"/>
          </w:tcPr>
          <w:p>
            <w:pPr>
              <w:spacing w:line="370" w:lineRule="exact"/>
              <w:rPr>
                <w:rFonts w:hint="eastAsia" w:ascii="宋体" w:hAnsi="宋体" w:eastAsia="宋体" w:cs="宋体"/>
                <w:color w:val="auto"/>
                <w:highlight w:val="none"/>
                <w:u w:val="single"/>
              </w:rPr>
            </w:pPr>
          </w:p>
        </w:tc>
        <w:tc>
          <w:tcPr>
            <w:tcW w:w="1062" w:type="dxa"/>
            <w:vAlign w:val="center"/>
          </w:tcPr>
          <w:p>
            <w:pPr>
              <w:spacing w:line="37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80" w:type="dxa"/>
            <w:vAlign w:val="center"/>
          </w:tcPr>
          <w:p>
            <w:pPr>
              <w:spacing w:line="370" w:lineRule="exact"/>
              <w:jc w:val="center"/>
              <w:rPr>
                <w:rFonts w:hint="eastAsia" w:ascii="宋体" w:hAnsi="宋体" w:eastAsia="宋体" w:cs="宋体"/>
                <w:b/>
                <w:bCs/>
                <w:color w:val="auto"/>
                <w:highlight w:val="none"/>
              </w:rPr>
            </w:pPr>
            <w:r>
              <w:rPr>
                <w:rFonts w:hint="eastAsia" w:ascii="宋体" w:hAnsi="宋体" w:eastAsia="宋体" w:cs="宋体"/>
                <w:color w:val="auto"/>
                <w:highlight w:val="none"/>
              </w:rPr>
              <w:t>合计</w:t>
            </w:r>
          </w:p>
        </w:tc>
        <w:tc>
          <w:tcPr>
            <w:tcW w:w="8896" w:type="dxa"/>
            <w:gridSpan w:val="6"/>
            <w:vAlign w:val="center"/>
          </w:tcPr>
          <w:p>
            <w:pPr>
              <w:spacing w:line="370" w:lineRule="exact"/>
              <w:rPr>
                <w:rFonts w:hint="eastAsia" w:ascii="宋体" w:hAnsi="宋体" w:eastAsia="宋体" w:cs="宋体"/>
                <w:color w:val="auto"/>
                <w:highlight w:val="none"/>
                <w:u w:val="single"/>
              </w:rPr>
            </w:pP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p>
          <w:p>
            <w:pPr>
              <w:spacing w:line="370" w:lineRule="exact"/>
              <w:rPr>
                <w:rFonts w:hint="eastAsia" w:ascii="宋体" w:hAnsi="宋体" w:eastAsia="宋体" w:cs="宋体"/>
                <w:color w:val="auto"/>
                <w:highlight w:val="none"/>
              </w:rPr>
            </w:pPr>
            <w:r>
              <w:rPr>
                <w:rFonts w:hint="eastAsia" w:ascii="宋体" w:hAnsi="宋体" w:eastAsia="宋体" w:cs="宋体"/>
                <w:color w:val="auto"/>
                <w:highlight w:val="none"/>
              </w:rPr>
              <w:t>大写：</w:t>
            </w:r>
            <w:r>
              <w:rPr>
                <w:rFonts w:hint="eastAsia" w:ascii="宋体" w:hAnsi="宋体" w:eastAsia="宋体" w:cs="宋体"/>
                <w:color w:val="auto"/>
                <w:highlight w:val="none"/>
                <w:u w:val="single"/>
              </w:rPr>
              <w:t xml:space="preserve">                                         </w:t>
            </w:r>
          </w:p>
        </w:tc>
      </w:tr>
    </w:tbl>
    <w:p>
      <w:pPr>
        <w:widowControl/>
        <w:spacing w:line="370" w:lineRule="exact"/>
        <w:ind w:right="480"/>
        <w:jc w:val="right"/>
        <w:rPr>
          <w:rFonts w:hint="eastAsia" w:ascii="宋体" w:hAnsi="宋体" w:eastAsia="宋体" w:cs="宋体"/>
          <w:color w:val="auto"/>
          <w:kern w:val="0"/>
          <w:highlight w:val="none"/>
        </w:rPr>
      </w:pPr>
      <w:r>
        <w:rPr>
          <w:rFonts w:hint="eastAsia" w:ascii="宋体" w:hAnsi="宋体" w:eastAsia="宋体" w:cs="宋体"/>
          <w:color w:val="auto"/>
          <w:kern w:val="0"/>
          <w:highlight w:val="none"/>
        </w:rPr>
        <w:t>单位：人民币元</w:t>
      </w:r>
    </w:p>
    <w:p>
      <w:pPr>
        <w:widowControl/>
        <w:snapToGrid w:val="0"/>
        <w:spacing w:before="120" w:after="120" w:line="370" w:lineRule="exact"/>
        <w:ind w:firstLine="422" w:firstLineChars="200"/>
        <w:jc w:val="left"/>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三、技术资料</w:t>
      </w:r>
    </w:p>
    <w:p>
      <w:pPr>
        <w:widowControl/>
        <w:snapToGrid w:val="0"/>
        <w:spacing w:before="120" w:after="120" w:line="370" w:lineRule="exact"/>
        <w:ind w:left="407" w:leftChars="194" w:firstLine="105" w:firstLineChars="5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1、供方应按招标文件规定的时间向需方提供使用货物的有关技术资料。</w:t>
      </w:r>
    </w:p>
    <w:p>
      <w:pPr>
        <w:widowControl/>
        <w:snapToGrid w:val="0"/>
        <w:spacing w:before="120" w:after="120" w:line="370" w:lineRule="exact"/>
        <w:ind w:left="78" w:leftChars="37"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2、没有需方事先书面同意，供方不得将由需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before="120" w:after="120" w:line="370" w:lineRule="exact"/>
        <w:ind w:left="409" w:leftChars="195" w:firstLine="103" w:firstLineChars="49"/>
        <w:jc w:val="left"/>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四、知识产权</w:t>
      </w:r>
    </w:p>
    <w:p>
      <w:pPr>
        <w:widowControl/>
        <w:snapToGrid w:val="0"/>
        <w:spacing w:before="120" w:after="120" w:line="370" w:lineRule="exact"/>
        <w:ind w:firstLine="420" w:firstLineChars="200"/>
        <w:jc w:val="left"/>
        <w:rPr>
          <w:rFonts w:hint="eastAsia" w:ascii="宋体" w:hAnsi="宋体" w:eastAsia="宋体" w:cs="宋体"/>
          <w:bCs/>
          <w:color w:val="auto"/>
          <w:kern w:val="0"/>
          <w:highlight w:val="none"/>
        </w:rPr>
      </w:pPr>
      <w:r>
        <w:rPr>
          <w:rFonts w:hint="eastAsia" w:ascii="宋体" w:hAnsi="宋体" w:eastAsia="宋体" w:cs="宋体"/>
          <w:color w:val="auto"/>
          <w:kern w:val="0"/>
          <w:highlight w:val="none"/>
        </w:rPr>
        <w:t>供方应保证所提供的货物或其任何一部分均不会侵犯任何第三方的知识产权</w:t>
      </w:r>
      <w:r>
        <w:rPr>
          <w:rFonts w:hint="eastAsia" w:ascii="宋体" w:hAnsi="宋体" w:eastAsia="宋体" w:cs="宋体"/>
          <w:bCs/>
          <w:color w:val="auto"/>
          <w:kern w:val="0"/>
          <w:highlight w:val="none"/>
        </w:rPr>
        <w:t>。</w:t>
      </w:r>
    </w:p>
    <w:p>
      <w:pPr>
        <w:widowControl/>
        <w:snapToGrid w:val="0"/>
        <w:spacing w:before="120" w:after="120" w:line="370" w:lineRule="exact"/>
        <w:ind w:firstLine="413" w:firstLineChars="196"/>
        <w:jc w:val="left"/>
        <w:rPr>
          <w:rFonts w:hint="eastAsia" w:ascii="宋体" w:hAnsi="宋体" w:eastAsia="宋体" w:cs="宋体"/>
          <w:color w:val="auto"/>
          <w:kern w:val="0"/>
          <w:highlight w:val="none"/>
          <w:u w:val="single"/>
        </w:rPr>
      </w:pPr>
      <w:r>
        <w:rPr>
          <w:rFonts w:hint="eastAsia" w:ascii="宋体" w:hAnsi="宋体" w:eastAsia="宋体" w:cs="宋体"/>
          <w:b/>
          <w:color w:val="auto"/>
          <w:kern w:val="0"/>
          <w:highlight w:val="none"/>
        </w:rPr>
        <w:t>五、产权担保</w:t>
      </w:r>
    </w:p>
    <w:p>
      <w:pPr>
        <w:widowControl/>
        <w:snapToGrid w:val="0"/>
        <w:spacing w:before="120" w:after="120" w:line="370" w:lineRule="exact"/>
        <w:ind w:left="357" w:leftChars="170" w:firstLine="480"/>
        <w:jc w:val="left"/>
        <w:rPr>
          <w:rFonts w:hint="eastAsia" w:ascii="宋体" w:hAnsi="宋体" w:eastAsia="宋体" w:cs="宋体"/>
          <w:color w:val="auto"/>
          <w:kern w:val="0"/>
          <w:highlight w:val="none"/>
          <w:u w:val="single"/>
        </w:rPr>
      </w:pPr>
      <w:r>
        <w:rPr>
          <w:rFonts w:hint="eastAsia" w:ascii="宋体" w:hAnsi="宋体" w:eastAsia="宋体" w:cs="宋体"/>
          <w:color w:val="auto"/>
          <w:kern w:val="0"/>
          <w:highlight w:val="none"/>
        </w:rPr>
        <w:t>供方保证所交付的货物的所有权完全属于供方且无任何抵押、查封等产权瑕疵。</w:t>
      </w:r>
    </w:p>
    <w:p>
      <w:pPr>
        <w:widowControl/>
        <w:snapToGrid w:val="0"/>
        <w:spacing w:before="120" w:after="120" w:line="370" w:lineRule="exact"/>
        <w:ind w:firstLine="413" w:firstLineChars="196"/>
        <w:jc w:val="left"/>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六、履约保证金：无</w:t>
      </w:r>
    </w:p>
    <w:p>
      <w:pPr>
        <w:widowControl/>
        <w:snapToGrid w:val="0"/>
        <w:spacing w:before="120" w:after="120" w:line="370" w:lineRule="exact"/>
        <w:ind w:firstLine="480"/>
        <w:jc w:val="left"/>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七、转包或分包</w:t>
      </w:r>
    </w:p>
    <w:p>
      <w:pPr>
        <w:widowControl/>
        <w:spacing w:line="370" w:lineRule="exact"/>
        <w:ind w:firstLine="48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1、本合同范围的货物，应由供方直接供应，不得转让他人供应；</w:t>
      </w:r>
    </w:p>
    <w:p>
      <w:pPr>
        <w:widowControl/>
        <w:spacing w:line="370" w:lineRule="exact"/>
        <w:ind w:firstLine="48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2、供方不得将本合同范围的货物全部或部分分包给他人供应；</w:t>
      </w:r>
    </w:p>
    <w:p>
      <w:pPr>
        <w:widowControl/>
        <w:spacing w:line="370" w:lineRule="exact"/>
        <w:ind w:firstLine="48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3、如有转让和或对货物的分包行为，需方中止合同并追究供方的违约责任。</w:t>
      </w:r>
    </w:p>
    <w:p>
      <w:pPr>
        <w:widowControl/>
        <w:spacing w:line="370" w:lineRule="exact"/>
        <w:ind w:firstLine="420" w:firstLineChars="200"/>
        <w:jc w:val="left"/>
        <w:rPr>
          <w:rFonts w:hint="eastAsia" w:ascii="宋体" w:hAnsi="宋体" w:eastAsia="宋体" w:cs="宋体"/>
          <w:b/>
          <w:color w:val="auto"/>
          <w:kern w:val="0"/>
          <w:highlight w:val="none"/>
        </w:rPr>
      </w:pPr>
      <w:r>
        <w:rPr>
          <w:rFonts w:hint="eastAsia" w:ascii="宋体" w:hAnsi="宋体" w:eastAsia="宋体" w:cs="宋体"/>
          <w:color w:val="auto"/>
          <w:kern w:val="0"/>
          <w:highlight w:val="none"/>
        </w:rPr>
        <w:t>▲</w:t>
      </w:r>
      <w:r>
        <w:rPr>
          <w:rFonts w:hint="eastAsia" w:ascii="宋体" w:hAnsi="宋体" w:eastAsia="宋体" w:cs="宋体"/>
          <w:b/>
          <w:color w:val="auto"/>
          <w:kern w:val="0"/>
          <w:highlight w:val="none"/>
        </w:rPr>
        <w:t>八、售后服务</w:t>
      </w:r>
    </w:p>
    <w:p>
      <w:pPr>
        <w:widowControl/>
        <w:snapToGrid w:val="0"/>
        <w:spacing w:before="120" w:after="120" w:line="370" w:lineRule="exact"/>
        <w:ind w:firstLine="480"/>
        <w:jc w:val="left"/>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九、交货期、交货方式及交货地点</w:t>
      </w:r>
    </w:p>
    <w:p>
      <w:pPr>
        <w:pStyle w:val="14"/>
        <w:snapToGrid w:val="0"/>
        <w:spacing w:line="370" w:lineRule="exact"/>
        <w:ind w:firstLine="421"/>
        <w:rPr>
          <w:rFonts w:hint="eastAsia" w:ascii="宋体" w:hAnsi="宋体" w:eastAsia="宋体" w:cs="宋体"/>
          <w:bCs/>
          <w:color w:val="auto"/>
          <w:highlight w:val="none"/>
        </w:rPr>
      </w:pPr>
      <w:r>
        <w:rPr>
          <w:rFonts w:hint="eastAsia" w:ascii="宋体" w:hAnsi="宋体" w:eastAsia="宋体" w:cs="宋体"/>
          <w:bCs/>
          <w:color w:val="auto"/>
          <w:highlight w:val="none"/>
        </w:rPr>
        <w:t>1、交货期：</w:t>
      </w:r>
    </w:p>
    <w:p>
      <w:pPr>
        <w:pStyle w:val="14"/>
        <w:snapToGrid w:val="0"/>
        <w:spacing w:line="370" w:lineRule="exact"/>
        <w:ind w:firstLine="421"/>
        <w:rPr>
          <w:rFonts w:hint="eastAsia" w:ascii="宋体" w:hAnsi="宋体" w:eastAsia="宋体" w:cs="宋体"/>
          <w:bCs/>
          <w:color w:val="auto"/>
          <w:highlight w:val="none"/>
        </w:rPr>
      </w:pPr>
      <w:r>
        <w:rPr>
          <w:rFonts w:hint="eastAsia" w:ascii="宋体" w:hAnsi="宋体" w:eastAsia="宋体" w:cs="宋体"/>
          <w:bCs/>
          <w:color w:val="auto"/>
          <w:highlight w:val="none"/>
        </w:rPr>
        <w:t>2、交货方式：</w:t>
      </w:r>
    </w:p>
    <w:p>
      <w:pPr>
        <w:pStyle w:val="14"/>
        <w:snapToGrid w:val="0"/>
        <w:spacing w:line="370" w:lineRule="exact"/>
        <w:ind w:firstLine="421"/>
        <w:rPr>
          <w:rFonts w:hint="eastAsia" w:ascii="宋体" w:hAnsi="宋体" w:eastAsia="宋体" w:cs="宋体"/>
          <w:bCs/>
          <w:color w:val="auto"/>
          <w:highlight w:val="none"/>
          <w:lang w:eastAsia="zh-TW"/>
        </w:rPr>
      </w:pPr>
      <w:r>
        <w:rPr>
          <w:rFonts w:hint="eastAsia" w:ascii="宋体" w:hAnsi="宋体" w:eastAsia="宋体" w:cs="宋体"/>
          <w:bCs/>
          <w:color w:val="auto"/>
          <w:highlight w:val="none"/>
        </w:rPr>
        <w:t>3、交货地点：</w:t>
      </w:r>
    </w:p>
    <w:p>
      <w:pPr>
        <w:widowControl/>
        <w:snapToGrid w:val="0"/>
        <w:spacing w:before="120" w:after="120" w:line="370" w:lineRule="exact"/>
        <w:ind w:firstLine="480"/>
        <w:jc w:val="left"/>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十、货款支付</w:t>
      </w:r>
    </w:p>
    <w:p>
      <w:pPr>
        <w:widowControl/>
        <w:snapToGrid w:val="0"/>
        <w:spacing w:before="120" w:after="120" w:line="370" w:lineRule="exact"/>
        <w:ind w:firstLine="480"/>
        <w:jc w:val="left"/>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付款方式：_______________________(与招标文件保持一致)</w:t>
      </w:r>
    </w:p>
    <w:p>
      <w:pPr>
        <w:widowControl/>
        <w:snapToGrid w:val="0"/>
        <w:spacing w:beforeLines="50" w:afterLines="50" w:line="370" w:lineRule="exact"/>
        <w:ind w:firstLine="480"/>
        <w:jc w:val="left"/>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十一、税费</w:t>
      </w:r>
    </w:p>
    <w:p>
      <w:pPr>
        <w:widowControl/>
        <w:snapToGrid w:val="0"/>
        <w:spacing w:beforeLines="50" w:afterLines="50" w:line="370" w:lineRule="exact"/>
        <w:ind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本合同执行中相关的一切税费均由供方负担。</w:t>
      </w:r>
    </w:p>
    <w:p>
      <w:pPr>
        <w:widowControl/>
        <w:snapToGrid w:val="0"/>
        <w:spacing w:before="120" w:after="120" w:line="370" w:lineRule="exact"/>
        <w:ind w:left="409" w:leftChars="195" w:firstLine="103" w:firstLineChars="49"/>
        <w:jc w:val="left"/>
        <w:rPr>
          <w:rFonts w:hint="eastAsia" w:ascii="宋体" w:hAnsi="宋体" w:eastAsia="宋体" w:cs="宋体"/>
          <w:color w:val="auto"/>
          <w:kern w:val="0"/>
          <w:highlight w:val="none"/>
        </w:rPr>
      </w:pPr>
      <w:r>
        <w:rPr>
          <w:rFonts w:hint="eastAsia" w:ascii="宋体" w:hAnsi="宋体" w:eastAsia="宋体" w:cs="宋体"/>
          <w:b/>
          <w:color w:val="auto"/>
          <w:kern w:val="0"/>
          <w:highlight w:val="none"/>
        </w:rPr>
        <w:t>十二、质量保证</w:t>
      </w:r>
    </w:p>
    <w:p>
      <w:pPr>
        <w:widowControl/>
        <w:snapToGrid w:val="0"/>
        <w:spacing w:before="120" w:after="120" w:line="370" w:lineRule="exact"/>
        <w:ind w:left="77" w:firstLine="48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1、供方应按招标文件规定的货物性能、技术要求、质量标准向需方提供未经使用的全新产品。</w:t>
      </w:r>
    </w:p>
    <w:p>
      <w:pPr>
        <w:widowControl/>
        <w:snapToGrid w:val="0"/>
        <w:spacing w:before="120" w:after="120" w:line="370" w:lineRule="exact"/>
        <w:ind w:firstLine="48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2、供方提供的货物在质保期内因货物本身的质量问题发生故障，供方应负责免费更换。对达不到技术要求者，根据实际情况，经双方协商，可按以下办法处理：</w:t>
      </w:r>
    </w:p>
    <w:p>
      <w:pPr>
        <w:widowControl/>
        <w:snapToGrid w:val="0"/>
        <w:spacing w:before="120" w:after="120" w:line="370" w:lineRule="exact"/>
        <w:ind w:firstLine="42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①更换：由供方承担所发生的全部费用。</w:t>
      </w:r>
    </w:p>
    <w:p>
      <w:pPr>
        <w:widowControl/>
        <w:snapToGrid w:val="0"/>
        <w:spacing w:before="120" w:after="120" w:line="370" w:lineRule="exact"/>
        <w:ind w:firstLine="42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②贬值处理：由供需双方合议定价。</w:t>
      </w:r>
    </w:p>
    <w:p>
      <w:pPr>
        <w:widowControl/>
        <w:snapToGrid w:val="0"/>
        <w:spacing w:before="120" w:after="120" w:line="370" w:lineRule="exact"/>
        <w:ind w:firstLine="42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③退货处理：供方应退还需方支付的合同款，同时应承担该货物的直接费用（运输、保险、检验、货款利息及银行手续费等）。</w:t>
      </w:r>
    </w:p>
    <w:p>
      <w:pPr>
        <w:widowControl/>
        <w:snapToGrid w:val="0"/>
        <w:spacing w:before="120" w:after="120" w:line="370" w:lineRule="exact"/>
        <w:ind w:firstLine="48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3、如在使用过程中发生质量问题，供方在接到需方通知后在</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小时内到达需方现场。</w:t>
      </w:r>
    </w:p>
    <w:p>
      <w:pPr>
        <w:widowControl/>
        <w:snapToGrid w:val="0"/>
        <w:spacing w:before="120" w:after="120" w:line="370" w:lineRule="exact"/>
        <w:ind w:firstLine="48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4、在质保期内，供方应对货物出现的质量及安全问题负责处理解决并承担一切费用。</w:t>
      </w:r>
    </w:p>
    <w:p>
      <w:pPr>
        <w:widowControl/>
        <w:snapToGrid w:val="0"/>
        <w:spacing w:before="60" w:after="60" w:line="370" w:lineRule="exact"/>
        <w:ind w:firstLine="480"/>
        <w:jc w:val="left"/>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十三、违约责任</w:t>
      </w:r>
    </w:p>
    <w:p>
      <w:pPr>
        <w:widowControl/>
        <w:snapToGrid w:val="0"/>
        <w:spacing w:before="60" w:after="60" w:line="370" w:lineRule="exact"/>
        <w:ind w:firstLine="48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1、需方无正当理由拒收货物的，需方向供方偿付拒收货款总值的百分之____违约金。</w:t>
      </w:r>
    </w:p>
    <w:p>
      <w:pPr>
        <w:widowControl/>
        <w:snapToGrid w:val="0"/>
        <w:spacing w:before="60" w:after="60" w:line="370" w:lineRule="exact"/>
        <w:ind w:firstLine="48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2、需方无故逾期验收和办理货款支付手续的,需方应按逾期付款总额每日万分之____向供方支付违约金。</w:t>
      </w:r>
    </w:p>
    <w:p>
      <w:pPr>
        <w:widowControl/>
        <w:snapToGrid w:val="0"/>
        <w:spacing w:before="60" w:after="60" w:line="370" w:lineRule="exact"/>
        <w:ind w:firstLine="48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3、供方逾期交付货物的，供方应按逾期交货总额每日千分之</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向需方支付违约金，由需方从待付货款中扣除。逾期超过约定日期</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个工作日不能交货的，需方可解除本合同。供方因逾期交货或因其他违约行为导致需方解除合同的，供方应向需方支付合同总值</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 xml:space="preserve">%的违约金，如造成需方损失超过违约金的，超出部分由供方继续承担赔偿责任。 </w:t>
      </w:r>
    </w:p>
    <w:p>
      <w:pPr>
        <w:widowControl/>
        <w:snapToGrid w:val="0"/>
        <w:spacing w:before="60" w:after="60" w:line="370" w:lineRule="exact"/>
        <w:ind w:firstLine="48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4、供方所交的货物品种、型号、规格、技术参数、质量不符合合同规定及招标文件规定标准的，需方有权拒收该货物，供方愿意更换货物但逾期交货的，按供方逾期交货处理。供方拒绝更换货物的，需方可单方面解除合同。</w:t>
      </w:r>
    </w:p>
    <w:p>
      <w:pPr>
        <w:widowControl/>
        <w:snapToGrid w:val="0"/>
        <w:spacing w:before="60" w:after="60" w:line="370" w:lineRule="exact"/>
        <w:ind w:firstLine="48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5、供方原因不能按期指导安装验收完毕的，供方向需方每日偿付货款总额</w:t>
      </w:r>
      <w:r>
        <w:rPr>
          <w:rFonts w:hint="eastAsia" w:ascii="宋体" w:hAnsi="宋体" w:eastAsia="宋体" w:cs="宋体"/>
          <w:color w:val="auto"/>
          <w:kern w:val="0"/>
          <w:highlight w:val="none"/>
          <w:u w:val="single"/>
        </w:rPr>
        <w:t>5</w:t>
      </w:r>
      <w:r>
        <w:rPr>
          <w:rFonts w:hint="eastAsia" w:ascii="宋体" w:hAnsi="宋体" w:eastAsia="宋体" w:cs="宋体"/>
          <w:color w:val="auto"/>
          <w:kern w:val="0"/>
          <w:highlight w:val="none"/>
        </w:rPr>
        <w:t>‰的违约金。</w:t>
      </w:r>
    </w:p>
    <w:p>
      <w:pPr>
        <w:widowControl/>
        <w:snapToGrid w:val="0"/>
        <w:spacing w:before="60" w:after="60" w:line="370" w:lineRule="exact"/>
        <w:ind w:firstLine="48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6、未按规定提供完整的技术资料处以货款总额千分之  的违约金。</w:t>
      </w:r>
    </w:p>
    <w:p>
      <w:pPr>
        <w:widowControl/>
        <w:spacing w:line="370" w:lineRule="exact"/>
        <w:ind w:firstLine="48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7、未按招标文件约定派驻相关专业的技术人员进行安装调试指导的，每发现一次处以货款总额千分之 的违约金。</w:t>
      </w:r>
    </w:p>
    <w:p>
      <w:pPr>
        <w:widowControl/>
        <w:snapToGrid w:val="0"/>
        <w:spacing w:before="120" w:after="120" w:line="370" w:lineRule="exact"/>
        <w:ind w:firstLine="480"/>
        <w:jc w:val="left"/>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十四、不可抗力事件处理</w:t>
      </w:r>
    </w:p>
    <w:p>
      <w:pPr>
        <w:widowControl/>
        <w:snapToGrid w:val="0"/>
        <w:spacing w:before="120" w:after="120" w:line="370" w:lineRule="exact"/>
        <w:ind w:firstLine="48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1、在合同有效期内，任何一方因不可抗力事件导致不能履行合同，则合同履行期可延长，其延长期与不可抗力影响期相同。</w:t>
      </w:r>
    </w:p>
    <w:p>
      <w:pPr>
        <w:widowControl/>
        <w:snapToGrid w:val="0"/>
        <w:spacing w:before="120" w:after="120" w:line="370" w:lineRule="exact"/>
        <w:ind w:left="479" w:leftChars="228"/>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2、不可抗力事件发生后，应立即通知对方，并寄送有关权威机构出具的证明。</w:t>
      </w:r>
    </w:p>
    <w:p>
      <w:pPr>
        <w:widowControl/>
        <w:snapToGrid w:val="0"/>
        <w:spacing w:before="120" w:after="120" w:line="370" w:lineRule="exact"/>
        <w:ind w:left="479" w:leftChars="228"/>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3、不可抗力事件延续</w:t>
      </w:r>
      <w:r>
        <w:rPr>
          <w:rFonts w:hint="eastAsia" w:ascii="宋体" w:hAnsi="宋体" w:eastAsia="宋体" w:cs="宋体"/>
          <w:color w:val="auto"/>
          <w:highlight w:val="none"/>
        </w:rPr>
        <w:t>_____</w:t>
      </w:r>
      <w:r>
        <w:rPr>
          <w:rFonts w:hint="eastAsia" w:ascii="宋体" w:hAnsi="宋体" w:eastAsia="宋体" w:cs="宋体"/>
          <w:color w:val="auto"/>
          <w:kern w:val="0"/>
          <w:highlight w:val="none"/>
        </w:rPr>
        <w:t>天以上，双方应通过友好协商，确定是否继续履行合同。</w:t>
      </w:r>
    </w:p>
    <w:p>
      <w:pPr>
        <w:widowControl/>
        <w:snapToGrid w:val="0"/>
        <w:spacing w:before="120" w:after="120" w:line="370" w:lineRule="exact"/>
        <w:ind w:firstLine="480"/>
        <w:jc w:val="left"/>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十五、诉讼</w:t>
      </w:r>
    </w:p>
    <w:p>
      <w:pPr>
        <w:widowControl/>
        <w:snapToGrid w:val="0"/>
        <w:spacing w:before="120" w:after="120" w:line="370" w:lineRule="exact"/>
        <w:ind w:firstLine="48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本合同项目所在地为义乌市，本合同发生争议产生的诉讼，可向项目所在地有管辖权的法院提起诉讼。</w:t>
      </w:r>
    </w:p>
    <w:p>
      <w:pPr>
        <w:widowControl/>
        <w:snapToGrid w:val="0"/>
        <w:spacing w:before="120" w:after="120" w:line="370" w:lineRule="exact"/>
        <w:ind w:firstLine="480"/>
        <w:jc w:val="left"/>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十六、合同双方确认，本合同及合同约定的其它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widowControl/>
        <w:snapToGrid w:val="0"/>
        <w:spacing w:before="120" w:after="120" w:line="370" w:lineRule="exact"/>
        <w:ind w:firstLine="480"/>
        <w:jc w:val="left"/>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十七、合同生效及其它</w:t>
      </w:r>
    </w:p>
    <w:p>
      <w:pPr>
        <w:widowControl/>
        <w:snapToGrid w:val="0"/>
        <w:spacing w:before="120" w:after="120" w:line="370" w:lineRule="exact"/>
        <w:ind w:firstLine="48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1、合同经双方法定代表人或授权代表签字并加盖单位公章后生效。</w:t>
      </w:r>
    </w:p>
    <w:p>
      <w:pPr>
        <w:widowControl/>
        <w:snapToGrid w:val="0"/>
        <w:spacing w:before="120" w:after="120" w:line="370" w:lineRule="exact"/>
        <w:ind w:left="479" w:leftChars="228"/>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2、本合同未尽事宜，遵照《</w:t>
      </w:r>
      <w:r>
        <w:rPr>
          <w:rFonts w:hint="eastAsia" w:ascii="宋体" w:hAnsi="宋体" w:eastAsia="宋体" w:cs="宋体"/>
          <w:color w:val="auto"/>
          <w:kern w:val="0"/>
          <w:highlight w:val="none"/>
          <w:lang w:eastAsia="zh-CN"/>
        </w:rPr>
        <w:t>民法典</w:t>
      </w:r>
      <w:r>
        <w:rPr>
          <w:rFonts w:hint="eastAsia" w:ascii="宋体" w:hAnsi="宋体" w:eastAsia="宋体" w:cs="宋体"/>
          <w:color w:val="auto"/>
          <w:kern w:val="0"/>
          <w:highlight w:val="none"/>
        </w:rPr>
        <w:t>》有关条文执行。</w:t>
      </w:r>
    </w:p>
    <w:p>
      <w:pPr>
        <w:widowControl/>
        <w:spacing w:line="370" w:lineRule="exact"/>
        <w:ind w:firstLine="480"/>
        <w:jc w:val="left"/>
        <w:rPr>
          <w:rFonts w:hint="eastAsia" w:ascii="宋体" w:hAnsi="宋体" w:eastAsia="宋体" w:cs="宋体"/>
          <w:color w:val="auto"/>
          <w:highlight w:val="none"/>
        </w:rPr>
      </w:pPr>
      <w:r>
        <w:rPr>
          <w:rFonts w:hint="eastAsia" w:ascii="宋体" w:hAnsi="宋体" w:eastAsia="宋体" w:cs="宋体"/>
          <w:b/>
          <w:bCs/>
          <w:color w:val="auto"/>
          <w:kern w:val="0"/>
          <w:highlight w:val="none"/>
        </w:rPr>
        <w:t>十八、本合同一式____份，供需双方各执____份，义乌产权交易所有限公司招投标中心执一份,均具同等效力。</w:t>
      </w:r>
    </w:p>
    <w:p>
      <w:pPr>
        <w:widowControl/>
        <w:spacing w:line="370" w:lineRule="exact"/>
        <w:ind w:firstLine="210" w:firstLineChars="1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供    方：________________________  需    方：________________________</w:t>
      </w:r>
    </w:p>
    <w:p>
      <w:pPr>
        <w:widowControl/>
        <w:spacing w:line="370" w:lineRule="exact"/>
        <w:ind w:firstLine="210" w:firstLineChars="1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地    址：________________________  地    址：________________________</w:t>
      </w:r>
    </w:p>
    <w:p>
      <w:pPr>
        <w:widowControl/>
        <w:spacing w:line="370" w:lineRule="exact"/>
        <w:ind w:firstLine="210" w:firstLineChars="1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法定代表人：______________________  法定代表人：______________________</w:t>
      </w:r>
    </w:p>
    <w:p>
      <w:pPr>
        <w:widowControl/>
        <w:spacing w:line="370" w:lineRule="exact"/>
        <w:ind w:firstLine="210" w:firstLineChars="1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授权代表：_____________________</w:t>
      </w:r>
      <w:r>
        <w:rPr>
          <w:rFonts w:hint="eastAsia" w:ascii="宋体" w:hAnsi="宋体" w:eastAsia="宋体" w:cs="宋体"/>
          <w:color w:val="auto"/>
          <w:kern w:val="0"/>
          <w:highlight w:val="none"/>
          <w:u w:val="single"/>
        </w:rPr>
        <w:t xml:space="preserve">  _</w:t>
      </w:r>
      <w:r>
        <w:rPr>
          <w:rFonts w:hint="eastAsia" w:ascii="宋体" w:hAnsi="宋体" w:eastAsia="宋体" w:cs="宋体"/>
          <w:color w:val="auto"/>
          <w:kern w:val="0"/>
          <w:highlight w:val="none"/>
        </w:rPr>
        <w:t xml:space="preserve">  授权代表：____________________</w:t>
      </w:r>
      <w:r>
        <w:rPr>
          <w:rFonts w:hint="eastAsia" w:ascii="宋体" w:hAnsi="宋体" w:eastAsia="宋体" w:cs="宋体"/>
          <w:color w:val="auto"/>
          <w:kern w:val="0"/>
          <w:highlight w:val="none"/>
          <w:u w:val="single"/>
        </w:rPr>
        <w:t xml:space="preserve">    </w:t>
      </w:r>
    </w:p>
    <w:p>
      <w:pPr>
        <w:widowControl/>
        <w:spacing w:line="370" w:lineRule="exact"/>
        <w:ind w:firstLine="210" w:firstLineChars="1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电    话：________________________  电    话：________________________</w:t>
      </w:r>
    </w:p>
    <w:p>
      <w:pPr>
        <w:widowControl/>
        <w:spacing w:line="370" w:lineRule="exact"/>
        <w:ind w:firstLine="210" w:firstLineChars="1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账户名称：________________________  账户名称：________________________</w:t>
      </w:r>
    </w:p>
    <w:p>
      <w:pPr>
        <w:widowControl/>
        <w:spacing w:line="370" w:lineRule="exact"/>
        <w:ind w:firstLine="210" w:firstLineChars="1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开户银行：________________________  开户银行：________________________</w:t>
      </w:r>
    </w:p>
    <w:p>
      <w:pPr>
        <w:widowControl/>
        <w:spacing w:line="370" w:lineRule="exact"/>
        <w:ind w:firstLine="210" w:firstLineChars="1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账    号：________________________  账    号：________________________</w:t>
      </w:r>
    </w:p>
    <w:p>
      <w:pPr>
        <w:widowControl/>
        <w:spacing w:line="400" w:lineRule="exact"/>
        <w:ind w:firstLine="210" w:firstLineChars="1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highlight w:val="none"/>
        </w:rPr>
        <w:t>签约时间：________________________  签约地点：________________________</w:t>
      </w:r>
      <w:r>
        <w:rPr>
          <w:rFonts w:hint="eastAsia" w:ascii="宋体" w:hAnsi="宋体" w:eastAsia="宋体" w:cs="宋体"/>
          <w:color w:val="auto"/>
          <w:kern w:val="0"/>
          <w:sz w:val="24"/>
          <w:szCs w:val="24"/>
          <w:highlight w:val="none"/>
          <w:u w:val="single"/>
        </w:rPr>
        <w:t xml:space="preserve">       </w:t>
      </w:r>
    </w:p>
    <w:p>
      <w:pPr>
        <w:widowControl/>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u w:val="single"/>
        </w:rPr>
        <w:br w:type="page"/>
      </w:r>
    </w:p>
    <w:p>
      <w:pPr>
        <w:spacing w:after="156" w:line="360" w:lineRule="auto"/>
        <w:rPr>
          <w:rFonts w:hint="eastAsia" w:ascii="宋体" w:hAnsi="宋体" w:eastAsia="宋体" w:cs="宋体"/>
          <w:b/>
          <w:bCs/>
          <w:color w:val="auto"/>
          <w:kern w:val="1"/>
          <w:sz w:val="32"/>
          <w:szCs w:val="32"/>
          <w:highlight w:val="none"/>
        </w:rPr>
      </w:pPr>
      <w:r>
        <w:rPr>
          <w:rFonts w:hint="eastAsia" w:ascii="宋体" w:hAnsi="宋体" w:eastAsia="宋体" w:cs="宋体"/>
          <w:b/>
          <w:bCs/>
          <w:color w:val="auto"/>
          <w:kern w:val="1"/>
          <w:sz w:val="32"/>
          <w:szCs w:val="32"/>
          <w:highlight w:val="none"/>
        </w:rPr>
        <w:t>附件：</w:t>
      </w:r>
    </w:p>
    <w:p>
      <w:pPr>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快递邮寄面单格式（供参考）</w:t>
      </w:r>
    </w:p>
    <w:p>
      <w:pPr>
        <w:pStyle w:val="10"/>
        <w:ind w:firstLine="300"/>
        <w:rPr>
          <w:rFonts w:hint="eastAsia" w:ascii="宋体" w:hAnsi="宋体" w:eastAsia="宋体" w:cs="宋体"/>
          <w:color w:val="auto"/>
          <w:sz w:val="30"/>
          <w:szCs w:val="30"/>
          <w:highlight w:val="none"/>
        </w:rPr>
      </w:pPr>
    </w:p>
    <w:p>
      <w:pPr>
        <w:pStyle w:val="10"/>
        <w:ind w:firstLine="3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 xml:space="preserve">寄件人： XXX </w:t>
      </w:r>
    </w:p>
    <w:p>
      <w:pPr>
        <w:pStyle w:val="10"/>
        <w:ind w:firstLine="3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手机：XXXXXXXXXXX</w:t>
      </w:r>
    </w:p>
    <w:p>
      <w:pPr>
        <w:pStyle w:val="10"/>
        <w:ind w:firstLine="3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寄件单位：（不得填写，快递外壳不得显示投标人名称）</w:t>
      </w:r>
    </w:p>
    <w:p>
      <w:pPr>
        <w:pStyle w:val="10"/>
        <w:ind w:firstLine="3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寄件地址：XXXXXXXXXXXXX</w:t>
      </w:r>
    </w:p>
    <w:p>
      <w:pPr>
        <w:pStyle w:val="10"/>
        <w:ind w:firstLine="300"/>
        <w:rPr>
          <w:rFonts w:hint="eastAsia" w:ascii="宋体" w:hAnsi="宋体" w:eastAsia="宋体" w:cs="宋体"/>
          <w:color w:val="auto"/>
          <w:sz w:val="30"/>
          <w:szCs w:val="30"/>
          <w:highlight w:val="none"/>
        </w:rPr>
      </w:pPr>
    </w:p>
    <w:p>
      <w:pPr>
        <w:pStyle w:val="10"/>
        <w:ind w:firstLine="3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收件人：招标（采购）人代表或代理机构业务员</w:t>
      </w:r>
    </w:p>
    <w:p>
      <w:pPr>
        <w:pStyle w:val="10"/>
        <w:ind w:firstLine="3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手机：XXXXXXXXXXX</w:t>
      </w:r>
    </w:p>
    <w:p>
      <w:pPr>
        <w:pStyle w:val="10"/>
        <w:ind w:firstLine="3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收件单位：招标（采购）人或招标采购代理机构</w:t>
      </w:r>
    </w:p>
    <w:p>
      <w:pPr>
        <w:pStyle w:val="10"/>
        <w:ind w:firstLine="3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收件地址：XXXXXXXXXXX</w:t>
      </w:r>
    </w:p>
    <w:p>
      <w:pPr>
        <w:pStyle w:val="10"/>
        <w:ind w:firstLine="300"/>
        <w:rPr>
          <w:rFonts w:hint="eastAsia" w:ascii="宋体" w:hAnsi="宋体" w:eastAsia="宋体" w:cs="宋体"/>
          <w:color w:val="auto"/>
          <w:sz w:val="30"/>
          <w:szCs w:val="30"/>
          <w:highlight w:val="none"/>
        </w:rPr>
      </w:pPr>
    </w:p>
    <w:p>
      <w:pPr>
        <w:pStyle w:val="10"/>
        <w:ind w:firstLine="300"/>
        <w:rPr>
          <w:rFonts w:hint="eastAsia" w:ascii="宋体" w:hAnsi="宋体" w:eastAsia="宋体" w:cs="宋体"/>
          <w:color w:val="auto"/>
          <w:sz w:val="30"/>
          <w:szCs w:val="30"/>
          <w:highlight w:val="none"/>
        </w:rPr>
      </w:pPr>
    </w:p>
    <w:p>
      <w:pPr>
        <w:pStyle w:val="10"/>
        <w:ind w:firstLine="300"/>
        <w:rPr>
          <w:rFonts w:hint="eastAsia" w:ascii="宋体" w:hAnsi="宋体" w:eastAsia="宋体" w:cs="宋体"/>
          <w:color w:val="auto"/>
          <w:sz w:val="30"/>
          <w:szCs w:val="30"/>
          <w:highlight w:val="none"/>
        </w:rPr>
      </w:pPr>
    </w:p>
    <w:p>
      <w:pPr>
        <w:pStyle w:val="10"/>
        <w:ind w:firstLine="3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备注：</w:t>
      </w:r>
      <w:r>
        <w:rPr>
          <w:rFonts w:hint="eastAsia" w:ascii="宋体" w:hAnsi="宋体" w:cs="宋体"/>
          <w:color w:val="auto"/>
          <w:sz w:val="30"/>
          <w:szCs w:val="30"/>
          <w:highlight w:val="none"/>
          <w:lang w:eastAsia="zh-CN"/>
        </w:rPr>
        <w:t>义乌市排水有限公司  采购项目</w:t>
      </w:r>
      <w:r>
        <w:rPr>
          <w:rFonts w:hint="eastAsia" w:ascii="宋体" w:hAnsi="宋体" w:eastAsia="宋体" w:cs="宋体"/>
          <w:color w:val="auto"/>
          <w:sz w:val="30"/>
          <w:szCs w:val="30"/>
          <w:highlight w:val="none"/>
        </w:rPr>
        <w:t>投标，请送至收件人亲收</w:t>
      </w:r>
    </w:p>
    <w:p>
      <w:pPr>
        <w:spacing w:line="360" w:lineRule="auto"/>
        <w:ind w:firstLine="480"/>
        <w:rPr>
          <w:rFonts w:hint="eastAsia" w:ascii="宋体" w:hAnsi="宋体" w:eastAsia="宋体" w:cs="宋体"/>
          <w:sz w:val="24"/>
        </w:rPr>
      </w:pPr>
    </w:p>
    <w:sectPr>
      <w:footerReference r:id="rId7" w:type="defaul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6"/>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fNcR3aAQAAtAMAAA4AAABkcnMvZTJvRG9jLnhtbK1TS27bMBDd&#10;F+gdCO5ryQLcCILlIIWRokCRFkhzAJqiLAL8gUNb8gXaG3TVTfc9l8/RISU5QbLJIhtphjN8M+/N&#10;cH09aEWOwoO0pqbLRU6JMNw20uxr+vDj9kNJCQRmGqasETU9CaDXm/fv1r2rRGE7qxrhCYIYqHpX&#10;0y4EV2UZ8E5oBgvrhMFga71mAV2/zxrPekTXKivy/GPWW984b7kAwNPtGKQTon8NoG1bycXW8oMW&#10;JoyoXigWkBJ00gHdpG7bVvDwrW1BBKJqikxD+mIRtHfxm23WrNp75jrJpxbYa1p4xkkzabDoBWrL&#10;AiMHL19Aacm9BduGBbc6G4kkRZDFMn+mzX3HnEhcUGpwF9Hh7WD53fG7J7KpaUGJYRoHfv796/zn&#10;3/nvT7LMi1VUqHdQYeK9w9QwfLID7s18DngYiQ+t1/GPlAjGUd/TRV8xBMLjpbIoyxxDHGOzg/jZ&#10;43XnIXwWVpNo1NTjAJOu7PgVwpg6p8Rqxt5KpdIQlSE9oq7Kq1W6cQkhujIxWaR9mHAip7H3aIVh&#10;N0xEd7Y5Ic8ed6KmBp8AJeqLQcnj+syGn43dbBycl/sOW16m6uBuDgGbSz3HCiMsco0ODjOxnhYv&#10;bstTP2U9PrbN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hpgkvTAAAABQEAAA8AAAAAAAAAAQAg&#10;AAAAIgAAAGRycy9kb3ducmV2LnhtbFBLAQIUABQAAAAIAIdO4kCXzXEd2gEAALQDAAAOAAAAAAAA&#10;AAEAIAAAACIBAABkcnMvZTJvRG9jLnhtbFBLBQYAAAAABgAGAFkBAABuBQAAAAA=&#10;">
              <v:fill on="f" focussize="0,0"/>
              <v:stroke on="f" weight="1.2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1312" behindDoc="0" locked="0" layoutInCell="1" allowOverlap="1">
              <wp:simplePos x="0" y="0"/>
              <wp:positionH relativeFrom="margin">
                <wp:posOffset>2400300</wp:posOffset>
              </wp:positionH>
              <wp:positionV relativeFrom="paragraph">
                <wp:posOffset>-28575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pPr>
                          <w:r>
                            <w:rPr>
                              <w:b/>
                              <w:bCs/>
                              <w:sz w:val="24"/>
                              <w:szCs w:val="24"/>
                            </w:rPr>
                            <w:fldChar w:fldCharType="begin"/>
                          </w:r>
                          <w:r>
                            <w:rPr>
                              <w:b/>
                              <w:bCs/>
                            </w:rPr>
                            <w:instrText xml:space="preserve">PAGE</w:instrText>
                          </w:r>
                          <w:r>
                            <w:rPr>
                              <w:b/>
                              <w:bCs/>
                              <w:sz w:val="24"/>
                              <w:szCs w:val="24"/>
                            </w:rPr>
                            <w:fldChar w:fldCharType="separate"/>
                          </w:r>
                          <w:r>
                            <w:rPr>
                              <w:b/>
                              <w:bCs/>
                            </w:rPr>
                            <w:t>15</w:t>
                          </w:r>
                          <w:r>
                            <w:rPr>
                              <w:b/>
                              <w:bCs/>
                              <w:sz w:val="24"/>
                              <w:szCs w:val="24"/>
                            </w:rPr>
                            <w:fldChar w:fldCharType="end"/>
                          </w:r>
                          <w:r>
                            <w:rPr>
                              <w:b/>
                              <w:bCs/>
                            </w:rPr>
                            <w:t xml:space="preserve"> / </w:t>
                          </w:r>
                          <w:r>
                            <w:rPr>
                              <w:b/>
                              <w:bCs/>
                            </w:rPr>
                            <w:fldChar w:fldCharType="begin"/>
                          </w:r>
                          <w:r>
                            <w:rPr>
                              <w:b/>
                              <w:bCs/>
                            </w:rPr>
                            <w:instrText xml:space="preserve"> SECTIONPAGES  </w:instrText>
                          </w:r>
                          <w:r>
                            <w:rPr>
                              <w:b/>
                              <w:bCs/>
                            </w:rPr>
                            <w:fldChar w:fldCharType="separate"/>
                          </w:r>
                          <w:r>
                            <w:rPr>
                              <w:b/>
                              <w:bCs/>
                            </w:rPr>
                            <w:t>13</w:t>
                          </w:r>
                          <w:r>
                            <w:rPr>
                              <w:b/>
                              <w:bC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9pt;margin-top:-2.25pt;height:144pt;width:144pt;mso-position-horizontal-relative:margin;mso-wrap-style:none;z-index:251661312;mso-width-relative:page;mso-height-relative:page;" filled="f" stroked="f" coordsize="21600,21600" o:gfxdata="UEsDBAoAAAAAAIdO4kAAAAAAAAAAAAAAAAAEAAAAZHJzL1BLAwQUAAAACACHTuJAxnj5L9gAAAAK&#10;AQAADwAAAGRycy9kb3ducmV2LnhtbE2PwU7DMBBE70j8g7VI3FqnTRuiNE4lKsIRiYYDRzdekhR7&#10;HdluGv4ec6LH2RnNvin3s9FsQucHSwJWywQYUmvVQJ2Aj6Ze5MB8kKSktoQCftDDvrq/K2Wh7JXe&#10;cTqGjsUS8oUU0IcwFpz7tkcj/dKOSNH7ss7IEKXruHLyGsuN5uskybiRA8UPvRzx0GP7fbwYAYe6&#10;adyE3ulPfK3T89vzBl9mIR4fVskOWMA5/IfhDz+iQxWZTvZCyjMtIH3K45YgYLHZAouBLMvi4SRg&#10;nadb4FXJbydUv1BLAwQUAAAACACHTuJAuow4KzICAABh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e2t&#10;a3Z1fwF9Z1nY6AfLY5oopLfLfYCYSeMoUK/KWTd0XqrSeUpia/+5T1GPf4b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Z4+S/YAAAACgEAAA8AAAAAAAAAAQAgAAAAIgAAAGRycy9kb3ducmV2Lnht&#10;bFBLAQIUABQAAAAIAIdO4kC6jDgrMgIAAGEEAAAOAAAAAAAAAAEAIAAAACcBAABkcnMvZTJvRG9j&#10;LnhtbFBLBQYAAAAABgAGAFkBAADLBQAAAAA=&#10;">
              <v:fill on="f" focussize="0,0"/>
              <v:stroke on="f" weight="0.5pt"/>
              <v:imagedata o:title=""/>
              <o:lock v:ext="edit" aspectratio="f"/>
              <v:textbox inset="0mm,0mm,0mm,0mm" style="mso-fit-shape-to-text:t;">
                <w:txbxContent>
                  <w:p>
                    <w:pPr>
                      <w:pStyle w:val="16"/>
                      <w:jc w:val="center"/>
                    </w:pPr>
                    <w:r>
                      <w:rPr>
                        <w:b/>
                        <w:bCs/>
                        <w:sz w:val="24"/>
                        <w:szCs w:val="24"/>
                      </w:rPr>
                      <w:fldChar w:fldCharType="begin"/>
                    </w:r>
                    <w:r>
                      <w:rPr>
                        <w:b/>
                        <w:bCs/>
                      </w:rPr>
                      <w:instrText xml:space="preserve">PAGE</w:instrText>
                    </w:r>
                    <w:r>
                      <w:rPr>
                        <w:b/>
                        <w:bCs/>
                        <w:sz w:val="24"/>
                        <w:szCs w:val="24"/>
                      </w:rPr>
                      <w:fldChar w:fldCharType="separate"/>
                    </w:r>
                    <w:r>
                      <w:rPr>
                        <w:b/>
                        <w:bCs/>
                      </w:rPr>
                      <w:t>15</w:t>
                    </w:r>
                    <w:r>
                      <w:rPr>
                        <w:b/>
                        <w:bCs/>
                        <w:sz w:val="24"/>
                        <w:szCs w:val="24"/>
                      </w:rPr>
                      <w:fldChar w:fldCharType="end"/>
                    </w:r>
                    <w:r>
                      <w:rPr>
                        <w:b/>
                        <w:bCs/>
                      </w:rPr>
                      <w:t xml:space="preserve"> / </w:t>
                    </w:r>
                    <w:r>
                      <w:rPr>
                        <w:b/>
                        <w:bCs/>
                      </w:rPr>
                      <w:fldChar w:fldCharType="begin"/>
                    </w:r>
                    <w:r>
                      <w:rPr>
                        <w:b/>
                        <w:bCs/>
                      </w:rPr>
                      <w:instrText xml:space="preserve"> SECTIONPAGES  </w:instrText>
                    </w:r>
                    <w:r>
                      <w:rPr>
                        <w:b/>
                        <w:bCs/>
                      </w:rPr>
                      <w:fldChar w:fldCharType="separate"/>
                    </w:r>
                    <w:r>
                      <w:rPr>
                        <w:b/>
                        <w:bCs/>
                      </w:rPr>
                      <w:t>13</w:t>
                    </w:r>
                    <w:r>
                      <w:rPr>
                        <w:b/>
                        <w:bC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ascii="宋体" w:hAnsi="宋体" w:eastAsia="宋体" w:cs="宋体"/>
      </w:rPr>
    </w:pPr>
    <w:r>
      <w:rPr>
        <w:rFonts w:hint="eastAsia" w:ascii="宋体" w:hAnsi="宋体" w:eastAsia="宋体" w:cs="宋体"/>
        <w:lang w:eastAsia="zh-CN"/>
      </w:rPr>
      <w:t>义乌市排水有限公司</w:t>
    </w:r>
    <w:r>
      <w:rPr>
        <w:rFonts w:hint="eastAsia" w:ascii="宋体" w:hAnsi="宋体" w:eastAsia="宋体" w:cs="宋体"/>
        <w:lang w:val="en-US" w:eastAsia="zh-CN"/>
      </w:rPr>
      <w:t>网络安全设备、技术顾问及监控改造</w:t>
    </w:r>
    <w:r>
      <w:rPr>
        <w:rFonts w:hint="eastAsia" w:ascii="宋体" w:hAnsi="宋体" w:eastAsia="宋体" w:cs="宋体"/>
        <w:lang w:eastAsia="zh-CN"/>
      </w:rPr>
      <w:t>项目</w:t>
    </w:r>
    <w:r>
      <w:rPr>
        <w:rFonts w:hint="eastAsia" w:ascii="宋体" w:hAnsi="宋体" w:eastAsia="宋体" w:cs="宋体"/>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ascii="宋体" w:hAnsi="宋体" w:eastAsia="宋体" w:cs="宋体"/>
      </w:rPr>
    </w:pPr>
    <w:r>
      <w:rPr>
        <w:rFonts w:hint="eastAsia" w:ascii="宋体" w:hAnsi="宋体" w:eastAsia="宋体" w:cs="宋体"/>
        <w:lang w:eastAsia="zh-CN"/>
      </w:rPr>
      <w:t>义乌市排水有限公司</w:t>
    </w:r>
    <w:r>
      <w:rPr>
        <w:rFonts w:hint="eastAsia" w:ascii="宋体" w:hAnsi="宋体" w:eastAsia="宋体" w:cs="宋体"/>
        <w:lang w:val="en-US" w:eastAsia="zh-CN"/>
      </w:rPr>
      <w:t>网络安全设备、技术顾问及监控项目改造</w:t>
    </w:r>
    <w:r>
      <w:rPr>
        <w:rFonts w:hint="eastAsia" w:ascii="宋体" w:hAnsi="宋体" w:eastAsia="宋体" w:cs="宋体"/>
        <w:lang w:eastAsia="zh-CN"/>
      </w:rPr>
      <w:t>采购项目</w:t>
    </w:r>
    <w:r>
      <w:rPr>
        <w:rFonts w:hint="eastAsia" w:ascii="宋体" w:hAnsi="宋体" w:eastAsia="宋体" w:cs="宋体"/>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83515B"/>
    <w:multiLevelType w:val="singleLevel"/>
    <w:tmpl w:val="D083515B"/>
    <w:lvl w:ilvl="0" w:tentative="0">
      <w:start w:val="2"/>
      <w:numFmt w:val="chineseCounting"/>
      <w:suff w:val="space"/>
      <w:lvlText w:val="第%1章"/>
      <w:lvlJc w:val="left"/>
      <w:rPr>
        <w:rFonts w:hint="eastAsia"/>
      </w:rPr>
    </w:lvl>
  </w:abstractNum>
  <w:abstractNum w:abstractNumId="1">
    <w:nsid w:val="0000000C"/>
    <w:multiLevelType w:val="multilevel"/>
    <w:tmpl w:val="0000000C"/>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12202959"/>
    <w:multiLevelType w:val="singleLevel"/>
    <w:tmpl w:val="12202959"/>
    <w:lvl w:ilvl="0" w:tentative="0">
      <w:start w:val="1"/>
      <w:numFmt w:val="chineseCounting"/>
      <w:suff w:val="nothing"/>
      <w:lvlText w:val="%1、"/>
      <w:lvlJc w:val="left"/>
      <w:rPr>
        <w:rFonts w:hint="eastAsia"/>
      </w:rPr>
    </w:lvl>
  </w:abstractNum>
  <w:abstractNum w:abstractNumId="3">
    <w:nsid w:val="1FCC1DAD"/>
    <w:multiLevelType w:val="multilevel"/>
    <w:tmpl w:val="1FCC1DAD"/>
    <w:lvl w:ilvl="0" w:tentative="0">
      <w:start w:val="1"/>
      <w:numFmt w:val="chineseCountingThousand"/>
      <w:lvlText w:val="%1、"/>
      <w:lvlJc w:val="left"/>
      <w:pPr>
        <w:ind w:left="420" w:hanging="420"/>
      </w:pPr>
    </w:lvl>
    <w:lvl w:ilvl="1" w:tentative="0">
      <w:start w:val="4"/>
      <w:numFmt w:val="japaneseCounting"/>
      <w:lvlText w:val="%2、"/>
      <w:lvlJc w:val="left"/>
      <w:pPr>
        <w:tabs>
          <w:tab w:val="left" w:pos="1140"/>
        </w:tabs>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EBB3C91"/>
    <w:multiLevelType w:val="multilevel"/>
    <w:tmpl w:val="3EBB3C91"/>
    <w:lvl w:ilvl="0" w:tentative="0">
      <w:start w:val="1"/>
      <w:numFmt w:val="chineseCountingThousand"/>
      <w:pStyle w:val="32"/>
      <w:suff w:val="space"/>
      <w:lvlText w:val="%1. "/>
      <w:lvlJc w:val="left"/>
      <w:pPr>
        <w:ind w:left="907" w:hanging="907"/>
      </w:pPr>
      <w:rPr>
        <w:b w:val="0"/>
        <w:bCs w:val="0"/>
        <w:i w:val="0"/>
        <w:iCs w:val="0"/>
        <w:caps w:val="0"/>
        <w:smallCaps w:val="0"/>
        <w:strike w:val="0"/>
        <w:dstrike w:val="0"/>
        <w:outline w:val="0"/>
        <w:shadow w:val="0"/>
        <w:spacing w:val="0"/>
        <w:position w:val="0"/>
        <w:u w:val="none"/>
      </w:rPr>
    </w:lvl>
    <w:lvl w:ilvl="1" w:tentative="0">
      <w:start w:val="1"/>
      <w:numFmt w:val="decimal"/>
      <w:isLgl/>
      <w:suff w:val="space"/>
      <w:lvlText w:val="%1.%2 "/>
      <w:lvlJc w:val="left"/>
      <w:pPr>
        <w:ind w:left="794" w:hanging="794"/>
      </w:pPr>
      <w:rPr>
        <w:rFonts w:hint="eastAsia"/>
      </w:rPr>
    </w:lvl>
    <w:lvl w:ilvl="2" w:tentative="0">
      <w:start w:val="1"/>
      <w:numFmt w:val="decimal"/>
      <w:isLgl/>
      <w:suff w:val="space"/>
      <w:lvlText w:val="%1.%2.%3 "/>
      <w:lvlJc w:val="left"/>
      <w:pPr>
        <w:ind w:left="1900" w:hanging="907"/>
      </w:pPr>
      <w:rPr>
        <w:rFonts w:hint="eastAsia"/>
      </w:rPr>
    </w:lvl>
    <w:lvl w:ilvl="3" w:tentative="0">
      <w:start w:val="1"/>
      <w:numFmt w:val="decimal"/>
      <w:isLgl/>
      <w:suff w:val="space"/>
      <w:lvlText w:val="%1.%2.%3.%4 "/>
      <w:lvlJc w:val="left"/>
      <w:pPr>
        <w:ind w:left="1021" w:hanging="1021"/>
      </w:pPr>
      <w:rPr>
        <w:rFonts w:hint="eastAsia"/>
      </w:rPr>
    </w:lvl>
    <w:lvl w:ilvl="4" w:tentative="0">
      <w:start w:val="1"/>
      <w:numFmt w:val="decimal"/>
      <w:pStyle w:val="33"/>
      <w:isLgl/>
      <w:suff w:val="space"/>
      <w:lvlText w:val="%1.%2.%3.%4.%5 "/>
      <w:lvlJc w:val="left"/>
      <w:pPr>
        <w:ind w:left="1134" w:hanging="1134"/>
      </w:pPr>
      <w:rPr>
        <w:rFonts w:hint="eastAsia"/>
      </w:rPr>
    </w:lvl>
    <w:lvl w:ilvl="5" w:tentative="0">
      <w:start w:val="1"/>
      <w:numFmt w:val="decimal"/>
      <w:pStyle w:val="34"/>
      <w:isLgl/>
      <w:suff w:val="space"/>
      <w:lvlText w:val="%1.%2.%3.%4.%5.%6 "/>
      <w:lvlJc w:val="left"/>
      <w:pPr>
        <w:ind w:left="1247" w:hanging="1247"/>
      </w:pPr>
      <w:rPr>
        <w:rFonts w:hint="eastAsia"/>
      </w:rPr>
    </w:lvl>
    <w:lvl w:ilvl="6" w:tentative="0">
      <w:start w:val="1"/>
      <w:numFmt w:val="decimal"/>
      <w:lvlRestart w:val="1"/>
      <w:pStyle w:val="35"/>
      <w:isLgl/>
      <w:suff w:val="space"/>
      <w:lvlText w:val="图 %1.%7 "/>
      <w:lvlJc w:val="left"/>
      <w:pPr>
        <w:ind w:left="0" w:firstLine="0"/>
      </w:pPr>
      <w:rPr>
        <w:rFonts w:hint="eastAsia"/>
      </w:rPr>
    </w:lvl>
    <w:lvl w:ilvl="7" w:tentative="0">
      <w:start w:val="1"/>
      <w:numFmt w:val="decimal"/>
      <w:lvlRestart w:val="1"/>
      <w:pStyle w:val="36"/>
      <w:isLgl/>
      <w:suff w:val="space"/>
      <w:lvlText w:val="表 %1.%8 "/>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5">
    <w:nsid w:val="53E17A9C"/>
    <w:multiLevelType w:val="singleLevel"/>
    <w:tmpl w:val="53E17A9C"/>
    <w:lvl w:ilvl="0" w:tentative="0">
      <w:start w:val="3"/>
      <w:numFmt w:val="chineseCounting"/>
      <w:suff w:val="space"/>
      <w:lvlText w:val="第%1章"/>
      <w:lvlJc w:val="left"/>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14"/>
    <w:rsid w:val="00003642"/>
    <w:rsid w:val="000C65DA"/>
    <w:rsid w:val="000D43AA"/>
    <w:rsid w:val="0012195B"/>
    <w:rsid w:val="0012464E"/>
    <w:rsid w:val="00144EF6"/>
    <w:rsid w:val="00147D5F"/>
    <w:rsid w:val="00186061"/>
    <w:rsid w:val="00187E19"/>
    <w:rsid w:val="0020668F"/>
    <w:rsid w:val="00265CE5"/>
    <w:rsid w:val="00297168"/>
    <w:rsid w:val="002E7771"/>
    <w:rsid w:val="0033624B"/>
    <w:rsid w:val="0039560F"/>
    <w:rsid w:val="003A09B4"/>
    <w:rsid w:val="003E1ECF"/>
    <w:rsid w:val="00401D36"/>
    <w:rsid w:val="0040609C"/>
    <w:rsid w:val="00431C94"/>
    <w:rsid w:val="00466056"/>
    <w:rsid w:val="004E3315"/>
    <w:rsid w:val="00514255"/>
    <w:rsid w:val="005527E6"/>
    <w:rsid w:val="00575A0F"/>
    <w:rsid w:val="00586D02"/>
    <w:rsid w:val="0059494F"/>
    <w:rsid w:val="00595157"/>
    <w:rsid w:val="005E2801"/>
    <w:rsid w:val="00604549"/>
    <w:rsid w:val="0061173C"/>
    <w:rsid w:val="00614C72"/>
    <w:rsid w:val="00662C69"/>
    <w:rsid w:val="00673CED"/>
    <w:rsid w:val="006C5B0A"/>
    <w:rsid w:val="006F73D8"/>
    <w:rsid w:val="00717155"/>
    <w:rsid w:val="007258AA"/>
    <w:rsid w:val="007771DD"/>
    <w:rsid w:val="007C1D58"/>
    <w:rsid w:val="008C11DE"/>
    <w:rsid w:val="00902654"/>
    <w:rsid w:val="00965DEB"/>
    <w:rsid w:val="0098368E"/>
    <w:rsid w:val="009D2855"/>
    <w:rsid w:val="00A20B08"/>
    <w:rsid w:val="00A348E8"/>
    <w:rsid w:val="00B170A8"/>
    <w:rsid w:val="00B24A4D"/>
    <w:rsid w:val="00B33E08"/>
    <w:rsid w:val="00B72C56"/>
    <w:rsid w:val="00B81816"/>
    <w:rsid w:val="00B86F8C"/>
    <w:rsid w:val="00B94ED9"/>
    <w:rsid w:val="00BA7309"/>
    <w:rsid w:val="00BC3338"/>
    <w:rsid w:val="00C40091"/>
    <w:rsid w:val="00C91A38"/>
    <w:rsid w:val="00D31851"/>
    <w:rsid w:val="00DE0F14"/>
    <w:rsid w:val="00DE3B61"/>
    <w:rsid w:val="00E05BBE"/>
    <w:rsid w:val="00E2597F"/>
    <w:rsid w:val="00E42A3F"/>
    <w:rsid w:val="00E748C8"/>
    <w:rsid w:val="00E768A6"/>
    <w:rsid w:val="00E81F6D"/>
    <w:rsid w:val="00EF3C73"/>
    <w:rsid w:val="00F62DE1"/>
    <w:rsid w:val="00F64CD5"/>
    <w:rsid w:val="00F66CCF"/>
    <w:rsid w:val="00FB592A"/>
    <w:rsid w:val="00FE223E"/>
    <w:rsid w:val="098F738E"/>
    <w:rsid w:val="0E851B3D"/>
    <w:rsid w:val="0F676885"/>
    <w:rsid w:val="11FE203A"/>
    <w:rsid w:val="148E7917"/>
    <w:rsid w:val="18703F10"/>
    <w:rsid w:val="26BB291C"/>
    <w:rsid w:val="26FB1309"/>
    <w:rsid w:val="286D0FD6"/>
    <w:rsid w:val="2905454E"/>
    <w:rsid w:val="32D06DC9"/>
    <w:rsid w:val="35531537"/>
    <w:rsid w:val="3A6312DD"/>
    <w:rsid w:val="3D667016"/>
    <w:rsid w:val="3D99725F"/>
    <w:rsid w:val="3EB773CB"/>
    <w:rsid w:val="40067E1D"/>
    <w:rsid w:val="40660FCC"/>
    <w:rsid w:val="440A01C3"/>
    <w:rsid w:val="46015FB8"/>
    <w:rsid w:val="468127DC"/>
    <w:rsid w:val="46C4621E"/>
    <w:rsid w:val="4E780EA3"/>
    <w:rsid w:val="4EB35CF0"/>
    <w:rsid w:val="52D347B0"/>
    <w:rsid w:val="541E2C47"/>
    <w:rsid w:val="56493C14"/>
    <w:rsid w:val="585064DC"/>
    <w:rsid w:val="5B4A160B"/>
    <w:rsid w:val="5FDA7F5E"/>
    <w:rsid w:val="67B14D5D"/>
    <w:rsid w:val="69E33782"/>
    <w:rsid w:val="6A625E35"/>
    <w:rsid w:val="6B063A11"/>
    <w:rsid w:val="6BF6281A"/>
    <w:rsid w:val="7225145D"/>
    <w:rsid w:val="75591B10"/>
    <w:rsid w:val="77241717"/>
    <w:rsid w:val="77675A5A"/>
    <w:rsid w:val="797E69DD"/>
    <w:rsid w:val="79F54A51"/>
    <w:rsid w:val="7A287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8"/>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4"/>
    <w:next w:val="1"/>
    <w:link w:val="29"/>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qFormat/>
    <w:uiPriority w:val="0"/>
    <w:pPr>
      <w:jc w:val="left"/>
    </w:pPr>
    <w:rPr>
      <w:rFonts w:asciiTheme="minorHAnsi" w:hAnsiTheme="minorHAnsi" w:cstheme="minorBidi"/>
      <w:szCs w:val="22"/>
    </w:rPr>
  </w:style>
  <w:style w:type="paragraph" w:styleId="7">
    <w:name w:val="Normal Indent"/>
    <w:basedOn w:val="1"/>
    <w:semiHidden/>
    <w:unhideWhenUsed/>
    <w:qFormat/>
    <w:uiPriority w:val="0"/>
    <w:pPr>
      <w:ind w:firstLine="420" w:firstLineChars="200"/>
    </w:pPr>
    <w:rPr>
      <w:rFonts w:ascii="Times New Roman" w:hAnsi="Times New Roman" w:eastAsia="宋体" w:cs="Times New Roman"/>
      <w:sz w:val="28"/>
      <w:szCs w:val="20"/>
    </w:rPr>
  </w:style>
  <w:style w:type="paragraph" w:styleId="8">
    <w:name w:val="caption"/>
    <w:basedOn w:val="1"/>
    <w:next w:val="1"/>
    <w:link w:val="31"/>
    <w:qFormat/>
    <w:uiPriority w:val="99"/>
    <w:rPr>
      <w:rFonts w:ascii="Arial" w:hAnsi="Arial" w:eastAsia="黑体" w:cs="Arial"/>
      <w:sz w:val="20"/>
      <w:szCs w:val="20"/>
    </w:rPr>
  </w:style>
  <w:style w:type="paragraph" w:styleId="9">
    <w:name w:val="Body Text"/>
    <w:basedOn w:val="1"/>
    <w:next w:val="10"/>
    <w:qFormat/>
    <w:uiPriority w:val="99"/>
    <w:pPr>
      <w:jc w:val="center"/>
    </w:pPr>
    <w:rPr>
      <w:rFonts w:ascii="Times New Roman" w:hAnsi="Times New Roman" w:eastAsia="宋体" w:cs="Times New Roman"/>
      <w:b/>
      <w:bCs/>
      <w:kern w:val="0"/>
      <w:sz w:val="52"/>
      <w:szCs w:val="52"/>
    </w:rPr>
  </w:style>
  <w:style w:type="paragraph" w:styleId="10">
    <w:name w:val="Body Text First Indent"/>
    <w:basedOn w:val="9"/>
    <w:qFormat/>
    <w:uiPriority w:val="99"/>
    <w:pPr>
      <w:widowControl/>
      <w:spacing w:after="120"/>
      <w:ind w:firstLine="420" w:firstLineChars="100"/>
      <w:jc w:val="left"/>
    </w:pPr>
    <w:rPr>
      <w:rFonts w:ascii="Arial" w:hAnsi="Arial" w:cs="Arial"/>
      <w:b w:val="0"/>
      <w:bCs w:val="0"/>
      <w:sz w:val="20"/>
      <w:szCs w:val="20"/>
    </w:rPr>
  </w:style>
  <w:style w:type="paragraph" w:styleId="11">
    <w:name w:val="Body Text Indent"/>
    <w:basedOn w:val="1"/>
    <w:next w:val="12"/>
    <w:qFormat/>
    <w:uiPriority w:val="99"/>
    <w:pPr>
      <w:spacing w:after="120"/>
      <w:ind w:left="420" w:leftChars="200"/>
    </w:pPr>
    <w:rPr>
      <w:rFonts w:ascii="Times New Roman" w:hAnsi="Times New Roman" w:eastAsia="宋体" w:cs="Times New Roman"/>
      <w:kern w:val="0"/>
      <w:sz w:val="20"/>
      <w:szCs w:val="20"/>
    </w:rPr>
  </w:style>
  <w:style w:type="paragraph" w:styleId="12">
    <w:name w:val="Body Text First Indent 2"/>
    <w:basedOn w:val="11"/>
    <w:unhideWhenUsed/>
    <w:qFormat/>
    <w:uiPriority w:val="99"/>
    <w:pPr>
      <w:ind w:firstLine="420"/>
    </w:pPr>
    <w:rPr>
      <w:rFonts w:hint="eastAsia"/>
      <w:sz w:val="21"/>
    </w:rPr>
  </w:style>
  <w:style w:type="paragraph" w:styleId="13">
    <w:name w:val="toc 3"/>
    <w:basedOn w:val="1"/>
    <w:next w:val="1"/>
    <w:unhideWhenUsed/>
    <w:qFormat/>
    <w:uiPriority w:val="39"/>
    <w:pPr>
      <w:ind w:left="840" w:leftChars="400"/>
    </w:pPr>
  </w:style>
  <w:style w:type="paragraph" w:styleId="14">
    <w:name w:val="Plain Text"/>
    <w:basedOn w:val="1"/>
    <w:next w:val="1"/>
    <w:link w:val="41"/>
    <w:qFormat/>
    <w:uiPriority w:val="0"/>
    <w:rPr>
      <w:rFonts w:ascii="宋体" w:hAnsi="Courier New" w:cs="宋体"/>
      <w:szCs w:val="21"/>
    </w:rPr>
  </w:style>
  <w:style w:type="paragraph" w:styleId="15">
    <w:name w:val="Body Text Indent 2"/>
    <w:basedOn w:val="1"/>
    <w:qFormat/>
    <w:uiPriority w:val="99"/>
    <w:pPr>
      <w:spacing w:after="120" w:line="480" w:lineRule="auto"/>
      <w:ind w:left="420" w:leftChars="200"/>
    </w:pPr>
    <w:rPr>
      <w:kern w:val="0"/>
      <w:sz w:val="20"/>
      <w:szCs w:val="20"/>
    </w:rPr>
  </w:style>
  <w:style w:type="paragraph" w:styleId="16">
    <w:name w:val="footer"/>
    <w:basedOn w:val="1"/>
    <w:link w:val="40"/>
    <w:unhideWhenUsed/>
    <w:qFormat/>
    <w:uiPriority w:val="99"/>
    <w:pPr>
      <w:tabs>
        <w:tab w:val="center" w:pos="4153"/>
        <w:tab w:val="right" w:pos="8306"/>
      </w:tabs>
      <w:snapToGrid w:val="0"/>
      <w:jc w:val="left"/>
    </w:pPr>
    <w:rPr>
      <w:sz w:val="18"/>
      <w:szCs w:val="18"/>
    </w:rPr>
  </w:style>
  <w:style w:type="paragraph" w:styleId="17">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line="360" w:lineRule="auto"/>
      <w:ind w:right="139" w:rightChars="66"/>
      <w:jc w:val="left"/>
    </w:pPr>
    <w:rPr>
      <w:rFonts w:ascii="Times New Roman" w:hAnsi="Times New Roman" w:eastAsia="宋体" w:cs="Times New Roman"/>
      <w:b/>
      <w:sz w:val="24"/>
      <w:szCs w:val="24"/>
    </w:rPr>
  </w:style>
  <w:style w:type="paragraph" w:styleId="19">
    <w:name w:val="table of figures"/>
    <w:basedOn w:val="1"/>
    <w:next w:val="1"/>
    <w:unhideWhenUsed/>
    <w:qFormat/>
    <w:uiPriority w:val="99"/>
    <w:pPr>
      <w:ind w:left="420" w:hanging="420"/>
      <w:jc w:val="left"/>
    </w:pPr>
    <w:rPr>
      <w:rFonts w:eastAsiaTheme="minorHAnsi"/>
      <w:smallCaps/>
      <w:sz w:val="20"/>
      <w:szCs w:val="20"/>
    </w:rPr>
  </w:style>
  <w:style w:type="paragraph" w:styleId="20">
    <w:name w:val="toc 2"/>
    <w:basedOn w:val="1"/>
    <w:next w:val="1"/>
    <w:qFormat/>
    <w:uiPriority w:val="39"/>
    <w:pPr>
      <w:tabs>
        <w:tab w:val="left" w:pos="1260"/>
        <w:tab w:val="right" w:leader="dot" w:pos="9170"/>
      </w:tabs>
      <w:spacing w:line="360" w:lineRule="auto"/>
      <w:ind w:left="420" w:leftChars="200"/>
      <w:jc w:val="left"/>
    </w:pPr>
    <w:rPr>
      <w:rFonts w:ascii="宋体" w:hAnsi="宋体" w:eastAsia="宋体" w:cs="Times New Roman"/>
      <w:kern w:val="44"/>
      <w:sz w:val="24"/>
      <w:szCs w:val="24"/>
    </w:rPr>
  </w:style>
  <w:style w:type="paragraph" w:styleId="21">
    <w:name w:val="Normal (Web)"/>
    <w:basedOn w:val="1"/>
    <w:qFormat/>
    <w:uiPriority w:val="99"/>
    <w:pPr>
      <w:spacing w:before="100" w:beforeAutospacing="1" w:after="100" w:afterAutospacing="1"/>
      <w:jc w:val="left"/>
    </w:pPr>
    <w:rPr>
      <w:kern w:val="0"/>
      <w:sz w:val="24"/>
      <w:szCs w:val="24"/>
    </w:rPr>
  </w:style>
  <w:style w:type="character" w:styleId="24">
    <w:name w:val="Hyperlink"/>
    <w:basedOn w:val="23"/>
    <w:qFormat/>
    <w:uiPriority w:val="99"/>
    <w:rPr>
      <w:color w:val="0000FF"/>
      <w:u w:val="single"/>
    </w:rPr>
  </w:style>
  <w:style w:type="character" w:customStyle="1" w:styleId="25">
    <w:name w:val="标题 2 字符"/>
    <w:basedOn w:val="23"/>
    <w:link w:val="2"/>
    <w:qFormat/>
    <w:uiPriority w:val="9"/>
    <w:rPr>
      <w:rFonts w:asciiTheme="majorHAnsi" w:hAnsiTheme="majorHAnsi" w:eastAsiaTheme="majorEastAsia" w:cstheme="majorBidi"/>
      <w:b/>
      <w:bCs/>
      <w:sz w:val="32"/>
      <w:szCs w:val="32"/>
    </w:rPr>
  </w:style>
  <w:style w:type="paragraph" w:styleId="26">
    <w:name w:val="List Paragraph"/>
    <w:basedOn w:val="1"/>
    <w:link w:val="27"/>
    <w:qFormat/>
    <w:uiPriority w:val="34"/>
    <w:pPr>
      <w:ind w:firstLine="420" w:firstLineChars="200"/>
    </w:pPr>
  </w:style>
  <w:style w:type="character" w:customStyle="1" w:styleId="27">
    <w:name w:val="列表段落 字符"/>
    <w:link w:val="26"/>
    <w:qFormat/>
    <w:uiPriority w:val="34"/>
  </w:style>
  <w:style w:type="character" w:customStyle="1" w:styleId="28">
    <w:name w:val="标题 1 字符"/>
    <w:basedOn w:val="23"/>
    <w:link w:val="3"/>
    <w:qFormat/>
    <w:uiPriority w:val="9"/>
    <w:rPr>
      <w:b/>
      <w:bCs/>
      <w:kern w:val="44"/>
      <w:sz w:val="44"/>
      <w:szCs w:val="44"/>
    </w:rPr>
  </w:style>
  <w:style w:type="character" w:customStyle="1" w:styleId="29">
    <w:name w:val="标题 3 字符"/>
    <w:basedOn w:val="23"/>
    <w:link w:val="5"/>
    <w:qFormat/>
    <w:uiPriority w:val="9"/>
    <w:rPr>
      <w:b/>
      <w:bCs/>
      <w:sz w:val="32"/>
      <w:szCs w:val="32"/>
    </w:rPr>
  </w:style>
  <w:style w:type="character" w:customStyle="1" w:styleId="30">
    <w:name w:val="标题 4 字符"/>
    <w:basedOn w:val="23"/>
    <w:link w:val="6"/>
    <w:qFormat/>
    <w:uiPriority w:val="9"/>
    <w:rPr>
      <w:rFonts w:asciiTheme="majorHAnsi" w:hAnsiTheme="majorHAnsi" w:eastAsiaTheme="majorEastAsia" w:cstheme="majorBidi"/>
      <w:b/>
      <w:bCs/>
      <w:sz w:val="28"/>
      <w:szCs w:val="28"/>
    </w:rPr>
  </w:style>
  <w:style w:type="character" w:customStyle="1" w:styleId="31">
    <w:name w:val="题注 字符"/>
    <w:link w:val="8"/>
    <w:qFormat/>
    <w:uiPriority w:val="35"/>
    <w:rPr>
      <w:rFonts w:ascii="Arial" w:hAnsi="Arial" w:eastAsia="黑体" w:cs="Arial"/>
      <w:sz w:val="20"/>
      <w:szCs w:val="20"/>
    </w:rPr>
  </w:style>
  <w:style w:type="paragraph" w:customStyle="1" w:styleId="32">
    <w:name w:val="标题 3（绿盟科技）"/>
    <w:basedOn w:val="5"/>
    <w:next w:val="1"/>
    <w:qFormat/>
    <w:uiPriority w:val="0"/>
    <w:pPr>
      <w:numPr>
        <w:ilvl w:val="0"/>
        <w:numId w:val="1"/>
      </w:numPr>
      <w:tabs>
        <w:tab w:val="left" w:pos="960"/>
      </w:tabs>
      <w:spacing w:line="415" w:lineRule="auto"/>
      <w:jc w:val="left"/>
    </w:pPr>
    <w:rPr>
      <w:rFonts w:ascii="Arial" w:hAnsi="Arial" w:eastAsia="黑体" w:cs="Times New Roman"/>
      <w:bCs w:val="0"/>
      <w:kern w:val="0"/>
      <w:sz w:val="30"/>
      <w:szCs w:val="30"/>
    </w:rPr>
  </w:style>
  <w:style w:type="paragraph" w:customStyle="1" w:styleId="33">
    <w:name w:val="标题 5（有编号）（绿盟科技）"/>
    <w:basedOn w:val="1"/>
    <w:next w:val="1"/>
    <w:qFormat/>
    <w:uiPriority w:val="0"/>
    <w:pPr>
      <w:keepNext/>
      <w:keepLines/>
      <w:numPr>
        <w:ilvl w:val="4"/>
        <w:numId w:val="1"/>
      </w:numPr>
      <w:spacing w:before="280" w:after="156" w:line="377" w:lineRule="auto"/>
      <w:jc w:val="left"/>
      <w:outlineLvl w:val="4"/>
    </w:pPr>
    <w:rPr>
      <w:rFonts w:ascii="Arial" w:hAnsi="Arial" w:eastAsia="黑体" w:cs="Times New Roman"/>
      <w:b/>
      <w:kern w:val="0"/>
      <w:sz w:val="24"/>
      <w:szCs w:val="28"/>
    </w:rPr>
  </w:style>
  <w:style w:type="paragraph" w:customStyle="1" w:styleId="34">
    <w:name w:val="标题 6（有编号）（绿盟科技）"/>
    <w:basedOn w:val="1"/>
    <w:next w:val="1"/>
    <w:qFormat/>
    <w:uiPriority w:val="0"/>
    <w:pPr>
      <w:keepNext/>
      <w:keepLines/>
      <w:numPr>
        <w:ilvl w:val="5"/>
        <w:numId w:val="1"/>
      </w:numPr>
      <w:spacing w:before="240" w:after="64" w:line="319" w:lineRule="auto"/>
      <w:jc w:val="left"/>
      <w:outlineLvl w:val="5"/>
    </w:pPr>
    <w:rPr>
      <w:rFonts w:ascii="Arial" w:hAnsi="Arial" w:eastAsia="黑体" w:cs="Times New Roman"/>
      <w:b/>
      <w:kern w:val="0"/>
      <w:szCs w:val="24"/>
    </w:rPr>
  </w:style>
  <w:style w:type="paragraph" w:customStyle="1" w:styleId="35">
    <w:name w:val="插图标注（绿盟科技）"/>
    <w:next w:val="1"/>
    <w:qFormat/>
    <w:uiPriority w:val="0"/>
    <w:pPr>
      <w:numPr>
        <w:ilvl w:val="6"/>
        <w:numId w:val="1"/>
      </w:numPr>
      <w:spacing w:after="156"/>
      <w:jc w:val="center"/>
    </w:pPr>
    <w:rPr>
      <w:rFonts w:ascii="Arial" w:hAnsi="Arial" w:eastAsia="宋体" w:cs="Arial"/>
      <w:kern w:val="0"/>
      <w:sz w:val="20"/>
      <w:szCs w:val="21"/>
      <w:lang w:val="en-US" w:eastAsia="zh-CN" w:bidi="ar-SA"/>
    </w:rPr>
  </w:style>
  <w:style w:type="paragraph" w:customStyle="1" w:styleId="36">
    <w:name w:val="表格标注（绿盟科技）"/>
    <w:basedOn w:val="35"/>
    <w:next w:val="1"/>
    <w:qFormat/>
    <w:uiPriority w:val="0"/>
    <w:pPr>
      <w:numPr>
        <w:ilvl w:val="7"/>
      </w:numPr>
    </w:pPr>
  </w:style>
  <w:style w:type="paragraph" w:customStyle="1" w:styleId="37">
    <w:name w:val="四级标题"/>
    <w:basedOn w:val="1"/>
    <w:next w:val="1"/>
    <w:link w:val="38"/>
    <w:qFormat/>
    <w:uiPriority w:val="0"/>
    <w:pPr>
      <w:widowControl/>
      <w:tabs>
        <w:tab w:val="left" w:pos="284"/>
        <w:tab w:val="left" w:pos="1680"/>
      </w:tabs>
      <w:spacing w:line="360" w:lineRule="auto"/>
      <w:jc w:val="left"/>
      <w:outlineLvl w:val="3"/>
    </w:pPr>
    <w:rPr>
      <w:rFonts w:ascii="黑体" w:hAnsi="黑体" w:eastAsia="黑体" w:cs="Times New Roman"/>
      <w:sz w:val="28"/>
    </w:rPr>
  </w:style>
  <w:style w:type="character" w:customStyle="1" w:styleId="38">
    <w:name w:val="四级标题 Char"/>
    <w:link w:val="37"/>
    <w:qFormat/>
    <w:uiPriority w:val="0"/>
    <w:rPr>
      <w:rFonts w:ascii="黑体" w:hAnsi="黑体" w:eastAsia="黑体" w:cs="Times New Roman"/>
      <w:sz w:val="28"/>
    </w:rPr>
  </w:style>
  <w:style w:type="character" w:customStyle="1" w:styleId="39">
    <w:name w:val="页眉 字符"/>
    <w:basedOn w:val="23"/>
    <w:link w:val="17"/>
    <w:qFormat/>
    <w:uiPriority w:val="99"/>
    <w:rPr>
      <w:sz w:val="18"/>
      <w:szCs w:val="18"/>
    </w:rPr>
  </w:style>
  <w:style w:type="character" w:customStyle="1" w:styleId="40">
    <w:name w:val="页脚 字符"/>
    <w:basedOn w:val="23"/>
    <w:link w:val="16"/>
    <w:qFormat/>
    <w:uiPriority w:val="99"/>
    <w:rPr>
      <w:sz w:val="18"/>
      <w:szCs w:val="18"/>
    </w:rPr>
  </w:style>
  <w:style w:type="character" w:customStyle="1" w:styleId="41">
    <w:name w:val="纯文本 字符"/>
    <w:link w:val="14"/>
    <w:qFormat/>
    <w:uiPriority w:val="0"/>
    <w:rPr>
      <w:rFonts w:ascii="宋体" w:hAnsi="Courier New" w:cs="宋体"/>
      <w:szCs w:val="21"/>
    </w:rPr>
  </w:style>
  <w:style w:type="character" w:customStyle="1" w:styleId="42">
    <w:name w:val="纯文本 字符1"/>
    <w:basedOn w:val="23"/>
    <w:semiHidden/>
    <w:qFormat/>
    <w:uiPriority w:val="99"/>
    <w:rPr>
      <w:rFonts w:hAnsi="Courier New" w:cs="Courier New" w:asciiTheme="minorEastAsia"/>
    </w:rPr>
  </w:style>
  <w:style w:type="paragraph" w:customStyle="1" w:styleId="43">
    <w:name w:val="列出段落1"/>
    <w:basedOn w:val="1"/>
    <w:qFormat/>
    <w:uiPriority w:val="34"/>
    <w:pPr>
      <w:ind w:firstLine="420"/>
    </w:pPr>
    <w:rPr>
      <w:rFonts w:ascii="Times New Roman" w:hAnsi="Times New Roman" w:eastAsia="宋体" w:cs="Times New Roman"/>
      <w:szCs w:val="20"/>
    </w:rPr>
  </w:style>
  <w:style w:type="paragraph" w:customStyle="1" w:styleId="44">
    <w:name w:val="**正文"/>
    <w:basedOn w:val="1"/>
    <w:qFormat/>
    <w:uiPriority w:val="0"/>
    <w:pPr>
      <w:spacing w:line="360" w:lineRule="auto"/>
      <w:jc w:val="left"/>
    </w:pPr>
    <w:rPr>
      <w:rFonts w:ascii="Times New Roman" w:hAnsi="Times New Roman" w:eastAsia="宋体" w:cs="Times New Roman"/>
      <w:sz w:val="24"/>
      <w:szCs w:val="20"/>
    </w:rPr>
  </w:style>
  <w:style w:type="paragraph" w:customStyle="1" w:styleId="45">
    <w:name w:val="WPSOffice手动目录 1"/>
    <w:qFormat/>
    <w:uiPriority w:val="99"/>
    <w:rPr>
      <w:rFonts w:ascii="Calibri" w:hAnsi="Calibri" w:eastAsia="微软雅黑" w:cs="Calibri"/>
      <w:lang w:val="en-US" w:eastAsia="zh-CN" w:bidi="ar-SA"/>
    </w:rPr>
  </w:style>
  <w:style w:type="paragraph" w:customStyle="1" w:styleId="46">
    <w:name w:val="p0"/>
    <w:basedOn w:val="1"/>
    <w:qFormat/>
    <w:uiPriority w:val="99"/>
    <w:pPr>
      <w:widowControl/>
    </w:pPr>
    <w:rPr>
      <w:kern w:val="0"/>
    </w:rPr>
  </w:style>
  <w:style w:type="paragraph" w:customStyle="1" w:styleId="47">
    <w:name w:val="ÕýÎÄ"/>
    <w:qFormat/>
    <w:uiPriority w:val="99"/>
    <w:pPr>
      <w:widowControl w:val="0"/>
      <w:overflowPunct w:val="0"/>
      <w:autoSpaceDE w:val="0"/>
      <w:autoSpaceDN w:val="0"/>
      <w:adjustRightInd w:val="0"/>
      <w:spacing w:line="351" w:lineRule="atLeast"/>
      <w:ind w:firstLine="419"/>
      <w:jc w:val="both"/>
      <w:textAlignment w:val="baseline"/>
    </w:pPr>
    <w:rPr>
      <w:rFonts w:ascii="Calibri" w:hAnsi="Calibri" w:eastAsia="微软雅黑" w:cs="Calibri"/>
      <w:color w:val="000000"/>
      <w:sz w:val="21"/>
      <w:szCs w:val="21"/>
      <w:lang w:val="en-US" w:eastAsia="zh-CN" w:bidi="ar-SA"/>
    </w:rPr>
  </w:style>
  <w:style w:type="paragraph" w:customStyle="1" w:styleId="48">
    <w:name w:val="段落正文"/>
    <w:basedOn w:val="4"/>
    <w:qFormat/>
    <w:uiPriority w:val="0"/>
    <w:pPr>
      <w:adjustRightInd w:val="0"/>
      <w:snapToGrid w:val="0"/>
      <w:ind w:firstLine="420" w:firstLineChars="200"/>
      <w:jc w:val="both"/>
    </w:pPr>
    <w:rPr>
      <w:rFonts w:ascii="Times New Roman" w:hAnsi="Times New Roman" w:cs="Times New Roman"/>
      <w:szCs w:val="21"/>
    </w:rPr>
  </w:style>
  <w:style w:type="paragraph" w:customStyle="1" w:styleId="49">
    <w:name w:val="表格"/>
    <w:basedOn w:val="1"/>
    <w:next w:val="7"/>
    <w:qFormat/>
    <w:uiPriority w:val="0"/>
    <w:pPr>
      <w:widowControl/>
      <w:spacing w:before="100" w:beforeAutospacing="1" w:after="100" w:afterAutospacing="1"/>
      <w:jc w:val="left"/>
    </w:pPr>
    <w:rPr>
      <w:rFonts w:ascii="Arial" w:hAnsi="Arial"/>
      <w:bCs/>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5C704E-7EEF-49CA-A51D-71885398BEB7}">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1200</Words>
  <Characters>6846</Characters>
  <Lines>57</Lines>
  <Paragraphs>16</Paragraphs>
  <TotalTime>54</TotalTime>
  <ScaleCrop>false</ScaleCrop>
  <LinksUpToDate>false</LinksUpToDate>
  <CharactersWithSpaces>8030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2021-05-08T09:26:00Z</dcterms:created>
  <dc:creator>huangying</dc:creator>
  <cp:lastModifiedBy>len</cp:lastModifiedBy>
  <cp:lastPrinted>2021-09-01T08:06:00Z</cp:lastPrinted>
  <dcterms:modified xsi:type="dcterms:W3CDTF">2021-10-13T07:24:19Z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87C2685FCB424E329B822FA4BBF96134</vt:lpwstr>
  </property>
</Properties>
</file>